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BBA" w:rsidRPr="00DC0A16" w:rsidRDefault="00194EC2" w:rsidP="00735B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C0A16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1A3CDC" w:rsidRPr="00DC0A16">
        <w:rPr>
          <w:rFonts w:ascii="Times New Roman" w:hAnsi="Times New Roman" w:cs="Times New Roman"/>
          <w:i/>
          <w:sz w:val="24"/>
          <w:szCs w:val="24"/>
        </w:rPr>
        <w:t xml:space="preserve">2.2. към </w:t>
      </w:r>
    </w:p>
    <w:p w:rsidR="00565757" w:rsidRPr="00DC0A16" w:rsidRDefault="001A3CDC" w:rsidP="00735B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C0A16">
        <w:rPr>
          <w:rFonts w:ascii="Times New Roman" w:hAnsi="Times New Roman" w:cs="Times New Roman"/>
          <w:i/>
          <w:sz w:val="24"/>
          <w:szCs w:val="24"/>
        </w:rPr>
        <w:t>чл. 35, ал. 1, т. 4, буква „б“ от УПМСНА</w:t>
      </w:r>
    </w:p>
    <w:p w:rsidR="00194EC2" w:rsidRPr="00735BBA" w:rsidRDefault="00194EC2">
      <w:pPr>
        <w:rPr>
          <w:rFonts w:ascii="Times New Roman" w:hAnsi="Times New Roman" w:cs="Times New Roman"/>
          <w:sz w:val="24"/>
          <w:szCs w:val="24"/>
        </w:rPr>
      </w:pPr>
      <w:r w:rsidRPr="00735BB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201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1"/>
      </w:tblGrid>
      <w:tr w:rsidR="00194EC2" w:rsidRPr="00194EC2" w:rsidTr="00950F01">
        <w:trPr>
          <w:tblCellSpacing w:w="7" w:type="dxa"/>
          <w:jc w:val="center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A16" w:rsidRDefault="00DC0A16" w:rsidP="00735BBA">
            <w:pPr>
              <w:ind w:left="40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BBA" w:rsidRPr="00735BBA" w:rsidRDefault="00735BBA" w:rsidP="00735BBA">
            <w:pPr>
              <w:ind w:left="40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b/>
                <w:sz w:val="24"/>
                <w:szCs w:val="24"/>
              </w:rPr>
              <w:t>ОДОБРИЛ,</w:t>
            </w:r>
          </w:p>
          <w:p w:rsidR="00735BBA" w:rsidRPr="00735BBA" w:rsidRDefault="00735BBA" w:rsidP="00735BBA">
            <w:pPr>
              <w:ind w:left="40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МИНИСТЪР НА ФИНАНСИТЕ: </w:t>
            </w:r>
          </w:p>
          <w:p w:rsidR="00735BBA" w:rsidRPr="00735BBA" w:rsidRDefault="005163DB" w:rsidP="00FF01FA">
            <w:pPr>
              <w:ind w:right="2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ПЕТКОВА</w:t>
            </w:r>
          </w:p>
          <w:p w:rsidR="00194EC2" w:rsidRDefault="00735BBA" w:rsidP="00735B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BBA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 ОБОСНОВКА</w:t>
            </w:r>
          </w:p>
          <w:p w:rsidR="008B6D41" w:rsidRDefault="00735BBA" w:rsidP="0075539C">
            <w:pPr>
              <w:spacing w:after="0" w:line="240" w:lineRule="auto"/>
              <w:ind w:left="1107" w:right="267" w:hanging="8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A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ОТНОСНО</w:t>
            </w:r>
            <w:r w:rsidRPr="00735B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="0075539C" w:rsidRPr="0075539C">
              <w:rPr>
                <w:rFonts w:ascii="Times New Roman" w:hAnsi="Times New Roman"/>
                <w:sz w:val="24"/>
                <w:szCs w:val="24"/>
              </w:rPr>
              <w:t xml:space="preserve">Проект на </w:t>
            </w:r>
            <w:r w:rsidR="00CE0864" w:rsidRPr="00CE0864">
              <w:rPr>
                <w:rFonts w:ascii="Times New Roman" w:hAnsi="Times New Roman"/>
                <w:sz w:val="24"/>
                <w:szCs w:val="24"/>
              </w:rPr>
              <w:t xml:space="preserve">Решение на Министерския съвет за даване на съгласие за предоставяне на финансова подкрепа от програмите, съфинансирани от Европейските фондове при споделено управление, над общия бюджет по съответната програма </w:t>
            </w:r>
          </w:p>
          <w:p w:rsidR="00735BBA" w:rsidRPr="00021D49" w:rsidRDefault="00030AC0" w:rsidP="00F149BD">
            <w:pPr>
              <w:pStyle w:val="ListParagraph"/>
              <w:numPr>
                <w:ilvl w:val="0"/>
                <w:numId w:val="1"/>
              </w:numPr>
              <w:tabs>
                <w:tab w:val="left" w:pos="1249"/>
              </w:tabs>
              <w:spacing w:before="100" w:beforeAutospacing="1" w:after="100" w:afterAutospacing="1" w:line="240" w:lineRule="auto"/>
              <w:ind w:left="257" w:right="257" w:firstLine="7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Мотиви и цел за внасяне за разглеждане от Министерския съвет на проекта на акт</w:t>
            </w:r>
          </w:p>
          <w:p w:rsidR="007E14BC" w:rsidRPr="007E14BC" w:rsidRDefault="007E14BC" w:rsidP="007E14BC">
            <w:pPr>
              <w:tabs>
                <w:tab w:val="left" w:pos="42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С проекта на акт се дава съгласие за предоставяне на финансова подкрепа от програмите, съфинансирани със средства от ЕФСУ, над общия бюджет по съответната програма, включващ и сумата за гъвкавост по смисъла на чл. 86, параграф 1, втора алинея на Регламент (ЕС) 2021/1060. По този начин се създава възможност за управляващите органи и междинните звена да сключват договори/издават заповеди за предоставяне на безвъзмездна финансова помощ (БФП) или да сключват финансови споразумения (споразумение за финансиране по смисъла на чл. 59, параграф 5, буква „а“ от Регламент (ЕС) 2021/1060) в размер до 10%, 15% или 20% над бюджета на съответната програма. </w:t>
            </w:r>
          </w:p>
          <w:p w:rsidR="00073DB7" w:rsidRPr="00073DB7" w:rsidRDefault="00073DB7" w:rsidP="00073D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073DB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</w:p>
          <w:p w:rsidR="007E14BC" w:rsidRPr="007E14BC" w:rsidRDefault="007E14BC" w:rsidP="007E14BC">
            <w:pPr>
              <w:tabs>
                <w:tab w:val="left" w:pos="426"/>
              </w:tabs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Отчитайки опита от предходните програмни периоди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>,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напредъка в изпълнението на програмите към настоящия момент, както и извършените детайлни анализи от управляващите органи на програмите, финансирани от ЕФСУ, е предложен диференциран максимален процент за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наддоговаряне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по отделните програми. За програмите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Развитие на човешките ресурси”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Конкурентоспособност и иновации в предприятията”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Научни изследвания, иновации и дигитализация за интелигентна трансформация”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Храни и основно материално подпомагане” 2021 – 2027 г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.,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Техническа помощ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“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 xml:space="preserve">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/>
              </w:rPr>
              <w:t xml:space="preserve">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 xml:space="preserve">Морско дело, рибарство и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аквакултури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”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,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 xml:space="preserve">Програмата на Република България по Фонд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Убежище, миграция и интеграция”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,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 xml:space="preserve">Програмата на Република България по Фонд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Вътрешна сигурност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“,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Програмата на Република България по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Инструмента за финансова подкрепа за управлението на границите и визовата политика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,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 xml:space="preserve">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в проекта на акт е предвидена възможност за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наддоговаряне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до 10% от бюджета на всяка от тези програми. По отношение на програмите „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x-none"/>
              </w:rPr>
              <w:t>Развитие на регионите” 2021 – 2027 г.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 „Образование” 2021 – 2027 г. извършените от управляващите органи анализи обосновават необходимостта от договаряне  до 15% над бюджета на съответните програми с оглед предприемане на реални превантивни действия за минимизиране на риска от загуба на средства по програмите.</w:t>
            </w:r>
          </w:p>
          <w:p w:rsidR="007E14BC" w:rsidRPr="007E14BC" w:rsidRDefault="007E14BC" w:rsidP="007E14BC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По-висок размер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GB"/>
              </w:rPr>
              <w:t xml:space="preserve">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на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наддоговаряне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– до 20% – е предвиден за програма „Околна среда“ 2021-2027 г. (ПОС) и програма „Транспортна свързаност“ 2021-2027 г. (ПТС), предвид мащабните проекти, изпълнявани по двете програми, както и с оглед необходимостта в рамките на програмите да бъде осигурено финансиране за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фазирани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проекти от програмен период 2014 – 2020 г. и за инвестиции, първоначално планирани по Националния план за възстановяване и устойчивост, за 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lastRenderedPageBreak/>
              <w:t>които е установено, че не могат да бъдат реализирани в рамките на срока за допустимост на разходите по Плана. Основание за това предложение дават и:</w:t>
            </w:r>
          </w:p>
          <w:p w:rsidR="007E14BC" w:rsidRPr="007E14BC" w:rsidRDefault="007E14BC" w:rsidP="007E14BC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121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анализът на текущото изпълнение на програмите:</w:t>
            </w:r>
          </w:p>
          <w:p w:rsidR="007E14BC" w:rsidRPr="007E14BC" w:rsidRDefault="007E14BC" w:rsidP="007E14BC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По ПОС към настоящия момент 77% от общия бюджет на програмата вече са ангажирани в обявени процедури за предоставяне на БФП. С процедурите, предвидени в Индикативната годишна работна програма (ИГРП) за 2024 г., се очаква да се надхвърлят 85% от общия бюджет на програмата. В допълнение към вече обявените процедури и планираните в ИГРП 2024, за постигане крайните цели на програмата се планира да бъдат обявени процедури за предоставяне на БФП с индикативна стойност 1.295 млрд. лева, като с тях се очаква обявеният финансов ресурс да достигне почти 122% от общия бюджет на програмата. </w:t>
            </w:r>
          </w:p>
          <w:p w:rsidR="007E14BC" w:rsidRPr="007E14BC" w:rsidRDefault="007E14BC" w:rsidP="007E14BC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По ПТС са одобрени или в процес на оценка проекти на обща стойност от 1.706 млрд. лева, което представлява 46% от бюджета на програмата. Подадените до момента проекти по Приоритет 1 на програмата, процедура за „Развитие на железопътната инфраструктура по „основната“ и „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широкообхватната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“ ТЕ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en-US"/>
              </w:rPr>
              <w:t>N</w:t>
            </w: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-Т – Инвестиционни проекти” в размер на 1.488 млрд. лв. надвишават наличния бюджет по процедурата в размер на 1.344 млрд. лв., което е около 10% над бюджета на процедурата. По този приоритет в ПТС има предвидени и други проекти, които при евентуален риск от загуба на средства по приоритета (финансови корекции, неизпълнение) могат да бъдат одобрени за финансиране.</w:t>
            </w:r>
          </w:p>
          <w:p w:rsidR="007E14BC" w:rsidRPr="007E14BC" w:rsidRDefault="007E14BC" w:rsidP="007E14BC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121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опитът от изпълнението на програмите през предходния програмен период, който е валиден поради сходния обхват на финансираните приоритетни области и потенциални конкретни бенефициенти за изпълнение на допустимите мерки:</w:t>
            </w:r>
          </w:p>
          <w:p w:rsidR="007E14BC" w:rsidRPr="007E14BC" w:rsidRDefault="007E14BC" w:rsidP="007E14BC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По Оперативна програма „Околна среда“ 2014-2020 г. опитът с финансирането и изпълнението на проекти във водния сектор показва константна тенденция към невъзможност за приключване на проекти в рамките на съответния срок на допустимост на разходите и необходимост от прехвърляне на част от инвестициите в следващия програмен период. Пример в подкрепа на необходимостта от своевременно предвиждане на договаряне над бюджета на програмата е и прекратяването на договора за предоставяне на БФП за одобрения „голям проект“ за изграждане на инсталация за енергийно оползотворяване на RDF на Столична община по приоритетна ос „Отпадъци“ в последната година на допустимост на разходите с нулева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усвояемост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и освободени средства в огромен размер. </w:t>
            </w:r>
          </w:p>
          <w:p w:rsidR="007E14BC" w:rsidRPr="007E14BC" w:rsidRDefault="007E14BC" w:rsidP="007E14BC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По Оперативна програма „Транспорт“ 2014-2020 г. най-сериозно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неусвояване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на средства е отчетено по Приоритетна ос 1 за железопътна инфраструктура. За минимизиране риска от загуба, средства бяха пренасочени към Инструмента SAFE за компенсации на МСП, в размер на 275 млн. лева, както и към допълващи проекти за метрото в размер на 106 млн. лева., което е около 27% от бюджета на оста. Процентът на </w:t>
            </w:r>
            <w:proofErr w:type="spellStart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наддоговаряне</w:t>
            </w:r>
            <w:proofErr w:type="spellEnd"/>
            <w:r w:rsidRPr="007E14BC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по приоритетна ос 1 (след последното изменение на програмата) е в размер на около 17%.</w:t>
            </w:r>
          </w:p>
          <w:p w:rsidR="00073DB7" w:rsidRPr="00073DB7" w:rsidRDefault="00073DB7" w:rsidP="00073D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</w:pPr>
            <w:r w:rsidRPr="00073DB7">
              <w:rPr>
                <w:rFonts w:ascii="Times New Roman" w:eastAsia="Times New Roman" w:hAnsi="Times New Roman" w:cs="Times New Roman"/>
                <w:sz w:val="24"/>
                <w:szCs w:val="20"/>
              </w:rPr>
              <w:t>Причина за изготвяне на предложения проект на акт е необходимостта от предприемане на навременни мерки, с които да се предотврати риска от загуба на средства от ЕФСУ за периода 2021-2027 г. Анализите, извършени от управляващите органи на оперативните програми за програмен период 2014-2020 г.</w:t>
            </w:r>
            <w:r w:rsidR="007A1B6D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073DB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показват, че </w:t>
            </w:r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>процентът на усвояване на предоставената БФП от бенефициенти</w:t>
            </w:r>
            <w:r w:rsidR="007A1B6D">
              <w:rPr>
                <w:rFonts w:ascii="Times New Roman" w:eastAsia="Calibri" w:hAnsi="Times New Roman" w:cs="Times New Roman"/>
                <w:sz w:val="24"/>
                <w:szCs w:val="24"/>
              </w:rPr>
              <w:t>те</w:t>
            </w:r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приключилите процедури е около 80%.</w:t>
            </w:r>
            <w:r w:rsidRPr="00073D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3DB7"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  <w:t>Основните трудности при реализиране на проектните дейности са свързани с провеждането на процедурите по възлагане на обществени поръчки, голяма част от които се обжалват</w:t>
            </w:r>
            <w:r w:rsidR="007E14BC"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  <w:t xml:space="preserve"> </w:t>
            </w:r>
            <w:r w:rsidR="007E14BC" w:rsidRPr="007E14BC"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  <w:t>пред Комисията за защита на конкуренцията и Върховния административен съд</w:t>
            </w:r>
            <w:bookmarkStart w:id="0" w:name="_GoBack"/>
            <w:bookmarkEnd w:id="0"/>
            <w:r w:rsidRPr="00073DB7"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  <w:t xml:space="preserve">. Забавянето в изпълнението на проектите от една страна поставя под риск възможността за срочното им приключване, от друга – води до неизпълнение на </w:t>
            </w:r>
            <w:r w:rsidRPr="00073DB7">
              <w:rPr>
                <w:rFonts w:ascii="Times New Roman" w:eastAsia="Times New Roman" w:hAnsi="Times New Roman" w:cs="Times New Roman"/>
                <w:sz w:val="24"/>
                <w:szCs w:val="24"/>
                <w:lang w:bidi="bg-BG"/>
              </w:rPr>
              <w:lastRenderedPageBreak/>
              <w:t xml:space="preserve">минималните годишни цели по правилото за отмяна на бюджетни ангажименти N+3, което пък предпоставя съответно риск от непълно усвояване на средствата от фондовете на ЕС – текущо и при приключването на програмния период. </w:t>
            </w:r>
          </w:p>
          <w:p w:rsidR="00073DB7" w:rsidRPr="00073DB7" w:rsidRDefault="00073DB7" w:rsidP="00073D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</w:pPr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Опитът по тези програми показва също така, че при приключване на програмите </w:t>
            </w:r>
            <w:proofErr w:type="spellStart"/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>наддоговореният</w:t>
            </w:r>
            <w:proofErr w:type="spellEnd"/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 преобладаващо се покрива от неусвоения бюджет по съответната програма в процеса на договаряне и изпълнение на проектите. Тези данни са аналогични и за програм</w:t>
            </w:r>
            <w:r w:rsidR="007A1B6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73D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 </w:t>
            </w:r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 xml:space="preserve">период 2007-2013 г. Забавянето в изпълнението, икономии от провежданите обществени поръчки, определянето на финансови корекции на бенефициентите, </w:t>
            </w:r>
            <w:proofErr w:type="spellStart"/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>фазирането</w:t>
            </w:r>
            <w:proofErr w:type="spellEnd"/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 xml:space="preserve"> на проекти водят до </w:t>
            </w:r>
            <w:r w:rsidR="007A1B6D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>непълно усвояване</w:t>
            </w:r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 xml:space="preserve"> на бюджета на съответната програма.</w:t>
            </w:r>
          </w:p>
          <w:p w:rsidR="00073DB7" w:rsidRPr="00073DB7" w:rsidRDefault="00073DB7" w:rsidP="00073D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</w:pPr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 xml:space="preserve">Анализите и за двата програмни периода налагат категорично извода, че в случай на 100% договаряне (тоест без </w:t>
            </w:r>
            <w:proofErr w:type="spellStart"/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>наддоговаряне</w:t>
            </w:r>
            <w:proofErr w:type="spellEnd"/>
            <w:r w:rsidRPr="00073DB7">
              <w:rPr>
                <w:rFonts w:ascii="Times New Roman" w:eastAsia="Calibri" w:hAnsi="Times New Roman" w:cs="Times New Roman"/>
                <w:sz w:val="24"/>
                <w:szCs w:val="24"/>
                <w:lang w:bidi="bg-BG"/>
              </w:rPr>
              <w:t>), усвояването при приключването на програмите няма да надхвърли 85 – 90% от бюджета на съответната програма. Освен от финансова гледна точка, подобен резултат би имал негативно отражение и върху постигането на индикаторите и целите на програмите.</w:t>
            </w:r>
          </w:p>
          <w:p w:rsidR="009A6192" w:rsidRPr="00021D49" w:rsidRDefault="009A6192" w:rsidP="00F149BD">
            <w:pPr>
              <w:pStyle w:val="ListParagraph"/>
              <w:numPr>
                <w:ilvl w:val="0"/>
                <w:numId w:val="1"/>
              </w:numPr>
              <w:tabs>
                <w:tab w:val="left" w:pos="426"/>
              </w:tabs>
              <w:spacing w:line="240" w:lineRule="auto"/>
              <w:ind w:left="1246" w:hanging="28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Очаквани резултати от предлагането на проекта на акт</w:t>
            </w:r>
          </w:p>
          <w:p w:rsidR="00824BB7" w:rsidRPr="00021D49" w:rsidRDefault="00824BB7" w:rsidP="00824B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D49">
              <w:rPr>
                <w:rFonts w:ascii="Times New Roman" w:hAnsi="Times New Roman"/>
                <w:sz w:val="24"/>
                <w:szCs w:val="24"/>
              </w:rPr>
              <w:t xml:space="preserve">С приемане на предлагания акт ще се даде възможност на органите на управление на програмите своевременно да вземат мерки от гледна точка на планиране и провеждане на процедурите за предоставяне на БФП за </w:t>
            </w:r>
            <w:proofErr w:type="spellStart"/>
            <w:r w:rsidRPr="00021D49">
              <w:rPr>
                <w:rFonts w:ascii="Times New Roman" w:hAnsi="Times New Roman"/>
                <w:sz w:val="24"/>
                <w:szCs w:val="24"/>
              </w:rPr>
              <w:t>наддоговаряне</w:t>
            </w:r>
            <w:proofErr w:type="spellEnd"/>
            <w:r w:rsidRPr="00021D49">
              <w:rPr>
                <w:rFonts w:ascii="Times New Roman" w:hAnsi="Times New Roman"/>
                <w:sz w:val="24"/>
                <w:szCs w:val="24"/>
              </w:rPr>
              <w:t xml:space="preserve"> на съответните програми с оглед намаляване на риска от загуба на европейски средства текущо и в края на програмния период. Същевременно ще се регламентира на национално ниво механизъм за </w:t>
            </w:r>
            <w:proofErr w:type="spellStart"/>
            <w:r w:rsidRPr="00021D49">
              <w:rPr>
                <w:rFonts w:ascii="Times New Roman" w:hAnsi="Times New Roman"/>
                <w:sz w:val="24"/>
                <w:szCs w:val="24"/>
              </w:rPr>
              <w:t>наддоговаряне</w:t>
            </w:r>
            <w:proofErr w:type="spellEnd"/>
            <w:r w:rsidRPr="00021D49">
              <w:rPr>
                <w:rFonts w:ascii="Times New Roman" w:hAnsi="Times New Roman"/>
                <w:sz w:val="24"/>
                <w:szCs w:val="24"/>
              </w:rPr>
              <w:t xml:space="preserve">, който ще може да бъде използван от управляващите органи в случай на необходимост, като се избегне практиката от предходни програмни периоди за приемане на решения </w:t>
            </w:r>
            <w:r w:rsidRPr="00021D49">
              <w:rPr>
                <w:rFonts w:ascii="Times New Roman" w:hAnsi="Times New Roman"/>
                <w:sz w:val="24"/>
                <w:szCs w:val="24"/>
                <w:lang w:val="en-US"/>
              </w:rPr>
              <w:t>ad hoc.</w:t>
            </w:r>
          </w:p>
          <w:p w:rsidR="00824BB7" w:rsidRPr="00021D49" w:rsidRDefault="00824BB7" w:rsidP="00824BB7">
            <w:pPr>
              <w:tabs>
                <w:tab w:val="left" w:pos="42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1D49">
              <w:rPr>
                <w:rFonts w:ascii="Times New Roman" w:hAnsi="Times New Roman"/>
                <w:sz w:val="24"/>
                <w:szCs w:val="24"/>
              </w:rPr>
              <w:t>Очакваният резултат от приемането на решението е създаване на необходимите условия за успешното постигане на целите, показателите за краен продукт и за резултат на програмите, финансирани от ЕФСУ, както и за използване в максимална степен на предоставената финансова подкрепа от фондовете на ЕС за страната.</w:t>
            </w:r>
            <w:r w:rsidRPr="00021D4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55E0" w:rsidRPr="00021D49" w:rsidRDefault="009A6192" w:rsidP="00F149BD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54" w:right="25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Мотивирана оценка за размера на необходимите допълнителни разходи/</w:t>
            </w:r>
            <w:r w:rsidR="007525F9"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трансфери/</w:t>
            </w:r>
            <w:r w:rsidR="007525F9"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други плащания</w:t>
            </w:r>
            <w:r w:rsidRPr="0002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021D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които се предлага да бъдат одобрени по бюджета на първостепенния разпоредител с бюджет или по сметка за средства от Европейския съюз, за сметка на бюджети по държавния бюджет.</w:t>
            </w:r>
          </w:p>
          <w:p w:rsidR="009278B2" w:rsidRPr="00021D49" w:rsidRDefault="000855E0" w:rsidP="00F149BD">
            <w:pPr>
              <w:pStyle w:val="ListParagraph"/>
              <w:spacing w:before="100" w:beforeAutospacing="1" w:after="100" w:afterAutospacing="1" w:line="240" w:lineRule="auto"/>
              <w:ind w:left="257" w:right="257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2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 приемането на акта не са необходими допълнителни разходи/трансфери/други плащания. </w:t>
            </w:r>
          </w:p>
          <w:p w:rsidR="00194EC2" w:rsidRPr="00194EC2" w:rsidRDefault="009A6192" w:rsidP="00F149BD">
            <w:pPr>
              <w:pStyle w:val="ListParagraph"/>
              <w:spacing w:before="100" w:beforeAutospacing="1" w:after="120" w:line="240" w:lineRule="auto"/>
              <w:ind w:left="255" w:right="255" w:firstLine="709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2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Предложеният проект на акт не води до въздействие върху държавния бюджет.</w:t>
            </w:r>
            <w:r w:rsidR="000855E0" w:rsidRPr="00F14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 </w:t>
            </w:r>
          </w:p>
        </w:tc>
      </w:tr>
    </w:tbl>
    <w:p w:rsidR="00194EC2" w:rsidRDefault="00194EC2">
      <w:pPr>
        <w:rPr>
          <w:rFonts w:ascii="Times New Roman" w:hAnsi="Times New Roman" w:cs="Times New Roman"/>
          <w:sz w:val="24"/>
          <w:szCs w:val="24"/>
        </w:rPr>
      </w:pPr>
    </w:p>
    <w:p w:rsidR="00636A21" w:rsidRPr="00636A21" w:rsidRDefault="00636A21" w:rsidP="00636A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658A" w:rsidRDefault="00CD658A" w:rsidP="00CD65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6A21" w:rsidRDefault="00636A21">
      <w:pPr>
        <w:rPr>
          <w:rFonts w:ascii="Times New Roman" w:hAnsi="Times New Roman" w:cs="Times New Roman"/>
          <w:sz w:val="24"/>
          <w:szCs w:val="24"/>
        </w:rPr>
      </w:pPr>
    </w:p>
    <w:sectPr w:rsidR="00636A21" w:rsidSect="006F0D53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EC" w:rsidRDefault="002658EC" w:rsidP="002F3DA3">
      <w:pPr>
        <w:spacing w:after="0" w:line="240" w:lineRule="auto"/>
      </w:pPr>
      <w:r>
        <w:separator/>
      </w:r>
    </w:p>
  </w:endnote>
  <w:endnote w:type="continuationSeparator" w:id="0">
    <w:p w:rsidR="002658EC" w:rsidRDefault="002658EC" w:rsidP="002F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27992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3DA3" w:rsidRDefault="002F3D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4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3DA3" w:rsidRDefault="002F3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EC" w:rsidRDefault="002658EC" w:rsidP="002F3DA3">
      <w:pPr>
        <w:spacing w:after="0" w:line="240" w:lineRule="auto"/>
      </w:pPr>
      <w:r>
        <w:separator/>
      </w:r>
    </w:p>
  </w:footnote>
  <w:footnote w:type="continuationSeparator" w:id="0">
    <w:p w:rsidR="002658EC" w:rsidRDefault="002658EC" w:rsidP="002F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DF4" w:rsidRPr="008C1DF4" w:rsidRDefault="008C1DF4" w:rsidP="008C1DF4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35A72"/>
    <w:multiLevelType w:val="hybridMultilevel"/>
    <w:tmpl w:val="DE18B7FC"/>
    <w:lvl w:ilvl="0" w:tplc="CA5E1238">
      <w:start w:val="1"/>
      <w:numFmt w:val="decimal"/>
      <w:lvlText w:val="%1."/>
      <w:lvlJc w:val="left"/>
      <w:pPr>
        <w:ind w:left="61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37" w:hanging="360"/>
      </w:pPr>
    </w:lvl>
    <w:lvl w:ilvl="2" w:tplc="0402001B" w:tentative="1">
      <w:start w:val="1"/>
      <w:numFmt w:val="lowerRoman"/>
      <w:lvlText w:val="%3."/>
      <w:lvlJc w:val="right"/>
      <w:pPr>
        <w:ind w:left="2057" w:hanging="180"/>
      </w:pPr>
    </w:lvl>
    <w:lvl w:ilvl="3" w:tplc="0402000F" w:tentative="1">
      <w:start w:val="1"/>
      <w:numFmt w:val="decimal"/>
      <w:lvlText w:val="%4."/>
      <w:lvlJc w:val="left"/>
      <w:pPr>
        <w:ind w:left="2777" w:hanging="360"/>
      </w:pPr>
    </w:lvl>
    <w:lvl w:ilvl="4" w:tplc="04020019" w:tentative="1">
      <w:start w:val="1"/>
      <w:numFmt w:val="lowerLetter"/>
      <w:lvlText w:val="%5."/>
      <w:lvlJc w:val="left"/>
      <w:pPr>
        <w:ind w:left="3497" w:hanging="360"/>
      </w:pPr>
    </w:lvl>
    <w:lvl w:ilvl="5" w:tplc="0402001B" w:tentative="1">
      <w:start w:val="1"/>
      <w:numFmt w:val="lowerRoman"/>
      <w:lvlText w:val="%6."/>
      <w:lvlJc w:val="right"/>
      <w:pPr>
        <w:ind w:left="4217" w:hanging="180"/>
      </w:pPr>
    </w:lvl>
    <w:lvl w:ilvl="6" w:tplc="0402000F" w:tentative="1">
      <w:start w:val="1"/>
      <w:numFmt w:val="decimal"/>
      <w:lvlText w:val="%7."/>
      <w:lvlJc w:val="left"/>
      <w:pPr>
        <w:ind w:left="4937" w:hanging="360"/>
      </w:pPr>
    </w:lvl>
    <w:lvl w:ilvl="7" w:tplc="04020019" w:tentative="1">
      <w:start w:val="1"/>
      <w:numFmt w:val="lowerLetter"/>
      <w:lvlText w:val="%8."/>
      <w:lvlJc w:val="left"/>
      <w:pPr>
        <w:ind w:left="5657" w:hanging="360"/>
      </w:pPr>
    </w:lvl>
    <w:lvl w:ilvl="8" w:tplc="0402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1" w15:restartNumberingAfterBreak="0">
    <w:nsid w:val="48122B50"/>
    <w:multiLevelType w:val="hybridMultilevel"/>
    <w:tmpl w:val="ECD8ACDE"/>
    <w:lvl w:ilvl="0" w:tplc="D7A46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D90C9C"/>
    <w:multiLevelType w:val="hybridMultilevel"/>
    <w:tmpl w:val="FD94DEC6"/>
    <w:lvl w:ilvl="0" w:tplc="7402D1A0">
      <w:numFmt w:val="bullet"/>
      <w:lvlText w:val="-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C85508E"/>
    <w:multiLevelType w:val="hybridMultilevel"/>
    <w:tmpl w:val="EB944FB6"/>
    <w:lvl w:ilvl="0" w:tplc="0402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EC2"/>
    <w:rsid w:val="00021D49"/>
    <w:rsid w:val="000245C4"/>
    <w:rsid w:val="00030AC0"/>
    <w:rsid w:val="00056F3B"/>
    <w:rsid w:val="00073DB7"/>
    <w:rsid w:val="000855E0"/>
    <w:rsid w:val="000A0962"/>
    <w:rsid w:val="000A72E6"/>
    <w:rsid w:val="000F74F7"/>
    <w:rsid w:val="001452A7"/>
    <w:rsid w:val="001534C0"/>
    <w:rsid w:val="00187163"/>
    <w:rsid w:val="00194EC2"/>
    <w:rsid w:val="001A3CDC"/>
    <w:rsid w:val="00201422"/>
    <w:rsid w:val="002240D1"/>
    <w:rsid w:val="002642DA"/>
    <w:rsid w:val="002658EC"/>
    <w:rsid w:val="0027308C"/>
    <w:rsid w:val="002A5023"/>
    <w:rsid w:val="002B1D7B"/>
    <w:rsid w:val="002F3DA3"/>
    <w:rsid w:val="003255F3"/>
    <w:rsid w:val="003737B4"/>
    <w:rsid w:val="003832A6"/>
    <w:rsid w:val="003B28D5"/>
    <w:rsid w:val="003B6E7D"/>
    <w:rsid w:val="00405A4A"/>
    <w:rsid w:val="0045502E"/>
    <w:rsid w:val="004D4FA0"/>
    <w:rsid w:val="00507ECF"/>
    <w:rsid w:val="005163DB"/>
    <w:rsid w:val="005168C6"/>
    <w:rsid w:val="005523B5"/>
    <w:rsid w:val="00557C9D"/>
    <w:rsid w:val="00584C7E"/>
    <w:rsid w:val="00595BA0"/>
    <w:rsid w:val="005B21D4"/>
    <w:rsid w:val="005E7236"/>
    <w:rsid w:val="006172CD"/>
    <w:rsid w:val="006177F6"/>
    <w:rsid w:val="00635556"/>
    <w:rsid w:val="00636A21"/>
    <w:rsid w:val="00660223"/>
    <w:rsid w:val="006F0D53"/>
    <w:rsid w:val="00716EED"/>
    <w:rsid w:val="00735BBA"/>
    <w:rsid w:val="007525F9"/>
    <w:rsid w:val="0075539C"/>
    <w:rsid w:val="00757C23"/>
    <w:rsid w:val="00776A66"/>
    <w:rsid w:val="00776B5C"/>
    <w:rsid w:val="007A1B6D"/>
    <w:rsid w:val="007B3362"/>
    <w:rsid w:val="007D1F36"/>
    <w:rsid w:val="007E14BC"/>
    <w:rsid w:val="007E32D1"/>
    <w:rsid w:val="007E46D0"/>
    <w:rsid w:val="007E66D2"/>
    <w:rsid w:val="007F1E8D"/>
    <w:rsid w:val="00824BB7"/>
    <w:rsid w:val="008448A3"/>
    <w:rsid w:val="00891619"/>
    <w:rsid w:val="00895A29"/>
    <w:rsid w:val="00897093"/>
    <w:rsid w:val="008B39E2"/>
    <w:rsid w:val="008B6D41"/>
    <w:rsid w:val="008C1DF4"/>
    <w:rsid w:val="008E5535"/>
    <w:rsid w:val="008F1C2B"/>
    <w:rsid w:val="00927836"/>
    <w:rsid w:val="009278B2"/>
    <w:rsid w:val="00943C8D"/>
    <w:rsid w:val="00950F01"/>
    <w:rsid w:val="009A2DB5"/>
    <w:rsid w:val="009A2FA6"/>
    <w:rsid w:val="009A6192"/>
    <w:rsid w:val="009D76C9"/>
    <w:rsid w:val="009E7DA1"/>
    <w:rsid w:val="00A53716"/>
    <w:rsid w:val="00A56EBE"/>
    <w:rsid w:val="00A62648"/>
    <w:rsid w:val="00A7186F"/>
    <w:rsid w:val="00AE2F07"/>
    <w:rsid w:val="00B131E8"/>
    <w:rsid w:val="00B66C3C"/>
    <w:rsid w:val="00B7381A"/>
    <w:rsid w:val="00B97815"/>
    <w:rsid w:val="00BD6A00"/>
    <w:rsid w:val="00C768C3"/>
    <w:rsid w:val="00C90185"/>
    <w:rsid w:val="00CA5BA5"/>
    <w:rsid w:val="00CB42B1"/>
    <w:rsid w:val="00CD658A"/>
    <w:rsid w:val="00CE0864"/>
    <w:rsid w:val="00D52175"/>
    <w:rsid w:val="00D64B6A"/>
    <w:rsid w:val="00DC0A16"/>
    <w:rsid w:val="00DC677E"/>
    <w:rsid w:val="00E14FA5"/>
    <w:rsid w:val="00E241B7"/>
    <w:rsid w:val="00E3315C"/>
    <w:rsid w:val="00E51BF2"/>
    <w:rsid w:val="00E727E5"/>
    <w:rsid w:val="00E7416E"/>
    <w:rsid w:val="00E80C79"/>
    <w:rsid w:val="00E86495"/>
    <w:rsid w:val="00E90ADD"/>
    <w:rsid w:val="00EB5531"/>
    <w:rsid w:val="00ED36BD"/>
    <w:rsid w:val="00EE6D0B"/>
    <w:rsid w:val="00EF48C1"/>
    <w:rsid w:val="00EF5A45"/>
    <w:rsid w:val="00F1068A"/>
    <w:rsid w:val="00F149BD"/>
    <w:rsid w:val="00F2502F"/>
    <w:rsid w:val="00F27DC9"/>
    <w:rsid w:val="00F549E0"/>
    <w:rsid w:val="00F60E67"/>
    <w:rsid w:val="00F750AD"/>
    <w:rsid w:val="00F86B8B"/>
    <w:rsid w:val="00F909C6"/>
    <w:rsid w:val="00FA450B"/>
    <w:rsid w:val="00FC29A6"/>
    <w:rsid w:val="00FF01FA"/>
    <w:rsid w:val="00FF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7373"/>
  <w15:chartTrackingRefBased/>
  <w15:docId w15:val="{37426D08-8828-47C3-9FE3-4DF87413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9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">
    <w:name w:val="mark"/>
    <w:basedOn w:val="DefaultParagraphFont"/>
    <w:rsid w:val="00194EC2"/>
  </w:style>
  <w:style w:type="character" w:customStyle="1" w:styleId="tdhead1">
    <w:name w:val="tdhead1"/>
    <w:basedOn w:val="DefaultParagraphFont"/>
    <w:rsid w:val="00194EC2"/>
  </w:style>
  <w:style w:type="paragraph" w:styleId="NormalWeb">
    <w:name w:val="Normal (Web)"/>
    <w:basedOn w:val="Normal"/>
    <w:uiPriority w:val="99"/>
    <w:semiHidden/>
    <w:unhideWhenUsed/>
    <w:rsid w:val="0019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030AC0"/>
    <w:pPr>
      <w:ind w:left="720"/>
      <w:contextualSpacing/>
    </w:pPr>
  </w:style>
  <w:style w:type="character" w:customStyle="1" w:styleId="a">
    <w:name w:val="Основен текст_"/>
    <w:basedOn w:val="DefaultParagraphFont"/>
    <w:link w:val="a0"/>
    <w:rsid w:val="00660223"/>
    <w:rPr>
      <w:spacing w:val="5"/>
      <w:sz w:val="21"/>
      <w:szCs w:val="21"/>
    </w:rPr>
  </w:style>
  <w:style w:type="paragraph" w:customStyle="1" w:styleId="a0">
    <w:name w:val="Основен текст"/>
    <w:basedOn w:val="Normal"/>
    <w:link w:val="a"/>
    <w:rsid w:val="00660223"/>
    <w:pPr>
      <w:widowControl w:val="0"/>
      <w:spacing w:before="540" w:after="660" w:line="413" w:lineRule="exact"/>
      <w:jc w:val="both"/>
    </w:pPr>
    <w:rPr>
      <w:spacing w:val="5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F3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DA3"/>
  </w:style>
  <w:style w:type="paragraph" w:styleId="Footer">
    <w:name w:val="footer"/>
    <w:basedOn w:val="Normal"/>
    <w:link w:val="FooterChar"/>
    <w:uiPriority w:val="99"/>
    <w:unhideWhenUsed/>
    <w:rsid w:val="002F3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DA3"/>
  </w:style>
  <w:style w:type="paragraph" w:styleId="BalloonText">
    <w:name w:val="Balloon Text"/>
    <w:basedOn w:val="Normal"/>
    <w:link w:val="BalloonTextChar"/>
    <w:uiPriority w:val="99"/>
    <w:semiHidden/>
    <w:unhideWhenUsed/>
    <w:rsid w:val="00A56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4741004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48175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05871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4491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80320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8294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0869">
              <w:marLeft w:val="0"/>
              <w:marRight w:val="0"/>
              <w:marTop w:val="113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9070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2497">
              <w:marLeft w:val="0"/>
              <w:marRight w:val="0"/>
              <w:marTop w:val="113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9582">
              <w:marLeft w:val="0"/>
              <w:marRight w:val="0"/>
              <w:marTop w:val="0"/>
              <w:marBottom w:val="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88667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7850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99907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707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91709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597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7524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0263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2663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6691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3824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5010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0699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94227">
              <w:marLeft w:val="0"/>
              <w:marRight w:val="0"/>
              <w:marTop w:val="113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6484">
              <w:marLeft w:val="0"/>
              <w:marRight w:val="0"/>
              <w:marTop w:val="113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3325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3412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5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WaYs6EemCsehF+nWEjt1xi0xuQyorSS1FYMMVxSqexY=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TOXwb4vBZ7tLN8KCQlZTm9l9hsyNDrL7t392dz4cFRI=</DigestValue>
    </Reference>
  </SignedInfo>
  <SignatureValue>aMpij5UZ7C6GbvRVxQ26TSLnnme7xLSJTr/Efa91PQBfDIwQiHFbXsfQBoYd+JZNLnEV0LYZMCZy
3asu6vRO1Nxsd7fI6TYZrfZniLbnF6D0STrhFkGeV42x2QODOwcNeSwvrnsUp5M4nqPEIazkD3wx
JScfQ/4YGZNsqeMVvb3P+L2OKaSU1Q65/JFHH21SDlVMR13JrnQ4+cyTUTEgEhLCfnZzdBQVSuIx
IfMGS7m6KvEvQMdy4f/SlQWi9dldijMw7JZ3dKBN7PtTDexVLha3wVEt7oTnmCfiusuCg8n4zX0/
e5of3ReT2/envVr2xZ+C/75yPj7IhQpS1OHJ/A==</SignatureValue>
  <KeyInfo>
    <X509Data>
      <X509Certificate>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document.xml?ContentType=application/vnd.openxmlformats-officedocument.wordprocessingml.document.main+xml">
        <DigestMethod Algorithm="http://www.w3.org/2001/04/xmlenc#sha256"/>
        <DigestValue>yINxDLGQROowUeb/z/jd+5V7KC5pJadDNI9VmVX8l0k=</DigestValue>
      </Reference>
      <Reference URI="/word/endnotes.xml?ContentType=application/vnd.openxmlformats-officedocument.wordprocessingml.endnotes+xml">
        <DigestMethod Algorithm="http://www.w3.org/2001/04/xmlenc#sha256"/>
        <DigestValue>PpMT4GjFQ511oi8N1IrMKHIEN77MxhIX7yhVx+kzQrg=</DigestValue>
      </Reference>
      <Reference URI="/word/fontTable.xml?ContentType=application/vnd.openxmlformats-officedocument.wordprocessingml.fontTable+xml">
        <DigestMethod Algorithm="http://www.w3.org/2001/04/xmlenc#sha256"/>
        <DigestValue>h9r+P1h18BinzRKKoDtruYltpVerVesQUXod6icmYtU=</DigestValue>
      </Reference>
      <Reference URI="/word/footer1.xml?ContentType=application/vnd.openxmlformats-officedocument.wordprocessingml.footer+xml">
        <DigestMethod Algorithm="http://www.w3.org/2001/04/xmlenc#sha256"/>
        <DigestValue>+A6m+p0GgPGuBk2hmxSAtWz/vyDG4l19mpsusDInf8Q=</DigestValue>
      </Reference>
      <Reference URI="/word/footnotes.xml?ContentType=application/vnd.openxmlformats-officedocument.wordprocessingml.footnotes+xml">
        <DigestMethod Algorithm="http://www.w3.org/2001/04/xmlenc#sha256"/>
        <DigestValue>+xUPkS3fyKn5fNAMcz4CVL7nJEpCo4tI50OmeN9ayTU=</DigestValue>
      </Reference>
      <Reference URI="/word/header1.xml?ContentType=application/vnd.openxmlformats-officedocument.wordprocessingml.header+xml">
        <DigestMethod Algorithm="http://www.w3.org/2001/04/xmlenc#sha256"/>
        <DigestValue>F7gamJGv48+fjX+gO4N5myyeUWJ70r0yHzlhIap3CD8=</DigestValue>
      </Reference>
      <Reference URI="/word/numbering.xml?ContentType=application/vnd.openxmlformats-officedocument.wordprocessingml.numbering+xml">
        <DigestMethod Algorithm="http://www.w3.org/2001/04/xmlenc#sha256"/>
        <DigestValue>l6i2B5gMf82CEjO5n9wdSDRBT+oY6hadJiMHt9Plrtc=</DigestValue>
      </Reference>
      <Reference URI="/word/settings.xml?ContentType=application/vnd.openxmlformats-officedocument.wordprocessingml.settings+xml">
        <DigestMethod Algorithm="http://www.w3.org/2001/04/xmlenc#sha256"/>
        <DigestValue>nIRxuYorR2wrtGdUB24Spvp2QDknTWwRvhTZ0JenFkE=</DigestValue>
      </Reference>
      <Reference URI="/word/styles.xml?ContentType=application/vnd.openxmlformats-officedocument.wordprocessingml.styles+xml">
        <DigestMethod Algorithm="http://www.w3.org/2001/04/xmlenc#sha256"/>
        <DigestValue>YuzQlK0FMh6aOaI1BnisemeLNdBRCBObmRP266aF2Z0=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A6cBrVsv+ifCt2D940BebDuCOLUYPRDc7P7JQ0p2QAE=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2024-08-14T14:26:50Z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2024-08-14T14:26:50Z</xd:SigningTime>
          <xd:SigningCertificate>
            <xd:Cert>
              <xd:CertDigest>
                <DigestMethod Algorithm="http://www.w3.org/2001/04/xmlenc#sha256"/>
                <DigestValue>NAXZzyeebDZrvV9IrgMnB9h3kjIwi0Y1dX6XI2iOdYo=</DigestValue>
              </xd:CertDigest>
              <xd:IssuerSerial>
                <X509IssuerName>C=BG, L=Sofia, O=Information Services JSC, OID.2.5.4.97=NTRBG-831641791, CN=StampIT Global Qualified CA</X509IssuerName>
                <X509SerialNumber>3912545172346129944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Радослава Велева-Аначкова</cp:lastModifiedBy>
  <cp:revision>82</cp:revision>
  <cp:lastPrinted>2024-04-12T08:28:00Z</cp:lastPrinted>
  <dcterms:created xsi:type="dcterms:W3CDTF">2023-08-17T07:58:00Z</dcterms:created>
  <dcterms:modified xsi:type="dcterms:W3CDTF">2024-08-14T14:12:00Z</dcterms:modified>
</cp:coreProperties>
</file>