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6EC41" w14:textId="549F7FDB" w:rsidR="004A2A75" w:rsidRPr="004E4319" w:rsidRDefault="004A2A75" w:rsidP="004A2A7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E4319">
        <w:rPr>
          <w:rFonts w:ascii="Times New Roman" w:hAnsi="Times New Roman"/>
          <w:sz w:val="24"/>
          <w:szCs w:val="24"/>
        </w:rPr>
        <w:t xml:space="preserve">№……….………………….       </w:t>
      </w:r>
      <w:r w:rsidR="006177A6">
        <w:rPr>
          <w:rFonts w:ascii="Times New Roman" w:hAnsi="Times New Roman"/>
          <w:sz w:val="24"/>
          <w:szCs w:val="24"/>
        </w:rPr>
        <w:t xml:space="preserve">                                                                    ПРОЕКТ!</w:t>
      </w:r>
    </w:p>
    <w:p w14:paraId="73C252C6" w14:textId="0615C24D" w:rsidR="004A2A75" w:rsidRPr="004E4319" w:rsidRDefault="001566B4" w:rsidP="004A2A7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E4319">
        <w:rPr>
          <w:rFonts w:ascii="Times New Roman" w:hAnsi="Times New Roman"/>
          <w:sz w:val="24"/>
          <w:szCs w:val="24"/>
        </w:rPr>
        <w:t>……………………. 20</w:t>
      </w:r>
      <w:r w:rsidR="009E49AA">
        <w:rPr>
          <w:rFonts w:ascii="Times New Roman" w:hAnsi="Times New Roman"/>
          <w:sz w:val="24"/>
          <w:szCs w:val="24"/>
        </w:rPr>
        <w:t>2</w:t>
      </w:r>
      <w:r w:rsidR="001437D3">
        <w:rPr>
          <w:rFonts w:ascii="Times New Roman" w:hAnsi="Times New Roman"/>
          <w:sz w:val="24"/>
          <w:szCs w:val="24"/>
        </w:rPr>
        <w:t>4</w:t>
      </w:r>
      <w:r w:rsidR="004A2A75" w:rsidRPr="004E4319">
        <w:rPr>
          <w:rFonts w:ascii="Times New Roman" w:hAnsi="Times New Roman"/>
          <w:sz w:val="24"/>
          <w:szCs w:val="24"/>
        </w:rPr>
        <w:t xml:space="preserve"> г.</w:t>
      </w:r>
      <w:r w:rsidR="004A2A75" w:rsidRPr="004E4319">
        <w:rPr>
          <w:rFonts w:ascii="Times New Roman" w:hAnsi="Times New Roman"/>
          <w:sz w:val="24"/>
          <w:szCs w:val="24"/>
        </w:rPr>
        <w:tab/>
      </w:r>
      <w:r w:rsidR="008301FD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</w:t>
      </w:r>
      <w:r w:rsidR="004A2A75" w:rsidRPr="004E4319"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Ind w:w="-2" w:type="dxa"/>
        <w:tblLook w:val="01E0" w:firstRow="1" w:lastRow="1" w:firstColumn="1" w:lastColumn="1" w:noHBand="0" w:noVBand="0"/>
      </w:tblPr>
      <w:tblGrid>
        <w:gridCol w:w="4070"/>
      </w:tblGrid>
      <w:tr w:rsidR="004A2A75" w:rsidRPr="004E4319" w14:paraId="5816FE03" w14:textId="77777777" w:rsidTr="003F388A">
        <w:tc>
          <w:tcPr>
            <w:tcW w:w="4070" w:type="dxa"/>
          </w:tcPr>
          <w:p w14:paraId="00EE7BFB" w14:textId="77777777" w:rsidR="004A2A75" w:rsidRPr="004E4319" w:rsidRDefault="004A2A75" w:rsidP="00F12A62">
            <w:pPr>
              <w:spacing w:before="24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319">
              <w:rPr>
                <w:rFonts w:ascii="Times New Roman" w:hAnsi="Times New Roman"/>
                <w:b/>
                <w:sz w:val="24"/>
                <w:szCs w:val="24"/>
              </w:rPr>
              <w:t>ДО</w:t>
            </w:r>
          </w:p>
        </w:tc>
      </w:tr>
      <w:tr w:rsidR="004A2A75" w:rsidRPr="004E4319" w14:paraId="0CACFF70" w14:textId="77777777" w:rsidTr="003F388A">
        <w:tc>
          <w:tcPr>
            <w:tcW w:w="4070" w:type="dxa"/>
          </w:tcPr>
          <w:p w14:paraId="051B8AEB" w14:textId="77777777" w:rsidR="004A2A75" w:rsidRPr="004E4319" w:rsidRDefault="004A2A75" w:rsidP="00F12A62">
            <w:pPr>
              <w:spacing w:before="24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319">
              <w:rPr>
                <w:rFonts w:ascii="Times New Roman" w:hAnsi="Times New Roman"/>
                <w:b/>
                <w:sz w:val="24"/>
                <w:szCs w:val="24"/>
              </w:rPr>
              <w:t>МИНИСТЕРСКИЯ СЪВЕТ</w:t>
            </w:r>
          </w:p>
        </w:tc>
      </w:tr>
      <w:tr w:rsidR="004A2A75" w:rsidRPr="004E4319" w14:paraId="43DACDD3" w14:textId="77777777" w:rsidTr="003F388A">
        <w:tc>
          <w:tcPr>
            <w:tcW w:w="4070" w:type="dxa"/>
          </w:tcPr>
          <w:p w14:paraId="63D029A7" w14:textId="77777777" w:rsidR="004A2A75" w:rsidRPr="004E4319" w:rsidRDefault="004A2A75" w:rsidP="00F12A62">
            <w:pPr>
              <w:spacing w:before="24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4319">
              <w:rPr>
                <w:rFonts w:ascii="Times New Roman" w:hAnsi="Times New Roman"/>
                <w:b/>
                <w:sz w:val="24"/>
                <w:szCs w:val="24"/>
              </w:rPr>
              <w:t>НА РЕПУБЛИКА БЪЛГАРИЯ</w:t>
            </w:r>
          </w:p>
        </w:tc>
      </w:tr>
    </w:tbl>
    <w:p w14:paraId="3C16EF8B" w14:textId="77777777" w:rsidR="004A2A75" w:rsidRDefault="004A2A75" w:rsidP="004A2A7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3FD6DA5" w14:textId="77777777" w:rsidR="004A2A75" w:rsidRPr="004E4319" w:rsidRDefault="004A2A75" w:rsidP="00E34264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E4319">
        <w:rPr>
          <w:rFonts w:ascii="Times New Roman" w:hAnsi="Times New Roman"/>
          <w:b/>
          <w:sz w:val="24"/>
          <w:szCs w:val="24"/>
        </w:rPr>
        <w:t>Д О К Л А Д</w:t>
      </w:r>
    </w:p>
    <w:p w14:paraId="17F0F4DD" w14:textId="2D900607" w:rsidR="0036138B" w:rsidRPr="004E4319" w:rsidRDefault="0036138B" w:rsidP="0036138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B3270">
        <w:rPr>
          <w:rFonts w:ascii="Times New Roman" w:hAnsi="Times New Roman"/>
          <w:b/>
          <w:sz w:val="24"/>
          <w:szCs w:val="24"/>
        </w:rPr>
        <w:t xml:space="preserve">от </w:t>
      </w:r>
      <w:r w:rsidR="001437D3" w:rsidRPr="006B3270">
        <w:rPr>
          <w:rFonts w:ascii="Times New Roman" w:hAnsi="Times New Roman"/>
          <w:b/>
          <w:bCs/>
          <w:sz w:val="24"/>
          <w:szCs w:val="24"/>
        </w:rPr>
        <w:t>проф. Галин Цоков</w:t>
      </w:r>
      <w:r w:rsidRPr="006B3270">
        <w:rPr>
          <w:rFonts w:ascii="Times New Roman" w:eastAsia="Times New Roman" w:hAnsi="Times New Roman"/>
          <w:b/>
          <w:sz w:val="24"/>
          <w:szCs w:val="24"/>
        </w:rPr>
        <w:t>– министър</w:t>
      </w:r>
      <w:r w:rsidRPr="004E4319">
        <w:rPr>
          <w:rFonts w:ascii="Times New Roman" w:eastAsia="Times New Roman" w:hAnsi="Times New Roman"/>
          <w:b/>
          <w:sz w:val="24"/>
          <w:szCs w:val="24"/>
        </w:rPr>
        <w:t xml:space="preserve"> на образованието и науката</w:t>
      </w:r>
    </w:p>
    <w:tbl>
      <w:tblPr>
        <w:tblpPr w:leftFromText="141" w:rightFromText="141" w:vertAnchor="text" w:horzAnchor="page" w:tblpX="1702" w:tblpY="559"/>
        <w:tblW w:w="9039" w:type="dxa"/>
        <w:tblLayout w:type="fixed"/>
        <w:tblLook w:val="01E0" w:firstRow="1" w:lastRow="1" w:firstColumn="1" w:lastColumn="1" w:noHBand="0" w:noVBand="0"/>
      </w:tblPr>
      <w:tblGrid>
        <w:gridCol w:w="1224"/>
        <w:gridCol w:w="7815"/>
      </w:tblGrid>
      <w:tr w:rsidR="00484049" w:rsidRPr="004E4319" w14:paraId="0CA1798A" w14:textId="77777777" w:rsidTr="00195CB7">
        <w:tc>
          <w:tcPr>
            <w:tcW w:w="1224" w:type="dxa"/>
          </w:tcPr>
          <w:p w14:paraId="7CA348F8" w14:textId="77777777" w:rsidR="00484049" w:rsidRPr="004E4319" w:rsidRDefault="00484049" w:rsidP="0048404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E431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Относно</w:t>
            </w:r>
            <w:r w:rsidRPr="004E431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7815" w:type="dxa"/>
          </w:tcPr>
          <w:p w14:paraId="1F334317" w14:textId="5C0FC16F" w:rsidR="00484049" w:rsidRPr="004E4319" w:rsidRDefault="003F5A31" w:rsidP="00501BAF">
            <w:pPr>
              <w:spacing w:after="0"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F5A31">
              <w:rPr>
                <w:rFonts w:ascii="Times New Roman" w:hAnsi="Times New Roman"/>
                <w:i/>
                <w:sz w:val="24"/>
                <w:szCs w:val="24"/>
              </w:rPr>
              <w:t xml:space="preserve">проект </w:t>
            </w:r>
            <w:r w:rsidR="00501BAF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3F5A31">
              <w:rPr>
                <w:rFonts w:ascii="Times New Roman" w:hAnsi="Times New Roman"/>
                <w:i/>
                <w:sz w:val="24"/>
                <w:szCs w:val="24"/>
              </w:rPr>
              <w:t xml:space="preserve">а Решение на Министерския съвет за </w:t>
            </w:r>
            <w:r w:rsidR="00F5014F">
              <w:t xml:space="preserve"> </w:t>
            </w:r>
            <w:r w:rsidR="00F5014F" w:rsidRPr="00F5014F">
              <w:rPr>
                <w:rFonts w:ascii="Times New Roman" w:hAnsi="Times New Roman"/>
                <w:i/>
                <w:sz w:val="24"/>
                <w:szCs w:val="24"/>
              </w:rPr>
              <w:t>одобряване на проект на седмо  изменение на Оперативна програма „Наука и образование за интелигентен растеж” 2014 – 2020 г.</w:t>
            </w:r>
          </w:p>
        </w:tc>
      </w:tr>
    </w:tbl>
    <w:p w14:paraId="29C04EBE" w14:textId="77777777" w:rsidR="004A2A75" w:rsidRPr="004E4319" w:rsidRDefault="004A2A75" w:rsidP="004A2A7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999DEC" w14:textId="77777777" w:rsidR="003C2EFE" w:rsidRDefault="003C2EFE" w:rsidP="004A2A7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DFE75B" w14:textId="77777777" w:rsidR="004A2A75" w:rsidRPr="004E4319" w:rsidRDefault="004A2A75" w:rsidP="004A2A7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4319">
        <w:rPr>
          <w:rFonts w:ascii="Times New Roman" w:hAnsi="Times New Roman"/>
          <w:b/>
          <w:sz w:val="24"/>
          <w:szCs w:val="24"/>
        </w:rPr>
        <w:t>УВАЖАЕМИ ГОСПОДИН МИНИСТЪР</w:t>
      </w:r>
      <w:r w:rsidR="00F00019" w:rsidRPr="004E4319">
        <w:rPr>
          <w:rFonts w:ascii="Times New Roman" w:hAnsi="Times New Roman"/>
          <w:b/>
          <w:sz w:val="24"/>
          <w:szCs w:val="24"/>
        </w:rPr>
        <w:t>-</w:t>
      </w:r>
      <w:r w:rsidRPr="004E4319">
        <w:rPr>
          <w:rFonts w:ascii="Times New Roman" w:hAnsi="Times New Roman"/>
          <w:b/>
          <w:sz w:val="24"/>
          <w:szCs w:val="24"/>
        </w:rPr>
        <w:t>ПРЕДСЕДАТЕЛ,</w:t>
      </w:r>
    </w:p>
    <w:p w14:paraId="22BB7251" w14:textId="77777777" w:rsidR="004A2A75" w:rsidRPr="004E4319" w:rsidRDefault="004A2A75" w:rsidP="004A2A7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E4319">
        <w:rPr>
          <w:rFonts w:ascii="Times New Roman" w:hAnsi="Times New Roman"/>
          <w:b/>
          <w:sz w:val="24"/>
          <w:szCs w:val="24"/>
        </w:rPr>
        <w:t xml:space="preserve">УВАЖАЕМИ </w:t>
      </w:r>
      <w:r w:rsidR="00284044" w:rsidRPr="004E4319">
        <w:rPr>
          <w:rFonts w:ascii="Times New Roman" w:hAnsi="Times New Roman"/>
          <w:b/>
          <w:sz w:val="24"/>
          <w:szCs w:val="24"/>
        </w:rPr>
        <w:t>ГОСПОЖИ</w:t>
      </w:r>
      <w:r w:rsidRPr="004E4319">
        <w:rPr>
          <w:rFonts w:ascii="Times New Roman" w:hAnsi="Times New Roman"/>
          <w:b/>
          <w:sz w:val="24"/>
          <w:szCs w:val="24"/>
        </w:rPr>
        <w:t xml:space="preserve"> И ГОСПОДА МИНИСТРИ,</w:t>
      </w:r>
    </w:p>
    <w:p w14:paraId="0C1D4241" w14:textId="77777777" w:rsidR="004A2A75" w:rsidRPr="004E4319" w:rsidRDefault="004A2A75" w:rsidP="004A2A75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DBBE070" w14:textId="77777777" w:rsidR="00841237" w:rsidRPr="00A83A63" w:rsidRDefault="00841237" w:rsidP="00841237">
      <w:pPr>
        <w:pStyle w:val="ListParagraph"/>
        <w:spacing w:before="120" w:after="12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lang w:eastAsia="fr-FR"/>
        </w:rPr>
      </w:pPr>
      <w:r w:rsidRPr="00A83A63">
        <w:rPr>
          <w:rFonts w:ascii="Times New Roman" w:hAnsi="Times New Roman"/>
          <w:bCs/>
          <w:sz w:val="24"/>
          <w:szCs w:val="24"/>
          <w:lang w:eastAsia="fr-FR"/>
        </w:rPr>
        <w:t xml:space="preserve">На основание на чл. 31, ал. 2 от Устройствения правилник на Министерския съвет и на неговата администрация, във връзка с чл. 7, ал. 2, т. 2 от Закона за управление на средствата от Европейските фондове при споделено управление, внасям за разглеждане проект на Решение на Министерския съвет (РМС) за одобряване проект на седмо изменение на </w:t>
      </w:r>
      <w:r w:rsidRPr="00A83A63">
        <w:rPr>
          <w:rFonts w:ascii="Times New Roman" w:hAnsi="Times New Roman"/>
          <w:bCs/>
          <w:sz w:val="24"/>
          <w:szCs w:val="24"/>
          <w:shd w:val="clear" w:color="auto" w:fill="FFFFFF" w:themeFill="background1"/>
          <w:lang w:eastAsia="fr-FR"/>
        </w:rPr>
        <w:t>Оперативна програма „Наука и образование за интелигентен растеж” 2014 – 2020 г.</w:t>
      </w:r>
      <w:r w:rsidRPr="00A83A63">
        <w:rPr>
          <w:rFonts w:ascii="Times New Roman" w:hAnsi="Times New Roman"/>
          <w:bCs/>
          <w:sz w:val="24"/>
          <w:szCs w:val="24"/>
          <w:lang w:eastAsia="fr-FR"/>
        </w:rPr>
        <w:t xml:space="preserve">  </w:t>
      </w:r>
    </w:p>
    <w:p w14:paraId="2B9E1C61" w14:textId="77777777" w:rsidR="00841237" w:rsidRPr="00A83A63" w:rsidRDefault="00841237" w:rsidP="00841237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</w:pPr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Проектът на РМС е свързан с възможността, която предоставя разпоредбата на чл. 25а, параграф 1б от Регламент (ЕС) 1303/2013 </w:t>
      </w:r>
      <w:r w:rsidRPr="00A83A63">
        <w:rPr>
          <w:rFonts w:ascii="Times New Roman" w:eastAsia="Times New Roman" w:hAnsi="Times New Roman"/>
          <w:bCs/>
          <w:i/>
          <w:iCs/>
          <w:noProof/>
          <w:color w:val="000000"/>
          <w:sz w:val="24"/>
          <w:szCs w:val="24"/>
          <w:lang w:eastAsia="bg-BG"/>
        </w:rPr>
        <w:t>на Европейския парламент и на Съвета от 17 декември 2013 година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 1083/2006 на Съвета.</w:t>
      </w:r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 Съгласно цитираната разпоредба спрямо декларираните разходи по една или няколко приоритетни оси от програма, подкрепена от Европейския фонд за регионално развитие, Европейския социален фонд или Кохезионния фонд, включени в заявленията за плащане за десета счетоводна година, започваща на 1 юли 2023 г. и приключваща на 30 юни 2024 г., може да се приложи ставка на съфинансиране в размер на 100%. Съгласно </w:t>
      </w:r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lastRenderedPageBreak/>
        <w:t>параграф 6 от чл. 135 от Регламент (ЕС) 1303/2013, срокът за подаване на окончателното заявление за плащане за последната счетоводна година (10-та счетоводна година) е удължен до 31 юли 2025 година, съответно за разходи, заявени към ЕК след юли 2024 година също ще се прилага 100% ставка на финансиране от фондовете на ЕС. Ставката се прилага за всички разходи по съответните приоритетни оси за цялата счетоводна година, без разграничение по времеви период или заявление за плащане.</w:t>
      </w:r>
    </w:p>
    <w:p w14:paraId="6BB37A18" w14:textId="77777777" w:rsidR="00841237" w:rsidRPr="00A83A63" w:rsidRDefault="00841237" w:rsidP="00841237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</w:pPr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Целта е бюджетите на държавите-членки да бъдат подпомогнати след кризите през последните години чрез подкрепа от европейските фондове, като не се променя финансовото разпределение на европейското съфинансиране по програмите. </w:t>
      </w:r>
    </w:p>
    <w:p w14:paraId="5F5FE826" w14:textId="77777777" w:rsidR="00841237" w:rsidRPr="00A83A63" w:rsidRDefault="00841237" w:rsidP="00841237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</w:pPr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Предвидена е също така дерогация от член 30, параграфи 1 и 2 и член 96, параграф 10 от Регламент (ЕС) № 1303/2013, съобразно която за прилагането на ставка на съфинансиране в размер на 100% не се изисква решение на Комисията за одобряване на изменение на програмата, като същевременно е въведено задължение за държавата член да нотифицира Европейската комисия относно променените финансови таблици, чрез които се заявява прилагане на възможността, въведена с чл. 25а, параграф 1б от Регламент (ЕС) 1303/2013, след одобрение от Комитета за наблюдение на програмата. </w:t>
      </w:r>
      <w:bookmarkStart w:id="0" w:name="_Hlk173413150"/>
    </w:p>
    <w:p w14:paraId="7D59D656" w14:textId="77777777" w:rsidR="00841237" w:rsidRPr="00A83A63" w:rsidRDefault="00841237" w:rsidP="00841237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</w:pPr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>Нотификацията до Европейската комисия следва да бъде извършена чрез поставяне на отметки в колона „100% ставка на съфинансиране за 10-та счетоводна година“ на Таблица 18а „План за финансиране“ от образеца на оперативните програми по цел „Инвестиции за растеж и работни места“. Чрез поставяне на отметки в колоната държавата член заявява искане да прилага съгласно член 25а, параграф 1б от Регламент (ЕС) № 1303/2013 ставка на съфинансиране от 100% към разходите, декларирани в заявленията за плащане през 10-та счетоводна година за съответните приоритетни оси на оперативната програма. След подаване на нотификацията ЕК преминава към служебно преизчисляване на дължимите суми за покриване на заявеното съфинансиране в размер на 100%.</w:t>
      </w:r>
    </w:p>
    <w:bookmarkEnd w:id="0"/>
    <w:p w14:paraId="7A80ADF4" w14:textId="77777777" w:rsidR="00841237" w:rsidRPr="00A83A63" w:rsidRDefault="00841237" w:rsidP="00841237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</w:pPr>
      <w:r w:rsidRPr="00A83A63">
        <w:rPr>
          <w:rFonts w:ascii="Times New Roman" w:hAnsi="Times New Roman"/>
          <w:sz w:val="24"/>
        </w:rPr>
        <w:t xml:space="preserve">Предвид актуалните данни за финансовото изпълнение на Оперативна програма „Наука и образование за интелигентен растеж” 2014 – 2020 г. и с оглед постигане на максимално оползотворяване на европейското съфинансиране по нея, се предлага </w:t>
      </w:r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>ставката на европейско съфинансиране в размер на 100%</w:t>
      </w:r>
      <w:r w:rsidRPr="00A83A63">
        <w:rPr>
          <w:rFonts w:ascii="Times New Roman" w:hAnsi="Times New Roman"/>
          <w:sz w:val="24"/>
        </w:rPr>
        <w:t xml:space="preserve"> да бъде приложена към разходите, декларирани в заявленията за плащане през 10-та счетоводна година по приоритетни оси 2 „Образование и учене през целия живот“, 3 „Образователна среда за активно социално приобщаване“ и 4 „Техническа помощ“ на оперативната програма.</w:t>
      </w:r>
    </w:p>
    <w:p w14:paraId="359E6EA4" w14:textId="77777777" w:rsidR="00841237" w:rsidRPr="00A83A63" w:rsidRDefault="00841237" w:rsidP="00841237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</w:pPr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 Това ще допринесе за максимално оползотворяване на предоставеното финансиране от фондовете на ЕС по програмата. </w:t>
      </w:r>
      <w:r w:rsidRPr="00A83A63">
        <w:rPr>
          <w:rFonts w:ascii="Times New Roman" w:hAnsi="Times New Roman"/>
          <w:sz w:val="24"/>
        </w:rPr>
        <w:t xml:space="preserve">Допълнително, допустимите разходи над размера на европейското съфинансиране по програмата ще се считат за надплатени и ще могат да бъдат включени при изчисляване на финалния баланс по програмата с цел компенсиране на потенциални финансови корекции, които биха могли да бъдат определени впоследствие. </w:t>
      </w:r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>Ефектът от прилагането на 100% ставка на съфинансиране от ЕС по приоритетни оси 2, 3 и 4 на програмата се изразява в очаквано увеличение на усвоените средства от ЕС.</w:t>
      </w:r>
    </w:p>
    <w:p w14:paraId="1A074CF1" w14:textId="77777777" w:rsidR="00841237" w:rsidRPr="00A83A63" w:rsidRDefault="00841237" w:rsidP="00841237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</w:pPr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>Не се предвиждат други изменения в останалите раздели на ОП „</w:t>
      </w:r>
      <w:r w:rsidRPr="00A83A63">
        <w:rPr>
          <w:rFonts w:ascii="Times New Roman" w:hAnsi="Times New Roman"/>
          <w:sz w:val="24"/>
        </w:rPr>
        <w:t>Наука и образование за интелигентен растеж” 2014 – 2020 г.</w:t>
      </w:r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 Не се променя стратегията на ОП „Наука и образование за интелигентен растеж</w:t>
      </w:r>
      <w:r w:rsidRPr="00A83A63" w:rsidDel="001468AC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 </w:t>
      </w:r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“ </w:t>
      </w:r>
      <w:r w:rsidRPr="00A83A63">
        <w:rPr>
          <w:rFonts w:ascii="Times New Roman" w:hAnsi="Times New Roman"/>
          <w:sz w:val="24"/>
        </w:rPr>
        <w:t>2014 – 2020 г.</w:t>
      </w:r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>, не се създават нови приоритетни оси, не се включват нови категории бенефициенти, нови допустими мерки или дейности и/или нови индикатори за изпълнение и резултат. Не се изменят вече одобрените мерки, индикатори и бенефициенти.</w:t>
      </w:r>
    </w:p>
    <w:p w14:paraId="251F7858" w14:textId="77777777" w:rsidR="00841237" w:rsidRPr="00A83A63" w:rsidRDefault="00841237" w:rsidP="00841237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</w:pPr>
      <w:r w:rsidRPr="00A83A63">
        <w:rPr>
          <w:rFonts w:ascii="Times New Roman" w:eastAsia="Times New Roman" w:hAnsi="Times New Roman"/>
          <w:noProof/>
          <w:color w:val="000000"/>
          <w:sz w:val="24"/>
          <w:szCs w:val="24"/>
          <w:lang w:eastAsia="bg-BG"/>
        </w:rPr>
        <w:t xml:space="preserve">Във връзка с предложеното изменение на </w:t>
      </w:r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>ОП „</w:t>
      </w:r>
      <w:r w:rsidRPr="00A83A63">
        <w:rPr>
          <w:rFonts w:ascii="Times New Roman" w:hAnsi="Times New Roman"/>
          <w:sz w:val="24"/>
        </w:rPr>
        <w:t>Наука и образование за интелигентен растеж</w:t>
      </w:r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>“</w:t>
      </w:r>
      <w:r w:rsidRPr="00A83A63">
        <w:rPr>
          <w:rFonts w:ascii="Times New Roman" w:eastAsia="Times New Roman" w:hAnsi="Times New Roman"/>
          <w:noProof/>
          <w:color w:val="000000"/>
          <w:sz w:val="24"/>
          <w:szCs w:val="24"/>
          <w:lang w:eastAsia="bg-BG"/>
        </w:rPr>
        <w:t xml:space="preserve"> </w:t>
      </w:r>
      <w:r w:rsidRPr="00A83A63">
        <w:rPr>
          <w:rFonts w:ascii="Times New Roman" w:hAnsi="Times New Roman"/>
          <w:sz w:val="24"/>
        </w:rPr>
        <w:t>2014 – 2020 г.</w:t>
      </w:r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 </w:t>
      </w:r>
      <w:r w:rsidRPr="00A83A63">
        <w:rPr>
          <w:rFonts w:ascii="Times New Roman" w:eastAsia="Times New Roman" w:hAnsi="Times New Roman"/>
          <w:noProof/>
          <w:color w:val="000000"/>
          <w:sz w:val="24"/>
          <w:szCs w:val="24"/>
          <w:lang w:eastAsia="bg-BG"/>
        </w:rPr>
        <w:t xml:space="preserve">е проведена процедура по реда на </w:t>
      </w:r>
      <w:r w:rsidRPr="00A83A63">
        <w:rPr>
          <w:rFonts w:ascii="Times New Roman" w:eastAsia="Times New Roman" w:hAnsi="Times New Roman"/>
          <w:i/>
          <w:noProof/>
          <w:color w:val="000000"/>
          <w:sz w:val="24"/>
          <w:szCs w:val="24"/>
          <w:lang w:eastAsia="bg-BG"/>
        </w:rPr>
        <w:t>Наредбата за условията и реда за извършване на екологична оценка на планове и програми</w:t>
      </w:r>
      <w:r w:rsidRPr="00A83A63">
        <w:rPr>
          <w:rFonts w:ascii="Times New Roman" w:eastAsia="Times New Roman" w:hAnsi="Times New Roman"/>
          <w:noProof/>
          <w:color w:val="000000"/>
          <w:sz w:val="24"/>
          <w:szCs w:val="24"/>
          <w:lang w:eastAsia="bg-BG"/>
        </w:rPr>
        <w:t>.</w:t>
      </w:r>
      <w:r w:rsidRPr="00A83A63">
        <w:rPr>
          <w:rFonts w:ascii="Times New Roman" w:eastAsia="Times New Roman" w:hAnsi="Times New Roman"/>
          <w:i/>
          <w:noProof/>
          <w:color w:val="000000"/>
          <w:sz w:val="24"/>
          <w:szCs w:val="24"/>
          <w:lang w:eastAsia="bg-BG"/>
        </w:rPr>
        <w:t xml:space="preserve"> </w:t>
      </w:r>
      <w:r w:rsidRPr="00A83A63">
        <w:rPr>
          <w:rFonts w:ascii="Times New Roman" w:eastAsia="Times New Roman" w:hAnsi="Times New Roman"/>
          <w:iCs/>
          <w:noProof/>
          <w:color w:val="000000"/>
          <w:sz w:val="24"/>
          <w:szCs w:val="24"/>
          <w:lang w:eastAsia="bg-BG"/>
        </w:rPr>
        <w:t>С</w:t>
      </w:r>
      <w:r w:rsidRPr="00A83A63">
        <w:rPr>
          <w:rFonts w:ascii="Times New Roman" w:eastAsia="Times New Roman" w:hAnsi="Times New Roman"/>
          <w:bCs/>
          <w:iCs/>
          <w:noProof/>
          <w:color w:val="000000"/>
          <w:sz w:val="24"/>
          <w:szCs w:val="24"/>
          <w:lang w:eastAsia="bg-BG"/>
        </w:rPr>
        <w:t>тан</w:t>
      </w:r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овището на компетентния орган е, че не е необходимо провеждане на процедура по екологична </w:t>
      </w:r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lastRenderedPageBreak/>
        <w:t>оценка по реда на Глава шеста, раздел II от ЗООС и за съвместимост по реда на чл. 31 от Закона за биологично разнообразие.</w:t>
      </w:r>
    </w:p>
    <w:p w14:paraId="435883B0" w14:textId="77777777" w:rsidR="00841237" w:rsidRPr="00A83A63" w:rsidRDefault="00841237" w:rsidP="00841237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  <w:rPr>
          <w:rFonts w:ascii="Times New Roman" w:eastAsia="Times New Roman" w:hAnsi="Times New Roman"/>
          <w:noProof/>
          <w:color w:val="000000"/>
          <w:sz w:val="24"/>
          <w:szCs w:val="24"/>
          <w:lang w:eastAsia="bg-BG"/>
        </w:rPr>
      </w:pPr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Предложението </w:t>
      </w:r>
      <w:bookmarkStart w:id="1" w:name="_Hlk31632110"/>
      <w:r w:rsidRPr="00A83A63">
        <w:rPr>
          <w:rFonts w:ascii="Times New Roman" w:eastAsia="Times New Roman" w:hAnsi="Times New Roman"/>
          <w:noProof/>
          <w:color w:val="000000"/>
          <w:sz w:val="24"/>
          <w:szCs w:val="24"/>
          <w:lang w:eastAsia="bg-BG"/>
        </w:rPr>
        <w:t xml:space="preserve">е одобрено от Комитета за наблюдение на </w:t>
      </w:r>
      <w:r w:rsidRPr="00A83A63">
        <w:rPr>
          <w:rFonts w:ascii="Times New Roman" w:hAnsi="Times New Roman"/>
          <w:sz w:val="24"/>
          <w:szCs w:val="24"/>
        </w:rPr>
        <w:t>програмата чрез</w:t>
      </w:r>
      <w:r w:rsidRPr="00A83A63">
        <w:rPr>
          <w:rFonts w:ascii="Times New Roman" w:hAnsi="Times New Roman"/>
          <w:sz w:val="24"/>
          <w:szCs w:val="24"/>
          <w:lang w:eastAsia="bg-BG"/>
        </w:rPr>
        <w:t xml:space="preserve"> писмена процедура за вземане на решение, проведена </w:t>
      </w:r>
      <w:r w:rsidRPr="00A83A63">
        <w:rPr>
          <w:rFonts w:ascii="Times New Roman" w:eastAsia="Times New Roman" w:hAnsi="Times New Roman"/>
          <w:noProof/>
          <w:color w:val="000000"/>
          <w:sz w:val="24"/>
          <w:szCs w:val="24"/>
          <w:lang w:eastAsia="bg-BG"/>
        </w:rPr>
        <w:t>в периода 20.09. – 07.10.2024 г.</w:t>
      </w:r>
    </w:p>
    <w:p w14:paraId="35C0C7DC" w14:textId="77777777" w:rsidR="00841237" w:rsidRPr="00A83A63" w:rsidRDefault="00841237" w:rsidP="00841237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</w:pPr>
      <w:bookmarkStart w:id="2" w:name="_Hlk118449191"/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>Проектът на РМС за одобряване на проект на седмо изменение на Оперативна програма „Наука и образование за интелигентен растеж”</w:t>
      </w:r>
      <w:r w:rsidRPr="00A83A63">
        <w:rPr>
          <w:rFonts w:ascii="Times New Roman" w:hAnsi="Times New Roman"/>
        </w:rPr>
        <w:t xml:space="preserve"> </w:t>
      </w:r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2014 – 2020 г., заедно с приложените към него материали, е съгласуван </w:t>
      </w:r>
      <w:bookmarkStart w:id="3" w:name="_Hlk173413371"/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>от Съвета за координация при управлението на средствата от Европейския съюз.</w:t>
      </w:r>
      <w:bookmarkEnd w:id="3"/>
      <w:r w:rsidRPr="00A83A63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bg-BG"/>
        </w:rPr>
        <w:t xml:space="preserve"> В тази връзка, на основание чл. 7, ал. 3 от ПМС № 70/2010 г. материалите за заседанието на МС се считат за преминали предварителното съгласуване по чл. 32 от Устройствения правилник на Министерския съвет и неговата администрация (УПМСНА). Преписката е оформена съгласно изискванията на чл. 35 от УПМСНА.</w:t>
      </w:r>
      <w:bookmarkStart w:id="4" w:name="_Hlk118724551"/>
      <w:bookmarkEnd w:id="1"/>
      <w:bookmarkEnd w:id="2"/>
    </w:p>
    <w:p w14:paraId="3FC0235B" w14:textId="77777777" w:rsidR="00841237" w:rsidRPr="00A83A63" w:rsidRDefault="00841237" w:rsidP="00841237">
      <w:pPr>
        <w:overflowPunct w:val="0"/>
        <w:autoSpaceDE w:val="0"/>
        <w:autoSpaceDN w:val="0"/>
        <w:adjustRightInd w:val="0"/>
        <w:spacing w:before="120" w:after="120" w:line="240" w:lineRule="auto"/>
        <w:ind w:firstLine="505"/>
        <w:jc w:val="both"/>
        <w:textAlignment w:val="baseline"/>
        <w:rPr>
          <w:rFonts w:ascii="Times New Roman" w:hAnsi="Times New Roman"/>
        </w:rPr>
      </w:pPr>
      <w:bookmarkStart w:id="5" w:name="_Hlk144371404"/>
      <w:r w:rsidRPr="00A83A63">
        <w:rPr>
          <w:rFonts w:ascii="Times New Roman" w:hAnsi="Times New Roman"/>
          <w:bCs/>
          <w:iCs/>
          <w:sz w:val="24"/>
          <w:szCs w:val="24"/>
          <w:lang w:eastAsia="bg-BG"/>
        </w:rPr>
        <w:t xml:space="preserve">С приемането на акт на Министерския съвет ще се намали рискът от загуба на средства по ОП „Наука и образование за интелигентен растеж“ 2014 – 2020 г. </w:t>
      </w:r>
      <w:bookmarkEnd w:id="4"/>
      <w:bookmarkEnd w:id="5"/>
      <w:r w:rsidRPr="00A83A63">
        <w:rPr>
          <w:rFonts w:ascii="Times New Roman" w:hAnsi="Times New Roman"/>
          <w:sz w:val="24"/>
          <w:szCs w:val="24"/>
          <w:lang w:eastAsia="bg-BG"/>
        </w:rPr>
        <w:t>Проектът на РМС не води до въздействие върху държавния бюджет, като не са необходими допълнителни разходи/ трансфери/ други плащания, за което е приложена одобрена финансова обосновка от министъра на финансите по приложение № 2.2 към чл. 35, ал. 1, т. 4, буква „б“ от УПМСНА.</w:t>
      </w:r>
      <w:bookmarkStart w:id="6" w:name="_Hlk99463945"/>
      <w:bookmarkEnd w:id="6"/>
    </w:p>
    <w:p w14:paraId="49192B21" w14:textId="77777777" w:rsidR="00841237" w:rsidRPr="00A83A63" w:rsidRDefault="00841237" w:rsidP="00841237">
      <w:pPr>
        <w:spacing w:after="120" w:line="240" w:lineRule="auto"/>
        <w:ind w:firstLine="567"/>
        <w:jc w:val="both"/>
        <w:rPr>
          <w:rFonts w:ascii="Times New Roman" w:hAnsi="Times New Roman"/>
        </w:rPr>
      </w:pPr>
      <w:r w:rsidRPr="00A83A63">
        <w:rPr>
          <w:rFonts w:ascii="Times New Roman" w:hAnsi="Times New Roman"/>
          <w:sz w:val="24"/>
          <w:szCs w:val="24"/>
          <w:lang w:eastAsia="bg-BG"/>
        </w:rPr>
        <w:t xml:space="preserve">Предложеният проект на акт не е свързан с транспониране на актове на ЕС, поради което не се налага да бъде изготвена справка за съответствие с европейското право. С оглед естеството на предложения акт, по същия не се провеждат обществени консултации.  </w:t>
      </w:r>
    </w:p>
    <w:p w14:paraId="65987F5B" w14:textId="77777777" w:rsidR="00841237" w:rsidRPr="00A83A63" w:rsidRDefault="00841237" w:rsidP="0084123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</w:p>
    <w:p w14:paraId="265AB541" w14:textId="77777777" w:rsidR="00841237" w:rsidRPr="00A83A63" w:rsidRDefault="00841237" w:rsidP="00841237">
      <w:pPr>
        <w:spacing w:after="120" w:line="240" w:lineRule="auto"/>
        <w:ind w:firstLine="567"/>
        <w:rPr>
          <w:rFonts w:ascii="Times New Roman" w:hAnsi="Times New Roman"/>
        </w:rPr>
      </w:pPr>
      <w:r w:rsidRPr="00A83A63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УВАЖАЕМИ ГОСПОДИН МИНИСТЪР-ПРЕДСЕДАТЕЛ,</w:t>
      </w:r>
    </w:p>
    <w:p w14:paraId="00E8475F" w14:textId="77777777" w:rsidR="00841237" w:rsidRPr="00A83A63" w:rsidRDefault="00841237" w:rsidP="00841237">
      <w:pPr>
        <w:spacing w:after="120" w:line="240" w:lineRule="auto"/>
        <w:ind w:firstLine="567"/>
        <w:rPr>
          <w:rFonts w:ascii="Times New Roman" w:hAnsi="Times New Roman"/>
        </w:rPr>
      </w:pPr>
      <w:r w:rsidRPr="00A83A63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УВАЖАЕМИ ГОСПОЖИ И ГОСПОДА МИНИСТРИ, </w:t>
      </w:r>
    </w:p>
    <w:p w14:paraId="6A06C94C" w14:textId="008D7EF0" w:rsidR="00841237" w:rsidRPr="00A83A63" w:rsidRDefault="00841237" w:rsidP="00841237">
      <w:pPr>
        <w:pStyle w:val="ListParagraph"/>
        <w:tabs>
          <w:tab w:val="left" w:pos="1134"/>
        </w:tabs>
        <w:spacing w:after="12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lang w:eastAsia="fr-FR"/>
        </w:rPr>
      </w:pPr>
      <w:r w:rsidRPr="00A83A63">
        <w:rPr>
          <w:rFonts w:ascii="Times New Roman" w:hAnsi="Times New Roman"/>
          <w:bCs/>
          <w:sz w:val="24"/>
          <w:szCs w:val="24"/>
          <w:lang w:eastAsia="bg-BG"/>
        </w:rPr>
        <w:t>Предвид гореизложеното и на основание чл. 8, ал. 3 от УПМСНА, предлагам Министерският съвет да разгледа и приеме решение за одобряване</w:t>
      </w:r>
      <w:r w:rsidR="00073D3B">
        <w:rPr>
          <w:rFonts w:ascii="Times New Roman" w:hAnsi="Times New Roman"/>
          <w:bCs/>
          <w:sz w:val="24"/>
          <w:szCs w:val="24"/>
          <w:lang w:eastAsia="bg-BG"/>
        </w:rPr>
        <w:t xml:space="preserve"> на</w:t>
      </w:r>
      <w:r w:rsidRPr="00A83A63">
        <w:rPr>
          <w:rFonts w:ascii="Times New Roman" w:hAnsi="Times New Roman"/>
          <w:bCs/>
          <w:sz w:val="24"/>
          <w:szCs w:val="24"/>
          <w:lang w:eastAsia="fr-FR"/>
        </w:rPr>
        <w:t xml:space="preserve"> проект на седмо изменение на Оперативна програма „</w:t>
      </w:r>
      <w:r w:rsidRPr="00A83A63">
        <w:rPr>
          <w:rFonts w:ascii="Times New Roman" w:hAnsi="Times New Roman"/>
          <w:bCs/>
          <w:iCs/>
          <w:sz w:val="24"/>
          <w:szCs w:val="24"/>
          <w:lang w:eastAsia="bg-BG"/>
        </w:rPr>
        <w:t>Наука и образование за интелигентен растеж</w:t>
      </w:r>
      <w:r w:rsidRPr="00A83A63">
        <w:rPr>
          <w:rFonts w:ascii="Times New Roman" w:hAnsi="Times New Roman"/>
          <w:bCs/>
          <w:sz w:val="24"/>
          <w:szCs w:val="24"/>
          <w:lang w:eastAsia="fr-FR"/>
        </w:rPr>
        <w:t xml:space="preserve">” </w:t>
      </w:r>
      <w:r w:rsidRPr="00A83A63">
        <w:rPr>
          <w:rFonts w:ascii="Times New Roman" w:hAnsi="Times New Roman"/>
          <w:bCs/>
          <w:noProof/>
          <w:color w:val="000000"/>
          <w:sz w:val="24"/>
          <w:szCs w:val="24"/>
          <w:lang w:eastAsia="bg-BG"/>
        </w:rPr>
        <w:t>2014 – 2020 г.</w:t>
      </w:r>
    </w:p>
    <w:p w14:paraId="0FC651FB" w14:textId="77777777" w:rsidR="00CE53E6" w:rsidRPr="00A83A63" w:rsidRDefault="00CE53E6" w:rsidP="004A2A7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F7BC13D" w14:textId="77777777" w:rsidR="003C30CA" w:rsidRDefault="003C30CA" w:rsidP="00E841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6237" w:type="dxa"/>
        <w:tblInd w:w="-142" w:type="dxa"/>
        <w:tblLook w:val="01E0" w:firstRow="1" w:lastRow="1" w:firstColumn="1" w:lastColumn="1" w:noHBand="0" w:noVBand="0"/>
      </w:tblPr>
      <w:tblGrid>
        <w:gridCol w:w="6237"/>
      </w:tblGrid>
      <w:tr w:rsidR="0036138B" w14:paraId="4EDB4DE0" w14:textId="77777777" w:rsidTr="003E67DA">
        <w:tc>
          <w:tcPr>
            <w:tcW w:w="6237" w:type="dxa"/>
            <w:hideMark/>
          </w:tcPr>
          <w:p w14:paraId="5BA11CD0" w14:textId="7755EFDC" w:rsidR="0036138B" w:rsidRDefault="0036138B" w:rsidP="003E67D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270">
              <w:rPr>
                <w:rFonts w:ascii="Times New Roman" w:hAnsi="Times New Roman"/>
                <w:b/>
                <w:sz w:val="24"/>
                <w:szCs w:val="24"/>
              </w:rPr>
              <w:t xml:space="preserve">ПРОФ. </w:t>
            </w:r>
            <w:r w:rsidR="004552AE" w:rsidRPr="006B3270">
              <w:rPr>
                <w:rFonts w:ascii="Times New Roman" w:hAnsi="Times New Roman"/>
                <w:b/>
                <w:sz w:val="24"/>
                <w:szCs w:val="24"/>
              </w:rPr>
              <w:t>ГАЛИН ЦОКОВ</w:t>
            </w:r>
          </w:p>
        </w:tc>
      </w:tr>
      <w:tr w:rsidR="0036138B" w14:paraId="22C59033" w14:textId="77777777" w:rsidTr="003E67DA">
        <w:tc>
          <w:tcPr>
            <w:tcW w:w="6237" w:type="dxa"/>
            <w:hideMark/>
          </w:tcPr>
          <w:p w14:paraId="4E475CF2" w14:textId="77777777" w:rsidR="0036138B" w:rsidRDefault="0036138B" w:rsidP="003E67DA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Министър на образованието и науката</w:t>
            </w:r>
          </w:p>
        </w:tc>
      </w:tr>
    </w:tbl>
    <w:p w14:paraId="580343A3" w14:textId="77777777" w:rsidR="00B0793D" w:rsidRDefault="00B0793D" w:rsidP="004A59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0793D" w:rsidSect="0007492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567" w:left="1701" w:header="23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7DBA9" w14:textId="77777777" w:rsidR="008623E2" w:rsidRDefault="008623E2" w:rsidP="00355E8E">
      <w:pPr>
        <w:spacing w:after="0" w:line="240" w:lineRule="auto"/>
      </w:pPr>
      <w:r>
        <w:separator/>
      </w:r>
    </w:p>
  </w:endnote>
  <w:endnote w:type="continuationSeparator" w:id="0">
    <w:p w14:paraId="60393132" w14:textId="77777777" w:rsidR="008623E2" w:rsidRDefault="008623E2" w:rsidP="00355E8E">
      <w:pPr>
        <w:spacing w:after="0" w:line="240" w:lineRule="auto"/>
      </w:pPr>
      <w:r>
        <w:continuationSeparator/>
      </w:r>
    </w:p>
  </w:endnote>
  <w:endnote w:type="continuationNotice" w:id="1">
    <w:p w14:paraId="4BC926B5" w14:textId="77777777" w:rsidR="008623E2" w:rsidRDefault="008623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Viol">
    <w:altName w:val="Times New Roman"/>
    <w:charset w:val="CC"/>
    <w:family w:val="auto"/>
    <w:pitch w:val="variable"/>
    <w:sig w:usb0="8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66863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51D730" w14:textId="77777777" w:rsidR="000A2026" w:rsidRDefault="000A202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428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4B92B4C" w14:textId="77777777" w:rsidR="0006463B" w:rsidRDefault="000646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56940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D30FC2" w14:textId="77777777" w:rsidR="000A2026" w:rsidRDefault="000A202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42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61048E9" w14:textId="77777777" w:rsidR="00E91CEA" w:rsidRDefault="00E91C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9476C" w14:textId="77777777" w:rsidR="008623E2" w:rsidRDefault="008623E2" w:rsidP="00355E8E">
      <w:pPr>
        <w:spacing w:after="0" w:line="240" w:lineRule="auto"/>
      </w:pPr>
      <w:r>
        <w:separator/>
      </w:r>
    </w:p>
  </w:footnote>
  <w:footnote w:type="continuationSeparator" w:id="0">
    <w:p w14:paraId="2B026D48" w14:textId="77777777" w:rsidR="008623E2" w:rsidRDefault="008623E2" w:rsidP="00355E8E">
      <w:pPr>
        <w:spacing w:after="0" w:line="240" w:lineRule="auto"/>
      </w:pPr>
      <w:r>
        <w:continuationSeparator/>
      </w:r>
    </w:p>
  </w:footnote>
  <w:footnote w:type="continuationNotice" w:id="1">
    <w:p w14:paraId="56DD59FF" w14:textId="77777777" w:rsidR="008623E2" w:rsidRDefault="008623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758C" w14:textId="77777777" w:rsidR="0007492B" w:rsidRDefault="0007492B" w:rsidP="00CC60F7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16"/>
        <w:szCs w:val="16"/>
      </w:rPr>
    </w:pPr>
  </w:p>
  <w:p w14:paraId="1B7F65D0" w14:textId="77777777" w:rsidR="00CC60F7" w:rsidRPr="0007492B" w:rsidRDefault="00CC60F7" w:rsidP="00CC60F7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16"/>
        <w:szCs w:val="16"/>
      </w:rPr>
    </w:pPr>
    <w:r w:rsidRPr="0007492B">
      <w:rPr>
        <w:rFonts w:ascii="Verdana" w:hAnsi="Verdana"/>
        <w:sz w:val="16"/>
        <w:szCs w:val="16"/>
      </w:rPr>
      <w:t>класификация на информацията:</w:t>
    </w:r>
  </w:p>
  <w:p w14:paraId="01718A0C" w14:textId="77777777" w:rsidR="00CC60F7" w:rsidRPr="0007492B" w:rsidRDefault="0020428E" w:rsidP="00CC60F7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Ниво 0</w:t>
    </w:r>
    <w:r w:rsidR="00CC60F7" w:rsidRPr="0007492B">
      <w:rPr>
        <w:rFonts w:ascii="Verdana" w:hAnsi="Verdana"/>
        <w:sz w:val="16"/>
        <w:szCs w:val="16"/>
      </w:rPr>
      <w:t>, [TLP-</w:t>
    </w:r>
    <w:r>
      <w:rPr>
        <w:rFonts w:ascii="Verdana" w:hAnsi="Verdana"/>
        <w:sz w:val="16"/>
        <w:szCs w:val="16"/>
        <w:lang w:val="en-US"/>
      </w:rPr>
      <w:t>WHITE</w:t>
    </w:r>
    <w:r w:rsidR="00CC60F7" w:rsidRPr="0007492B">
      <w:rPr>
        <w:rFonts w:ascii="Verdana" w:hAnsi="Verdana"/>
        <w:sz w:val="16"/>
        <w:szCs w:val="16"/>
      </w:rPr>
      <w:t>]</w:t>
    </w:r>
  </w:p>
  <w:p w14:paraId="7BC9ABA6" w14:textId="77777777" w:rsidR="0006463B" w:rsidRPr="00CC60F7" w:rsidRDefault="0006463B" w:rsidP="00CC60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F3497" w14:textId="77777777" w:rsidR="00D34F66" w:rsidRDefault="0006463B" w:rsidP="003F5A31">
    <w:pPr>
      <w:pStyle w:val="Header"/>
      <w:jc w:val="center"/>
      <w:rPr>
        <w:noProof/>
        <w:lang w:eastAsia="bg-BG"/>
      </w:rPr>
    </w:pPr>
    <w:r>
      <w:rPr>
        <w:noProof/>
        <w:lang w:eastAsia="bg-BG"/>
      </w:rPr>
      <w:tab/>
    </w:r>
    <w:r>
      <w:rPr>
        <w:noProof/>
        <w:lang w:eastAsia="bg-BG"/>
      </w:rPr>
      <w:tab/>
    </w:r>
  </w:p>
  <w:p w14:paraId="6FA16D01" w14:textId="77777777" w:rsidR="008F44FC" w:rsidRPr="0007492B" w:rsidRDefault="0059397D" w:rsidP="008F44FC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16"/>
        <w:szCs w:val="16"/>
      </w:rPr>
    </w:pPr>
    <w:bookmarkStart w:id="7" w:name="_Hlk81224569"/>
    <w:bookmarkStart w:id="8" w:name="_Hlk77686904"/>
    <w:r>
      <w:rPr>
        <w:rFonts w:ascii="Verdana" w:hAnsi="Verdana"/>
        <w:sz w:val="16"/>
        <w:szCs w:val="16"/>
      </w:rPr>
      <w:t xml:space="preserve">   </w:t>
    </w:r>
    <w:r w:rsidR="008F44FC" w:rsidRPr="0007492B">
      <w:rPr>
        <w:rFonts w:ascii="Verdana" w:hAnsi="Verdana"/>
        <w:sz w:val="16"/>
        <w:szCs w:val="16"/>
      </w:rPr>
      <w:t>класификация на информацията:</w:t>
    </w:r>
  </w:p>
  <w:p w14:paraId="1EDFABC9" w14:textId="77777777" w:rsidR="008F44FC" w:rsidRPr="0007492B" w:rsidRDefault="008F44FC" w:rsidP="008F44FC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18"/>
        <w:szCs w:val="18"/>
      </w:rPr>
    </w:pPr>
    <w:r w:rsidRPr="0007492B">
      <w:rPr>
        <w:rFonts w:ascii="Verdana" w:hAnsi="Verdana"/>
        <w:sz w:val="16"/>
        <w:szCs w:val="16"/>
      </w:rPr>
      <w:t xml:space="preserve">Ниво </w:t>
    </w:r>
    <w:r w:rsidR="00FC679D">
      <w:rPr>
        <w:rFonts w:ascii="Verdana" w:hAnsi="Verdana"/>
        <w:sz w:val="16"/>
        <w:szCs w:val="16"/>
      </w:rPr>
      <w:t>0</w:t>
    </w:r>
    <w:r w:rsidRPr="0007492B">
      <w:rPr>
        <w:rFonts w:ascii="Verdana" w:hAnsi="Verdana"/>
        <w:sz w:val="16"/>
        <w:szCs w:val="16"/>
      </w:rPr>
      <w:t>, [TLP-</w:t>
    </w:r>
    <w:r w:rsidR="00FC679D">
      <w:rPr>
        <w:rFonts w:ascii="Verdana" w:hAnsi="Verdana"/>
        <w:sz w:val="16"/>
        <w:szCs w:val="16"/>
        <w:lang w:val="en-US"/>
      </w:rPr>
      <w:t>WHITE</w:t>
    </w:r>
    <w:r w:rsidRPr="0007492B">
      <w:rPr>
        <w:rFonts w:ascii="Verdana" w:hAnsi="Verdana"/>
        <w:sz w:val="16"/>
        <w:szCs w:val="16"/>
      </w:rPr>
      <w:t>]</w:t>
    </w:r>
    <w:bookmarkEnd w:id="7"/>
  </w:p>
  <w:bookmarkEnd w:id="8"/>
  <w:p w14:paraId="05CE1192" w14:textId="77777777" w:rsidR="0006463B" w:rsidRDefault="008E71A0" w:rsidP="00355E8E">
    <w:pPr>
      <w:pStyle w:val="Header"/>
      <w:jc w:val="center"/>
    </w:pPr>
    <w:r>
      <w:rPr>
        <w:noProof/>
        <w:lang w:val="en-US"/>
      </w:rPr>
      <w:drawing>
        <wp:inline distT="0" distB="0" distL="0" distR="0" wp14:anchorId="740A2BD9" wp14:editId="454127EE">
          <wp:extent cx="904875" cy="762000"/>
          <wp:effectExtent l="0" t="0" r="0" b="0"/>
          <wp:docPr id="8" name="Picture 8" descr="Gerb_Line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Line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84AF75" w14:textId="77777777" w:rsidR="0006463B" w:rsidRDefault="0006463B" w:rsidP="00355E8E">
    <w:pPr>
      <w:pStyle w:val="Header"/>
      <w:jc w:val="center"/>
    </w:pPr>
  </w:p>
  <w:p w14:paraId="764BF5CA" w14:textId="77777777" w:rsidR="0006463B" w:rsidRPr="00EB211C" w:rsidRDefault="0006463B" w:rsidP="00355E8E">
    <w:pPr>
      <w:pStyle w:val="Header"/>
      <w:jc w:val="center"/>
      <w:rPr>
        <w:rFonts w:ascii="Viol" w:hAnsi="Viol"/>
        <w:sz w:val="28"/>
        <w:szCs w:val="28"/>
      </w:rPr>
    </w:pPr>
    <w:r w:rsidRPr="00EB211C">
      <w:rPr>
        <w:rFonts w:ascii="Viol" w:hAnsi="Viol"/>
        <w:sz w:val="28"/>
        <w:szCs w:val="28"/>
      </w:rPr>
      <w:t>РЕПУБЛИКА БЪЛГАРИЯ</w:t>
    </w:r>
  </w:p>
  <w:p w14:paraId="5B2141DD" w14:textId="77777777" w:rsidR="0006463B" w:rsidRPr="00EB211C" w:rsidRDefault="0006463B" w:rsidP="00355E8E">
    <w:pPr>
      <w:pStyle w:val="Header"/>
      <w:jc w:val="center"/>
      <w:rPr>
        <w:sz w:val="28"/>
        <w:szCs w:val="28"/>
      </w:rPr>
    </w:pPr>
    <w:r w:rsidRPr="00EB211C">
      <w:rPr>
        <w:rFonts w:ascii="Viol" w:hAnsi="Viol"/>
        <w:sz w:val="28"/>
        <w:szCs w:val="28"/>
      </w:rPr>
      <w:t>Министър на</w:t>
    </w:r>
    <w:r w:rsidRPr="00EB211C">
      <w:rPr>
        <w:sz w:val="28"/>
        <w:szCs w:val="28"/>
      </w:rPr>
      <w:t xml:space="preserve"> </w:t>
    </w:r>
    <w:r w:rsidR="001566B4">
      <w:rPr>
        <w:rFonts w:ascii="Viol" w:hAnsi="Viol"/>
        <w:sz w:val="28"/>
        <w:szCs w:val="28"/>
      </w:rPr>
      <w:t>образованието</w:t>
    </w:r>
    <w:r w:rsidRPr="00EB211C">
      <w:rPr>
        <w:rFonts w:ascii="Viol" w:hAnsi="Viol"/>
        <w:sz w:val="28"/>
        <w:szCs w:val="28"/>
      </w:rPr>
      <w:t xml:space="preserve"> и науката</w:t>
    </w:r>
  </w:p>
  <w:p w14:paraId="25E8A250" w14:textId="77777777" w:rsidR="0006463B" w:rsidRPr="00EB211C" w:rsidRDefault="0006463B">
    <w:pPr>
      <w:pStyle w:val="Head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12E70"/>
    <w:multiLevelType w:val="hybridMultilevel"/>
    <w:tmpl w:val="50D2F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E5F78"/>
    <w:multiLevelType w:val="hybridMultilevel"/>
    <w:tmpl w:val="4268EC48"/>
    <w:lvl w:ilvl="0" w:tplc="DADCAE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A37DD3"/>
    <w:multiLevelType w:val="hybridMultilevel"/>
    <w:tmpl w:val="239A1C8E"/>
    <w:lvl w:ilvl="0" w:tplc="EAF4487A">
      <w:start w:val="1"/>
      <w:numFmt w:val="decimal"/>
      <w:lvlText w:val="%1)"/>
      <w:lvlJc w:val="left"/>
      <w:pPr>
        <w:ind w:left="1035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55" w:hanging="360"/>
      </w:pPr>
    </w:lvl>
    <w:lvl w:ilvl="2" w:tplc="0402001B" w:tentative="1">
      <w:start w:val="1"/>
      <w:numFmt w:val="lowerRoman"/>
      <w:lvlText w:val="%3."/>
      <w:lvlJc w:val="right"/>
      <w:pPr>
        <w:ind w:left="2475" w:hanging="180"/>
      </w:pPr>
    </w:lvl>
    <w:lvl w:ilvl="3" w:tplc="0402000F" w:tentative="1">
      <w:start w:val="1"/>
      <w:numFmt w:val="decimal"/>
      <w:lvlText w:val="%4."/>
      <w:lvlJc w:val="left"/>
      <w:pPr>
        <w:ind w:left="3195" w:hanging="360"/>
      </w:pPr>
    </w:lvl>
    <w:lvl w:ilvl="4" w:tplc="04020019" w:tentative="1">
      <w:start w:val="1"/>
      <w:numFmt w:val="lowerLetter"/>
      <w:lvlText w:val="%5."/>
      <w:lvlJc w:val="left"/>
      <w:pPr>
        <w:ind w:left="3915" w:hanging="360"/>
      </w:pPr>
    </w:lvl>
    <w:lvl w:ilvl="5" w:tplc="0402001B" w:tentative="1">
      <w:start w:val="1"/>
      <w:numFmt w:val="lowerRoman"/>
      <w:lvlText w:val="%6."/>
      <w:lvlJc w:val="right"/>
      <w:pPr>
        <w:ind w:left="4635" w:hanging="180"/>
      </w:pPr>
    </w:lvl>
    <w:lvl w:ilvl="6" w:tplc="0402000F" w:tentative="1">
      <w:start w:val="1"/>
      <w:numFmt w:val="decimal"/>
      <w:lvlText w:val="%7."/>
      <w:lvlJc w:val="left"/>
      <w:pPr>
        <w:ind w:left="5355" w:hanging="360"/>
      </w:pPr>
    </w:lvl>
    <w:lvl w:ilvl="7" w:tplc="04020019" w:tentative="1">
      <w:start w:val="1"/>
      <w:numFmt w:val="lowerLetter"/>
      <w:lvlText w:val="%8."/>
      <w:lvlJc w:val="left"/>
      <w:pPr>
        <w:ind w:left="6075" w:hanging="360"/>
      </w:pPr>
    </w:lvl>
    <w:lvl w:ilvl="8" w:tplc="040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6E47678A"/>
    <w:multiLevelType w:val="hybridMultilevel"/>
    <w:tmpl w:val="612C37F2"/>
    <w:lvl w:ilvl="0" w:tplc="4568FC8E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68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E8E"/>
    <w:rsid w:val="00005EFB"/>
    <w:rsid w:val="000130C6"/>
    <w:rsid w:val="000139DB"/>
    <w:rsid w:val="000243A1"/>
    <w:rsid w:val="00027916"/>
    <w:rsid w:val="000344D4"/>
    <w:rsid w:val="00041B86"/>
    <w:rsid w:val="00044D45"/>
    <w:rsid w:val="000472EA"/>
    <w:rsid w:val="00052AA3"/>
    <w:rsid w:val="0005439B"/>
    <w:rsid w:val="000617E5"/>
    <w:rsid w:val="0006202E"/>
    <w:rsid w:val="00063C80"/>
    <w:rsid w:val="0006463B"/>
    <w:rsid w:val="00067C83"/>
    <w:rsid w:val="0007191D"/>
    <w:rsid w:val="00073AF9"/>
    <w:rsid w:val="00073D3B"/>
    <w:rsid w:val="0007492B"/>
    <w:rsid w:val="0008408F"/>
    <w:rsid w:val="000A2026"/>
    <w:rsid w:val="000A4F19"/>
    <w:rsid w:val="000A6690"/>
    <w:rsid w:val="000B08DD"/>
    <w:rsid w:val="000B7650"/>
    <w:rsid w:val="000C0471"/>
    <w:rsid w:val="000C0F73"/>
    <w:rsid w:val="000C13B1"/>
    <w:rsid w:val="000C5088"/>
    <w:rsid w:val="000D0BBA"/>
    <w:rsid w:val="000D1436"/>
    <w:rsid w:val="000D193E"/>
    <w:rsid w:val="000D2173"/>
    <w:rsid w:val="000D2274"/>
    <w:rsid w:val="000D42EF"/>
    <w:rsid w:val="000D5CE8"/>
    <w:rsid w:val="000F33F1"/>
    <w:rsid w:val="000F4B48"/>
    <w:rsid w:val="00137B8F"/>
    <w:rsid w:val="00142BE0"/>
    <w:rsid w:val="001437D3"/>
    <w:rsid w:val="00143CDC"/>
    <w:rsid w:val="00150277"/>
    <w:rsid w:val="00153257"/>
    <w:rsid w:val="001566B4"/>
    <w:rsid w:val="00157A08"/>
    <w:rsid w:val="001611A9"/>
    <w:rsid w:val="001616BA"/>
    <w:rsid w:val="0016618E"/>
    <w:rsid w:val="00167B28"/>
    <w:rsid w:val="00172805"/>
    <w:rsid w:val="00173638"/>
    <w:rsid w:val="00175810"/>
    <w:rsid w:val="00175DF0"/>
    <w:rsid w:val="001762BC"/>
    <w:rsid w:val="001771FF"/>
    <w:rsid w:val="00177700"/>
    <w:rsid w:val="001815ED"/>
    <w:rsid w:val="0018395A"/>
    <w:rsid w:val="00184DFC"/>
    <w:rsid w:val="00195CB7"/>
    <w:rsid w:val="001A36C0"/>
    <w:rsid w:val="001B24A5"/>
    <w:rsid w:val="001B5D7E"/>
    <w:rsid w:val="001C37BB"/>
    <w:rsid w:val="001D02DE"/>
    <w:rsid w:val="001D4983"/>
    <w:rsid w:val="001D5148"/>
    <w:rsid w:val="001E6D04"/>
    <w:rsid w:val="0020428E"/>
    <w:rsid w:val="00204631"/>
    <w:rsid w:val="0020504F"/>
    <w:rsid w:val="0021041C"/>
    <w:rsid w:val="00213C76"/>
    <w:rsid w:val="00215722"/>
    <w:rsid w:val="00222F74"/>
    <w:rsid w:val="00225400"/>
    <w:rsid w:val="00233BA8"/>
    <w:rsid w:val="00245C66"/>
    <w:rsid w:val="00250038"/>
    <w:rsid w:val="002503A0"/>
    <w:rsid w:val="00252775"/>
    <w:rsid w:val="00262009"/>
    <w:rsid w:val="002761B5"/>
    <w:rsid w:val="00284044"/>
    <w:rsid w:val="00294CCE"/>
    <w:rsid w:val="00297BA3"/>
    <w:rsid w:val="002A034D"/>
    <w:rsid w:val="002A748B"/>
    <w:rsid w:val="002B0962"/>
    <w:rsid w:val="002B1A60"/>
    <w:rsid w:val="002B67F2"/>
    <w:rsid w:val="002B6C92"/>
    <w:rsid w:val="002D2D6E"/>
    <w:rsid w:val="002D4BEB"/>
    <w:rsid w:val="002E7C30"/>
    <w:rsid w:val="002F73B3"/>
    <w:rsid w:val="002F7B85"/>
    <w:rsid w:val="003025A7"/>
    <w:rsid w:val="00307842"/>
    <w:rsid w:val="003210CC"/>
    <w:rsid w:val="003237A9"/>
    <w:rsid w:val="003342CE"/>
    <w:rsid w:val="003349FC"/>
    <w:rsid w:val="00340508"/>
    <w:rsid w:val="00340EC6"/>
    <w:rsid w:val="003425DB"/>
    <w:rsid w:val="00343BD4"/>
    <w:rsid w:val="00355E8E"/>
    <w:rsid w:val="0035696B"/>
    <w:rsid w:val="00357E99"/>
    <w:rsid w:val="0036138B"/>
    <w:rsid w:val="00366EC4"/>
    <w:rsid w:val="00377110"/>
    <w:rsid w:val="00387AE2"/>
    <w:rsid w:val="003948BF"/>
    <w:rsid w:val="003A14C3"/>
    <w:rsid w:val="003A2AE4"/>
    <w:rsid w:val="003B183A"/>
    <w:rsid w:val="003B342F"/>
    <w:rsid w:val="003B74E2"/>
    <w:rsid w:val="003C06CE"/>
    <w:rsid w:val="003C2EFE"/>
    <w:rsid w:val="003C30CA"/>
    <w:rsid w:val="003C746A"/>
    <w:rsid w:val="003C7D11"/>
    <w:rsid w:val="003D593B"/>
    <w:rsid w:val="003D6C5C"/>
    <w:rsid w:val="003D7760"/>
    <w:rsid w:val="003F388A"/>
    <w:rsid w:val="003F4E6A"/>
    <w:rsid w:val="003F5709"/>
    <w:rsid w:val="003F5A31"/>
    <w:rsid w:val="003F6877"/>
    <w:rsid w:val="00406297"/>
    <w:rsid w:val="00431105"/>
    <w:rsid w:val="004337A6"/>
    <w:rsid w:val="00440BC9"/>
    <w:rsid w:val="00455273"/>
    <w:rsid w:val="004552AE"/>
    <w:rsid w:val="00455707"/>
    <w:rsid w:val="004806A1"/>
    <w:rsid w:val="00484049"/>
    <w:rsid w:val="00484D8E"/>
    <w:rsid w:val="00491780"/>
    <w:rsid w:val="004A0D16"/>
    <w:rsid w:val="004A2A75"/>
    <w:rsid w:val="004A361F"/>
    <w:rsid w:val="004A59A4"/>
    <w:rsid w:val="004B141C"/>
    <w:rsid w:val="004B5585"/>
    <w:rsid w:val="004B5B9C"/>
    <w:rsid w:val="004B7204"/>
    <w:rsid w:val="004B7C33"/>
    <w:rsid w:val="004C4321"/>
    <w:rsid w:val="004C6967"/>
    <w:rsid w:val="004E05E3"/>
    <w:rsid w:val="004E27D4"/>
    <w:rsid w:val="004E2B6A"/>
    <w:rsid w:val="004E4319"/>
    <w:rsid w:val="004F57F6"/>
    <w:rsid w:val="00501BAF"/>
    <w:rsid w:val="00507A84"/>
    <w:rsid w:val="00510FE6"/>
    <w:rsid w:val="00521F12"/>
    <w:rsid w:val="00523AF0"/>
    <w:rsid w:val="005304F7"/>
    <w:rsid w:val="00534D3C"/>
    <w:rsid w:val="005576D5"/>
    <w:rsid w:val="0056539A"/>
    <w:rsid w:val="00570465"/>
    <w:rsid w:val="00591CF8"/>
    <w:rsid w:val="0059397D"/>
    <w:rsid w:val="005A3656"/>
    <w:rsid w:val="005A51CF"/>
    <w:rsid w:val="005B0B55"/>
    <w:rsid w:val="005B5055"/>
    <w:rsid w:val="005B697E"/>
    <w:rsid w:val="005C149E"/>
    <w:rsid w:val="005C2A84"/>
    <w:rsid w:val="005C35BF"/>
    <w:rsid w:val="005E2281"/>
    <w:rsid w:val="005E7296"/>
    <w:rsid w:val="0060130A"/>
    <w:rsid w:val="006177A6"/>
    <w:rsid w:val="006533D5"/>
    <w:rsid w:val="00657E07"/>
    <w:rsid w:val="00664AD0"/>
    <w:rsid w:val="006664ED"/>
    <w:rsid w:val="00666794"/>
    <w:rsid w:val="006722B1"/>
    <w:rsid w:val="00672382"/>
    <w:rsid w:val="00681158"/>
    <w:rsid w:val="00684A43"/>
    <w:rsid w:val="00687B1E"/>
    <w:rsid w:val="00692ABB"/>
    <w:rsid w:val="006A1916"/>
    <w:rsid w:val="006A5B73"/>
    <w:rsid w:val="006B3270"/>
    <w:rsid w:val="006B32F1"/>
    <w:rsid w:val="006B7741"/>
    <w:rsid w:val="006C0FE5"/>
    <w:rsid w:val="006C36B5"/>
    <w:rsid w:val="006D0EBF"/>
    <w:rsid w:val="006D1DD8"/>
    <w:rsid w:val="006D4BDF"/>
    <w:rsid w:val="006E761D"/>
    <w:rsid w:val="006F4A6C"/>
    <w:rsid w:val="0070130B"/>
    <w:rsid w:val="00705796"/>
    <w:rsid w:val="00713E4F"/>
    <w:rsid w:val="0072237B"/>
    <w:rsid w:val="00724651"/>
    <w:rsid w:val="00734472"/>
    <w:rsid w:val="00735DB0"/>
    <w:rsid w:val="007444B5"/>
    <w:rsid w:val="00747E06"/>
    <w:rsid w:val="007510FF"/>
    <w:rsid w:val="00756066"/>
    <w:rsid w:val="007610B8"/>
    <w:rsid w:val="007617CE"/>
    <w:rsid w:val="00784A3F"/>
    <w:rsid w:val="007879C2"/>
    <w:rsid w:val="00797A08"/>
    <w:rsid w:val="007A0140"/>
    <w:rsid w:val="007A5623"/>
    <w:rsid w:val="007A5677"/>
    <w:rsid w:val="007A7569"/>
    <w:rsid w:val="007B74EB"/>
    <w:rsid w:val="007C0CF4"/>
    <w:rsid w:val="007C267E"/>
    <w:rsid w:val="007C40BF"/>
    <w:rsid w:val="007C4E2B"/>
    <w:rsid w:val="007D1D73"/>
    <w:rsid w:val="007D1E74"/>
    <w:rsid w:val="007D3F45"/>
    <w:rsid w:val="007E4297"/>
    <w:rsid w:val="007F2437"/>
    <w:rsid w:val="007F3D0D"/>
    <w:rsid w:val="007F4E6D"/>
    <w:rsid w:val="007F56CD"/>
    <w:rsid w:val="00801320"/>
    <w:rsid w:val="00811B47"/>
    <w:rsid w:val="00812612"/>
    <w:rsid w:val="0081459E"/>
    <w:rsid w:val="00815F66"/>
    <w:rsid w:val="00825E80"/>
    <w:rsid w:val="008301FD"/>
    <w:rsid w:val="00841237"/>
    <w:rsid w:val="008414E9"/>
    <w:rsid w:val="00841853"/>
    <w:rsid w:val="00842095"/>
    <w:rsid w:val="00844953"/>
    <w:rsid w:val="0084771F"/>
    <w:rsid w:val="0086107C"/>
    <w:rsid w:val="008623E2"/>
    <w:rsid w:val="00866689"/>
    <w:rsid w:val="00874E52"/>
    <w:rsid w:val="00890F8C"/>
    <w:rsid w:val="008A131B"/>
    <w:rsid w:val="008A3551"/>
    <w:rsid w:val="008A7DA1"/>
    <w:rsid w:val="008B0D25"/>
    <w:rsid w:val="008C12E6"/>
    <w:rsid w:val="008C1813"/>
    <w:rsid w:val="008C2B2C"/>
    <w:rsid w:val="008C333B"/>
    <w:rsid w:val="008C7E25"/>
    <w:rsid w:val="008D0B1E"/>
    <w:rsid w:val="008D3428"/>
    <w:rsid w:val="008D52EE"/>
    <w:rsid w:val="008D633F"/>
    <w:rsid w:val="008D71A2"/>
    <w:rsid w:val="008E4609"/>
    <w:rsid w:val="008E4E31"/>
    <w:rsid w:val="008E71A0"/>
    <w:rsid w:val="008F44FC"/>
    <w:rsid w:val="00911040"/>
    <w:rsid w:val="00923DE3"/>
    <w:rsid w:val="009244AB"/>
    <w:rsid w:val="009360A1"/>
    <w:rsid w:val="0093622C"/>
    <w:rsid w:val="00945EFA"/>
    <w:rsid w:val="0095149F"/>
    <w:rsid w:val="00956030"/>
    <w:rsid w:val="00957019"/>
    <w:rsid w:val="00960E37"/>
    <w:rsid w:val="009652C5"/>
    <w:rsid w:val="00967032"/>
    <w:rsid w:val="00967106"/>
    <w:rsid w:val="00970563"/>
    <w:rsid w:val="00970BF5"/>
    <w:rsid w:val="00976297"/>
    <w:rsid w:val="00981022"/>
    <w:rsid w:val="0098239B"/>
    <w:rsid w:val="009844F3"/>
    <w:rsid w:val="00997A71"/>
    <w:rsid w:val="00997A80"/>
    <w:rsid w:val="009A322E"/>
    <w:rsid w:val="009A37A9"/>
    <w:rsid w:val="009A3F50"/>
    <w:rsid w:val="009A48EC"/>
    <w:rsid w:val="009B54BE"/>
    <w:rsid w:val="009D04A4"/>
    <w:rsid w:val="009D6DBB"/>
    <w:rsid w:val="009E4999"/>
    <w:rsid w:val="009E49AA"/>
    <w:rsid w:val="009F3C45"/>
    <w:rsid w:val="009F5293"/>
    <w:rsid w:val="009F7DB5"/>
    <w:rsid w:val="00A009FF"/>
    <w:rsid w:val="00A110CF"/>
    <w:rsid w:val="00A12B16"/>
    <w:rsid w:val="00A14307"/>
    <w:rsid w:val="00A1625E"/>
    <w:rsid w:val="00A21423"/>
    <w:rsid w:val="00A26609"/>
    <w:rsid w:val="00A3329E"/>
    <w:rsid w:val="00A36E98"/>
    <w:rsid w:val="00A4536E"/>
    <w:rsid w:val="00A51635"/>
    <w:rsid w:val="00A55260"/>
    <w:rsid w:val="00A55265"/>
    <w:rsid w:val="00A5788B"/>
    <w:rsid w:val="00A65428"/>
    <w:rsid w:val="00A6667E"/>
    <w:rsid w:val="00A76D5C"/>
    <w:rsid w:val="00A83A63"/>
    <w:rsid w:val="00AA540F"/>
    <w:rsid w:val="00AB2BD6"/>
    <w:rsid w:val="00AC2A4C"/>
    <w:rsid w:val="00AC39A9"/>
    <w:rsid w:val="00AC6D7D"/>
    <w:rsid w:val="00AC7943"/>
    <w:rsid w:val="00AD1EA8"/>
    <w:rsid w:val="00AD69FE"/>
    <w:rsid w:val="00AE23D1"/>
    <w:rsid w:val="00AE6979"/>
    <w:rsid w:val="00AF1370"/>
    <w:rsid w:val="00AF1EF5"/>
    <w:rsid w:val="00B00207"/>
    <w:rsid w:val="00B03CB9"/>
    <w:rsid w:val="00B06BF8"/>
    <w:rsid w:val="00B0793D"/>
    <w:rsid w:val="00B136F6"/>
    <w:rsid w:val="00B209B2"/>
    <w:rsid w:val="00B2148D"/>
    <w:rsid w:val="00B43337"/>
    <w:rsid w:val="00B47F0B"/>
    <w:rsid w:val="00B51367"/>
    <w:rsid w:val="00B61AF6"/>
    <w:rsid w:val="00B61C38"/>
    <w:rsid w:val="00B633C8"/>
    <w:rsid w:val="00B72C43"/>
    <w:rsid w:val="00B74B30"/>
    <w:rsid w:val="00B801A0"/>
    <w:rsid w:val="00B8441D"/>
    <w:rsid w:val="00B85BBF"/>
    <w:rsid w:val="00B92E2F"/>
    <w:rsid w:val="00BA0BC1"/>
    <w:rsid w:val="00BA0E65"/>
    <w:rsid w:val="00BA1E29"/>
    <w:rsid w:val="00BA4F1C"/>
    <w:rsid w:val="00BB09D0"/>
    <w:rsid w:val="00BB5A10"/>
    <w:rsid w:val="00BC0112"/>
    <w:rsid w:val="00BC4921"/>
    <w:rsid w:val="00BD251E"/>
    <w:rsid w:val="00BE31AD"/>
    <w:rsid w:val="00BE5DCD"/>
    <w:rsid w:val="00C015A3"/>
    <w:rsid w:val="00C0185C"/>
    <w:rsid w:val="00C048D8"/>
    <w:rsid w:val="00C13765"/>
    <w:rsid w:val="00C14804"/>
    <w:rsid w:val="00C2597C"/>
    <w:rsid w:val="00C26B7B"/>
    <w:rsid w:val="00C33030"/>
    <w:rsid w:val="00C44C4E"/>
    <w:rsid w:val="00C479BC"/>
    <w:rsid w:val="00C50632"/>
    <w:rsid w:val="00C706C9"/>
    <w:rsid w:val="00C818D1"/>
    <w:rsid w:val="00C830A2"/>
    <w:rsid w:val="00C83D59"/>
    <w:rsid w:val="00C902D1"/>
    <w:rsid w:val="00C9767A"/>
    <w:rsid w:val="00CC0562"/>
    <w:rsid w:val="00CC60F7"/>
    <w:rsid w:val="00CD3531"/>
    <w:rsid w:val="00CD5D43"/>
    <w:rsid w:val="00CE53E6"/>
    <w:rsid w:val="00CF03EB"/>
    <w:rsid w:val="00CF67B4"/>
    <w:rsid w:val="00D004AF"/>
    <w:rsid w:val="00D14ACE"/>
    <w:rsid w:val="00D16791"/>
    <w:rsid w:val="00D24906"/>
    <w:rsid w:val="00D25921"/>
    <w:rsid w:val="00D34F66"/>
    <w:rsid w:val="00D52687"/>
    <w:rsid w:val="00D54B66"/>
    <w:rsid w:val="00D62279"/>
    <w:rsid w:val="00D65955"/>
    <w:rsid w:val="00D73749"/>
    <w:rsid w:val="00D7642F"/>
    <w:rsid w:val="00D7689B"/>
    <w:rsid w:val="00D77707"/>
    <w:rsid w:val="00D85BB2"/>
    <w:rsid w:val="00D92382"/>
    <w:rsid w:val="00DA3BCD"/>
    <w:rsid w:val="00DA7FDA"/>
    <w:rsid w:val="00DB0CEE"/>
    <w:rsid w:val="00DB2686"/>
    <w:rsid w:val="00DB77BE"/>
    <w:rsid w:val="00DC32BB"/>
    <w:rsid w:val="00DE33ED"/>
    <w:rsid w:val="00DF3749"/>
    <w:rsid w:val="00DF42AE"/>
    <w:rsid w:val="00DF6186"/>
    <w:rsid w:val="00E01317"/>
    <w:rsid w:val="00E0302D"/>
    <w:rsid w:val="00E03CE8"/>
    <w:rsid w:val="00E15D42"/>
    <w:rsid w:val="00E33EBA"/>
    <w:rsid w:val="00E34264"/>
    <w:rsid w:val="00E36901"/>
    <w:rsid w:val="00E4605C"/>
    <w:rsid w:val="00E514EB"/>
    <w:rsid w:val="00E541EC"/>
    <w:rsid w:val="00E5520F"/>
    <w:rsid w:val="00E6041D"/>
    <w:rsid w:val="00E6530F"/>
    <w:rsid w:val="00E76B40"/>
    <w:rsid w:val="00E8311B"/>
    <w:rsid w:val="00E837C5"/>
    <w:rsid w:val="00E8419C"/>
    <w:rsid w:val="00E91CEA"/>
    <w:rsid w:val="00EA1256"/>
    <w:rsid w:val="00EA24C7"/>
    <w:rsid w:val="00EB211C"/>
    <w:rsid w:val="00EB5209"/>
    <w:rsid w:val="00EC18BC"/>
    <w:rsid w:val="00EC3F5D"/>
    <w:rsid w:val="00ED36B4"/>
    <w:rsid w:val="00ED41F4"/>
    <w:rsid w:val="00EE040D"/>
    <w:rsid w:val="00EE7E13"/>
    <w:rsid w:val="00EF2DA0"/>
    <w:rsid w:val="00EF7A62"/>
    <w:rsid w:val="00F00019"/>
    <w:rsid w:val="00F0156D"/>
    <w:rsid w:val="00F039FB"/>
    <w:rsid w:val="00F12A62"/>
    <w:rsid w:val="00F13EC2"/>
    <w:rsid w:val="00F25230"/>
    <w:rsid w:val="00F30019"/>
    <w:rsid w:val="00F30F41"/>
    <w:rsid w:val="00F326B1"/>
    <w:rsid w:val="00F35352"/>
    <w:rsid w:val="00F364F8"/>
    <w:rsid w:val="00F376CA"/>
    <w:rsid w:val="00F37974"/>
    <w:rsid w:val="00F40B31"/>
    <w:rsid w:val="00F418FC"/>
    <w:rsid w:val="00F46006"/>
    <w:rsid w:val="00F5014F"/>
    <w:rsid w:val="00F618F4"/>
    <w:rsid w:val="00F6318E"/>
    <w:rsid w:val="00F80CD5"/>
    <w:rsid w:val="00F9077A"/>
    <w:rsid w:val="00F9166C"/>
    <w:rsid w:val="00F95A92"/>
    <w:rsid w:val="00F962B9"/>
    <w:rsid w:val="00FA1C6C"/>
    <w:rsid w:val="00FA2B6B"/>
    <w:rsid w:val="00FC0BCC"/>
    <w:rsid w:val="00FC679D"/>
    <w:rsid w:val="00FC7FEF"/>
    <w:rsid w:val="00FD2701"/>
    <w:rsid w:val="00FD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39BDF20"/>
  <w15:chartTrackingRefBased/>
  <w15:docId w15:val="{DD9E76CF-CCF0-482F-A7E3-733CF2008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0F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8E"/>
  </w:style>
  <w:style w:type="paragraph" w:styleId="Footer">
    <w:name w:val="footer"/>
    <w:basedOn w:val="Normal"/>
    <w:link w:val="Foot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8E"/>
  </w:style>
  <w:style w:type="paragraph" w:styleId="BalloonText">
    <w:name w:val="Balloon Text"/>
    <w:basedOn w:val="Normal"/>
    <w:link w:val="BalloonTextChar"/>
    <w:uiPriority w:val="99"/>
    <w:semiHidden/>
    <w:unhideWhenUsed/>
    <w:rsid w:val="00355E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E8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55E8E"/>
    <w:rPr>
      <w:color w:val="0000FF"/>
      <w:u w:val="single"/>
    </w:rPr>
  </w:style>
  <w:style w:type="table" w:styleId="TableGrid">
    <w:name w:val="Table Grid"/>
    <w:basedOn w:val="TableNormal"/>
    <w:rsid w:val="00BB09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BB09D0"/>
    <w:pPr>
      <w:spacing w:after="120" w:line="240" w:lineRule="auto"/>
    </w:pPr>
    <w:rPr>
      <w:rFonts w:ascii="HebarU" w:eastAsia="Times New Roman" w:hAnsi="HebarU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BB09D0"/>
    <w:rPr>
      <w:rFonts w:ascii="HebarU" w:eastAsia="Times New Roman" w:hAnsi="HebarU"/>
      <w:sz w:val="16"/>
      <w:szCs w:val="16"/>
      <w:lang w:eastAsia="en-US"/>
    </w:rPr>
  </w:style>
  <w:style w:type="paragraph" w:styleId="ListParagraph">
    <w:name w:val="List Paragraph"/>
    <w:basedOn w:val="Normal"/>
    <w:qFormat/>
    <w:rsid w:val="004E4319"/>
    <w:pPr>
      <w:ind w:left="720"/>
      <w:contextualSpacing/>
    </w:pPr>
  </w:style>
  <w:style w:type="character" w:customStyle="1" w:styleId="FontStyle11">
    <w:name w:val="Font Style11"/>
    <w:rsid w:val="008A7DA1"/>
    <w:rPr>
      <w:rFonts w:ascii="Times New Roman" w:hAnsi="Times New Roman" w:cs="Times New Roman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62B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762B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7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FF58F-6D61-463A-BC5E-86CCAF091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1693</TotalTime>
  <Pages>3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Lubka Grueva</dc:creator>
  <cp:keywords/>
  <cp:lastModifiedBy>Neli Nencheva</cp:lastModifiedBy>
  <cp:revision>261</cp:revision>
  <cp:lastPrinted>2024-03-05T13:41:00Z</cp:lastPrinted>
  <dcterms:created xsi:type="dcterms:W3CDTF">2022-03-16T14:45:00Z</dcterms:created>
  <dcterms:modified xsi:type="dcterms:W3CDTF">2024-10-08T15:02:00Z</dcterms:modified>
</cp:coreProperties>
</file>