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8442" w14:textId="77777777" w:rsidR="00D0480F" w:rsidRDefault="00D0480F" w:rsidP="00705981">
      <w:pPr>
        <w:spacing w:line="360" w:lineRule="auto"/>
        <w:ind w:left="1757" w:firstLine="720"/>
        <w:jc w:val="both"/>
        <w:rPr>
          <w:rFonts w:ascii="Verdana" w:hAnsi="Verdana"/>
          <w:b/>
          <w:sz w:val="20"/>
          <w:szCs w:val="20"/>
        </w:rPr>
      </w:pPr>
    </w:p>
    <w:p w14:paraId="1B7EC52E" w14:textId="056CB1FA" w:rsidR="00273DE5" w:rsidRPr="006A6D7C" w:rsidRDefault="00273DE5" w:rsidP="00705981">
      <w:pPr>
        <w:spacing w:line="360" w:lineRule="auto"/>
        <w:ind w:left="1757" w:firstLine="720"/>
        <w:jc w:val="both"/>
        <w:rPr>
          <w:rFonts w:ascii="Verdana" w:hAnsi="Verdana"/>
          <w:b/>
          <w:sz w:val="20"/>
          <w:szCs w:val="20"/>
        </w:rPr>
      </w:pPr>
      <w:r w:rsidRPr="006A6D7C">
        <w:rPr>
          <w:rFonts w:ascii="Verdana" w:hAnsi="Verdana"/>
          <w:b/>
          <w:sz w:val="20"/>
          <w:szCs w:val="20"/>
        </w:rPr>
        <w:t>ОДОБРИЛ,</w:t>
      </w:r>
    </w:p>
    <w:p w14:paraId="695F400A" w14:textId="77777777" w:rsidR="00273DE5" w:rsidRPr="006A6D7C" w:rsidRDefault="00211C55" w:rsidP="00705981">
      <w:pPr>
        <w:spacing w:line="360" w:lineRule="auto"/>
        <w:ind w:left="1757" w:firstLine="720"/>
        <w:jc w:val="both"/>
        <w:rPr>
          <w:rFonts w:ascii="Verdana" w:hAnsi="Verdana"/>
          <w:b/>
          <w:sz w:val="20"/>
          <w:szCs w:val="20"/>
        </w:rPr>
      </w:pPr>
      <w:r w:rsidRPr="006A6D7C">
        <w:rPr>
          <w:rFonts w:ascii="Verdana" w:hAnsi="Verdana"/>
          <w:b/>
          <w:sz w:val="20"/>
          <w:szCs w:val="20"/>
        </w:rPr>
        <w:t>МИНИ</w:t>
      </w:r>
      <w:r w:rsidR="00273DE5" w:rsidRPr="006A6D7C">
        <w:rPr>
          <w:rFonts w:ascii="Verdana" w:hAnsi="Verdana"/>
          <w:b/>
          <w:sz w:val="20"/>
          <w:szCs w:val="20"/>
        </w:rPr>
        <w:t>СТЪР НА ФИНАНСИТЕ:</w:t>
      </w:r>
    </w:p>
    <w:p w14:paraId="0628A0AB" w14:textId="77777777" w:rsidR="00776D67" w:rsidRPr="00DA2311" w:rsidRDefault="00DA2311" w:rsidP="00B14E89">
      <w:pPr>
        <w:spacing w:line="360" w:lineRule="auto"/>
        <w:ind w:left="5556"/>
        <w:jc w:val="center"/>
        <w:rPr>
          <w:rFonts w:ascii="Verdana" w:hAnsi="Verdana"/>
          <w:spacing w:val="100"/>
          <w:sz w:val="20"/>
          <w:szCs w:val="20"/>
          <w:highlight w:val="white"/>
          <w:shd w:val="clear" w:color="auto" w:fill="FEFEFE"/>
        </w:rPr>
      </w:pPr>
      <w:r>
        <w:rPr>
          <w:rFonts w:ascii="Verdana" w:hAnsi="Verdana"/>
          <w:b/>
          <w:caps/>
          <w:sz w:val="20"/>
          <w:szCs w:val="20"/>
        </w:rPr>
        <w:t>ЛЮДМИЛА ПЕТКОВА</w:t>
      </w:r>
    </w:p>
    <w:p w14:paraId="5FA87C36" w14:textId="77777777" w:rsidR="00211C55" w:rsidRPr="006A6D7C" w:rsidRDefault="00211C55" w:rsidP="00D82209">
      <w:pPr>
        <w:spacing w:line="360" w:lineRule="auto"/>
        <w:jc w:val="center"/>
        <w:rPr>
          <w:rFonts w:ascii="Verdana" w:hAnsi="Verdana"/>
          <w:spacing w:val="100"/>
          <w:sz w:val="20"/>
          <w:szCs w:val="20"/>
          <w:highlight w:val="white"/>
          <w:shd w:val="clear" w:color="auto" w:fill="FEFEFE"/>
        </w:rPr>
      </w:pPr>
    </w:p>
    <w:p w14:paraId="5DB21761" w14:textId="77777777" w:rsidR="0050465A" w:rsidRPr="006A6D7C" w:rsidRDefault="0050465A" w:rsidP="00D82209">
      <w:pPr>
        <w:spacing w:line="360" w:lineRule="auto"/>
        <w:jc w:val="center"/>
        <w:rPr>
          <w:rFonts w:ascii="Verdana" w:hAnsi="Verdana"/>
          <w:spacing w:val="100"/>
          <w:sz w:val="20"/>
          <w:szCs w:val="20"/>
          <w:highlight w:val="white"/>
          <w:shd w:val="clear" w:color="auto" w:fill="FEFEFE"/>
        </w:rPr>
      </w:pPr>
    </w:p>
    <w:p w14:paraId="1437D66F" w14:textId="77777777" w:rsidR="00273DE5" w:rsidRPr="00D0480F" w:rsidRDefault="00273DE5" w:rsidP="00D82209">
      <w:pPr>
        <w:spacing w:line="360" w:lineRule="auto"/>
        <w:jc w:val="center"/>
        <w:rPr>
          <w:rFonts w:ascii="Verdana" w:hAnsi="Verdana"/>
          <w:b/>
          <w:spacing w:val="100"/>
          <w:shd w:val="clear" w:color="auto" w:fill="FEFEFE"/>
        </w:rPr>
      </w:pPr>
      <w:r w:rsidRPr="00D0480F">
        <w:rPr>
          <w:rFonts w:ascii="Verdana" w:hAnsi="Verdana"/>
          <w:b/>
          <w:spacing w:val="100"/>
          <w:highlight w:val="white"/>
          <w:shd w:val="clear" w:color="auto" w:fill="FEFEFE"/>
        </w:rPr>
        <w:t>ФИНАНСОВА ОБОСНОВКА</w:t>
      </w:r>
    </w:p>
    <w:p w14:paraId="3D2A0CE8" w14:textId="77777777" w:rsidR="00E53B63" w:rsidRPr="006A6D7C" w:rsidRDefault="00E53B63" w:rsidP="00D82209">
      <w:pPr>
        <w:spacing w:line="360" w:lineRule="auto"/>
        <w:jc w:val="center"/>
        <w:rPr>
          <w:rFonts w:ascii="Verdana" w:hAnsi="Verdana"/>
          <w:sz w:val="20"/>
          <w:szCs w:val="20"/>
        </w:rPr>
      </w:pPr>
    </w:p>
    <w:p w14:paraId="122163E5" w14:textId="77777777" w:rsidR="006006E0" w:rsidRPr="006A6D7C" w:rsidRDefault="00E53B63" w:rsidP="0058453F">
      <w:pPr>
        <w:spacing w:line="360" w:lineRule="auto"/>
        <w:ind w:left="1191" w:hanging="1191"/>
        <w:jc w:val="both"/>
        <w:rPr>
          <w:rFonts w:ascii="Verdana" w:hAnsi="Verdana"/>
          <w:b/>
          <w:sz w:val="20"/>
          <w:szCs w:val="20"/>
        </w:rPr>
      </w:pPr>
      <w:r w:rsidRPr="006A6D7C">
        <w:rPr>
          <w:rFonts w:ascii="Verdana" w:hAnsi="Verdana"/>
          <w:b/>
          <w:sz w:val="20"/>
          <w:szCs w:val="20"/>
        </w:rPr>
        <w:t>Относно:</w:t>
      </w:r>
      <w:r w:rsidR="0058453F" w:rsidRPr="006A6D7C">
        <w:rPr>
          <w:rFonts w:ascii="Verdana" w:hAnsi="Verdana"/>
          <w:sz w:val="20"/>
          <w:szCs w:val="20"/>
        </w:rPr>
        <w:t xml:space="preserve"> </w:t>
      </w:r>
      <w:r w:rsidR="000B43E2" w:rsidRPr="000B43E2">
        <w:rPr>
          <w:rFonts w:ascii="Verdana" w:hAnsi="Verdana"/>
          <w:sz w:val="20"/>
          <w:szCs w:val="20"/>
        </w:rPr>
        <w:t>Проект на Решение на Министерския съвет за даване на съгласие Управляващият орган на Програмата за развитие на селските райони 2014 – 2020 г. да увеличи максималният размер на безвъзмездната финансова помощ по процедура за подбор №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33F88E1D" w14:textId="77777777" w:rsidR="00211C55" w:rsidRPr="006A6D7C" w:rsidRDefault="00211C55" w:rsidP="00530990">
      <w:pPr>
        <w:spacing w:line="360" w:lineRule="auto"/>
        <w:jc w:val="both"/>
        <w:rPr>
          <w:rFonts w:ascii="Verdana" w:hAnsi="Verdana"/>
          <w:b/>
          <w:sz w:val="20"/>
          <w:szCs w:val="20"/>
        </w:rPr>
      </w:pPr>
    </w:p>
    <w:p w14:paraId="6170CA65" w14:textId="77777777" w:rsidR="002F31FD" w:rsidRPr="006A6D7C" w:rsidRDefault="00273DE5" w:rsidP="00D82209">
      <w:pPr>
        <w:spacing w:line="360" w:lineRule="auto"/>
        <w:ind w:firstLine="720"/>
        <w:jc w:val="both"/>
        <w:rPr>
          <w:rFonts w:ascii="Verdana" w:hAnsi="Verdana"/>
          <w:b/>
          <w:sz w:val="20"/>
          <w:szCs w:val="20"/>
        </w:rPr>
      </w:pPr>
      <w:r w:rsidRPr="006A6D7C">
        <w:rPr>
          <w:rFonts w:ascii="Verdana" w:hAnsi="Verdana"/>
          <w:b/>
          <w:sz w:val="20"/>
          <w:szCs w:val="20"/>
        </w:rPr>
        <w:t xml:space="preserve">1. Мотиви и цел за внасяне за разглеждане от Министерския съвет на проекта на </w:t>
      </w:r>
      <w:r w:rsidR="008010A4" w:rsidRPr="006A6D7C">
        <w:rPr>
          <w:rFonts w:ascii="Verdana" w:hAnsi="Verdana"/>
          <w:b/>
          <w:sz w:val="20"/>
          <w:szCs w:val="20"/>
        </w:rPr>
        <w:t>акт</w:t>
      </w:r>
    </w:p>
    <w:p w14:paraId="3F11790E" w14:textId="4AE644BE" w:rsidR="00A76383" w:rsidRDefault="00A76383" w:rsidP="000B43E2">
      <w:pPr>
        <w:spacing w:line="360" w:lineRule="auto"/>
        <w:ind w:firstLine="720"/>
        <w:jc w:val="both"/>
        <w:rPr>
          <w:rFonts w:ascii="Verdana" w:hAnsi="Verdana"/>
          <w:spacing w:val="-4"/>
          <w:sz w:val="20"/>
          <w:szCs w:val="20"/>
        </w:rPr>
      </w:pPr>
      <w:r w:rsidRPr="006A6D7C">
        <w:rPr>
          <w:rFonts w:ascii="Verdana" w:hAnsi="Verdana"/>
          <w:spacing w:val="-4"/>
          <w:sz w:val="20"/>
          <w:szCs w:val="20"/>
        </w:rPr>
        <w:t>С проекта</w:t>
      </w:r>
      <w:r w:rsidR="00316E99" w:rsidRPr="006A6D7C">
        <w:rPr>
          <w:rFonts w:ascii="Verdana" w:hAnsi="Verdana"/>
          <w:spacing w:val="-4"/>
          <w:sz w:val="20"/>
          <w:szCs w:val="20"/>
        </w:rPr>
        <w:t xml:space="preserve"> на решение</w:t>
      </w:r>
      <w:r w:rsidRPr="006A6D7C">
        <w:rPr>
          <w:rFonts w:ascii="Verdana" w:hAnsi="Verdana"/>
          <w:spacing w:val="-4"/>
          <w:sz w:val="20"/>
          <w:szCs w:val="20"/>
        </w:rPr>
        <w:t xml:space="preserve"> се предлага да </w:t>
      </w:r>
      <w:r w:rsidR="00517AC7" w:rsidRPr="006A6D7C">
        <w:rPr>
          <w:rFonts w:ascii="Verdana" w:hAnsi="Verdana"/>
          <w:spacing w:val="-4"/>
          <w:sz w:val="20"/>
          <w:szCs w:val="20"/>
        </w:rPr>
        <w:t>бъде</w:t>
      </w:r>
      <w:r w:rsidRPr="006A6D7C">
        <w:rPr>
          <w:rFonts w:ascii="Verdana" w:hAnsi="Verdana"/>
          <w:spacing w:val="-4"/>
          <w:sz w:val="20"/>
          <w:szCs w:val="20"/>
        </w:rPr>
        <w:t xml:space="preserve"> </w:t>
      </w:r>
      <w:r w:rsidR="000B43E2">
        <w:rPr>
          <w:rFonts w:ascii="Verdana" w:hAnsi="Verdana"/>
          <w:spacing w:val="-4"/>
          <w:sz w:val="20"/>
          <w:szCs w:val="20"/>
        </w:rPr>
        <w:t>дадено</w:t>
      </w:r>
      <w:r w:rsidR="000B43E2" w:rsidRPr="000B43E2">
        <w:rPr>
          <w:rFonts w:ascii="Verdana" w:hAnsi="Verdana"/>
          <w:spacing w:val="-4"/>
          <w:sz w:val="20"/>
          <w:szCs w:val="20"/>
        </w:rPr>
        <w:t xml:space="preserve"> съгласие Управляващият орган на Програмата за развитие на селските райони 2014 – 2020 г. да увеличи максимално определеният бюджет по процедура за подбор №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с 21 692 69</w:t>
      </w:r>
      <w:r w:rsidR="00C811E3">
        <w:rPr>
          <w:rFonts w:ascii="Verdana" w:hAnsi="Verdana"/>
          <w:spacing w:val="-4"/>
          <w:sz w:val="20"/>
          <w:szCs w:val="20"/>
        </w:rPr>
        <w:t>5 лв. за одобрението на</w:t>
      </w:r>
      <w:r w:rsidR="00C811E3" w:rsidRPr="00362204">
        <w:rPr>
          <w:rFonts w:ascii="Verdana" w:hAnsi="Verdana"/>
          <w:spacing w:val="-4"/>
          <w:sz w:val="20"/>
          <w:szCs w:val="20"/>
        </w:rPr>
        <w:t xml:space="preserve"> 29 проектни предложения, </w:t>
      </w:r>
      <w:r w:rsidR="00C811E3">
        <w:rPr>
          <w:rFonts w:ascii="Verdana" w:hAnsi="Verdana"/>
          <w:spacing w:val="-4"/>
          <w:sz w:val="20"/>
          <w:szCs w:val="20"/>
        </w:rPr>
        <w:t xml:space="preserve">за дейности по подобряване на енергийната ефективност на общински сгради, в които се извършват обществени услуги </w:t>
      </w:r>
      <w:r w:rsidR="00C811E3" w:rsidRPr="00362204">
        <w:rPr>
          <w:rFonts w:ascii="Verdana" w:hAnsi="Verdana"/>
          <w:spacing w:val="-4"/>
          <w:sz w:val="20"/>
          <w:szCs w:val="20"/>
        </w:rPr>
        <w:t xml:space="preserve">има </w:t>
      </w:r>
      <w:r w:rsidR="00C811E3">
        <w:rPr>
          <w:rFonts w:ascii="Verdana" w:hAnsi="Verdana"/>
          <w:spacing w:val="-4"/>
          <w:sz w:val="20"/>
          <w:szCs w:val="20"/>
        </w:rPr>
        <w:t xml:space="preserve">недостиг на бюджет по процедура </w:t>
      </w:r>
      <w:r w:rsidR="00C811E3" w:rsidRPr="00837EC0">
        <w:rPr>
          <w:rFonts w:ascii="Verdana" w:hAnsi="Verdana"/>
          <w:spacing w:val="-4"/>
          <w:sz w:val="20"/>
          <w:szCs w:val="20"/>
        </w:rPr>
        <w:t>№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811E3">
        <w:rPr>
          <w:rFonts w:ascii="Verdana" w:hAnsi="Verdana"/>
          <w:spacing w:val="-4"/>
          <w:sz w:val="20"/>
          <w:szCs w:val="20"/>
        </w:rPr>
        <w:t>“.</w:t>
      </w:r>
    </w:p>
    <w:p w14:paraId="266A319E" w14:textId="6D3355D6" w:rsidR="000E6D62" w:rsidRPr="00362204" w:rsidRDefault="000E6D62" w:rsidP="000E6D62">
      <w:pPr>
        <w:spacing w:line="360" w:lineRule="auto"/>
        <w:ind w:firstLine="720"/>
        <w:jc w:val="both"/>
        <w:rPr>
          <w:rFonts w:ascii="Verdana" w:hAnsi="Verdana"/>
          <w:spacing w:val="-4"/>
          <w:sz w:val="20"/>
          <w:szCs w:val="20"/>
        </w:rPr>
      </w:pPr>
      <w:r w:rsidRPr="00362204">
        <w:rPr>
          <w:rFonts w:ascii="Verdana" w:hAnsi="Verdana"/>
          <w:spacing w:val="-4"/>
          <w:sz w:val="20"/>
          <w:szCs w:val="20"/>
        </w:rPr>
        <w:t xml:space="preserve">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w:t>
      </w:r>
      <w:r w:rsidR="00D0480F" w:rsidRPr="00D0480F">
        <w:rPr>
          <w:rFonts w:ascii="Verdana" w:hAnsi="Verdana"/>
          <w:spacing w:val="-4"/>
          <w:sz w:val="20"/>
          <w:szCs w:val="20"/>
        </w:rPr>
        <w:t>ѝ</w:t>
      </w:r>
      <w:r w:rsidRPr="00362204">
        <w:rPr>
          <w:rFonts w:ascii="Verdana" w:hAnsi="Verdana"/>
          <w:spacing w:val="-4"/>
          <w:sz w:val="20"/>
          <w:szCs w:val="20"/>
        </w:rPr>
        <w:t xml:space="preserve">. Финансирането през </w:t>
      </w:r>
      <w:r w:rsidRPr="00362204">
        <w:rPr>
          <w:rFonts w:ascii="Verdana" w:hAnsi="Verdana"/>
          <w:spacing w:val="-4"/>
          <w:sz w:val="20"/>
          <w:szCs w:val="20"/>
        </w:rPr>
        <w:lastRenderedPageBreak/>
        <w:t>проведените през 2018 г. и 2022 г. приеми на проекти за дейността подобряване на енергийна ефективност бяха насочен към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 а в случаят има проектни предложения, които могат да бъдат разгледани, одобрени и изпълнение в кратки срокове.</w:t>
      </w:r>
    </w:p>
    <w:p w14:paraId="4840AA48" w14:textId="5C935022" w:rsidR="003E19CD" w:rsidRPr="003E19CD" w:rsidRDefault="00C811E3" w:rsidP="003E19CD">
      <w:pPr>
        <w:spacing w:line="360" w:lineRule="auto"/>
        <w:ind w:firstLine="720"/>
        <w:jc w:val="both"/>
        <w:rPr>
          <w:rFonts w:ascii="Verdana" w:hAnsi="Verdana"/>
          <w:sz w:val="20"/>
          <w:szCs w:val="20"/>
        </w:rPr>
      </w:pPr>
      <w:r>
        <w:rPr>
          <w:rFonts w:ascii="Verdana" w:hAnsi="Verdana"/>
          <w:spacing w:val="-4"/>
          <w:sz w:val="20"/>
          <w:szCs w:val="20"/>
        </w:rPr>
        <w:t>Освен горното,</w:t>
      </w:r>
      <w:r w:rsidR="00362204" w:rsidRPr="00362204">
        <w:rPr>
          <w:rFonts w:ascii="Verdana" w:hAnsi="Verdana"/>
          <w:spacing w:val="-4"/>
          <w:sz w:val="20"/>
          <w:szCs w:val="20"/>
        </w:rPr>
        <w:t xml:space="preserve"> увелич</w:t>
      </w:r>
      <w:r w:rsidR="000E6D62">
        <w:rPr>
          <w:rFonts w:ascii="Verdana" w:hAnsi="Verdana"/>
          <w:spacing w:val="-4"/>
          <w:sz w:val="20"/>
          <w:szCs w:val="20"/>
        </w:rPr>
        <w:t>ение</w:t>
      </w:r>
      <w:r>
        <w:rPr>
          <w:rFonts w:ascii="Verdana" w:hAnsi="Verdana"/>
          <w:spacing w:val="-4"/>
          <w:sz w:val="20"/>
          <w:szCs w:val="20"/>
        </w:rPr>
        <w:t>то</w:t>
      </w:r>
      <w:r w:rsidR="000E6D62">
        <w:rPr>
          <w:rFonts w:ascii="Verdana" w:hAnsi="Verdana"/>
          <w:spacing w:val="-4"/>
          <w:sz w:val="20"/>
          <w:szCs w:val="20"/>
        </w:rPr>
        <w:t xml:space="preserve"> на</w:t>
      </w:r>
      <w:r w:rsidR="00362204" w:rsidRPr="00362204">
        <w:rPr>
          <w:rFonts w:ascii="Verdana" w:hAnsi="Verdana"/>
          <w:spacing w:val="-4"/>
          <w:sz w:val="20"/>
          <w:szCs w:val="20"/>
        </w:rPr>
        <w:t xml:space="preserve"> максимално определения бюджет по процедура за подбор № BG06RDNP001-7.020 – Енергийна ефективност е свързан с етапа, в който се намира прилагането на ПРСР и наближаващият краен срок за </w:t>
      </w:r>
      <w:r w:rsidR="00837EC0">
        <w:rPr>
          <w:rFonts w:ascii="Verdana" w:hAnsi="Verdana"/>
          <w:spacing w:val="-4"/>
          <w:sz w:val="20"/>
          <w:szCs w:val="20"/>
        </w:rPr>
        <w:t xml:space="preserve">постигане на целите по програмата, а именно </w:t>
      </w:r>
      <w:r w:rsidR="00362204" w:rsidRPr="00362204">
        <w:rPr>
          <w:rFonts w:ascii="Verdana" w:hAnsi="Verdana"/>
          <w:spacing w:val="-4"/>
          <w:sz w:val="20"/>
          <w:szCs w:val="20"/>
        </w:rPr>
        <w:t>достигане на средствата до крайните получатели – 30 декември 2025 г. Това налага Управляващият орган на ПРСР да предприеме бързи и адекватни мерки, които да гарантират ефективно и ефикасно изпълнение на генерирани свободни средствата по отделните мерки и подмерки.</w:t>
      </w:r>
      <w:r>
        <w:rPr>
          <w:rFonts w:ascii="Verdana" w:hAnsi="Verdana"/>
          <w:spacing w:val="-4"/>
          <w:sz w:val="20"/>
          <w:szCs w:val="20"/>
        </w:rPr>
        <w:t xml:space="preserve"> </w:t>
      </w:r>
      <w:r w:rsidR="003E19CD" w:rsidRPr="003E19CD">
        <w:rPr>
          <w:rFonts w:ascii="Verdana" w:hAnsi="Verdana"/>
          <w:sz w:val="20"/>
          <w:szCs w:val="20"/>
        </w:rPr>
        <w:t xml:space="preserve">По процедура за подбор №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е обявен прием през месец юли 2022 г. </w:t>
      </w:r>
    </w:p>
    <w:p w14:paraId="6F5AF209" w14:textId="77777777" w:rsidR="00C811E3" w:rsidRDefault="003E19CD" w:rsidP="008B6EE4">
      <w:pPr>
        <w:spacing w:line="360" w:lineRule="auto"/>
        <w:ind w:firstLine="720"/>
        <w:jc w:val="both"/>
        <w:rPr>
          <w:rFonts w:ascii="Verdana" w:hAnsi="Verdana"/>
          <w:sz w:val="20"/>
          <w:szCs w:val="20"/>
        </w:rPr>
      </w:pPr>
      <w:r w:rsidRPr="003E19CD">
        <w:rPr>
          <w:rFonts w:ascii="Verdana" w:hAnsi="Verdana"/>
          <w:sz w:val="20"/>
          <w:szCs w:val="20"/>
        </w:rPr>
        <w:t xml:space="preserve">По приема са одобрени за финансиране 76 броя проектни предложения, за които е бил наличен финансов ресурси, и за тях са сключени административни договори. За всичките 13 проектни предложения, които са били включени в Резервния списък за финансиране по процедурата през месец юни 2024 г. е увеличен бюджета по процедурата и към настоящия момент, всички са обработени и са със сключени </w:t>
      </w:r>
      <w:r w:rsidR="00C811E3" w:rsidRPr="003E19CD">
        <w:rPr>
          <w:rFonts w:ascii="Verdana" w:hAnsi="Verdana"/>
          <w:sz w:val="20"/>
          <w:szCs w:val="20"/>
        </w:rPr>
        <w:t xml:space="preserve">или са в процес на сключване на </w:t>
      </w:r>
      <w:r w:rsidR="00C811E3">
        <w:rPr>
          <w:rFonts w:ascii="Verdana" w:hAnsi="Verdana"/>
          <w:sz w:val="20"/>
          <w:szCs w:val="20"/>
        </w:rPr>
        <w:t>административни договори</w:t>
      </w:r>
      <w:r w:rsidRPr="003E19CD">
        <w:rPr>
          <w:rFonts w:ascii="Verdana" w:hAnsi="Verdana"/>
          <w:sz w:val="20"/>
          <w:szCs w:val="20"/>
        </w:rPr>
        <w:t xml:space="preserve">. </w:t>
      </w:r>
    </w:p>
    <w:p w14:paraId="43B2D444" w14:textId="0C702010" w:rsidR="003E19CD" w:rsidRPr="003E19CD" w:rsidRDefault="008B6EE4" w:rsidP="003E19CD">
      <w:pPr>
        <w:spacing w:line="360" w:lineRule="auto"/>
        <w:ind w:firstLine="720"/>
        <w:jc w:val="both"/>
        <w:rPr>
          <w:rFonts w:ascii="Verdana" w:hAnsi="Verdana"/>
          <w:sz w:val="20"/>
          <w:szCs w:val="20"/>
        </w:rPr>
      </w:pPr>
      <w:r w:rsidRPr="008B6EE4">
        <w:rPr>
          <w:rFonts w:ascii="Verdana" w:hAnsi="Verdana"/>
          <w:sz w:val="20"/>
          <w:szCs w:val="20"/>
        </w:rPr>
        <w:t xml:space="preserve">Разполагаемият към момента финансов ресурс по процедура за подбор </w:t>
      </w:r>
      <w:r w:rsidR="00D0480F">
        <w:rPr>
          <w:rFonts w:ascii="Verdana" w:hAnsi="Verdana"/>
          <w:sz w:val="20"/>
          <w:szCs w:val="20"/>
        </w:rPr>
        <w:br/>
      </w:r>
      <w:r w:rsidRPr="008B6EE4">
        <w:rPr>
          <w:rFonts w:ascii="Verdana" w:hAnsi="Verdana"/>
          <w:sz w:val="20"/>
          <w:szCs w:val="20"/>
        </w:rPr>
        <w:t>№ BG06RDNP001-7.</w:t>
      </w:r>
      <w:r w:rsidR="00D0480F">
        <w:rPr>
          <w:rFonts w:ascii="Verdana" w:hAnsi="Verdana"/>
          <w:sz w:val="20"/>
          <w:szCs w:val="20"/>
        </w:rPr>
        <w:t xml:space="preserve">020 – Енергийна ефективност от </w:t>
      </w:r>
      <w:r w:rsidRPr="008B6EE4">
        <w:rPr>
          <w:rFonts w:ascii="Verdana" w:hAnsi="Verdana"/>
          <w:sz w:val="20"/>
          <w:szCs w:val="20"/>
        </w:rPr>
        <w:t>73 419 37</w:t>
      </w:r>
      <w:r w:rsidR="00C811E3">
        <w:rPr>
          <w:rFonts w:ascii="Verdana" w:hAnsi="Verdana"/>
          <w:sz w:val="20"/>
          <w:szCs w:val="20"/>
        </w:rPr>
        <w:t>1</w:t>
      </w:r>
      <w:r w:rsidRPr="008B6EE4">
        <w:rPr>
          <w:rFonts w:ascii="Verdana" w:hAnsi="Verdana"/>
          <w:sz w:val="20"/>
          <w:szCs w:val="20"/>
        </w:rPr>
        <w:t xml:space="preserve"> лева, е крайно недостатъчен за  обработката и одобрението на всички постъпили по процедурата проектни предложения.</w:t>
      </w:r>
      <w:r w:rsidR="00C811E3">
        <w:rPr>
          <w:rFonts w:ascii="Verdana" w:hAnsi="Verdana"/>
          <w:sz w:val="20"/>
          <w:szCs w:val="20"/>
        </w:rPr>
        <w:t xml:space="preserve"> </w:t>
      </w:r>
      <w:r w:rsidR="003E19CD" w:rsidRPr="003E19CD">
        <w:rPr>
          <w:rFonts w:ascii="Verdana" w:hAnsi="Verdana"/>
          <w:sz w:val="20"/>
          <w:szCs w:val="20"/>
        </w:rPr>
        <w:t>По процедурата има още 29 проектни предложения, за които не е наличе</w:t>
      </w:r>
      <w:r w:rsidR="003E19CD">
        <w:rPr>
          <w:rFonts w:ascii="Verdana" w:hAnsi="Verdana"/>
          <w:sz w:val="20"/>
          <w:szCs w:val="20"/>
        </w:rPr>
        <w:t xml:space="preserve">н бюджет и в случай, че </w:t>
      </w:r>
      <w:r w:rsidR="00C811E3">
        <w:rPr>
          <w:rFonts w:ascii="Verdana" w:hAnsi="Verdana"/>
          <w:sz w:val="20"/>
          <w:szCs w:val="20"/>
        </w:rPr>
        <w:t>бъде</w:t>
      </w:r>
      <w:r w:rsidR="003E19CD">
        <w:rPr>
          <w:rFonts w:ascii="Verdana" w:hAnsi="Verdana"/>
          <w:sz w:val="20"/>
          <w:szCs w:val="20"/>
        </w:rPr>
        <w:t xml:space="preserve"> </w:t>
      </w:r>
      <w:r w:rsidR="003E19CD" w:rsidRPr="003E19CD">
        <w:rPr>
          <w:rFonts w:ascii="Verdana" w:hAnsi="Verdana"/>
          <w:sz w:val="20"/>
          <w:szCs w:val="20"/>
        </w:rPr>
        <w:t>увелич</w:t>
      </w:r>
      <w:r w:rsidR="00C811E3">
        <w:rPr>
          <w:rFonts w:ascii="Verdana" w:hAnsi="Verdana"/>
          <w:sz w:val="20"/>
          <w:szCs w:val="20"/>
        </w:rPr>
        <w:t>ен</w:t>
      </w:r>
      <w:r w:rsidR="003E19CD" w:rsidRPr="003E19CD">
        <w:rPr>
          <w:rFonts w:ascii="Verdana" w:hAnsi="Verdana"/>
          <w:sz w:val="20"/>
          <w:szCs w:val="20"/>
        </w:rPr>
        <w:t xml:space="preserve"> максимално определеният бюджет по процедура</w:t>
      </w:r>
      <w:r w:rsidR="00C811E3">
        <w:rPr>
          <w:rFonts w:ascii="Verdana" w:hAnsi="Verdana"/>
          <w:sz w:val="20"/>
          <w:szCs w:val="20"/>
        </w:rPr>
        <w:t>та</w:t>
      </w:r>
      <w:r w:rsidR="003E19CD" w:rsidRPr="003E19CD">
        <w:rPr>
          <w:rFonts w:ascii="Verdana" w:hAnsi="Verdana"/>
          <w:sz w:val="20"/>
          <w:szCs w:val="20"/>
        </w:rPr>
        <w:t xml:space="preserve"> за подбор № BG06RDNP001-7.020 – Енергийна ефективност, с</w:t>
      </w:r>
      <w:r w:rsidR="003E19CD">
        <w:rPr>
          <w:rFonts w:ascii="Verdana" w:hAnsi="Verdana"/>
          <w:sz w:val="20"/>
          <w:szCs w:val="20"/>
        </w:rPr>
        <w:t xml:space="preserve">ъщите </w:t>
      </w:r>
      <w:r w:rsidR="00C811E3">
        <w:rPr>
          <w:rFonts w:ascii="Verdana" w:hAnsi="Verdana"/>
          <w:sz w:val="20"/>
          <w:szCs w:val="20"/>
        </w:rPr>
        <w:t xml:space="preserve">ще </w:t>
      </w:r>
      <w:r w:rsidR="003E19CD">
        <w:rPr>
          <w:rFonts w:ascii="Verdana" w:hAnsi="Verdana"/>
          <w:sz w:val="20"/>
          <w:szCs w:val="20"/>
        </w:rPr>
        <w:t>могат</w:t>
      </w:r>
      <w:r w:rsidR="003E19CD" w:rsidRPr="003E19CD">
        <w:rPr>
          <w:rFonts w:ascii="Verdana" w:hAnsi="Verdana"/>
          <w:sz w:val="20"/>
          <w:szCs w:val="20"/>
        </w:rPr>
        <w:t xml:space="preserve"> да бъдат разгледани и</w:t>
      </w:r>
      <w:r w:rsidR="003E19CD">
        <w:rPr>
          <w:rFonts w:ascii="Verdana" w:hAnsi="Verdana"/>
          <w:sz w:val="20"/>
          <w:szCs w:val="20"/>
        </w:rPr>
        <w:t>,</w:t>
      </w:r>
      <w:r w:rsidR="003E19CD" w:rsidRPr="003E19CD">
        <w:rPr>
          <w:rFonts w:ascii="Verdana" w:hAnsi="Verdana"/>
          <w:sz w:val="20"/>
          <w:szCs w:val="20"/>
        </w:rPr>
        <w:t xml:space="preserve"> ако отговарят на всички условия</w:t>
      </w:r>
      <w:r w:rsidR="003E19CD">
        <w:rPr>
          <w:rFonts w:ascii="Verdana" w:hAnsi="Verdana"/>
          <w:sz w:val="20"/>
          <w:szCs w:val="20"/>
        </w:rPr>
        <w:t>,</w:t>
      </w:r>
      <w:r w:rsidR="003E19CD" w:rsidRPr="003E19CD">
        <w:rPr>
          <w:rFonts w:ascii="Verdana" w:hAnsi="Verdana"/>
          <w:sz w:val="20"/>
          <w:szCs w:val="20"/>
        </w:rPr>
        <w:t xml:space="preserve"> </w:t>
      </w:r>
      <w:r w:rsidR="00C811E3">
        <w:rPr>
          <w:rFonts w:ascii="Verdana" w:hAnsi="Verdana"/>
          <w:sz w:val="20"/>
          <w:szCs w:val="20"/>
        </w:rPr>
        <w:t xml:space="preserve">и с тях </w:t>
      </w:r>
      <w:r w:rsidR="003E19CD" w:rsidRPr="003E19CD">
        <w:rPr>
          <w:rFonts w:ascii="Verdana" w:hAnsi="Verdana"/>
          <w:sz w:val="20"/>
          <w:szCs w:val="20"/>
        </w:rPr>
        <w:t>да бъдат сключени административни договори.</w:t>
      </w:r>
      <w:r>
        <w:rPr>
          <w:rFonts w:ascii="Verdana" w:hAnsi="Verdana"/>
          <w:sz w:val="20"/>
          <w:szCs w:val="20"/>
        </w:rPr>
        <w:t xml:space="preserve"> </w:t>
      </w:r>
    </w:p>
    <w:p w14:paraId="166A4B8B" w14:textId="531F4AA8" w:rsidR="003E19CD" w:rsidRDefault="003E19CD" w:rsidP="008B6EE4">
      <w:pPr>
        <w:spacing w:line="360" w:lineRule="auto"/>
        <w:ind w:firstLine="720"/>
        <w:jc w:val="both"/>
        <w:rPr>
          <w:rFonts w:ascii="Verdana" w:hAnsi="Verdana"/>
          <w:sz w:val="20"/>
          <w:szCs w:val="20"/>
        </w:rPr>
      </w:pPr>
      <w:r w:rsidRPr="003E19CD">
        <w:rPr>
          <w:rFonts w:ascii="Verdana" w:hAnsi="Verdana"/>
          <w:sz w:val="20"/>
          <w:szCs w:val="20"/>
        </w:rPr>
        <w:t xml:space="preserve">В контекста </w:t>
      </w:r>
      <w:r w:rsidR="00D0480F" w:rsidRPr="00A544EB">
        <w:rPr>
          <w:rFonts w:ascii="Verdana" w:hAnsi="Verdana"/>
          <w:sz w:val="20"/>
          <w:szCs w:val="20"/>
        </w:rPr>
        <w:t>на</w:t>
      </w:r>
      <w:r w:rsidR="00D0480F">
        <w:rPr>
          <w:rFonts w:ascii="Verdana" w:hAnsi="Verdana"/>
          <w:sz w:val="20"/>
          <w:szCs w:val="20"/>
        </w:rPr>
        <w:t xml:space="preserve"> </w:t>
      </w:r>
      <w:r w:rsidRPr="003E19CD">
        <w:rPr>
          <w:rFonts w:ascii="Verdana" w:hAnsi="Verdana"/>
          <w:sz w:val="20"/>
          <w:szCs w:val="20"/>
        </w:rPr>
        <w:t>гор</w:t>
      </w:r>
      <w:r w:rsidR="00C811E3">
        <w:rPr>
          <w:rFonts w:ascii="Verdana" w:hAnsi="Verdana"/>
          <w:sz w:val="20"/>
          <w:szCs w:val="20"/>
        </w:rPr>
        <w:t>ното</w:t>
      </w:r>
      <w:r w:rsidRPr="003E19CD">
        <w:rPr>
          <w:rFonts w:ascii="Verdana" w:hAnsi="Verdana"/>
          <w:sz w:val="20"/>
          <w:szCs w:val="20"/>
        </w:rPr>
        <w:t>, по други мерки и подмерки от ПРСР, които са прилагани през периода 2014</w:t>
      </w:r>
      <w:r w:rsidR="00D0480F">
        <w:rPr>
          <w:rFonts w:ascii="Verdana" w:hAnsi="Verdana"/>
          <w:sz w:val="20"/>
          <w:szCs w:val="20"/>
        </w:rPr>
        <w:t xml:space="preserve"> – </w:t>
      </w:r>
      <w:r w:rsidRPr="003E19CD">
        <w:rPr>
          <w:rFonts w:ascii="Verdana" w:hAnsi="Verdana"/>
          <w:sz w:val="20"/>
          <w:szCs w:val="20"/>
        </w:rPr>
        <w:t>2020 г. има свободен ресурс, който може да бъде пренасочен към подмярка 7.2 „Инвестиции в създаването, подобряването или разширяването на всички видове малка по мащаби инфраструктура“. За целта, Управляващият орган на ПРСР 2014-2020 ще предприеме стъпки за измен</w:t>
      </w:r>
      <w:r w:rsidR="008B6EE4">
        <w:rPr>
          <w:rFonts w:ascii="Verdana" w:hAnsi="Verdana"/>
          <w:sz w:val="20"/>
          <w:szCs w:val="20"/>
        </w:rPr>
        <w:t xml:space="preserve">ение по съответния ред на ПРСР. </w:t>
      </w:r>
      <w:r w:rsidRPr="003E19CD">
        <w:rPr>
          <w:rFonts w:ascii="Verdana" w:hAnsi="Verdana"/>
          <w:sz w:val="20"/>
          <w:szCs w:val="20"/>
        </w:rPr>
        <w:t xml:space="preserve">Към настоящият момент е направено предложение за 17-та </w:t>
      </w:r>
      <w:r w:rsidRPr="003E19CD">
        <w:rPr>
          <w:rFonts w:ascii="Verdana" w:hAnsi="Verdana"/>
          <w:sz w:val="20"/>
          <w:szCs w:val="20"/>
        </w:rPr>
        <w:lastRenderedPageBreak/>
        <w:t xml:space="preserve">промяна на </w:t>
      </w:r>
      <w:r w:rsidR="008B6EE4">
        <w:rPr>
          <w:rFonts w:ascii="Verdana" w:hAnsi="Verdana"/>
          <w:sz w:val="20"/>
          <w:szCs w:val="20"/>
        </w:rPr>
        <w:t>ПРСР пред Европейската комисия, а по силата на разпоредбите на</w:t>
      </w:r>
      <w:r w:rsidRPr="003E19CD">
        <w:rPr>
          <w:rFonts w:ascii="Verdana" w:hAnsi="Verdana"/>
          <w:sz w:val="20"/>
          <w:szCs w:val="20"/>
        </w:rPr>
        <w:t xml:space="preserve"> чл. 4 от Регламент за изпълнение </w:t>
      </w:r>
      <w:r w:rsidR="008B6EE4" w:rsidRPr="003E19CD">
        <w:rPr>
          <w:rFonts w:ascii="Verdana" w:hAnsi="Verdana"/>
          <w:sz w:val="20"/>
          <w:szCs w:val="20"/>
        </w:rPr>
        <w:t>(ЕС)</w:t>
      </w:r>
      <w:r w:rsidR="008B6EE4">
        <w:rPr>
          <w:rFonts w:ascii="Verdana" w:hAnsi="Verdana"/>
          <w:sz w:val="20"/>
          <w:szCs w:val="20"/>
        </w:rPr>
        <w:t xml:space="preserve"> </w:t>
      </w:r>
      <w:r w:rsidR="008B6EE4" w:rsidRPr="003E19CD">
        <w:rPr>
          <w:rFonts w:ascii="Verdana" w:hAnsi="Verdana"/>
          <w:sz w:val="20"/>
          <w:szCs w:val="20"/>
        </w:rPr>
        <w:t xml:space="preserve">№ 808/2014 </w:t>
      </w:r>
      <w:r w:rsidRPr="003E19CD">
        <w:rPr>
          <w:rFonts w:ascii="Verdana" w:hAnsi="Verdana"/>
          <w:sz w:val="20"/>
          <w:szCs w:val="20"/>
        </w:rPr>
        <w:t>на Комисията от 17 юли 2014 г</w:t>
      </w:r>
      <w:r w:rsidR="008B6EE4">
        <w:rPr>
          <w:rFonts w:ascii="Verdana" w:hAnsi="Verdana"/>
          <w:sz w:val="20"/>
          <w:szCs w:val="20"/>
        </w:rPr>
        <w:t>.</w:t>
      </w:r>
      <w:r w:rsidRPr="003E19CD">
        <w:rPr>
          <w:rFonts w:ascii="Verdana" w:hAnsi="Verdana"/>
          <w:sz w:val="20"/>
          <w:szCs w:val="20"/>
        </w:rPr>
        <w:t xml:space="preserve">, за да може да се направи ново предложение за изменение на ПРСР 2014 – 2020 пред </w:t>
      </w:r>
      <w:r w:rsidR="008B6EE4">
        <w:rPr>
          <w:rFonts w:ascii="Verdana" w:hAnsi="Verdana"/>
          <w:sz w:val="20"/>
          <w:szCs w:val="20"/>
        </w:rPr>
        <w:t>ЕК</w:t>
      </w:r>
      <w:r w:rsidRPr="003E19CD">
        <w:rPr>
          <w:rFonts w:ascii="Verdana" w:hAnsi="Verdana"/>
          <w:sz w:val="20"/>
          <w:szCs w:val="20"/>
        </w:rPr>
        <w:t xml:space="preserve">, с което да се пренасочи финансов ресурс към подмярката, е необходимо да бъде одобрено вече внесеното. </w:t>
      </w:r>
    </w:p>
    <w:p w14:paraId="25738E4F" w14:textId="77777777" w:rsidR="00D0480F" w:rsidRPr="003E19CD" w:rsidRDefault="00D0480F" w:rsidP="008B6EE4">
      <w:pPr>
        <w:spacing w:line="360" w:lineRule="auto"/>
        <w:ind w:firstLine="720"/>
        <w:jc w:val="both"/>
        <w:rPr>
          <w:rFonts w:ascii="Verdana" w:hAnsi="Verdana"/>
          <w:sz w:val="20"/>
          <w:szCs w:val="20"/>
        </w:rPr>
      </w:pPr>
    </w:p>
    <w:p w14:paraId="67B4DDDD" w14:textId="77777777" w:rsidR="002F31FD" w:rsidRPr="006A6D7C" w:rsidRDefault="00273DE5" w:rsidP="00D82209">
      <w:pPr>
        <w:spacing w:line="360" w:lineRule="auto"/>
        <w:ind w:firstLine="720"/>
        <w:jc w:val="both"/>
        <w:rPr>
          <w:rFonts w:ascii="Verdana" w:hAnsi="Verdana"/>
          <w:b/>
          <w:sz w:val="20"/>
          <w:szCs w:val="20"/>
        </w:rPr>
      </w:pPr>
      <w:r w:rsidRPr="006A6D7C">
        <w:rPr>
          <w:rFonts w:ascii="Verdana" w:hAnsi="Verdana"/>
          <w:b/>
          <w:sz w:val="20"/>
          <w:szCs w:val="20"/>
        </w:rPr>
        <w:t xml:space="preserve">2. </w:t>
      </w:r>
      <w:r w:rsidR="0047524F" w:rsidRPr="006A6D7C">
        <w:rPr>
          <w:rFonts w:ascii="Verdana" w:hAnsi="Verdana"/>
          <w:b/>
          <w:sz w:val="20"/>
          <w:szCs w:val="20"/>
        </w:rPr>
        <w:t>Очаквани резултати от предлагането на проекта на акт</w:t>
      </w:r>
    </w:p>
    <w:p w14:paraId="20B05A14" w14:textId="00DAD52C" w:rsidR="00E1086F" w:rsidRDefault="009D110E" w:rsidP="0009225B">
      <w:pPr>
        <w:spacing w:line="360" w:lineRule="auto"/>
        <w:ind w:firstLine="720"/>
        <w:jc w:val="both"/>
        <w:rPr>
          <w:rFonts w:ascii="Verdana" w:hAnsi="Verdana"/>
          <w:sz w:val="20"/>
          <w:szCs w:val="20"/>
        </w:rPr>
      </w:pPr>
      <w:r w:rsidRPr="009D110E">
        <w:rPr>
          <w:rFonts w:ascii="Verdana" w:hAnsi="Verdana"/>
          <w:sz w:val="20"/>
          <w:szCs w:val="20"/>
        </w:rPr>
        <w:t>С приемането на решението се очаква да се одобрят максимален брой проекти по процедура за подбор № BG06RDNP001-7.020 – Енергийна ефективност, да се постигнат в по-голяма степен количествените цели по подмярката и финансова рамка по ПРСР 2014 – 2020 г.</w:t>
      </w:r>
      <w:r w:rsidR="003E19CD">
        <w:rPr>
          <w:rFonts w:ascii="Verdana" w:hAnsi="Verdana"/>
          <w:sz w:val="20"/>
          <w:szCs w:val="20"/>
        </w:rPr>
        <w:t xml:space="preserve"> </w:t>
      </w:r>
    </w:p>
    <w:p w14:paraId="7B6B7B2D" w14:textId="47AE0171" w:rsidR="0097499F" w:rsidRPr="00DA2311" w:rsidRDefault="0097499F" w:rsidP="00503111">
      <w:pPr>
        <w:spacing w:line="360" w:lineRule="auto"/>
        <w:ind w:firstLine="720"/>
        <w:jc w:val="both"/>
        <w:rPr>
          <w:rFonts w:ascii="Verdana" w:hAnsi="Verdana"/>
          <w:sz w:val="20"/>
          <w:szCs w:val="20"/>
        </w:rPr>
      </w:pPr>
      <w:r>
        <w:rPr>
          <w:rFonts w:ascii="Verdana" w:hAnsi="Verdana"/>
          <w:sz w:val="20"/>
          <w:szCs w:val="20"/>
        </w:rPr>
        <w:t xml:space="preserve">По предложението за </w:t>
      </w:r>
      <w:r w:rsidRPr="0097499F">
        <w:rPr>
          <w:rFonts w:ascii="Verdana" w:hAnsi="Verdana"/>
          <w:sz w:val="20"/>
          <w:szCs w:val="20"/>
        </w:rPr>
        <w:t>даване на съгласие Управляващият орган на Програмата за развитие на селските райони 2014 – 2020 г. да увеличи максималният размер на безвъзмездната финансова помощ по процедура за подбор №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Pr>
          <w:rFonts w:ascii="Verdana" w:hAnsi="Verdana"/>
          <w:sz w:val="20"/>
          <w:szCs w:val="20"/>
        </w:rPr>
        <w:t xml:space="preserve"> е изготвена </w:t>
      </w:r>
      <w:r w:rsidR="008D5EB5">
        <w:rPr>
          <w:rFonts w:ascii="Verdana" w:hAnsi="Verdana"/>
          <w:sz w:val="20"/>
          <w:szCs w:val="20"/>
        </w:rPr>
        <w:t xml:space="preserve">Таблица с </w:t>
      </w:r>
      <w:r w:rsidR="00AC75CA">
        <w:rPr>
          <w:rFonts w:ascii="Verdana" w:hAnsi="Verdana"/>
          <w:sz w:val="20"/>
          <w:szCs w:val="20"/>
        </w:rPr>
        <w:t>прогнозирани</w:t>
      </w:r>
      <w:r w:rsidR="008D5EB5">
        <w:rPr>
          <w:rFonts w:ascii="Verdana" w:hAnsi="Verdana"/>
          <w:sz w:val="20"/>
          <w:szCs w:val="20"/>
        </w:rPr>
        <w:t xml:space="preserve"> остатъци от процедурите по</w:t>
      </w:r>
      <w:r>
        <w:rPr>
          <w:rFonts w:ascii="Verdana" w:hAnsi="Verdana"/>
          <w:sz w:val="20"/>
          <w:szCs w:val="20"/>
        </w:rPr>
        <w:t xml:space="preserve"> </w:t>
      </w:r>
      <w:r w:rsidR="008D5EB5">
        <w:rPr>
          <w:rFonts w:ascii="Verdana" w:hAnsi="Verdana"/>
          <w:sz w:val="20"/>
          <w:szCs w:val="20"/>
        </w:rPr>
        <w:t xml:space="preserve">подмярка </w:t>
      </w:r>
      <w:r w:rsidR="008D5EB5" w:rsidRPr="008D5EB5">
        <w:rPr>
          <w:rFonts w:ascii="Verdana" w:hAnsi="Verdana"/>
          <w:sz w:val="20"/>
          <w:szCs w:val="20"/>
        </w:rPr>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w:t>
      </w:r>
      <w:r>
        <w:rPr>
          <w:rFonts w:ascii="Verdana" w:hAnsi="Verdana"/>
          <w:sz w:val="20"/>
          <w:szCs w:val="20"/>
        </w:rPr>
        <w:t>.</w:t>
      </w:r>
    </w:p>
    <w:tbl>
      <w:tblPr>
        <w:tblW w:w="10885" w:type="dxa"/>
        <w:jc w:val="center"/>
        <w:tblLayout w:type="fixed"/>
        <w:tblCellMar>
          <w:left w:w="70" w:type="dxa"/>
          <w:right w:w="70" w:type="dxa"/>
        </w:tblCellMar>
        <w:tblLook w:val="04A0" w:firstRow="1" w:lastRow="0" w:firstColumn="1" w:lastColumn="0" w:noHBand="0" w:noVBand="1"/>
      </w:tblPr>
      <w:tblGrid>
        <w:gridCol w:w="2212"/>
        <w:gridCol w:w="1474"/>
        <w:gridCol w:w="1474"/>
        <w:gridCol w:w="1474"/>
        <w:gridCol w:w="1417"/>
        <w:gridCol w:w="1417"/>
        <w:gridCol w:w="1417"/>
      </w:tblGrid>
      <w:tr w:rsidR="004D316B" w:rsidRPr="004D316B" w14:paraId="45028E5A" w14:textId="77777777" w:rsidTr="004D316B">
        <w:trPr>
          <w:trHeight w:val="1530"/>
          <w:jc w:val="center"/>
        </w:trPr>
        <w:tc>
          <w:tcPr>
            <w:tcW w:w="221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9DCF9EB" w14:textId="0B1F2AA2" w:rsidR="0097499F" w:rsidRPr="004D316B" w:rsidRDefault="0097499F" w:rsidP="0097499F">
            <w:pPr>
              <w:jc w:val="center"/>
              <w:rPr>
                <w:rFonts w:ascii="Verdana" w:hAnsi="Verdana" w:cs="Calibri"/>
                <w:b/>
                <w:bCs/>
                <w:color w:val="000000"/>
                <w:sz w:val="15"/>
                <w:szCs w:val="15"/>
              </w:rPr>
            </w:pPr>
            <w:r w:rsidRPr="004D316B">
              <w:rPr>
                <w:rFonts w:ascii="Verdana" w:hAnsi="Verdana" w:cs="Calibri"/>
                <w:b/>
                <w:bCs/>
                <w:color w:val="000000"/>
                <w:sz w:val="15"/>
                <w:szCs w:val="15"/>
              </w:rPr>
              <w:t>Мярка/Подмярка/</w:t>
            </w:r>
            <w:r w:rsidR="004D316B">
              <w:rPr>
                <w:rFonts w:ascii="Verdana" w:hAnsi="Verdana" w:cs="Calibri"/>
                <w:b/>
                <w:bCs/>
                <w:color w:val="000000"/>
                <w:sz w:val="15"/>
                <w:szCs w:val="15"/>
              </w:rPr>
              <w:t xml:space="preserve"> </w:t>
            </w:r>
            <w:r w:rsidRPr="004D316B">
              <w:rPr>
                <w:rFonts w:ascii="Verdana" w:hAnsi="Verdana" w:cs="Calibri"/>
                <w:b/>
                <w:bCs/>
                <w:color w:val="000000"/>
                <w:sz w:val="15"/>
                <w:szCs w:val="15"/>
              </w:rPr>
              <w:t>Процедура</w:t>
            </w:r>
          </w:p>
        </w:tc>
        <w:tc>
          <w:tcPr>
            <w:tcW w:w="1474" w:type="dxa"/>
            <w:tcBorders>
              <w:top w:val="single" w:sz="4" w:space="0" w:color="auto"/>
              <w:left w:val="nil"/>
              <w:bottom w:val="single" w:sz="4" w:space="0" w:color="auto"/>
              <w:right w:val="single" w:sz="4" w:space="0" w:color="auto"/>
            </w:tcBorders>
            <w:shd w:val="clear" w:color="000000" w:fill="D9D9D9"/>
            <w:vAlign w:val="center"/>
            <w:hideMark/>
          </w:tcPr>
          <w:p w14:paraId="62E5EC4D" w14:textId="2DD06B4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 xml:space="preserve">Бюджет по процедурата </w:t>
            </w:r>
            <w:r w:rsidR="004D316B" w:rsidRPr="004D316B">
              <w:rPr>
                <w:rFonts w:ascii="Verdana" w:hAnsi="Verdana" w:cs="Calibri"/>
                <w:b/>
                <w:bCs/>
                <w:color w:val="000000"/>
                <w:sz w:val="15"/>
                <w:szCs w:val="15"/>
              </w:rPr>
              <w:br/>
            </w:r>
            <w:r w:rsidRPr="004D316B">
              <w:rPr>
                <w:rFonts w:ascii="Verdana" w:hAnsi="Verdana" w:cs="Calibri"/>
                <w:b/>
                <w:bCs/>
                <w:color w:val="000000"/>
                <w:sz w:val="15"/>
                <w:szCs w:val="15"/>
              </w:rPr>
              <w:t>в лв.</w:t>
            </w:r>
          </w:p>
        </w:tc>
        <w:tc>
          <w:tcPr>
            <w:tcW w:w="1474" w:type="dxa"/>
            <w:tcBorders>
              <w:top w:val="single" w:sz="4" w:space="0" w:color="auto"/>
              <w:left w:val="nil"/>
              <w:bottom w:val="single" w:sz="4" w:space="0" w:color="auto"/>
              <w:right w:val="single" w:sz="4" w:space="0" w:color="auto"/>
            </w:tcBorders>
            <w:shd w:val="clear" w:color="000000" w:fill="D9D9D9"/>
            <w:vAlign w:val="center"/>
            <w:hideMark/>
          </w:tcPr>
          <w:p w14:paraId="29A720CA" w14:textId="1D25370D"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 xml:space="preserve">Обща стойност на заявени разходи </w:t>
            </w:r>
            <w:r w:rsidR="004D316B" w:rsidRPr="004D316B">
              <w:rPr>
                <w:rFonts w:ascii="Verdana" w:hAnsi="Verdana" w:cs="Calibri"/>
                <w:b/>
                <w:bCs/>
                <w:color w:val="000000"/>
                <w:sz w:val="15"/>
                <w:szCs w:val="15"/>
              </w:rPr>
              <w:br/>
            </w:r>
            <w:r w:rsidRPr="004D316B">
              <w:rPr>
                <w:rFonts w:ascii="Verdana" w:hAnsi="Verdana" w:cs="Calibri"/>
                <w:b/>
                <w:bCs/>
                <w:color w:val="000000"/>
                <w:sz w:val="15"/>
                <w:szCs w:val="15"/>
              </w:rPr>
              <w:t>в лв.</w:t>
            </w:r>
          </w:p>
        </w:tc>
        <w:tc>
          <w:tcPr>
            <w:tcW w:w="1474" w:type="dxa"/>
            <w:tcBorders>
              <w:top w:val="single" w:sz="4" w:space="0" w:color="auto"/>
              <w:left w:val="nil"/>
              <w:bottom w:val="single" w:sz="4" w:space="0" w:color="auto"/>
              <w:right w:val="single" w:sz="4" w:space="0" w:color="auto"/>
            </w:tcBorders>
            <w:shd w:val="clear" w:color="000000" w:fill="D9D9D9"/>
            <w:vAlign w:val="center"/>
            <w:hideMark/>
          </w:tcPr>
          <w:p w14:paraId="0BA19E8E" w14:textId="3DEB6653"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 xml:space="preserve">Обща стойност на одобрените разходи </w:t>
            </w:r>
            <w:r w:rsidR="004D316B" w:rsidRPr="004D316B">
              <w:rPr>
                <w:rFonts w:ascii="Verdana" w:hAnsi="Verdana" w:cs="Calibri"/>
                <w:b/>
                <w:bCs/>
                <w:color w:val="000000"/>
                <w:sz w:val="15"/>
                <w:szCs w:val="15"/>
              </w:rPr>
              <w:br/>
            </w:r>
            <w:r w:rsidRPr="004D316B">
              <w:rPr>
                <w:rFonts w:ascii="Verdana" w:hAnsi="Verdana" w:cs="Calibri"/>
                <w:b/>
                <w:bCs/>
                <w:color w:val="000000"/>
                <w:sz w:val="15"/>
                <w:szCs w:val="15"/>
              </w:rPr>
              <w:t>в лв.</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524C77C4" w14:textId="11610B9A" w:rsidR="0097499F" w:rsidRPr="004D316B" w:rsidRDefault="0097499F" w:rsidP="0026429A">
            <w:pPr>
              <w:jc w:val="center"/>
              <w:rPr>
                <w:rFonts w:ascii="Verdana" w:hAnsi="Verdana" w:cs="Calibri"/>
                <w:b/>
                <w:bCs/>
                <w:color w:val="000000"/>
                <w:sz w:val="15"/>
                <w:szCs w:val="15"/>
              </w:rPr>
            </w:pPr>
            <w:r w:rsidRPr="004D316B">
              <w:rPr>
                <w:rFonts w:ascii="Verdana" w:hAnsi="Verdana" w:cs="Calibri"/>
                <w:b/>
                <w:bCs/>
                <w:color w:val="000000"/>
                <w:sz w:val="15"/>
                <w:szCs w:val="15"/>
              </w:rPr>
              <w:t xml:space="preserve">Обща стойност на проектите в процес на обработка (по заявена субсидия) </w:t>
            </w:r>
            <w:r w:rsidR="004D316B" w:rsidRPr="004D316B">
              <w:rPr>
                <w:rFonts w:ascii="Verdana" w:hAnsi="Verdana" w:cs="Calibri"/>
                <w:b/>
                <w:bCs/>
                <w:color w:val="000000"/>
                <w:sz w:val="15"/>
                <w:szCs w:val="15"/>
              </w:rPr>
              <w:br/>
            </w:r>
            <w:r w:rsidRPr="004D316B">
              <w:rPr>
                <w:rFonts w:ascii="Verdana" w:hAnsi="Verdana" w:cs="Calibri"/>
                <w:b/>
                <w:bCs/>
                <w:color w:val="000000"/>
                <w:sz w:val="15"/>
                <w:szCs w:val="15"/>
              </w:rPr>
              <w:t>в лв.</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5A9B6D4C"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Статистически процент на редукция на разходите (14%)</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17BCE74F" w14:textId="389FBFE4"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 xml:space="preserve">Остатъчни средства по процедурата </w:t>
            </w:r>
            <w:r w:rsidR="004D316B" w:rsidRPr="004D316B">
              <w:rPr>
                <w:rFonts w:ascii="Verdana" w:hAnsi="Verdana" w:cs="Calibri"/>
                <w:b/>
                <w:bCs/>
                <w:color w:val="000000"/>
                <w:sz w:val="15"/>
                <w:szCs w:val="15"/>
              </w:rPr>
              <w:br/>
            </w:r>
            <w:r w:rsidRPr="004D316B">
              <w:rPr>
                <w:rFonts w:ascii="Verdana" w:hAnsi="Verdana" w:cs="Calibri"/>
                <w:b/>
                <w:bCs/>
                <w:color w:val="000000"/>
                <w:sz w:val="15"/>
                <w:szCs w:val="15"/>
              </w:rPr>
              <w:t>в лв.</w:t>
            </w:r>
          </w:p>
        </w:tc>
      </w:tr>
      <w:tr w:rsidR="004D316B" w:rsidRPr="004D316B" w14:paraId="110709CC" w14:textId="77777777" w:rsidTr="004D316B">
        <w:trPr>
          <w:trHeight w:val="300"/>
          <w:jc w:val="center"/>
        </w:trPr>
        <w:tc>
          <w:tcPr>
            <w:tcW w:w="2212" w:type="dxa"/>
            <w:tcBorders>
              <w:top w:val="nil"/>
              <w:left w:val="single" w:sz="4" w:space="0" w:color="auto"/>
              <w:bottom w:val="single" w:sz="4" w:space="0" w:color="auto"/>
              <w:right w:val="single" w:sz="4" w:space="0" w:color="auto"/>
            </w:tcBorders>
            <w:shd w:val="clear" w:color="000000" w:fill="D9D9D9"/>
            <w:noWrap/>
            <w:vAlign w:val="center"/>
            <w:hideMark/>
          </w:tcPr>
          <w:p w14:paraId="0E1BE592"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 </w:t>
            </w:r>
          </w:p>
        </w:tc>
        <w:tc>
          <w:tcPr>
            <w:tcW w:w="1474" w:type="dxa"/>
            <w:tcBorders>
              <w:top w:val="nil"/>
              <w:left w:val="nil"/>
              <w:bottom w:val="single" w:sz="4" w:space="0" w:color="auto"/>
              <w:right w:val="single" w:sz="4" w:space="0" w:color="auto"/>
            </w:tcBorders>
            <w:shd w:val="clear" w:color="000000" w:fill="D9D9D9"/>
            <w:vAlign w:val="center"/>
            <w:hideMark/>
          </w:tcPr>
          <w:p w14:paraId="5F42C178"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А</w:t>
            </w:r>
          </w:p>
        </w:tc>
        <w:tc>
          <w:tcPr>
            <w:tcW w:w="1474" w:type="dxa"/>
            <w:tcBorders>
              <w:top w:val="nil"/>
              <w:left w:val="nil"/>
              <w:bottom w:val="single" w:sz="4" w:space="0" w:color="auto"/>
              <w:right w:val="single" w:sz="4" w:space="0" w:color="auto"/>
            </w:tcBorders>
            <w:shd w:val="clear" w:color="000000" w:fill="D9D9D9"/>
            <w:vAlign w:val="center"/>
            <w:hideMark/>
          </w:tcPr>
          <w:p w14:paraId="1F04F19C"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Б</w:t>
            </w:r>
          </w:p>
        </w:tc>
        <w:tc>
          <w:tcPr>
            <w:tcW w:w="1474" w:type="dxa"/>
            <w:tcBorders>
              <w:top w:val="nil"/>
              <w:left w:val="nil"/>
              <w:bottom w:val="single" w:sz="4" w:space="0" w:color="auto"/>
              <w:right w:val="single" w:sz="4" w:space="0" w:color="auto"/>
            </w:tcBorders>
            <w:shd w:val="clear" w:color="000000" w:fill="D9D9D9"/>
            <w:vAlign w:val="center"/>
            <w:hideMark/>
          </w:tcPr>
          <w:p w14:paraId="1BB5BF6C"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В</w:t>
            </w:r>
          </w:p>
        </w:tc>
        <w:tc>
          <w:tcPr>
            <w:tcW w:w="1417" w:type="dxa"/>
            <w:tcBorders>
              <w:top w:val="nil"/>
              <w:left w:val="nil"/>
              <w:bottom w:val="single" w:sz="4" w:space="0" w:color="auto"/>
              <w:right w:val="single" w:sz="4" w:space="0" w:color="auto"/>
            </w:tcBorders>
            <w:shd w:val="clear" w:color="000000" w:fill="D9D9D9"/>
            <w:vAlign w:val="center"/>
            <w:hideMark/>
          </w:tcPr>
          <w:p w14:paraId="267D4C3B"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Г</w:t>
            </w:r>
          </w:p>
        </w:tc>
        <w:tc>
          <w:tcPr>
            <w:tcW w:w="1417" w:type="dxa"/>
            <w:tcBorders>
              <w:top w:val="nil"/>
              <w:left w:val="nil"/>
              <w:bottom w:val="single" w:sz="4" w:space="0" w:color="auto"/>
              <w:right w:val="single" w:sz="4" w:space="0" w:color="auto"/>
            </w:tcBorders>
            <w:shd w:val="clear" w:color="000000" w:fill="D9D9D9"/>
            <w:vAlign w:val="center"/>
            <w:hideMark/>
          </w:tcPr>
          <w:p w14:paraId="2FE23D8A"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Д</w:t>
            </w:r>
          </w:p>
        </w:tc>
        <w:tc>
          <w:tcPr>
            <w:tcW w:w="1417" w:type="dxa"/>
            <w:tcBorders>
              <w:top w:val="nil"/>
              <w:left w:val="nil"/>
              <w:bottom w:val="single" w:sz="4" w:space="0" w:color="auto"/>
              <w:right w:val="single" w:sz="4" w:space="0" w:color="auto"/>
            </w:tcBorders>
            <w:shd w:val="clear" w:color="000000" w:fill="D9D9D9"/>
            <w:vAlign w:val="center"/>
            <w:hideMark/>
          </w:tcPr>
          <w:p w14:paraId="155FA343" w14:textId="77777777" w:rsidR="0097499F" w:rsidRPr="004D316B" w:rsidRDefault="0097499F" w:rsidP="005D390F">
            <w:pPr>
              <w:jc w:val="center"/>
              <w:rPr>
                <w:rFonts w:ascii="Verdana" w:hAnsi="Verdana" w:cs="Calibri"/>
                <w:b/>
                <w:bCs/>
                <w:color w:val="000000"/>
                <w:sz w:val="15"/>
                <w:szCs w:val="15"/>
              </w:rPr>
            </w:pPr>
            <w:r w:rsidRPr="004D316B">
              <w:rPr>
                <w:rFonts w:ascii="Verdana" w:hAnsi="Verdana" w:cs="Calibri"/>
                <w:b/>
                <w:bCs/>
                <w:color w:val="000000"/>
                <w:sz w:val="15"/>
                <w:szCs w:val="15"/>
              </w:rPr>
              <w:t>Е</w:t>
            </w:r>
          </w:p>
        </w:tc>
      </w:tr>
      <w:tr w:rsidR="004D316B" w:rsidRPr="004D316B" w14:paraId="133F6B43" w14:textId="77777777" w:rsidTr="004D316B">
        <w:trPr>
          <w:trHeight w:val="525"/>
          <w:jc w:val="center"/>
        </w:trPr>
        <w:tc>
          <w:tcPr>
            <w:tcW w:w="2212" w:type="dxa"/>
            <w:tcBorders>
              <w:top w:val="nil"/>
              <w:left w:val="single" w:sz="4" w:space="0" w:color="auto"/>
              <w:bottom w:val="single" w:sz="4" w:space="0" w:color="auto"/>
              <w:right w:val="single" w:sz="4" w:space="0" w:color="auto"/>
            </w:tcBorders>
            <w:shd w:val="clear" w:color="auto" w:fill="auto"/>
            <w:vAlign w:val="center"/>
            <w:hideMark/>
          </w:tcPr>
          <w:p w14:paraId="560FA363" w14:textId="77777777" w:rsidR="0097499F" w:rsidRPr="004D316B" w:rsidRDefault="0097499F" w:rsidP="005D390F">
            <w:pPr>
              <w:rPr>
                <w:rFonts w:ascii="Verdana" w:hAnsi="Verdana" w:cs="Calibri"/>
                <w:color w:val="000000"/>
                <w:sz w:val="15"/>
                <w:szCs w:val="15"/>
              </w:rPr>
            </w:pPr>
            <w:r w:rsidRPr="004D316B">
              <w:rPr>
                <w:rFonts w:ascii="Verdana" w:hAnsi="Verdana" w:cs="Calibri"/>
                <w:color w:val="000000"/>
                <w:sz w:val="15"/>
                <w:szCs w:val="15"/>
              </w:rPr>
              <w:t xml:space="preserve">Мярка 7 „Основни услуги и обновяване на селата в селските райони“ </w:t>
            </w:r>
          </w:p>
        </w:tc>
        <w:tc>
          <w:tcPr>
            <w:tcW w:w="1474" w:type="dxa"/>
            <w:tcBorders>
              <w:top w:val="nil"/>
              <w:left w:val="nil"/>
              <w:bottom w:val="single" w:sz="4" w:space="0" w:color="auto"/>
              <w:right w:val="single" w:sz="4" w:space="0" w:color="auto"/>
            </w:tcBorders>
            <w:shd w:val="clear" w:color="auto" w:fill="auto"/>
            <w:noWrap/>
            <w:vAlign w:val="center"/>
            <w:hideMark/>
          </w:tcPr>
          <w:p w14:paraId="30FBE35C"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74" w:type="dxa"/>
            <w:tcBorders>
              <w:top w:val="nil"/>
              <w:left w:val="nil"/>
              <w:bottom w:val="single" w:sz="4" w:space="0" w:color="auto"/>
              <w:right w:val="single" w:sz="4" w:space="0" w:color="auto"/>
            </w:tcBorders>
            <w:shd w:val="clear" w:color="auto" w:fill="auto"/>
            <w:noWrap/>
            <w:vAlign w:val="center"/>
            <w:hideMark/>
          </w:tcPr>
          <w:p w14:paraId="4A4E0475"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74" w:type="dxa"/>
            <w:tcBorders>
              <w:top w:val="nil"/>
              <w:left w:val="nil"/>
              <w:bottom w:val="single" w:sz="4" w:space="0" w:color="auto"/>
              <w:right w:val="single" w:sz="4" w:space="0" w:color="auto"/>
            </w:tcBorders>
            <w:shd w:val="clear" w:color="auto" w:fill="auto"/>
            <w:noWrap/>
            <w:vAlign w:val="center"/>
            <w:hideMark/>
          </w:tcPr>
          <w:p w14:paraId="2E0DD3A6"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637D444B"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57B1EBE7"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5FB3E405"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r>
      <w:tr w:rsidR="004D316B" w:rsidRPr="004D316B" w14:paraId="6C2207D4" w14:textId="77777777" w:rsidTr="004D316B">
        <w:trPr>
          <w:trHeight w:val="900"/>
          <w:jc w:val="center"/>
        </w:trPr>
        <w:tc>
          <w:tcPr>
            <w:tcW w:w="2212" w:type="dxa"/>
            <w:tcBorders>
              <w:top w:val="nil"/>
              <w:left w:val="single" w:sz="4" w:space="0" w:color="auto"/>
              <w:bottom w:val="single" w:sz="4" w:space="0" w:color="auto"/>
              <w:right w:val="single" w:sz="4" w:space="0" w:color="auto"/>
            </w:tcBorders>
            <w:shd w:val="clear" w:color="auto" w:fill="auto"/>
            <w:vAlign w:val="center"/>
            <w:hideMark/>
          </w:tcPr>
          <w:p w14:paraId="03029BD8" w14:textId="77777777" w:rsidR="0097499F" w:rsidRPr="004D316B" w:rsidRDefault="0097499F" w:rsidP="005D390F">
            <w:pPr>
              <w:rPr>
                <w:rFonts w:ascii="Verdana" w:hAnsi="Verdana" w:cs="Calibri"/>
                <w:color w:val="000000"/>
                <w:sz w:val="15"/>
                <w:szCs w:val="15"/>
              </w:rPr>
            </w:pPr>
            <w:r w:rsidRPr="004D316B">
              <w:rPr>
                <w:rFonts w:ascii="Verdana" w:hAnsi="Verdana" w:cs="Calibri"/>
                <w:color w:val="000000"/>
                <w:sz w:val="15"/>
                <w:szCs w:val="15"/>
              </w:rPr>
              <w:t>Подмярка 7.2. „Инвестиции в създаването, подобряването или разширяването на всички видове малка по мащаби инфраструктура“</w:t>
            </w:r>
          </w:p>
        </w:tc>
        <w:tc>
          <w:tcPr>
            <w:tcW w:w="1474" w:type="dxa"/>
            <w:tcBorders>
              <w:top w:val="nil"/>
              <w:left w:val="nil"/>
              <w:bottom w:val="single" w:sz="4" w:space="0" w:color="auto"/>
              <w:right w:val="single" w:sz="4" w:space="0" w:color="auto"/>
            </w:tcBorders>
            <w:shd w:val="clear" w:color="auto" w:fill="auto"/>
            <w:noWrap/>
            <w:vAlign w:val="center"/>
            <w:hideMark/>
          </w:tcPr>
          <w:p w14:paraId="16217148"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74" w:type="dxa"/>
            <w:tcBorders>
              <w:top w:val="nil"/>
              <w:left w:val="nil"/>
              <w:bottom w:val="single" w:sz="4" w:space="0" w:color="auto"/>
              <w:right w:val="single" w:sz="4" w:space="0" w:color="auto"/>
            </w:tcBorders>
            <w:shd w:val="clear" w:color="auto" w:fill="auto"/>
            <w:noWrap/>
            <w:vAlign w:val="center"/>
            <w:hideMark/>
          </w:tcPr>
          <w:p w14:paraId="1C039966"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74" w:type="dxa"/>
            <w:tcBorders>
              <w:top w:val="nil"/>
              <w:left w:val="nil"/>
              <w:bottom w:val="single" w:sz="4" w:space="0" w:color="auto"/>
              <w:right w:val="single" w:sz="4" w:space="0" w:color="auto"/>
            </w:tcBorders>
            <w:shd w:val="clear" w:color="auto" w:fill="auto"/>
            <w:noWrap/>
            <w:vAlign w:val="center"/>
            <w:hideMark/>
          </w:tcPr>
          <w:p w14:paraId="5120980C"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6A75F4D3"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4A3E3524"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c>
          <w:tcPr>
            <w:tcW w:w="1417" w:type="dxa"/>
            <w:tcBorders>
              <w:top w:val="nil"/>
              <w:left w:val="nil"/>
              <w:bottom w:val="single" w:sz="4" w:space="0" w:color="auto"/>
              <w:right w:val="single" w:sz="4" w:space="0" w:color="auto"/>
            </w:tcBorders>
            <w:shd w:val="clear" w:color="auto" w:fill="auto"/>
            <w:noWrap/>
            <w:vAlign w:val="center"/>
            <w:hideMark/>
          </w:tcPr>
          <w:p w14:paraId="4F8994E5"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 </w:t>
            </w:r>
          </w:p>
        </w:tc>
      </w:tr>
      <w:tr w:rsidR="004D316B" w:rsidRPr="004D316B" w14:paraId="6676BA56" w14:textId="77777777" w:rsidTr="004D316B">
        <w:trPr>
          <w:trHeight w:val="300"/>
          <w:jc w:val="center"/>
        </w:trPr>
        <w:tc>
          <w:tcPr>
            <w:tcW w:w="2212" w:type="dxa"/>
            <w:tcBorders>
              <w:top w:val="nil"/>
              <w:left w:val="single" w:sz="4" w:space="0" w:color="auto"/>
              <w:bottom w:val="single" w:sz="4" w:space="0" w:color="auto"/>
              <w:right w:val="single" w:sz="4" w:space="0" w:color="auto"/>
            </w:tcBorders>
            <w:shd w:val="clear" w:color="auto" w:fill="auto"/>
            <w:noWrap/>
            <w:vAlign w:val="bottom"/>
            <w:hideMark/>
          </w:tcPr>
          <w:p w14:paraId="70934CC5" w14:textId="24AFB86F" w:rsidR="0097499F" w:rsidRPr="004D316B" w:rsidRDefault="0097499F" w:rsidP="005D390F">
            <w:pPr>
              <w:rPr>
                <w:rFonts w:ascii="Verdana" w:hAnsi="Verdana" w:cs="Calibri"/>
                <w:color w:val="000000"/>
                <w:sz w:val="15"/>
                <w:szCs w:val="15"/>
              </w:rPr>
            </w:pPr>
            <w:r w:rsidRPr="004D316B">
              <w:rPr>
                <w:rFonts w:ascii="Verdana" w:hAnsi="Verdana" w:cs="Calibri"/>
                <w:color w:val="000000"/>
                <w:sz w:val="15"/>
                <w:szCs w:val="15"/>
              </w:rPr>
              <w:t xml:space="preserve">Процедура BG06RDNP001-7.017 </w:t>
            </w:r>
            <w:r w:rsidR="0026429A">
              <w:rPr>
                <w:rFonts w:ascii="Verdana" w:hAnsi="Verdana" w:cs="Calibri"/>
                <w:color w:val="000000"/>
                <w:sz w:val="15"/>
                <w:szCs w:val="15"/>
              </w:rPr>
              <w:t>–</w:t>
            </w:r>
            <w:r w:rsidRPr="004D316B">
              <w:rPr>
                <w:rFonts w:ascii="Verdana" w:hAnsi="Verdana" w:cs="Calibri"/>
                <w:color w:val="000000"/>
                <w:sz w:val="15"/>
                <w:szCs w:val="15"/>
              </w:rPr>
              <w:t xml:space="preserve"> УЛИЦИ</w:t>
            </w:r>
          </w:p>
        </w:tc>
        <w:tc>
          <w:tcPr>
            <w:tcW w:w="1474" w:type="dxa"/>
            <w:tcBorders>
              <w:top w:val="nil"/>
              <w:left w:val="nil"/>
              <w:bottom w:val="single" w:sz="4" w:space="0" w:color="auto"/>
              <w:right w:val="single" w:sz="4" w:space="0" w:color="auto"/>
            </w:tcBorders>
            <w:shd w:val="clear" w:color="auto" w:fill="auto"/>
            <w:noWrap/>
            <w:vAlign w:val="center"/>
            <w:hideMark/>
          </w:tcPr>
          <w:p w14:paraId="5DF50C0A"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147 953 595,23</w:t>
            </w:r>
          </w:p>
        </w:tc>
        <w:tc>
          <w:tcPr>
            <w:tcW w:w="1474" w:type="dxa"/>
            <w:tcBorders>
              <w:top w:val="nil"/>
              <w:left w:val="nil"/>
              <w:bottom w:val="single" w:sz="4" w:space="0" w:color="auto"/>
              <w:right w:val="single" w:sz="4" w:space="0" w:color="auto"/>
            </w:tcBorders>
            <w:shd w:val="clear" w:color="auto" w:fill="auto"/>
            <w:noWrap/>
            <w:vAlign w:val="center"/>
            <w:hideMark/>
          </w:tcPr>
          <w:p w14:paraId="1CDBB9D2"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143 935 928,61</w:t>
            </w:r>
          </w:p>
        </w:tc>
        <w:tc>
          <w:tcPr>
            <w:tcW w:w="1474" w:type="dxa"/>
            <w:tcBorders>
              <w:top w:val="nil"/>
              <w:left w:val="nil"/>
              <w:bottom w:val="single" w:sz="4" w:space="0" w:color="auto"/>
              <w:right w:val="single" w:sz="4" w:space="0" w:color="auto"/>
            </w:tcBorders>
            <w:shd w:val="clear" w:color="auto" w:fill="auto"/>
            <w:noWrap/>
            <w:vAlign w:val="center"/>
            <w:hideMark/>
          </w:tcPr>
          <w:p w14:paraId="34746D21"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72 111 746,40</w:t>
            </w:r>
          </w:p>
        </w:tc>
        <w:tc>
          <w:tcPr>
            <w:tcW w:w="1417" w:type="dxa"/>
            <w:tcBorders>
              <w:top w:val="nil"/>
              <w:left w:val="nil"/>
              <w:bottom w:val="single" w:sz="4" w:space="0" w:color="auto"/>
              <w:right w:val="single" w:sz="4" w:space="0" w:color="auto"/>
            </w:tcBorders>
            <w:shd w:val="clear" w:color="auto" w:fill="auto"/>
            <w:noWrap/>
            <w:vAlign w:val="center"/>
            <w:hideMark/>
          </w:tcPr>
          <w:p w14:paraId="718B5B89"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70 593 410,90</w:t>
            </w:r>
          </w:p>
        </w:tc>
        <w:tc>
          <w:tcPr>
            <w:tcW w:w="1417" w:type="dxa"/>
            <w:tcBorders>
              <w:top w:val="nil"/>
              <w:left w:val="nil"/>
              <w:bottom w:val="single" w:sz="4" w:space="0" w:color="auto"/>
              <w:right w:val="single" w:sz="4" w:space="0" w:color="auto"/>
            </w:tcBorders>
            <w:shd w:val="clear" w:color="auto" w:fill="auto"/>
            <w:noWrap/>
            <w:vAlign w:val="center"/>
            <w:hideMark/>
          </w:tcPr>
          <w:p w14:paraId="0A437ABA"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9 883 077,53</w:t>
            </w:r>
          </w:p>
        </w:tc>
        <w:tc>
          <w:tcPr>
            <w:tcW w:w="1417" w:type="dxa"/>
            <w:tcBorders>
              <w:top w:val="nil"/>
              <w:left w:val="nil"/>
              <w:bottom w:val="single" w:sz="4" w:space="0" w:color="auto"/>
              <w:right w:val="single" w:sz="4" w:space="0" w:color="auto"/>
            </w:tcBorders>
            <w:shd w:val="clear" w:color="auto" w:fill="auto"/>
            <w:noWrap/>
            <w:vAlign w:val="center"/>
            <w:hideMark/>
          </w:tcPr>
          <w:p w14:paraId="59C7F109"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15 131 515,46</w:t>
            </w:r>
          </w:p>
        </w:tc>
      </w:tr>
      <w:tr w:rsidR="004D316B" w:rsidRPr="004D316B" w14:paraId="6A9C1799" w14:textId="77777777" w:rsidTr="004D316B">
        <w:trPr>
          <w:trHeight w:val="300"/>
          <w:jc w:val="center"/>
        </w:trPr>
        <w:tc>
          <w:tcPr>
            <w:tcW w:w="2212" w:type="dxa"/>
            <w:tcBorders>
              <w:top w:val="nil"/>
              <w:left w:val="single" w:sz="4" w:space="0" w:color="auto"/>
              <w:bottom w:val="single" w:sz="4" w:space="0" w:color="auto"/>
              <w:right w:val="single" w:sz="4" w:space="0" w:color="auto"/>
            </w:tcBorders>
            <w:shd w:val="clear" w:color="auto" w:fill="auto"/>
            <w:noWrap/>
            <w:vAlign w:val="bottom"/>
            <w:hideMark/>
          </w:tcPr>
          <w:p w14:paraId="73D76DCD" w14:textId="2F52931A" w:rsidR="0097499F" w:rsidRPr="004D316B" w:rsidRDefault="0097499F" w:rsidP="005D390F">
            <w:pPr>
              <w:rPr>
                <w:rFonts w:ascii="Verdana" w:hAnsi="Verdana" w:cs="Calibri"/>
                <w:color w:val="000000"/>
                <w:sz w:val="15"/>
                <w:szCs w:val="15"/>
              </w:rPr>
            </w:pPr>
            <w:r w:rsidRPr="004D316B">
              <w:rPr>
                <w:rFonts w:ascii="Verdana" w:hAnsi="Verdana" w:cs="Calibri"/>
                <w:color w:val="000000"/>
                <w:sz w:val="15"/>
                <w:szCs w:val="15"/>
              </w:rPr>
              <w:t xml:space="preserve">Процедура BG06RDNP001-7.019 </w:t>
            </w:r>
            <w:r w:rsidR="0026429A">
              <w:rPr>
                <w:rFonts w:ascii="Verdana" w:hAnsi="Verdana" w:cs="Calibri"/>
                <w:color w:val="000000"/>
                <w:sz w:val="15"/>
                <w:szCs w:val="15"/>
              </w:rPr>
              <w:t>–</w:t>
            </w:r>
            <w:r w:rsidRPr="004D316B">
              <w:rPr>
                <w:rFonts w:ascii="Verdana" w:hAnsi="Verdana" w:cs="Calibri"/>
                <w:color w:val="000000"/>
                <w:sz w:val="15"/>
                <w:szCs w:val="15"/>
              </w:rPr>
              <w:t xml:space="preserve"> ПЪТИЩА</w:t>
            </w:r>
          </w:p>
        </w:tc>
        <w:tc>
          <w:tcPr>
            <w:tcW w:w="1474" w:type="dxa"/>
            <w:tcBorders>
              <w:top w:val="nil"/>
              <w:left w:val="nil"/>
              <w:bottom w:val="single" w:sz="4" w:space="0" w:color="auto"/>
              <w:right w:val="single" w:sz="4" w:space="0" w:color="auto"/>
            </w:tcBorders>
            <w:shd w:val="clear" w:color="auto" w:fill="auto"/>
            <w:noWrap/>
            <w:vAlign w:val="center"/>
            <w:hideMark/>
          </w:tcPr>
          <w:p w14:paraId="2A9C3547"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119 694 418,04</w:t>
            </w:r>
          </w:p>
        </w:tc>
        <w:tc>
          <w:tcPr>
            <w:tcW w:w="1474" w:type="dxa"/>
            <w:tcBorders>
              <w:top w:val="nil"/>
              <w:left w:val="nil"/>
              <w:bottom w:val="single" w:sz="4" w:space="0" w:color="auto"/>
              <w:right w:val="single" w:sz="4" w:space="0" w:color="auto"/>
            </w:tcBorders>
            <w:shd w:val="clear" w:color="auto" w:fill="auto"/>
            <w:noWrap/>
            <w:vAlign w:val="center"/>
            <w:hideMark/>
          </w:tcPr>
          <w:p w14:paraId="45B4BC89" w14:textId="3792424A"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127 432 013,37</w:t>
            </w:r>
          </w:p>
        </w:tc>
        <w:tc>
          <w:tcPr>
            <w:tcW w:w="1474" w:type="dxa"/>
            <w:tcBorders>
              <w:top w:val="nil"/>
              <w:left w:val="nil"/>
              <w:bottom w:val="single" w:sz="4" w:space="0" w:color="auto"/>
              <w:right w:val="single" w:sz="4" w:space="0" w:color="auto"/>
            </w:tcBorders>
            <w:shd w:val="clear" w:color="auto" w:fill="auto"/>
            <w:noWrap/>
            <w:vAlign w:val="center"/>
            <w:hideMark/>
          </w:tcPr>
          <w:p w14:paraId="41B1A225"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112 941 006,08</w:t>
            </w:r>
          </w:p>
        </w:tc>
        <w:tc>
          <w:tcPr>
            <w:tcW w:w="1417" w:type="dxa"/>
            <w:tcBorders>
              <w:top w:val="nil"/>
              <w:left w:val="nil"/>
              <w:bottom w:val="single" w:sz="4" w:space="0" w:color="auto"/>
              <w:right w:val="single" w:sz="4" w:space="0" w:color="auto"/>
            </w:tcBorders>
            <w:shd w:val="clear" w:color="auto" w:fill="auto"/>
            <w:noWrap/>
            <w:vAlign w:val="center"/>
            <w:hideMark/>
          </w:tcPr>
          <w:p w14:paraId="56A63F21"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4 832 987,51</w:t>
            </w:r>
          </w:p>
        </w:tc>
        <w:tc>
          <w:tcPr>
            <w:tcW w:w="1417" w:type="dxa"/>
            <w:tcBorders>
              <w:top w:val="nil"/>
              <w:left w:val="nil"/>
              <w:bottom w:val="single" w:sz="4" w:space="0" w:color="auto"/>
              <w:right w:val="single" w:sz="4" w:space="0" w:color="auto"/>
            </w:tcBorders>
            <w:shd w:val="clear" w:color="auto" w:fill="auto"/>
            <w:noWrap/>
            <w:vAlign w:val="center"/>
            <w:hideMark/>
          </w:tcPr>
          <w:p w14:paraId="42D0BF16"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676 618,25</w:t>
            </w:r>
          </w:p>
        </w:tc>
        <w:tc>
          <w:tcPr>
            <w:tcW w:w="1417" w:type="dxa"/>
            <w:tcBorders>
              <w:top w:val="nil"/>
              <w:left w:val="nil"/>
              <w:bottom w:val="single" w:sz="4" w:space="0" w:color="auto"/>
              <w:right w:val="single" w:sz="4" w:space="0" w:color="auto"/>
            </w:tcBorders>
            <w:shd w:val="clear" w:color="auto" w:fill="auto"/>
            <w:noWrap/>
            <w:vAlign w:val="center"/>
            <w:hideMark/>
          </w:tcPr>
          <w:p w14:paraId="5D3F909F"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2 597 042,70</w:t>
            </w:r>
          </w:p>
        </w:tc>
      </w:tr>
      <w:tr w:rsidR="004D316B" w:rsidRPr="004D316B" w14:paraId="6801B5C8" w14:textId="77777777" w:rsidTr="004D316B">
        <w:trPr>
          <w:trHeight w:val="300"/>
          <w:jc w:val="center"/>
        </w:trPr>
        <w:tc>
          <w:tcPr>
            <w:tcW w:w="2212" w:type="dxa"/>
            <w:tcBorders>
              <w:top w:val="nil"/>
              <w:left w:val="single" w:sz="4" w:space="0" w:color="auto"/>
              <w:bottom w:val="single" w:sz="4" w:space="0" w:color="auto"/>
              <w:right w:val="single" w:sz="4" w:space="0" w:color="auto"/>
            </w:tcBorders>
            <w:shd w:val="clear" w:color="auto" w:fill="auto"/>
            <w:noWrap/>
            <w:vAlign w:val="bottom"/>
            <w:hideMark/>
          </w:tcPr>
          <w:p w14:paraId="014241BF" w14:textId="47ADABD2" w:rsidR="0097499F" w:rsidRPr="004D316B" w:rsidRDefault="0097499F" w:rsidP="005D390F">
            <w:pPr>
              <w:rPr>
                <w:rFonts w:ascii="Verdana" w:hAnsi="Verdana" w:cs="Calibri"/>
                <w:color w:val="000000"/>
                <w:sz w:val="15"/>
                <w:szCs w:val="15"/>
              </w:rPr>
            </w:pPr>
            <w:r w:rsidRPr="004D316B">
              <w:rPr>
                <w:rFonts w:ascii="Verdana" w:hAnsi="Verdana" w:cs="Calibri"/>
                <w:color w:val="000000"/>
                <w:sz w:val="15"/>
                <w:szCs w:val="15"/>
              </w:rPr>
              <w:t xml:space="preserve">Процедура BG06RDNP001-7.020 </w:t>
            </w:r>
            <w:r w:rsidR="0026429A">
              <w:rPr>
                <w:rFonts w:ascii="Verdana" w:hAnsi="Verdana" w:cs="Calibri"/>
                <w:color w:val="000000"/>
                <w:sz w:val="15"/>
                <w:szCs w:val="15"/>
              </w:rPr>
              <w:t>–</w:t>
            </w:r>
            <w:r w:rsidRPr="004D316B">
              <w:rPr>
                <w:rFonts w:ascii="Verdana" w:hAnsi="Verdana" w:cs="Calibri"/>
                <w:color w:val="000000"/>
                <w:sz w:val="15"/>
                <w:szCs w:val="15"/>
              </w:rPr>
              <w:t xml:space="preserve"> Енергийна ефективност</w:t>
            </w:r>
          </w:p>
        </w:tc>
        <w:tc>
          <w:tcPr>
            <w:tcW w:w="1474" w:type="dxa"/>
            <w:tcBorders>
              <w:top w:val="nil"/>
              <w:left w:val="nil"/>
              <w:bottom w:val="single" w:sz="4" w:space="0" w:color="auto"/>
              <w:right w:val="single" w:sz="4" w:space="0" w:color="auto"/>
            </w:tcBorders>
            <w:shd w:val="clear" w:color="auto" w:fill="auto"/>
            <w:noWrap/>
            <w:vAlign w:val="center"/>
            <w:hideMark/>
          </w:tcPr>
          <w:p w14:paraId="65E0E4D9"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73 419 370,67</w:t>
            </w:r>
          </w:p>
        </w:tc>
        <w:tc>
          <w:tcPr>
            <w:tcW w:w="1474" w:type="dxa"/>
            <w:tcBorders>
              <w:top w:val="nil"/>
              <w:left w:val="nil"/>
              <w:bottom w:val="single" w:sz="4" w:space="0" w:color="auto"/>
              <w:right w:val="single" w:sz="4" w:space="0" w:color="auto"/>
            </w:tcBorders>
            <w:shd w:val="clear" w:color="auto" w:fill="auto"/>
            <w:noWrap/>
            <w:vAlign w:val="center"/>
            <w:hideMark/>
          </w:tcPr>
          <w:p w14:paraId="7FB835F7"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82 077 738,62</w:t>
            </w:r>
          </w:p>
        </w:tc>
        <w:tc>
          <w:tcPr>
            <w:tcW w:w="1474" w:type="dxa"/>
            <w:tcBorders>
              <w:top w:val="nil"/>
              <w:left w:val="nil"/>
              <w:bottom w:val="single" w:sz="4" w:space="0" w:color="auto"/>
              <w:right w:val="single" w:sz="4" w:space="0" w:color="auto"/>
            </w:tcBorders>
            <w:shd w:val="clear" w:color="auto" w:fill="auto"/>
            <w:noWrap/>
            <w:vAlign w:val="center"/>
            <w:hideMark/>
          </w:tcPr>
          <w:p w14:paraId="58FB47EE"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72 215 745,56</w:t>
            </w:r>
          </w:p>
        </w:tc>
        <w:tc>
          <w:tcPr>
            <w:tcW w:w="1417" w:type="dxa"/>
            <w:tcBorders>
              <w:top w:val="nil"/>
              <w:left w:val="nil"/>
              <w:bottom w:val="single" w:sz="4" w:space="0" w:color="auto"/>
              <w:right w:val="single" w:sz="4" w:space="0" w:color="auto"/>
            </w:tcBorders>
            <w:shd w:val="clear" w:color="auto" w:fill="auto"/>
            <w:noWrap/>
            <w:vAlign w:val="center"/>
            <w:hideMark/>
          </w:tcPr>
          <w:p w14:paraId="3B035166"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09568B07"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58203E45" w14:textId="77777777" w:rsidR="0097499F" w:rsidRPr="004D316B" w:rsidRDefault="0097499F" w:rsidP="004D316B">
            <w:pPr>
              <w:jc w:val="right"/>
              <w:rPr>
                <w:rFonts w:ascii="Verdana" w:hAnsi="Verdana" w:cs="Calibri"/>
                <w:color w:val="000000"/>
                <w:sz w:val="15"/>
                <w:szCs w:val="15"/>
              </w:rPr>
            </w:pPr>
            <w:r w:rsidRPr="004D316B">
              <w:rPr>
                <w:rFonts w:ascii="Verdana" w:hAnsi="Verdana" w:cs="Calibri"/>
                <w:color w:val="000000"/>
                <w:sz w:val="15"/>
                <w:szCs w:val="15"/>
              </w:rPr>
              <w:t>1 203 625,11</w:t>
            </w:r>
          </w:p>
        </w:tc>
      </w:tr>
      <w:tr w:rsidR="004D316B" w:rsidRPr="004D316B" w14:paraId="0AA9155E" w14:textId="77777777" w:rsidTr="004D316B">
        <w:trPr>
          <w:trHeight w:val="422"/>
          <w:jc w:val="center"/>
        </w:trPr>
        <w:tc>
          <w:tcPr>
            <w:tcW w:w="2212" w:type="dxa"/>
            <w:tcBorders>
              <w:top w:val="nil"/>
              <w:left w:val="single" w:sz="4" w:space="0" w:color="auto"/>
              <w:bottom w:val="single" w:sz="4" w:space="0" w:color="auto"/>
              <w:right w:val="single" w:sz="4" w:space="0" w:color="auto"/>
            </w:tcBorders>
            <w:shd w:val="clear" w:color="000000" w:fill="E2EFDA"/>
            <w:noWrap/>
            <w:vAlign w:val="center"/>
            <w:hideMark/>
          </w:tcPr>
          <w:p w14:paraId="24A795E5"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ОБЩО:</w:t>
            </w:r>
          </w:p>
        </w:tc>
        <w:tc>
          <w:tcPr>
            <w:tcW w:w="1474" w:type="dxa"/>
            <w:tcBorders>
              <w:top w:val="nil"/>
              <w:left w:val="nil"/>
              <w:bottom w:val="single" w:sz="4" w:space="0" w:color="auto"/>
              <w:right w:val="single" w:sz="4" w:space="0" w:color="auto"/>
            </w:tcBorders>
            <w:shd w:val="clear" w:color="000000" w:fill="E2EFDA"/>
            <w:noWrap/>
            <w:vAlign w:val="center"/>
            <w:hideMark/>
          </w:tcPr>
          <w:p w14:paraId="4C2E3CAB"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341 067 383,94</w:t>
            </w:r>
          </w:p>
        </w:tc>
        <w:tc>
          <w:tcPr>
            <w:tcW w:w="1474" w:type="dxa"/>
            <w:tcBorders>
              <w:top w:val="nil"/>
              <w:left w:val="nil"/>
              <w:bottom w:val="single" w:sz="4" w:space="0" w:color="auto"/>
              <w:right w:val="single" w:sz="4" w:space="0" w:color="auto"/>
            </w:tcBorders>
            <w:shd w:val="clear" w:color="000000" w:fill="E2EFDA"/>
            <w:noWrap/>
            <w:vAlign w:val="center"/>
            <w:hideMark/>
          </w:tcPr>
          <w:p w14:paraId="24DA5B18"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353 445 680,60</w:t>
            </w:r>
          </w:p>
        </w:tc>
        <w:tc>
          <w:tcPr>
            <w:tcW w:w="1474" w:type="dxa"/>
            <w:tcBorders>
              <w:top w:val="nil"/>
              <w:left w:val="nil"/>
              <w:bottom w:val="single" w:sz="4" w:space="0" w:color="auto"/>
              <w:right w:val="single" w:sz="4" w:space="0" w:color="auto"/>
            </w:tcBorders>
            <w:shd w:val="clear" w:color="000000" w:fill="E2EFDA"/>
            <w:noWrap/>
            <w:vAlign w:val="center"/>
            <w:hideMark/>
          </w:tcPr>
          <w:p w14:paraId="67E55B91"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257 268 498,04</w:t>
            </w:r>
          </w:p>
        </w:tc>
        <w:tc>
          <w:tcPr>
            <w:tcW w:w="1417" w:type="dxa"/>
            <w:tcBorders>
              <w:top w:val="nil"/>
              <w:left w:val="nil"/>
              <w:bottom w:val="single" w:sz="4" w:space="0" w:color="auto"/>
              <w:right w:val="single" w:sz="4" w:space="0" w:color="auto"/>
            </w:tcBorders>
            <w:shd w:val="clear" w:color="000000" w:fill="E2EFDA"/>
            <w:noWrap/>
            <w:vAlign w:val="center"/>
            <w:hideMark/>
          </w:tcPr>
          <w:p w14:paraId="64F6BE30"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75 426 398,41</w:t>
            </w:r>
          </w:p>
        </w:tc>
        <w:tc>
          <w:tcPr>
            <w:tcW w:w="1417" w:type="dxa"/>
            <w:tcBorders>
              <w:top w:val="nil"/>
              <w:left w:val="nil"/>
              <w:bottom w:val="single" w:sz="4" w:space="0" w:color="auto"/>
              <w:right w:val="single" w:sz="4" w:space="0" w:color="auto"/>
            </w:tcBorders>
            <w:shd w:val="clear" w:color="000000" w:fill="E2EFDA"/>
            <w:noWrap/>
            <w:vAlign w:val="center"/>
            <w:hideMark/>
          </w:tcPr>
          <w:p w14:paraId="68EB2295"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10 559 695,78</w:t>
            </w:r>
          </w:p>
        </w:tc>
        <w:tc>
          <w:tcPr>
            <w:tcW w:w="1417" w:type="dxa"/>
            <w:tcBorders>
              <w:top w:val="nil"/>
              <w:left w:val="nil"/>
              <w:bottom w:val="single" w:sz="4" w:space="0" w:color="auto"/>
              <w:right w:val="single" w:sz="4" w:space="0" w:color="auto"/>
            </w:tcBorders>
            <w:shd w:val="clear" w:color="000000" w:fill="E2EFDA"/>
            <w:noWrap/>
            <w:vAlign w:val="center"/>
            <w:hideMark/>
          </w:tcPr>
          <w:p w14:paraId="1F9AA498" w14:textId="77777777" w:rsidR="0097499F" w:rsidRPr="004D316B" w:rsidRDefault="0097499F" w:rsidP="004D316B">
            <w:pPr>
              <w:jc w:val="right"/>
              <w:rPr>
                <w:rFonts w:ascii="Verdana" w:hAnsi="Verdana" w:cs="Calibri"/>
                <w:b/>
                <w:bCs/>
                <w:color w:val="000000"/>
                <w:sz w:val="15"/>
                <w:szCs w:val="15"/>
              </w:rPr>
            </w:pPr>
            <w:r w:rsidRPr="004D316B">
              <w:rPr>
                <w:rFonts w:ascii="Verdana" w:hAnsi="Verdana" w:cs="Calibri"/>
                <w:b/>
                <w:bCs/>
                <w:color w:val="000000"/>
                <w:sz w:val="15"/>
                <w:szCs w:val="15"/>
              </w:rPr>
              <w:t>18 932 183,27</w:t>
            </w:r>
          </w:p>
        </w:tc>
      </w:tr>
    </w:tbl>
    <w:p w14:paraId="51496F33" w14:textId="77777777" w:rsidR="00346500" w:rsidRPr="00346500" w:rsidRDefault="00346500" w:rsidP="00503111">
      <w:pPr>
        <w:spacing w:line="360" w:lineRule="auto"/>
        <w:ind w:firstLine="720"/>
        <w:jc w:val="both"/>
        <w:rPr>
          <w:rFonts w:ascii="Verdana" w:hAnsi="Verdana"/>
          <w:sz w:val="16"/>
          <w:szCs w:val="16"/>
        </w:rPr>
      </w:pPr>
    </w:p>
    <w:p w14:paraId="56841A38" w14:textId="60D1B5CF" w:rsidR="00AC75CA" w:rsidRDefault="00D97E8D" w:rsidP="00503111">
      <w:pPr>
        <w:spacing w:line="360" w:lineRule="auto"/>
        <w:ind w:firstLine="720"/>
        <w:jc w:val="both"/>
        <w:rPr>
          <w:rFonts w:ascii="Verdana" w:hAnsi="Verdana"/>
          <w:sz w:val="20"/>
          <w:szCs w:val="20"/>
        </w:rPr>
      </w:pPr>
      <w:r>
        <w:rPr>
          <w:rFonts w:ascii="Verdana" w:hAnsi="Verdana"/>
          <w:sz w:val="20"/>
          <w:szCs w:val="20"/>
        </w:rPr>
        <w:t xml:space="preserve">В таблицата са представени само </w:t>
      </w:r>
      <w:r w:rsidR="00AC75CA">
        <w:rPr>
          <w:rFonts w:ascii="Verdana" w:hAnsi="Verdana"/>
          <w:sz w:val="20"/>
          <w:szCs w:val="20"/>
        </w:rPr>
        <w:t>процедурите</w:t>
      </w:r>
      <w:r>
        <w:rPr>
          <w:rFonts w:ascii="Verdana" w:hAnsi="Verdana"/>
          <w:sz w:val="20"/>
          <w:szCs w:val="20"/>
        </w:rPr>
        <w:t xml:space="preserve"> </w:t>
      </w:r>
      <w:r w:rsidR="00AC75CA">
        <w:rPr>
          <w:rFonts w:ascii="Verdana" w:hAnsi="Verdana"/>
          <w:sz w:val="20"/>
          <w:szCs w:val="20"/>
        </w:rPr>
        <w:t xml:space="preserve">от Подмярка 7.2, по които са проведени приеми през 2022 г. Остатъчните средства по процедурата (Колона Е) са формирани, като от общия бюджет по всяка процедура са извадени стойностите на одобрените разходи (Колона В) и общата стойност на проектите в процес на </w:t>
      </w:r>
      <w:r w:rsidR="00AC75CA">
        <w:rPr>
          <w:rFonts w:ascii="Verdana" w:hAnsi="Verdana"/>
          <w:sz w:val="20"/>
          <w:szCs w:val="20"/>
        </w:rPr>
        <w:lastRenderedPageBreak/>
        <w:t xml:space="preserve">обработка (Колона Г), т.е. тези, за които все още няма окончателна стойност на одобрените разходи. </w:t>
      </w:r>
    </w:p>
    <w:p w14:paraId="732375AB" w14:textId="03C6E77B" w:rsidR="00FB50C6" w:rsidRDefault="00AC75CA" w:rsidP="00503111">
      <w:pPr>
        <w:spacing w:line="360" w:lineRule="auto"/>
        <w:ind w:firstLine="720"/>
        <w:jc w:val="both"/>
        <w:rPr>
          <w:rFonts w:ascii="Verdana" w:hAnsi="Verdana"/>
          <w:sz w:val="20"/>
          <w:szCs w:val="20"/>
        </w:rPr>
      </w:pPr>
      <w:r w:rsidRPr="00AC75CA">
        <w:rPr>
          <w:rFonts w:ascii="Verdana" w:hAnsi="Verdana"/>
          <w:sz w:val="20"/>
          <w:szCs w:val="20"/>
        </w:rPr>
        <w:t>Статистически процент на редукция на разходите</w:t>
      </w:r>
      <w:r>
        <w:rPr>
          <w:rFonts w:ascii="Verdana" w:hAnsi="Verdana"/>
          <w:sz w:val="20"/>
          <w:szCs w:val="20"/>
        </w:rPr>
        <w:t xml:space="preserve"> (Колона Д)</w:t>
      </w:r>
      <w:r w:rsidR="00FB50C6">
        <w:rPr>
          <w:rFonts w:ascii="Verdana" w:hAnsi="Verdana"/>
          <w:sz w:val="20"/>
          <w:szCs w:val="20"/>
        </w:rPr>
        <w:t xml:space="preserve"> е формиран на база статистически данни между заявените от кандидатите разходи и одобрените за подпомагане от ДФЗ разходи. Посочените 14 % се формират от редукция на недопустими разходи или разходи заявени над референтните стойности определени от ДФЗ, намаление на разходите след проведени обществени поръчки и избрани изпълнители, оттеглени или недопустими проектни предложения и др.</w:t>
      </w:r>
      <w:r w:rsidR="00C811E3">
        <w:rPr>
          <w:rFonts w:ascii="Verdana" w:hAnsi="Verdana"/>
          <w:sz w:val="20"/>
          <w:szCs w:val="20"/>
        </w:rPr>
        <w:t xml:space="preserve"> </w:t>
      </w:r>
      <w:r w:rsidR="00FB50C6">
        <w:rPr>
          <w:rFonts w:ascii="Verdana" w:hAnsi="Verdana"/>
          <w:sz w:val="20"/>
          <w:szCs w:val="20"/>
        </w:rPr>
        <w:t>Статистическия процент на редукция (Колона Д) е прибавен към остатъчните средства по всяка процедура, само за проектните предложения, за които все още няма окончателна стойност на одобрените разхо</w:t>
      </w:r>
      <w:r w:rsidR="00293DA4">
        <w:rPr>
          <w:rFonts w:ascii="Verdana" w:hAnsi="Verdana"/>
          <w:sz w:val="20"/>
          <w:szCs w:val="20"/>
        </w:rPr>
        <w:t>д</w:t>
      </w:r>
      <w:r w:rsidR="00FB50C6">
        <w:rPr>
          <w:rFonts w:ascii="Verdana" w:hAnsi="Verdana"/>
          <w:sz w:val="20"/>
          <w:szCs w:val="20"/>
        </w:rPr>
        <w:t>и.</w:t>
      </w:r>
    </w:p>
    <w:p w14:paraId="0FA6C688" w14:textId="0B318C8F" w:rsidR="00B43854" w:rsidRDefault="00293DA4" w:rsidP="00503111">
      <w:pPr>
        <w:spacing w:line="360" w:lineRule="auto"/>
        <w:ind w:firstLine="720"/>
        <w:jc w:val="both"/>
        <w:rPr>
          <w:rFonts w:ascii="Verdana" w:hAnsi="Verdana"/>
          <w:sz w:val="20"/>
          <w:szCs w:val="20"/>
        </w:rPr>
      </w:pPr>
      <w:r>
        <w:rPr>
          <w:rFonts w:ascii="Verdana" w:hAnsi="Verdana"/>
          <w:sz w:val="20"/>
          <w:szCs w:val="20"/>
        </w:rPr>
        <w:t xml:space="preserve">В допълнение, за 4 броя проектни предложения от посочените 29, за които се извършва настоящото увеличение на бюджета, има </w:t>
      </w:r>
      <w:r w:rsidR="00B43854">
        <w:rPr>
          <w:rFonts w:ascii="Verdana" w:hAnsi="Verdana"/>
          <w:sz w:val="20"/>
          <w:szCs w:val="20"/>
        </w:rPr>
        <w:t xml:space="preserve">постъпила информация Министерство на регионалното развитие и благоустройството (МРРБ), че </w:t>
      </w:r>
      <w:r w:rsidR="00B43854" w:rsidRPr="00B43854">
        <w:rPr>
          <w:rFonts w:ascii="Verdana" w:hAnsi="Verdana"/>
          <w:sz w:val="20"/>
          <w:szCs w:val="20"/>
        </w:rPr>
        <w:t>са подали искане за участие в националната програма и имат сключени споразумения по реда на чл. 107 от ЗДБРБ</w:t>
      </w:r>
      <w:r w:rsidR="00B43854">
        <w:rPr>
          <w:rFonts w:ascii="Verdana" w:hAnsi="Verdana"/>
          <w:sz w:val="20"/>
          <w:szCs w:val="20"/>
        </w:rPr>
        <w:t>, което ги прави недопустими за финансиране по ПРСР 2014-2020.</w:t>
      </w:r>
      <w:r w:rsidR="009B3489">
        <w:rPr>
          <w:rFonts w:ascii="Verdana" w:hAnsi="Verdana"/>
          <w:sz w:val="20"/>
          <w:szCs w:val="20"/>
        </w:rPr>
        <w:t xml:space="preserve"> </w:t>
      </w:r>
      <w:r w:rsidR="00B43854">
        <w:rPr>
          <w:rFonts w:ascii="Verdana" w:hAnsi="Verdana"/>
          <w:sz w:val="20"/>
          <w:szCs w:val="20"/>
        </w:rPr>
        <w:t>Общата стойност на заявените разходи по посочените 4 броя проектни предложения са в размер на 3 457 440 лв.</w:t>
      </w:r>
      <w:r w:rsidR="00362204">
        <w:rPr>
          <w:rFonts w:ascii="Verdana" w:hAnsi="Verdana"/>
          <w:sz w:val="20"/>
          <w:szCs w:val="20"/>
        </w:rPr>
        <w:t xml:space="preserve"> и считайки ги като остатък по процедура </w:t>
      </w:r>
      <w:r w:rsidR="00362204" w:rsidRPr="00362204">
        <w:rPr>
          <w:rFonts w:ascii="Verdana" w:hAnsi="Verdana"/>
          <w:sz w:val="20"/>
          <w:szCs w:val="20"/>
        </w:rPr>
        <w:t>BG06RDNP001-7.020</w:t>
      </w:r>
      <w:r w:rsidR="00362204">
        <w:rPr>
          <w:rFonts w:ascii="Verdana" w:hAnsi="Verdana"/>
          <w:sz w:val="20"/>
          <w:szCs w:val="20"/>
        </w:rPr>
        <w:t xml:space="preserve"> – Енергийна ефективност, то формираният остатък по всички процедури ще покрие почети на 100 % необходимите </w:t>
      </w:r>
      <w:r w:rsidR="00362204" w:rsidRPr="00362204">
        <w:rPr>
          <w:rFonts w:ascii="Verdana" w:hAnsi="Verdana"/>
          <w:sz w:val="20"/>
          <w:szCs w:val="20"/>
        </w:rPr>
        <w:t>21 692 69</w:t>
      </w:r>
      <w:r w:rsidR="00C811E3">
        <w:rPr>
          <w:rFonts w:ascii="Verdana" w:hAnsi="Verdana"/>
          <w:sz w:val="20"/>
          <w:szCs w:val="20"/>
        </w:rPr>
        <w:t>5</w:t>
      </w:r>
      <w:r w:rsidR="00362204" w:rsidRPr="00362204">
        <w:rPr>
          <w:rFonts w:ascii="Verdana" w:hAnsi="Verdana"/>
          <w:sz w:val="20"/>
          <w:szCs w:val="20"/>
        </w:rPr>
        <w:t xml:space="preserve"> лева</w:t>
      </w:r>
      <w:r w:rsidR="00362204">
        <w:rPr>
          <w:rFonts w:ascii="Verdana" w:hAnsi="Verdana"/>
          <w:sz w:val="20"/>
          <w:szCs w:val="20"/>
        </w:rPr>
        <w:t>.</w:t>
      </w:r>
    </w:p>
    <w:p w14:paraId="7F828FD7" w14:textId="1360BBFE" w:rsidR="003401D0" w:rsidRDefault="0039212E" w:rsidP="0039212E">
      <w:pPr>
        <w:spacing w:line="360" w:lineRule="auto"/>
        <w:ind w:firstLine="709"/>
        <w:jc w:val="both"/>
        <w:rPr>
          <w:rFonts w:ascii="Verdana" w:hAnsi="Verdana"/>
          <w:sz w:val="20"/>
          <w:szCs w:val="20"/>
        </w:rPr>
      </w:pPr>
      <w:r w:rsidRPr="0039212E">
        <w:rPr>
          <w:rFonts w:ascii="Verdana" w:hAnsi="Verdana"/>
          <w:sz w:val="20"/>
          <w:szCs w:val="20"/>
        </w:rPr>
        <w:t xml:space="preserve">Във връзка </w:t>
      </w:r>
      <w:r w:rsidR="00A162BD">
        <w:rPr>
          <w:rFonts w:ascii="Verdana" w:hAnsi="Verdana"/>
          <w:sz w:val="20"/>
          <w:szCs w:val="20"/>
        </w:rPr>
        <w:t xml:space="preserve">с описаното по-горе, </w:t>
      </w:r>
      <w:r w:rsidRPr="0039212E">
        <w:rPr>
          <w:rFonts w:ascii="Verdana" w:hAnsi="Verdana"/>
          <w:sz w:val="20"/>
          <w:szCs w:val="20"/>
        </w:rPr>
        <w:t>с</w:t>
      </w:r>
      <w:r w:rsidR="0097499F">
        <w:rPr>
          <w:rFonts w:ascii="Verdana" w:hAnsi="Verdana"/>
          <w:sz w:val="20"/>
          <w:szCs w:val="20"/>
        </w:rPr>
        <w:t>читаме за целесъобразно</w:t>
      </w:r>
      <w:r w:rsidRPr="0039212E">
        <w:rPr>
          <w:rFonts w:ascii="Verdana" w:hAnsi="Verdana"/>
          <w:sz w:val="20"/>
          <w:szCs w:val="20"/>
        </w:rPr>
        <w:t xml:space="preserve"> да се </w:t>
      </w:r>
      <w:r w:rsidR="0097499F">
        <w:rPr>
          <w:rFonts w:ascii="Verdana" w:hAnsi="Verdana"/>
          <w:sz w:val="20"/>
          <w:szCs w:val="20"/>
        </w:rPr>
        <w:t>предостави</w:t>
      </w:r>
      <w:r w:rsidRPr="0039212E">
        <w:rPr>
          <w:rFonts w:ascii="Verdana" w:hAnsi="Verdana"/>
          <w:sz w:val="20"/>
          <w:szCs w:val="20"/>
        </w:rPr>
        <w:t xml:space="preserve"> възможност</w:t>
      </w:r>
      <w:r w:rsidR="0097499F">
        <w:rPr>
          <w:rFonts w:ascii="Verdana" w:hAnsi="Verdana"/>
          <w:sz w:val="20"/>
          <w:szCs w:val="20"/>
        </w:rPr>
        <w:t xml:space="preserve"> за</w:t>
      </w:r>
      <w:r w:rsidRPr="0039212E">
        <w:rPr>
          <w:rFonts w:ascii="Verdana" w:hAnsi="Verdana"/>
          <w:sz w:val="20"/>
          <w:szCs w:val="20"/>
        </w:rPr>
        <w:t xml:space="preserve">  увелич</w:t>
      </w:r>
      <w:r w:rsidR="0097499F">
        <w:rPr>
          <w:rFonts w:ascii="Verdana" w:hAnsi="Verdana"/>
          <w:sz w:val="20"/>
          <w:szCs w:val="20"/>
        </w:rPr>
        <w:t>ение на</w:t>
      </w:r>
      <w:r w:rsidRPr="0039212E">
        <w:rPr>
          <w:rFonts w:ascii="Verdana" w:hAnsi="Verdana"/>
          <w:sz w:val="20"/>
          <w:szCs w:val="20"/>
        </w:rPr>
        <w:t xml:space="preserve"> максималният размер на безвъзмездната финансова помощ по процедура за подбор № BG06RDNP001-7.020 – Енергийна ефективност, с 21 692 6</w:t>
      </w:r>
      <w:r w:rsidR="00C811E3">
        <w:rPr>
          <w:rFonts w:ascii="Verdana" w:hAnsi="Verdana"/>
          <w:sz w:val="20"/>
          <w:szCs w:val="20"/>
        </w:rPr>
        <w:t>95</w:t>
      </w:r>
      <w:r w:rsidRPr="0039212E">
        <w:rPr>
          <w:rFonts w:ascii="Verdana" w:hAnsi="Verdana"/>
          <w:sz w:val="20"/>
          <w:szCs w:val="20"/>
        </w:rPr>
        <w:t xml:space="preserve"> </w:t>
      </w:r>
      <w:r w:rsidR="0097499F">
        <w:rPr>
          <w:rFonts w:ascii="Verdana" w:hAnsi="Verdana"/>
          <w:sz w:val="20"/>
          <w:szCs w:val="20"/>
        </w:rPr>
        <w:t>лева.</w:t>
      </w:r>
    </w:p>
    <w:p w14:paraId="0118C064" w14:textId="77777777" w:rsidR="00D0480F" w:rsidRDefault="00D0480F" w:rsidP="0039212E">
      <w:pPr>
        <w:spacing w:line="360" w:lineRule="auto"/>
        <w:ind w:firstLine="709"/>
        <w:jc w:val="both"/>
        <w:rPr>
          <w:rFonts w:ascii="Verdana" w:hAnsi="Verdana"/>
          <w:sz w:val="20"/>
          <w:szCs w:val="20"/>
        </w:rPr>
      </w:pPr>
    </w:p>
    <w:p w14:paraId="03198BFA" w14:textId="7FD53A96" w:rsidR="006A6D7C" w:rsidRDefault="006A6D7C" w:rsidP="006A6D7C">
      <w:pPr>
        <w:spacing w:line="360" w:lineRule="auto"/>
        <w:ind w:firstLine="720"/>
        <w:jc w:val="both"/>
        <w:rPr>
          <w:rFonts w:ascii="Verdana" w:hAnsi="Verdana"/>
          <w:b/>
          <w:sz w:val="20"/>
          <w:szCs w:val="20"/>
        </w:rPr>
      </w:pPr>
      <w:r w:rsidRPr="006A6D7C">
        <w:rPr>
          <w:rFonts w:ascii="Verdana" w:hAnsi="Verdana"/>
          <w:b/>
          <w:sz w:val="20"/>
          <w:szCs w:val="20"/>
        </w:rPr>
        <w:t xml:space="preserve">2.1. </w:t>
      </w:r>
      <w:r>
        <w:rPr>
          <w:rFonts w:ascii="Verdana" w:hAnsi="Verdana"/>
          <w:b/>
          <w:sz w:val="20"/>
          <w:szCs w:val="20"/>
        </w:rPr>
        <w:t>Очаквани резултати от изменението на ПРСР 2014</w:t>
      </w:r>
      <w:r w:rsidR="000C5E10">
        <w:rPr>
          <w:rFonts w:ascii="Verdana" w:hAnsi="Verdana"/>
          <w:b/>
          <w:sz w:val="20"/>
          <w:szCs w:val="20"/>
        </w:rPr>
        <w:t xml:space="preserve"> </w:t>
      </w:r>
      <w:r w:rsidR="000C5E10" w:rsidRPr="0039212E">
        <w:rPr>
          <w:rFonts w:ascii="Verdana" w:hAnsi="Verdana"/>
          <w:sz w:val="20"/>
          <w:szCs w:val="20"/>
        </w:rPr>
        <w:t>–</w:t>
      </w:r>
      <w:r w:rsidR="000C5E10">
        <w:rPr>
          <w:rFonts w:ascii="Verdana" w:hAnsi="Verdana"/>
          <w:sz w:val="20"/>
          <w:szCs w:val="20"/>
        </w:rPr>
        <w:t xml:space="preserve"> </w:t>
      </w:r>
      <w:r>
        <w:rPr>
          <w:rFonts w:ascii="Verdana" w:hAnsi="Verdana"/>
          <w:b/>
          <w:sz w:val="20"/>
          <w:szCs w:val="20"/>
        </w:rPr>
        <w:t>2020 г.</w:t>
      </w:r>
    </w:p>
    <w:p w14:paraId="061BA22F" w14:textId="00465CBE" w:rsidR="0029628E" w:rsidRDefault="00B7062F" w:rsidP="00503111">
      <w:pPr>
        <w:spacing w:line="360" w:lineRule="auto"/>
        <w:ind w:firstLine="720"/>
        <w:jc w:val="both"/>
        <w:rPr>
          <w:rFonts w:ascii="Verdana" w:hAnsi="Verdana"/>
          <w:sz w:val="20"/>
          <w:szCs w:val="20"/>
        </w:rPr>
      </w:pPr>
      <w:r w:rsidRPr="00B7062F">
        <w:rPr>
          <w:rFonts w:ascii="Verdana" w:hAnsi="Verdana"/>
          <w:sz w:val="20"/>
          <w:szCs w:val="20"/>
        </w:rPr>
        <w:t xml:space="preserve">Изпълнението на по-голям брой проекти по процедура за подбор </w:t>
      </w:r>
      <w:r w:rsidR="00D0480F">
        <w:rPr>
          <w:rFonts w:ascii="Verdana" w:hAnsi="Verdana"/>
          <w:sz w:val="20"/>
          <w:szCs w:val="20"/>
        </w:rPr>
        <w:br/>
      </w:r>
      <w:r w:rsidRPr="00B7062F">
        <w:rPr>
          <w:rFonts w:ascii="Verdana" w:hAnsi="Verdana"/>
          <w:sz w:val="20"/>
          <w:szCs w:val="20"/>
        </w:rPr>
        <w:t>№ BG06RDNP001-7.020 – Енергийна ефективност ще спомогне за постигане на целите по Националният план за действие по енергийна ефективност, изграждането и реконструирането на инфраструктурата в повече обществени сгради в селските райони, съответно ще се подобри социално-икономическото развитие на тези райони, и те ще са по-привлекателни за живеене.</w:t>
      </w:r>
    </w:p>
    <w:p w14:paraId="32C01E99" w14:textId="77777777" w:rsidR="00D0480F" w:rsidRDefault="00D0480F" w:rsidP="00503111">
      <w:pPr>
        <w:spacing w:line="360" w:lineRule="auto"/>
        <w:ind w:firstLine="720"/>
        <w:jc w:val="both"/>
        <w:rPr>
          <w:rFonts w:ascii="Verdana" w:hAnsi="Verdana"/>
          <w:sz w:val="20"/>
          <w:szCs w:val="20"/>
        </w:rPr>
      </w:pPr>
    </w:p>
    <w:p w14:paraId="6D1C60ED" w14:textId="77777777" w:rsidR="001054A2" w:rsidRPr="006A6D7C" w:rsidRDefault="006A6D7C" w:rsidP="00503111">
      <w:pPr>
        <w:spacing w:line="360" w:lineRule="auto"/>
        <w:ind w:firstLine="720"/>
        <w:jc w:val="both"/>
        <w:rPr>
          <w:rFonts w:ascii="Verdana" w:hAnsi="Verdana"/>
          <w:b/>
          <w:sz w:val="20"/>
          <w:szCs w:val="20"/>
        </w:rPr>
      </w:pPr>
      <w:r>
        <w:rPr>
          <w:rFonts w:ascii="Verdana" w:hAnsi="Verdana"/>
          <w:b/>
          <w:sz w:val="20"/>
          <w:szCs w:val="20"/>
        </w:rPr>
        <w:t xml:space="preserve">2.2. </w:t>
      </w:r>
      <w:r w:rsidR="001054A2" w:rsidRPr="006A6D7C">
        <w:rPr>
          <w:rFonts w:ascii="Verdana" w:hAnsi="Verdana"/>
          <w:b/>
          <w:sz w:val="20"/>
          <w:szCs w:val="20"/>
        </w:rPr>
        <w:t>Очаквано въздействие на изменението върху показателите</w:t>
      </w:r>
    </w:p>
    <w:p w14:paraId="74BF432E" w14:textId="6BD87ADD" w:rsidR="000F5B98" w:rsidRPr="00503111" w:rsidRDefault="000F5B98" w:rsidP="00503111">
      <w:pPr>
        <w:spacing w:line="360" w:lineRule="auto"/>
        <w:ind w:firstLine="720"/>
        <w:jc w:val="both"/>
        <w:rPr>
          <w:rFonts w:ascii="Verdana" w:hAnsi="Verdana"/>
          <w:color w:val="FF0000"/>
          <w:sz w:val="20"/>
          <w:szCs w:val="20"/>
        </w:rPr>
      </w:pPr>
      <w:r>
        <w:rPr>
          <w:rFonts w:ascii="Verdana" w:hAnsi="Verdana"/>
          <w:sz w:val="20"/>
          <w:szCs w:val="20"/>
        </w:rPr>
        <w:t>Н</w:t>
      </w:r>
      <w:r w:rsidR="00BC2CF9" w:rsidRPr="00BC2CF9">
        <w:rPr>
          <w:rFonts w:ascii="Verdana" w:hAnsi="Verdana"/>
          <w:sz w:val="20"/>
          <w:szCs w:val="20"/>
        </w:rPr>
        <w:t xml:space="preserve">астоящото предложение за изменение </w:t>
      </w:r>
      <w:r>
        <w:rPr>
          <w:rFonts w:ascii="Verdana" w:hAnsi="Verdana"/>
          <w:sz w:val="20"/>
          <w:szCs w:val="20"/>
        </w:rPr>
        <w:t xml:space="preserve">ще допринесе за по-добро изпълнение на </w:t>
      </w:r>
      <w:r w:rsidR="00BC2CF9" w:rsidRPr="00BC2CF9">
        <w:rPr>
          <w:rFonts w:ascii="Verdana" w:hAnsi="Verdana"/>
          <w:sz w:val="20"/>
          <w:szCs w:val="20"/>
        </w:rPr>
        <w:t>показателят „Брой операции, получаващи подкрепа за инвестиции в малка по мащаби инфраструктура, включително инвестиции в енергия от възобновяеми източници и спестяване на енергия (7.2)“</w:t>
      </w:r>
      <w:r w:rsidR="00A162BD" w:rsidRPr="00D0480F">
        <w:rPr>
          <w:rFonts w:ascii="Verdana" w:hAnsi="Verdana"/>
          <w:sz w:val="20"/>
          <w:szCs w:val="20"/>
          <w:lang w:val="ru-RU"/>
        </w:rPr>
        <w:t>.</w:t>
      </w:r>
    </w:p>
    <w:p w14:paraId="688128E1" w14:textId="59B3C0AE" w:rsidR="00BC2CF9" w:rsidRDefault="00BC2CF9" w:rsidP="00503111">
      <w:pPr>
        <w:spacing w:line="360" w:lineRule="auto"/>
        <w:ind w:firstLine="720"/>
        <w:jc w:val="both"/>
        <w:rPr>
          <w:rFonts w:ascii="Verdana" w:hAnsi="Verdana"/>
          <w:sz w:val="20"/>
          <w:szCs w:val="20"/>
        </w:rPr>
      </w:pPr>
      <w:r w:rsidRPr="00BC2CF9">
        <w:rPr>
          <w:rFonts w:ascii="Verdana" w:hAnsi="Verdana"/>
          <w:sz w:val="20"/>
          <w:szCs w:val="20"/>
        </w:rPr>
        <w:t xml:space="preserve">Не се предвиждат изменения на ключови показатели, </w:t>
      </w:r>
      <w:r w:rsidR="00503111">
        <w:rPr>
          <w:rFonts w:ascii="Verdana" w:hAnsi="Verdana"/>
          <w:sz w:val="20"/>
          <w:szCs w:val="20"/>
        </w:rPr>
        <w:t xml:space="preserve">такива – свързани със създаване на работни места, </w:t>
      </w:r>
      <w:r w:rsidRPr="00BC2CF9">
        <w:rPr>
          <w:rFonts w:ascii="Verdana" w:hAnsi="Verdana"/>
          <w:sz w:val="20"/>
          <w:szCs w:val="20"/>
        </w:rPr>
        <w:t xml:space="preserve">вкл. </w:t>
      </w:r>
      <w:r w:rsidR="00503111">
        <w:rPr>
          <w:rFonts w:ascii="Verdana" w:hAnsi="Verdana"/>
          <w:sz w:val="20"/>
          <w:szCs w:val="20"/>
        </w:rPr>
        <w:t>касаещи</w:t>
      </w:r>
      <w:r w:rsidRPr="00BC2CF9">
        <w:rPr>
          <w:rFonts w:ascii="Verdana" w:hAnsi="Verdana"/>
          <w:sz w:val="20"/>
          <w:szCs w:val="20"/>
        </w:rPr>
        <w:t xml:space="preserve"> площи. </w:t>
      </w:r>
    </w:p>
    <w:p w14:paraId="5FF3C194" w14:textId="77777777" w:rsidR="00003EB8" w:rsidRPr="00BC2CF9" w:rsidRDefault="00003EB8" w:rsidP="00503111">
      <w:pPr>
        <w:spacing w:line="360" w:lineRule="auto"/>
        <w:ind w:firstLine="720"/>
        <w:jc w:val="both"/>
        <w:rPr>
          <w:rFonts w:ascii="Verdana" w:hAnsi="Verdana"/>
          <w:sz w:val="20"/>
          <w:szCs w:val="20"/>
        </w:rPr>
      </w:pPr>
    </w:p>
    <w:p w14:paraId="59EF0D8F" w14:textId="1B6D5820" w:rsidR="001054A2" w:rsidRDefault="00F56B5E" w:rsidP="00503111">
      <w:pPr>
        <w:spacing w:line="360" w:lineRule="auto"/>
        <w:ind w:firstLine="720"/>
        <w:jc w:val="both"/>
        <w:rPr>
          <w:rFonts w:ascii="Verdana" w:hAnsi="Verdana"/>
          <w:sz w:val="20"/>
          <w:szCs w:val="20"/>
        </w:rPr>
      </w:pPr>
      <w:r w:rsidRPr="006A6D7C">
        <w:rPr>
          <w:rFonts w:ascii="Verdana" w:hAnsi="Verdana"/>
          <w:b/>
          <w:sz w:val="20"/>
          <w:szCs w:val="20"/>
        </w:rPr>
        <w:t>3. Мотивирана оценка за размера на необходимите допълнителни разходи/трансфери/други плащания, които се предлага да бъдат одобрени по бюджета на първостепенния разпоредител с бюджет или по сметка за средства от Европейския съюз, за сметка</w:t>
      </w:r>
      <w:r w:rsidR="005C29DF" w:rsidRPr="006A6D7C">
        <w:rPr>
          <w:rFonts w:ascii="Verdana" w:hAnsi="Verdana"/>
          <w:b/>
          <w:sz w:val="20"/>
          <w:szCs w:val="20"/>
        </w:rPr>
        <w:t xml:space="preserve"> на бюджети по държавния бюджет</w:t>
      </w:r>
      <w:r w:rsidR="008010A4" w:rsidRPr="006A6D7C">
        <w:rPr>
          <w:rFonts w:ascii="Verdana" w:hAnsi="Verdana"/>
          <w:sz w:val="20"/>
          <w:szCs w:val="20"/>
        </w:rPr>
        <w:t>.</w:t>
      </w:r>
    </w:p>
    <w:p w14:paraId="7B0CE105" w14:textId="77777777" w:rsidR="00503111" w:rsidRDefault="00503111" w:rsidP="00503111">
      <w:pPr>
        <w:spacing w:line="360" w:lineRule="auto"/>
        <w:ind w:firstLine="720"/>
        <w:jc w:val="both"/>
        <w:rPr>
          <w:rFonts w:ascii="Verdana" w:hAnsi="Verdana"/>
          <w:sz w:val="20"/>
          <w:szCs w:val="20"/>
        </w:rPr>
      </w:pPr>
      <w:r>
        <w:rPr>
          <w:rFonts w:ascii="Verdana" w:hAnsi="Verdana"/>
          <w:sz w:val="20"/>
          <w:szCs w:val="20"/>
        </w:rPr>
        <w:t xml:space="preserve">Проектът на Решение на Министерския съвет не предвижда допълнителни разходи/трансфери/други плащания, </w:t>
      </w:r>
      <w:r w:rsidRPr="00503111">
        <w:rPr>
          <w:rFonts w:ascii="Verdana" w:hAnsi="Verdana"/>
          <w:sz w:val="20"/>
          <w:szCs w:val="20"/>
        </w:rPr>
        <w:t>които се предлага да бъдат одобрени по бюджета на първостепенния разпоредител с бюджет или по сметка за средства от Европейския съюз, за сметка на бюджети по държавния бюджет</w:t>
      </w:r>
      <w:r>
        <w:rPr>
          <w:rFonts w:ascii="Verdana" w:hAnsi="Verdana"/>
          <w:sz w:val="20"/>
          <w:szCs w:val="20"/>
        </w:rPr>
        <w:t>.</w:t>
      </w:r>
    </w:p>
    <w:p w14:paraId="42E7FF37" w14:textId="2AEB1251" w:rsidR="001054A2" w:rsidRPr="006A6D7C" w:rsidRDefault="00503111" w:rsidP="00503111">
      <w:pPr>
        <w:spacing w:line="360" w:lineRule="auto"/>
        <w:ind w:firstLine="720"/>
        <w:jc w:val="both"/>
        <w:rPr>
          <w:rFonts w:ascii="Verdana" w:hAnsi="Verdana"/>
          <w:sz w:val="20"/>
          <w:szCs w:val="20"/>
        </w:rPr>
      </w:pPr>
      <w:r>
        <w:rPr>
          <w:rFonts w:ascii="Verdana" w:hAnsi="Verdana"/>
          <w:sz w:val="20"/>
          <w:szCs w:val="20"/>
        </w:rPr>
        <w:t>Предложеният проект на акт не води до въздействие върху държавния бюджет</w:t>
      </w:r>
      <w:r w:rsidR="00D67E5B" w:rsidRPr="006A6D7C">
        <w:rPr>
          <w:rFonts w:ascii="Verdana" w:hAnsi="Verdana"/>
          <w:sz w:val="20"/>
          <w:szCs w:val="20"/>
        </w:rPr>
        <w:t>.</w:t>
      </w:r>
    </w:p>
    <w:p w14:paraId="5936B9C5" w14:textId="77777777" w:rsidR="00211C55" w:rsidRPr="006A6D7C" w:rsidRDefault="00211C55">
      <w:pPr>
        <w:widowControl w:val="0"/>
        <w:shd w:val="clear" w:color="auto" w:fill="FFFFFF"/>
        <w:autoSpaceDE w:val="0"/>
        <w:autoSpaceDN w:val="0"/>
        <w:adjustRightInd w:val="0"/>
        <w:spacing w:line="360" w:lineRule="auto"/>
        <w:rPr>
          <w:rFonts w:ascii="Verdana" w:hAnsi="Verdana"/>
          <w:sz w:val="20"/>
          <w:szCs w:val="20"/>
        </w:rPr>
      </w:pPr>
    </w:p>
    <w:p w14:paraId="2CAFA527" w14:textId="71781791" w:rsidR="00503111" w:rsidRPr="006A6D7C" w:rsidRDefault="00503111">
      <w:pPr>
        <w:widowControl w:val="0"/>
        <w:shd w:val="clear" w:color="auto" w:fill="FFFFFF"/>
        <w:autoSpaceDE w:val="0"/>
        <w:autoSpaceDN w:val="0"/>
        <w:adjustRightInd w:val="0"/>
        <w:spacing w:line="360" w:lineRule="auto"/>
        <w:rPr>
          <w:rFonts w:ascii="Verdana" w:hAnsi="Verdana"/>
          <w:sz w:val="20"/>
          <w:szCs w:val="20"/>
        </w:rPr>
      </w:pPr>
    </w:p>
    <w:p w14:paraId="3E8E7B4A" w14:textId="77777777" w:rsidR="004C3D01" w:rsidRPr="00D0480F" w:rsidRDefault="004C3D01" w:rsidP="00D82209">
      <w:pPr>
        <w:widowControl w:val="0"/>
        <w:shd w:val="clear" w:color="auto" w:fill="FFFFFF"/>
        <w:autoSpaceDE w:val="0"/>
        <w:autoSpaceDN w:val="0"/>
        <w:adjustRightInd w:val="0"/>
        <w:spacing w:line="360" w:lineRule="auto"/>
        <w:rPr>
          <w:rFonts w:ascii="Verdana" w:hAnsi="Verdana"/>
          <w:b/>
          <w:caps/>
          <w:spacing w:val="3"/>
          <w:sz w:val="20"/>
          <w:szCs w:val="20"/>
          <w:lang w:val="ru-RU"/>
        </w:rPr>
      </w:pPr>
    </w:p>
    <w:p w14:paraId="7B1C8EDC" w14:textId="77777777" w:rsidR="00E45F8D" w:rsidRPr="006A6D7C" w:rsidRDefault="00E45F8D" w:rsidP="00D82209">
      <w:pPr>
        <w:widowControl w:val="0"/>
        <w:shd w:val="clear" w:color="auto" w:fill="FFFFFF"/>
        <w:autoSpaceDE w:val="0"/>
        <w:autoSpaceDN w:val="0"/>
        <w:adjustRightInd w:val="0"/>
        <w:spacing w:line="360" w:lineRule="auto"/>
        <w:rPr>
          <w:rFonts w:ascii="Verdana" w:hAnsi="Verdana"/>
          <w:b/>
          <w:caps/>
          <w:spacing w:val="3"/>
          <w:sz w:val="20"/>
          <w:szCs w:val="20"/>
        </w:rPr>
      </w:pPr>
      <w:r w:rsidRPr="006A6D7C">
        <w:rPr>
          <w:rFonts w:ascii="Verdana" w:hAnsi="Verdana"/>
          <w:b/>
          <w:caps/>
          <w:spacing w:val="3"/>
          <w:sz w:val="20"/>
          <w:szCs w:val="20"/>
        </w:rPr>
        <w:t>Предложил,</w:t>
      </w:r>
    </w:p>
    <w:p w14:paraId="11A18AFB" w14:textId="24E6D5BD" w:rsidR="00E45F8D" w:rsidRPr="006A6D7C" w:rsidRDefault="00E45F8D" w:rsidP="00D82209">
      <w:pPr>
        <w:widowControl w:val="0"/>
        <w:autoSpaceDE w:val="0"/>
        <w:autoSpaceDN w:val="0"/>
        <w:adjustRightInd w:val="0"/>
        <w:spacing w:line="360" w:lineRule="auto"/>
        <w:jc w:val="both"/>
        <w:rPr>
          <w:rFonts w:ascii="Verdana" w:hAnsi="Verdana"/>
          <w:b/>
          <w:caps/>
          <w:spacing w:val="3"/>
          <w:sz w:val="20"/>
          <w:szCs w:val="20"/>
        </w:rPr>
      </w:pPr>
      <w:r w:rsidRPr="006A6D7C">
        <w:rPr>
          <w:rFonts w:ascii="Verdana" w:hAnsi="Verdana"/>
          <w:b/>
          <w:caps/>
          <w:spacing w:val="3"/>
          <w:sz w:val="20"/>
          <w:szCs w:val="20"/>
        </w:rPr>
        <w:t>Министър на земеделието</w:t>
      </w:r>
      <w:r w:rsidR="00003EB8">
        <w:rPr>
          <w:rFonts w:ascii="Verdana" w:hAnsi="Verdana"/>
          <w:b/>
          <w:caps/>
          <w:spacing w:val="3"/>
          <w:sz w:val="20"/>
          <w:szCs w:val="20"/>
        </w:rPr>
        <w:t xml:space="preserve"> и храните</w:t>
      </w:r>
      <w:r w:rsidRPr="006A6D7C">
        <w:rPr>
          <w:rFonts w:ascii="Verdana" w:hAnsi="Verdana"/>
          <w:b/>
          <w:caps/>
          <w:spacing w:val="3"/>
          <w:sz w:val="20"/>
          <w:szCs w:val="20"/>
        </w:rPr>
        <w:t>:</w:t>
      </w:r>
    </w:p>
    <w:p w14:paraId="7D5D78CD" w14:textId="097BC906" w:rsidR="00E45F8D" w:rsidRPr="006A6D7C" w:rsidRDefault="003401D0" w:rsidP="00003EB8">
      <w:pPr>
        <w:widowControl w:val="0"/>
        <w:shd w:val="clear" w:color="auto" w:fill="FFFFFF"/>
        <w:tabs>
          <w:tab w:val="left" w:leader="dot" w:pos="3802"/>
        </w:tabs>
        <w:autoSpaceDE w:val="0"/>
        <w:autoSpaceDN w:val="0"/>
        <w:adjustRightInd w:val="0"/>
        <w:spacing w:line="360" w:lineRule="auto"/>
        <w:ind w:left="5046"/>
        <w:outlineLvl w:val="0"/>
        <w:rPr>
          <w:rFonts w:ascii="Verdana" w:hAnsi="Verdana"/>
          <w:b/>
          <w:bCs/>
          <w:caps/>
          <w:sz w:val="20"/>
          <w:szCs w:val="20"/>
        </w:rPr>
      </w:pPr>
      <w:r>
        <w:rPr>
          <w:rFonts w:ascii="Verdana" w:hAnsi="Verdana"/>
          <w:b/>
          <w:bCs/>
          <w:caps/>
          <w:sz w:val="20"/>
          <w:szCs w:val="20"/>
        </w:rPr>
        <w:t>Д-Р ГЕОРГИ ТАХОВ</w:t>
      </w:r>
    </w:p>
    <w:p w14:paraId="0DAA10CA" w14:textId="1A0E634A" w:rsidR="00503111" w:rsidRDefault="00503111" w:rsidP="00A8031F">
      <w:pPr>
        <w:spacing w:after="120"/>
        <w:rPr>
          <w:rFonts w:ascii="Verdana" w:hAnsi="Verdana"/>
          <w:smallCaps/>
          <w:sz w:val="20"/>
          <w:szCs w:val="20"/>
        </w:rPr>
      </w:pPr>
    </w:p>
    <w:p w14:paraId="5DB80A41" w14:textId="5675D4E1" w:rsidR="00E45F8D" w:rsidRPr="008974FF" w:rsidRDefault="00E45F8D" w:rsidP="0026429A">
      <w:pPr>
        <w:widowControl w:val="0"/>
        <w:autoSpaceDE w:val="0"/>
        <w:autoSpaceDN w:val="0"/>
        <w:adjustRightInd w:val="0"/>
        <w:ind w:left="5726" w:firstLine="465"/>
        <w:rPr>
          <w:rFonts w:ascii="Verdana" w:hAnsi="Verdana"/>
          <w:smallCaps/>
          <w:sz w:val="20"/>
          <w:szCs w:val="20"/>
        </w:rPr>
      </w:pPr>
      <w:bookmarkStart w:id="0" w:name="_GoBack"/>
      <w:bookmarkEnd w:id="0"/>
    </w:p>
    <w:sectPr w:rsidR="00E45F8D" w:rsidRPr="008974FF" w:rsidSect="00BE1B04">
      <w:footerReference w:type="default" r:id="rId8"/>
      <w:headerReference w:type="first" r:id="rId9"/>
      <w:pgSz w:w="11906" w:h="16838" w:code="9"/>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CC049" w14:textId="77777777" w:rsidR="005A115D" w:rsidRDefault="005A115D" w:rsidP="0047524F">
      <w:r>
        <w:separator/>
      </w:r>
    </w:p>
  </w:endnote>
  <w:endnote w:type="continuationSeparator" w:id="0">
    <w:p w14:paraId="7A6ACCAB" w14:textId="77777777" w:rsidR="005A115D" w:rsidRDefault="005A115D" w:rsidP="0047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211705"/>
      <w:docPartObj>
        <w:docPartGallery w:val="Page Numbers (Bottom of Page)"/>
        <w:docPartUnique/>
      </w:docPartObj>
    </w:sdtPr>
    <w:sdtEndPr>
      <w:rPr>
        <w:rFonts w:ascii="Verdana" w:hAnsi="Verdana"/>
        <w:noProof/>
        <w:sz w:val="16"/>
        <w:szCs w:val="16"/>
      </w:rPr>
    </w:sdtEndPr>
    <w:sdtContent>
      <w:p w14:paraId="65F37039" w14:textId="0BB7EBDA" w:rsidR="00517DAD" w:rsidRPr="0047524F" w:rsidRDefault="00517DAD" w:rsidP="0047524F">
        <w:pPr>
          <w:pStyle w:val="Footer"/>
          <w:jc w:val="right"/>
          <w:rPr>
            <w:rFonts w:ascii="Verdana" w:hAnsi="Verdana"/>
            <w:sz w:val="16"/>
            <w:szCs w:val="16"/>
          </w:rPr>
        </w:pPr>
        <w:r w:rsidRPr="0047524F">
          <w:rPr>
            <w:rFonts w:ascii="Verdana" w:hAnsi="Verdana"/>
            <w:sz w:val="16"/>
            <w:szCs w:val="16"/>
          </w:rPr>
          <w:fldChar w:fldCharType="begin"/>
        </w:r>
        <w:r w:rsidRPr="0047524F">
          <w:rPr>
            <w:rFonts w:ascii="Verdana" w:hAnsi="Verdana"/>
            <w:sz w:val="16"/>
            <w:szCs w:val="16"/>
          </w:rPr>
          <w:instrText xml:space="preserve"> PAGE   \* MERGEFORMAT </w:instrText>
        </w:r>
        <w:r w:rsidRPr="0047524F">
          <w:rPr>
            <w:rFonts w:ascii="Verdana" w:hAnsi="Verdana"/>
            <w:sz w:val="16"/>
            <w:szCs w:val="16"/>
          </w:rPr>
          <w:fldChar w:fldCharType="separate"/>
        </w:r>
        <w:r w:rsidR="00482B5C">
          <w:rPr>
            <w:rFonts w:ascii="Verdana" w:hAnsi="Verdana"/>
            <w:noProof/>
            <w:sz w:val="16"/>
            <w:szCs w:val="16"/>
          </w:rPr>
          <w:t>5</w:t>
        </w:r>
        <w:r w:rsidRPr="0047524F">
          <w:rPr>
            <w:rFonts w:ascii="Verdana" w:hAnsi="Verdana"/>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E3930" w14:textId="77777777" w:rsidR="005A115D" w:rsidRDefault="005A115D" w:rsidP="0047524F">
      <w:r>
        <w:separator/>
      </w:r>
    </w:p>
  </w:footnote>
  <w:footnote w:type="continuationSeparator" w:id="0">
    <w:p w14:paraId="3BC8ECE0" w14:textId="77777777" w:rsidR="005A115D" w:rsidRDefault="005A115D" w:rsidP="00475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F6AA" w14:textId="77777777" w:rsidR="000A2910" w:rsidRPr="0009225B" w:rsidRDefault="000A2910" w:rsidP="000A2910">
    <w:pPr>
      <w:tabs>
        <w:tab w:val="center" w:pos="4320"/>
        <w:tab w:val="right" w:pos="8640"/>
      </w:tabs>
      <w:overflowPunct w:val="0"/>
      <w:jc w:val="right"/>
      <w:rPr>
        <w:rFonts w:ascii="Verdana" w:hAnsi="Verdana"/>
        <w:sz w:val="16"/>
        <w:szCs w:val="16"/>
        <w:lang w:eastAsia="en-US"/>
      </w:rPr>
    </w:pPr>
    <w:r w:rsidRPr="0009225B">
      <w:rPr>
        <w:rFonts w:ascii="Verdana" w:hAnsi="Verdana"/>
        <w:sz w:val="16"/>
        <w:szCs w:val="16"/>
        <w:lang w:eastAsia="en-US"/>
      </w:rPr>
      <w:t>Класификация на информацията:</w:t>
    </w:r>
  </w:p>
  <w:p w14:paraId="4993C4EE" w14:textId="77777777" w:rsidR="000A2910" w:rsidRPr="00D0480F" w:rsidRDefault="000A2910" w:rsidP="000A2910">
    <w:pPr>
      <w:tabs>
        <w:tab w:val="center" w:pos="4320"/>
        <w:tab w:val="right" w:pos="8640"/>
      </w:tabs>
      <w:overflowPunct w:val="0"/>
      <w:jc w:val="right"/>
      <w:rPr>
        <w:rFonts w:ascii="Verdana" w:hAnsi="Verdana"/>
        <w:sz w:val="16"/>
        <w:szCs w:val="16"/>
        <w:lang w:val="ru-RU" w:eastAsia="en-US"/>
      </w:rPr>
    </w:pPr>
    <w:r w:rsidRPr="0009225B">
      <w:rPr>
        <w:rFonts w:ascii="Verdana" w:hAnsi="Verdana"/>
        <w:sz w:val="16"/>
        <w:szCs w:val="16"/>
        <w:lang w:eastAsia="en-US"/>
      </w:rPr>
      <w:t>Ниво 1, TLP-GREEN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F20EEA"/>
    <w:multiLevelType w:val="hybridMultilevel"/>
    <w:tmpl w:val="4394DCC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FF5248F"/>
    <w:multiLevelType w:val="hybridMultilevel"/>
    <w:tmpl w:val="8AB27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374029"/>
    <w:multiLevelType w:val="hybridMultilevel"/>
    <w:tmpl w:val="675CBAF2"/>
    <w:lvl w:ilvl="0" w:tplc="CC740BC2">
      <w:start w:val="3"/>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8E13022"/>
    <w:multiLevelType w:val="hybridMultilevel"/>
    <w:tmpl w:val="6EB81BFE"/>
    <w:lvl w:ilvl="0" w:tplc="0402000D">
      <w:start w:val="1"/>
      <w:numFmt w:val="bullet"/>
      <w:lvlText w:val=""/>
      <w:lvlJc w:val="left"/>
      <w:pPr>
        <w:ind w:left="1410" w:hanging="360"/>
      </w:pPr>
      <w:rPr>
        <w:rFonts w:ascii="Wingdings" w:hAnsi="Wingdings" w:hint="default"/>
      </w:rPr>
    </w:lvl>
    <w:lvl w:ilvl="1" w:tplc="04020003" w:tentative="1">
      <w:start w:val="1"/>
      <w:numFmt w:val="bullet"/>
      <w:lvlText w:val="o"/>
      <w:lvlJc w:val="left"/>
      <w:pPr>
        <w:ind w:left="2130" w:hanging="360"/>
      </w:pPr>
      <w:rPr>
        <w:rFonts w:ascii="Courier New" w:hAnsi="Courier New" w:cs="Courier New" w:hint="default"/>
      </w:rPr>
    </w:lvl>
    <w:lvl w:ilvl="2" w:tplc="04020005" w:tentative="1">
      <w:start w:val="1"/>
      <w:numFmt w:val="bullet"/>
      <w:lvlText w:val=""/>
      <w:lvlJc w:val="left"/>
      <w:pPr>
        <w:ind w:left="2850" w:hanging="360"/>
      </w:pPr>
      <w:rPr>
        <w:rFonts w:ascii="Wingdings" w:hAnsi="Wingdings" w:hint="default"/>
      </w:rPr>
    </w:lvl>
    <w:lvl w:ilvl="3" w:tplc="04020001" w:tentative="1">
      <w:start w:val="1"/>
      <w:numFmt w:val="bullet"/>
      <w:lvlText w:val=""/>
      <w:lvlJc w:val="left"/>
      <w:pPr>
        <w:ind w:left="3570" w:hanging="360"/>
      </w:pPr>
      <w:rPr>
        <w:rFonts w:ascii="Symbol" w:hAnsi="Symbol" w:hint="default"/>
      </w:rPr>
    </w:lvl>
    <w:lvl w:ilvl="4" w:tplc="04020003" w:tentative="1">
      <w:start w:val="1"/>
      <w:numFmt w:val="bullet"/>
      <w:lvlText w:val="o"/>
      <w:lvlJc w:val="left"/>
      <w:pPr>
        <w:ind w:left="4290" w:hanging="360"/>
      </w:pPr>
      <w:rPr>
        <w:rFonts w:ascii="Courier New" w:hAnsi="Courier New" w:cs="Courier New" w:hint="default"/>
      </w:rPr>
    </w:lvl>
    <w:lvl w:ilvl="5" w:tplc="04020005" w:tentative="1">
      <w:start w:val="1"/>
      <w:numFmt w:val="bullet"/>
      <w:lvlText w:val=""/>
      <w:lvlJc w:val="left"/>
      <w:pPr>
        <w:ind w:left="5010" w:hanging="360"/>
      </w:pPr>
      <w:rPr>
        <w:rFonts w:ascii="Wingdings" w:hAnsi="Wingdings" w:hint="default"/>
      </w:rPr>
    </w:lvl>
    <w:lvl w:ilvl="6" w:tplc="04020001" w:tentative="1">
      <w:start w:val="1"/>
      <w:numFmt w:val="bullet"/>
      <w:lvlText w:val=""/>
      <w:lvlJc w:val="left"/>
      <w:pPr>
        <w:ind w:left="5730" w:hanging="360"/>
      </w:pPr>
      <w:rPr>
        <w:rFonts w:ascii="Symbol" w:hAnsi="Symbol" w:hint="default"/>
      </w:rPr>
    </w:lvl>
    <w:lvl w:ilvl="7" w:tplc="04020003" w:tentative="1">
      <w:start w:val="1"/>
      <w:numFmt w:val="bullet"/>
      <w:lvlText w:val="o"/>
      <w:lvlJc w:val="left"/>
      <w:pPr>
        <w:ind w:left="6450" w:hanging="360"/>
      </w:pPr>
      <w:rPr>
        <w:rFonts w:ascii="Courier New" w:hAnsi="Courier New" w:cs="Courier New" w:hint="default"/>
      </w:rPr>
    </w:lvl>
    <w:lvl w:ilvl="8" w:tplc="04020005" w:tentative="1">
      <w:start w:val="1"/>
      <w:numFmt w:val="bullet"/>
      <w:lvlText w:val=""/>
      <w:lvlJc w:val="left"/>
      <w:pPr>
        <w:ind w:left="717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C89"/>
    <w:rsid w:val="00001720"/>
    <w:rsid w:val="00002081"/>
    <w:rsid w:val="00003EB8"/>
    <w:rsid w:val="000052BB"/>
    <w:rsid w:val="000079E8"/>
    <w:rsid w:val="00020DDB"/>
    <w:rsid w:val="00031D76"/>
    <w:rsid w:val="00036D22"/>
    <w:rsid w:val="000378D0"/>
    <w:rsid w:val="0005423D"/>
    <w:rsid w:val="00055810"/>
    <w:rsid w:val="000569CB"/>
    <w:rsid w:val="00062523"/>
    <w:rsid w:val="00064B44"/>
    <w:rsid w:val="00075D69"/>
    <w:rsid w:val="00083A50"/>
    <w:rsid w:val="000853ED"/>
    <w:rsid w:val="00087913"/>
    <w:rsid w:val="0009225B"/>
    <w:rsid w:val="00095AA0"/>
    <w:rsid w:val="000A2910"/>
    <w:rsid w:val="000B2ADB"/>
    <w:rsid w:val="000B43E2"/>
    <w:rsid w:val="000C4BAD"/>
    <w:rsid w:val="000C5E10"/>
    <w:rsid w:val="000D46D6"/>
    <w:rsid w:val="000D65E1"/>
    <w:rsid w:val="000E5533"/>
    <w:rsid w:val="000E6D62"/>
    <w:rsid w:val="000F5B98"/>
    <w:rsid w:val="000F7127"/>
    <w:rsid w:val="001008B2"/>
    <w:rsid w:val="001054A2"/>
    <w:rsid w:val="00123703"/>
    <w:rsid w:val="00130426"/>
    <w:rsid w:val="00145101"/>
    <w:rsid w:val="0014654A"/>
    <w:rsid w:val="001535F7"/>
    <w:rsid w:val="001558F4"/>
    <w:rsid w:val="00182254"/>
    <w:rsid w:val="00193D6F"/>
    <w:rsid w:val="001A7AAE"/>
    <w:rsid w:val="001B5EA3"/>
    <w:rsid w:val="001D5D79"/>
    <w:rsid w:val="001E52BF"/>
    <w:rsid w:val="001E58F3"/>
    <w:rsid w:val="001F58A9"/>
    <w:rsid w:val="001F7FD5"/>
    <w:rsid w:val="00204CED"/>
    <w:rsid w:val="00207FFD"/>
    <w:rsid w:val="00210825"/>
    <w:rsid w:val="00211C55"/>
    <w:rsid w:val="002144A9"/>
    <w:rsid w:val="0022617A"/>
    <w:rsid w:val="002366A9"/>
    <w:rsid w:val="00236786"/>
    <w:rsid w:val="00236C31"/>
    <w:rsid w:val="00236D67"/>
    <w:rsid w:val="0024403C"/>
    <w:rsid w:val="00250DF6"/>
    <w:rsid w:val="00255076"/>
    <w:rsid w:val="00260210"/>
    <w:rsid w:val="0026129E"/>
    <w:rsid w:val="00262C90"/>
    <w:rsid w:val="00264164"/>
    <w:rsid w:val="0026429A"/>
    <w:rsid w:val="00273DE5"/>
    <w:rsid w:val="0028413E"/>
    <w:rsid w:val="00284DD5"/>
    <w:rsid w:val="00293DA4"/>
    <w:rsid w:val="0029628E"/>
    <w:rsid w:val="002A602E"/>
    <w:rsid w:val="002B006C"/>
    <w:rsid w:val="002B07B5"/>
    <w:rsid w:val="002B31C0"/>
    <w:rsid w:val="002B3C6E"/>
    <w:rsid w:val="002B66A2"/>
    <w:rsid w:val="002B731D"/>
    <w:rsid w:val="002D3D7A"/>
    <w:rsid w:val="002D7144"/>
    <w:rsid w:val="002E3714"/>
    <w:rsid w:val="002E726A"/>
    <w:rsid w:val="002F07EC"/>
    <w:rsid w:val="002F31FD"/>
    <w:rsid w:val="002F4105"/>
    <w:rsid w:val="00307F3B"/>
    <w:rsid w:val="00315783"/>
    <w:rsid w:val="00316E99"/>
    <w:rsid w:val="0031712F"/>
    <w:rsid w:val="0033269F"/>
    <w:rsid w:val="0034014B"/>
    <w:rsid w:val="003401D0"/>
    <w:rsid w:val="003413E4"/>
    <w:rsid w:val="00344639"/>
    <w:rsid w:val="00346500"/>
    <w:rsid w:val="00347D3F"/>
    <w:rsid w:val="00350306"/>
    <w:rsid w:val="00356382"/>
    <w:rsid w:val="0035667F"/>
    <w:rsid w:val="00357D62"/>
    <w:rsid w:val="00362204"/>
    <w:rsid w:val="0036798D"/>
    <w:rsid w:val="00381A56"/>
    <w:rsid w:val="00382A15"/>
    <w:rsid w:val="00382AC3"/>
    <w:rsid w:val="0039212E"/>
    <w:rsid w:val="00396FA7"/>
    <w:rsid w:val="003A1653"/>
    <w:rsid w:val="003A6C6C"/>
    <w:rsid w:val="003B0099"/>
    <w:rsid w:val="003B07A6"/>
    <w:rsid w:val="003B340B"/>
    <w:rsid w:val="003B5490"/>
    <w:rsid w:val="003C0BB6"/>
    <w:rsid w:val="003C12CD"/>
    <w:rsid w:val="003C438F"/>
    <w:rsid w:val="003E17A9"/>
    <w:rsid w:val="003E19CD"/>
    <w:rsid w:val="003E4D5A"/>
    <w:rsid w:val="003E5379"/>
    <w:rsid w:val="00413A75"/>
    <w:rsid w:val="00420131"/>
    <w:rsid w:val="0042193C"/>
    <w:rsid w:val="00421EA5"/>
    <w:rsid w:val="00422B1C"/>
    <w:rsid w:val="00424DB3"/>
    <w:rsid w:val="0043533D"/>
    <w:rsid w:val="00436C67"/>
    <w:rsid w:val="004377DD"/>
    <w:rsid w:val="00440AF6"/>
    <w:rsid w:val="00444686"/>
    <w:rsid w:val="004465C9"/>
    <w:rsid w:val="00457351"/>
    <w:rsid w:val="0045752E"/>
    <w:rsid w:val="00461D02"/>
    <w:rsid w:val="00464F54"/>
    <w:rsid w:val="004655D1"/>
    <w:rsid w:val="0047524F"/>
    <w:rsid w:val="00482B5C"/>
    <w:rsid w:val="004840DB"/>
    <w:rsid w:val="00485530"/>
    <w:rsid w:val="00487505"/>
    <w:rsid w:val="00490B25"/>
    <w:rsid w:val="004A637A"/>
    <w:rsid w:val="004C36B8"/>
    <w:rsid w:val="004C3D01"/>
    <w:rsid w:val="004C417B"/>
    <w:rsid w:val="004C79B9"/>
    <w:rsid w:val="004D1ECB"/>
    <w:rsid w:val="004D316B"/>
    <w:rsid w:val="004E7336"/>
    <w:rsid w:val="004F1F1F"/>
    <w:rsid w:val="004F6E40"/>
    <w:rsid w:val="004F7C34"/>
    <w:rsid w:val="00501794"/>
    <w:rsid w:val="00503111"/>
    <w:rsid w:val="0050465A"/>
    <w:rsid w:val="00511185"/>
    <w:rsid w:val="005132DF"/>
    <w:rsid w:val="00517AC7"/>
    <w:rsid w:val="00517DAD"/>
    <w:rsid w:val="005262E5"/>
    <w:rsid w:val="00530990"/>
    <w:rsid w:val="005314C4"/>
    <w:rsid w:val="00544EF9"/>
    <w:rsid w:val="005459D5"/>
    <w:rsid w:val="005609D7"/>
    <w:rsid w:val="005804CC"/>
    <w:rsid w:val="00580D14"/>
    <w:rsid w:val="00581AC1"/>
    <w:rsid w:val="005828F6"/>
    <w:rsid w:val="0058453F"/>
    <w:rsid w:val="00592D2D"/>
    <w:rsid w:val="005A115D"/>
    <w:rsid w:val="005A2D1D"/>
    <w:rsid w:val="005A37BA"/>
    <w:rsid w:val="005A63B3"/>
    <w:rsid w:val="005A6C7A"/>
    <w:rsid w:val="005B2A21"/>
    <w:rsid w:val="005C29DF"/>
    <w:rsid w:val="005C3D92"/>
    <w:rsid w:val="005C5150"/>
    <w:rsid w:val="005D59CC"/>
    <w:rsid w:val="005E08F2"/>
    <w:rsid w:val="005E7CF6"/>
    <w:rsid w:val="005F7BF5"/>
    <w:rsid w:val="006006E0"/>
    <w:rsid w:val="006107A9"/>
    <w:rsid w:val="00617D90"/>
    <w:rsid w:val="00621964"/>
    <w:rsid w:val="00622F41"/>
    <w:rsid w:val="00624512"/>
    <w:rsid w:val="00633398"/>
    <w:rsid w:val="0066067C"/>
    <w:rsid w:val="006701DA"/>
    <w:rsid w:val="00673EB8"/>
    <w:rsid w:val="00677B63"/>
    <w:rsid w:val="00682D5B"/>
    <w:rsid w:val="00690916"/>
    <w:rsid w:val="00692DA4"/>
    <w:rsid w:val="0069431B"/>
    <w:rsid w:val="0069443E"/>
    <w:rsid w:val="006967F2"/>
    <w:rsid w:val="006A4FEE"/>
    <w:rsid w:val="006A6D7C"/>
    <w:rsid w:val="006B5D87"/>
    <w:rsid w:val="006B5F8A"/>
    <w:rsid w:val="006B6C89"/>
    <w:rsid w:val="006C1158"/>
    <w:rsid w:val="006C2B33"/>
    <w:rsid w:val="006C4362"/>
    <w:rsid w:val="006D4ACA"/>
    <w:rsid w:val="006D724B"/>
    <w:rsid w:val="006E2650"/>
    <w:rsid w:val="006E4D92"/>
    <w:rsid w:val="006F21E6"/>
    <w:rsid w:val="006F4069"/>
    <w:rsid w:val="00705981"/>
    <w:rsid w:val="00721C11"/>
    <w:rsid w:val="007241E9"/>
    <w:rsid w:val="00732C87"/>
    <w:rsid w:val="007330AC"/>
    <w:rsid w:val="00743380"/>
    <w:rsid w:val="00745965"/>
    <w:rsid w:val="007512B7"/>
    <w:rsid w:val="00752E0C"/>
    <w:rsid w:val="0075394C"/>
    <w:rsid w:val="00760974"/>
    <w:rsid w:val="007620C8"/>
    <w:rsid w:val="00776D67"/>
    <w:rsid w:val="007773DC"/>
    <w:rsid w:val="00781882"/>
    <w:rsid w:val="007914E9"/>
    <w:rsid w:val="007A0C9C"/>
    <w:rsid w:val="007A4919"/>
    <w:rsid w:val="007A49DD"/>
    <w:rsid w:val="007B0833"/>
    <w:rsid w:val="007B0AE1"/>
    <w:rsid w:val="007B0D26"/>
    <w:rsid w:val="007B1FE2"/>
    <w:rsid w:val="007B6EE2"/>
    <w:rsid w:val="007B7387"/>
    <w:rsid w:val="007D38A1"/>
    <w:rsid w:val="007E623E"/>
    <w:rsid w:val="007F29ED"/>
    <w:rsid w:val="008010A4"/>
    <w:rsid w:val="008019A1"/>
    <w:rsid w:val="0080427C"/>
    <w:rsid w:val="00805A01"/>
    <w:rsid w:val="00807F6D"/>
    <w:rsid w:val="00817AF8"/>
    <w:rsid w:val="00833BAB"/>
    <w:rsid w:val="00835665"/>
    <w:rsid w:val="0083586C"/>
    <w:rsid w:val="00837EC0"/>
    <w:rsid w:val="008446E7"/>
    <w:rsid w:val="00852A54"/>
    <w:rsid w:val="00854EFA"/>
    <w:rsid w:val="008553CF"/>
    <w:rsid w:val="00872B41"/>
    <w:rsid w:val="00877AA6"/>
    <w:rsid w:val="00885875"/>
    <w:rsid w:val="00897178"/>
    <w:rsid w:val="008974FF"/>
    <w:rsid w:val="00897755"/>
    <w:rsid w:val="008B05C7"/>
    <w:rsid w:val="008B6EE4"/>
    <w:rsid w:val="008C0B5D"/>
    <w:rsid w:val="008C3EB3"/>
    <w:rsid w:val="008D5710"/>
    <w:rsid w:val="008D5EB5"/>
    <w:rsid w:val="008D78F5"/>
    <w:rsid w:val="008E24BB"/>
    <w:rsid w:val="008E2964"/>
    <w:rsid w:val="00902320"/>
    <w:rsid w:val="00912F50"/>
    <w:rsid w:val="00922CF5"/>
    <w:rsid w:val="00924D85"/>
    <w:rsid w:val="00926F7B"/>
    <w:rsid w:val="009428FE"/>
    <w:rsid w:val="00943E34"/>
    <w:rsid w:val="00956488"/>
    <w:rsid w:val="00967909"/>
    <w:rsid w:val="009724B5"/>
    <w:rsid w:val="00973424"/>
    <w:rsid w:val="009741C6"/>
    <w:rsid w:val="0097499F"/>
    <w:rsid w:val="00984AE0"/>
    <w:rsid w:val="009A6B39"/>
    <w:rsid w:val="009B1570"/>
    <w:rsid w:val="009B3489"/>
    <w:rsid w:val="009B3BE2"/>
    <w:rsid w:val="009B4156"/>
    <w:rsid w:val="009B568A"/>
    <w:rsid w:val="009C031C"/>
    <w:rsid w:val="009C2573"/>
    <w:rsid w:val="009C498D"/>
    <w:rsid w:val="009D110E"/>
    <w:rsid w:val="00A0031B"/>
    <w:rsid w:val="00A162BD"/>
    <w:rsid w:val="00A30714"/>
    <w:rsid w:val="00A368DC"/>
    <w:rsid w:val="00A544EB"/>
    <w:rsid w:val="00A57E25"/>
    <w:rsid w:val="00A73875"/>
    <w:rsid w:val="00A75BF0"/>
    <w:rsid w:val="00A75C79"/>
    <w:rsid w:val="00A76383"/>
    <w:rsid w:val="00A8031F"/>
    <w:rsid w:val="00A86C9B"/>
    <w:rsid w:val="00A96A13"/>
    <w:rsid w:val="00AB3818"/>
    <w:rsid w:val="00AC75CA"/>
    <w:rsid w:val="00AE0E87"/>
    <w:rsid w:val="00AE237D"/>
    <w:rsid w:val="00B0447A"/>
    <w:rsid w:val="00B14758"/>
    <w:rsid w:val="00B14E89"/>
    <w:rsid w:val="00B3576D"/>
    <w:rsid w:val="00B43854"/>
    <w:rsid w:val="00B60BB2"/>
    <w:rsid w:val="00B6630E"/>
    <w:rsid w:val="00B7062F"/>
    <w:rsid w:val="00B731C6"/>
    <w:rsid w:val="00B8003A"/>
    <w:rsid w:val="00B8020F"/>
    <w:rsid w:val="00B91A48"/>
    <w:rsid w:val="00B96D0F"/>
    <w:rsid w:val="00BA4D81"/>
    <w:rsid w:val="00BC2CF9"/>
    <w:rsid w:val="00BC7407"/>
    <w:rsid w:val="00BD1BD7"/>
    <w:rsid w:val="00BD7371"/>
    <w:rsid w:val="00BE1B04"/>
    <w:rsid w:val="00BE4613"/>
    <w:rsid w:val="00BE6FAF"/>
    <w:rsid w:val="00BF27E6"/>
    <w:rsid w:val="00BF6C9B"/>
    <w:rsid w:val="00C01494"/>
    <w:rsid w:val="00C16D44"/>
    <w:rsid w:val="00C3109F"/>
    <w:rsid w:val="00C54BE5"/>
    <w:rsid w:val="00C63BCF"/>
    <w:rsid w:val="00C77F00"/>
    <w:rsid w:val="00C80CBB"/>
    <w:rsid w:val="00C811E3"/>
    <w:rsid w:val="00C876B5"/>
    <w:rsid w:val="00C9466F"/>
    <w:rsid w:val="00CA1CA8"/>
    <w:rsid w:val="00CA26A1"/>
    <w:rsid w:val="00CA3B47"/>
    <w:rsid w:val="00CA5E12"/>
    <w:rsid w:val="00CC088C"/>
    <w:rsid w:val="00CC21E1"/>
    <w:rsid w:val="00CC3449"/>
    <w:rsid w:val="00CC3647"/>
    <w:rsid w:val="00CC7110"/>
    <w:rsid w:val="00CD0AD2"/>
    <w:rsid w:val="00CD272F"/>
    <w:rsid w:val="00CF3ABC"/>
    <w:rsid w:val="00CF5DA6"/>
    <w:rsid w:val="00D01674"/>
    <w:rsid w:val="00D0193A"/>
    <w:rsid w:val="00D0480F"/>
    <w:rsid w:val="00D079C5"/>
    <w:rsid w:val="00D20052"/>
    <w:rsid w:val="00D34A06"/>
    <w:rsid w:val="00D40111"/>
    <w:rsid w:val="00D4539F"/>
    <w:rsid w:val="00D551BF"/>
    <w:rsid w:val="00D636A0"/>
    <w:rsid w:val="00D65548"/>
    <w:rsid w:val="00D6555A"/>
    <w:rsid w:val="00D67E5B"/>
    <w:rsid w:val="00D8038A"/>
    <w:rsid w:val="00D82209"/>
    <w:rsid w:val="00D83587"/>
    <w:rsid w:val="00D87EBA"/>
    <w:rsid w:val="00D97E8D"/>
    <w:rsid w:val="00DA1D47"/>
    <w:rsid w:val="00DA2311"/>
    <w:rsid w:val="00DA3855"/>
    <w:rsid w:val="00DA50CD"/>
    <w:rsid w:val="00DC4476"/>
    <w:rsid w:val="00DD5B10"/>
    <w:rsid w:val="00E1086F"/>
    <w:rsid w:val="00E10DB8"/>
    <w:rsid w:val="00E23C3C"/>
    <w:rsid w:val="00E31492"/>
    <w:rsid w:val="00E36A25"/>
    <w:rsid w:val="00E37AE8"/>
    <w:rsid w:val="00E45F8D"/>
    <w:rsid w:val="00E536FF"/>
    <w:rsid w:val="00E53B63"/>
    <w:rsid w:val="00E65088"/>
    <w:rsid w:val="00E75D48"/>
    <w:rsid w:val="00E944DD"/>
    <w:rsid w:val="00EB172D"/>
    <w:rsid w:val="00EB23CE"/>
    <w:rsid w:val="00EC2B09"/>
    <w:rsid w:val="00EC41B8"/>
    <w:rsid w:val="00ED05F1"/>
    <w:rsid w:val="00ED3A31"/>
    <w:rsid w:val="00EF426D"/>
    <w:rsid w:val="00F22422"/>
    <w:rsid w:val="00F26963"/>
    <w:rsid w:val="00F40E29"/>
    <w:rsid w:val="00F56B5E"/>
    <w:rsid w:val="00F82171"/>
    <w:rsid w:val="00F9306D"/>
    <w:rsid w:val="00FA3AD7"/>
    <w:rsid w:val="00FB07B3"/>
    <w:rsid w:val="00FB50C6"/>
    <w:rsid w:val="00FC5C99"/>
    <w:rsid w:val="00FC686A"/>
    <w:rsid w:val="00FD589D"/>
    <w:rsid w:val="00FD75D2"/>
    <w:rsid w:val="00FE1A16"/>
    <w:rsid w:val="00FF3E98"/>
    <w:rsid w:val="00FF5834"/>
    <w:rsid w:val="00FF67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E5AAF"/>
  <w15:docId w15:val="{90E44C92-1FD3-4AA7-98B6-811F6B16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DE5"/>
    <w:pPr>
      <w:spacing w:after="0" w:line="240" w:lineRule="auto"/>
    </w:pPr>
    <w:rPr>
      <w:rFonts w:ascii="Times New Roman" w:eastAsia="Times New Roman" w:hAnsi="Times New Roman" w:cs="Times New Roman"/>
      <w:sz w:val="24"/>
      <w:szCs w:val="24"/>
      <w:lang w:val="bg-BG" w:eastAsia="bg-BG"/>
    </w:rPr>
  </w:style>
  <w:style w:type="paragraph" w:styleId="Heading2">
    <w:name w:val="heading 2"/>
    <w:basedOn w:val="Normal"/>
    <w:next w:val="Normal"/>
    <w:link w:val="Heading2Char"/>
    <w:uiPriority w:val="9"/>
    <w:unhideWhenUsed/>
    <w:qFormat/>
    <w:rsid w:val="00F40E29"/>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73DE5"/>
    <w:pPr>
      <w:overflowPunct w:val="0"/>
      <w:autoSpaceDE w:val="0"/>
      <w:autoSpaceDN w:val="0"/>
      <w:adjustRightInd w:val="0"/>
      <w:spacing w:after="120" w:line="480" w:lineRule="auto"/>
      <w:ind w:left="283"/>
      <w:textAlignment w:val="baseline"/>
    </w:pPr>
    <w:rPr>
      <w:rFonts w:ascii="Arial" w:hAnsi="Arial"/>
      <w:sz w:val="20"/>
      <w:szCs w:val="20"/>
      <w:lang w:val="en-US" w:eastAsia="en-US"/>
    </w:rPr>
  </w:style>
  <w:style w:type="character" w:customStyle="1" w:styleId="BodyTextIndent2Char">
    <w:name w:val="Body Text Indent 2 Char"/>
    <w:basedOn w:val="DefaultParagraphFont"/>
    <w:link w:val="BodyTextIndent2"/>
    <w:rsid w:val="00273DE5"/>
    <w:rPr>
      <w:rFonts w:ascii="Arial" w:eastAsia="Times New Roman" w:hAnsi="Arial" w:cs="Times New Roman"/>
      <w:sz w:val="20"/>
      <w:szCs w:val="20"/>
    </w:rPr>
  </w:style>
  <w:style w:type="paragraph" w:customStyle="1" w:styleId="a">
    <w:name w:val="Знак Знак"/>
    <w:basedOn w:val="Normal"/>
    <w:rsid w:val="00877AA6"/>
    <w:rPr>
      <w:lang w:val="pl-PL" w:eastAsia="pl-PL"/>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485530"/>
    <w:pPr>
      <w:ind w:left="720"/>
      <w:contextualSpacing/>
    </w:pPr>
  </w:style>
  <w:style w:type="paragraph" w:styleId="BalloonText">
    <w:name w:val="Balloon Text"/>
    <w:basedOn w:val="Normal"/>
    <w:link w:val="BalloonTextChar"/>
    <w:uiPriority w:val="99"/>
    <w:semiHidden/>
    <w:unhideWhenUsed/>
    <w:rsid w:val="00BD1BD7"/>
    <w:rPr>
      <w:rFonts w:ascii="Tahoma" w:hAnsi="Tahoma" w:cs="Tahoma"/>
      <w:sz w:val="16"/>
      <w:szCs w:val="16"/>
    </w:rPr>
  </w:style>
  <w:style w:type="character" w:customStyle="1" w:styleId="BalloonTextChar">
    <w:name w:val="Balloon Text Char"/>
    <w:basedOn w:val="DefaultParagraphFont"/>
    <w:link w:val="BalloonText"/>
    <w:uiPriority w:val="99"/>
    <w:semiHidden/>
    <w:rsid w:val="00BD1BD7"/>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47524F"/>
    <w:pPr>
      <w:tabs>
        <w:tab w:val="center" w:pos="4536"/>
        <w:tab w:val="right" w:pos="9072"/>
      </w:tabs>
    </w:pPr>
  </w:style>
  <w:style w:type="character" w:customStyle="1" w:styleId="HeaderChar">
    <w:name w:val="Header Char"/>
    <w:basedOn w:val="DefaultParagraphFont"/>
    <w:link w:val="Header"/>
    <w:uiPriority w:val="99"/>
    <w:rsid w:val="0047524F"/>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47524F"/>
    <w:pPr>
      <w:tabs>
        <w:tab w:val="center" w:pos="4536"/>
        <w:tab w:val="right" w:pos="9072"/>
      </w:tabs>
    </w:pPr>
  </w:style>
  <w:style w:type="character" w:customStyle="1" w:styleId="FooterChar">
    <w:name w:val="Footer Char"/>
    <w:basedOn w:val="DefaultParagraphFont"/>
    <w:link w:val="Footer"/>
    <w:uiPriority w:val="99"/>
    <w:rsid w:val="0047524F"/>
    <w:rPr>
      <w:rFonts w:ascii="Times New Roman" w:eastAsia="Times New Roman" w:hAnsi="Times New Roman" w:cs="Times New Roman"/>
      <w:sz w:val="24"/>
      <w:szCs w:val="24"/>
      <w:lang w:val="bg-BG" w:eastAsia="bg-BG"/>
    </w:rPr>
  </w:style>
  <w:style w:type="paragraph" w:styleId="BodyText">
    <w:name w:val="Body Text"/>
    <w:basedOn w:val="Normal"/>
    <w:link w:val="BodyTextChar"/>
    <w:uiPriority w:val="99"/>
    <w:semiHidden/>
    <w:unhideWhenUsed/>
    <w:rsid w:val="00E45F8D"/>
    <w:pPr>
      <w:spacing w:after="120"/>
    </w:pPr>
  </w:style>
  <w:style w:type="character" w:customStyle="1" w:styleId="BodyTextChar">
    <w:name w:val="Body Text Char"/>
    <w:basedOn w:val="DefaultParagraphFont"/>
    <w:link w:val="BodyText"/>
    <w:uiPriority w:val="99"/>
    <w:semiHidden/>
    <w:rsid w:val="00E45F8D"/>
    <w:rPr>
      <w:rFonts w:ascii="Times New Roman" w:eastAsia="Times New Roman" w:hAnsi="Times New Roman" w:cs="Times New Roman"/>
      <w:sz w:val="24"/>
      <w:szCs w:val="24"/>
      <w:lang w:val="bg-BG" w:eastAsia="bg-BG"/>
    </w:rPr>
  </w:style>
  <w:style w:type="character" w:customStyle="1" w:styleId="Heading2Char">
    <w:name w:val="Heading 2 Char"/>
    <w:basedOn w:val="DefaultParagraphFont"/>
    <w:link w:val="Heading2"/>
    <w:uiPriority w:val="9"/>
    <w:rsid w:val="00F40E29"/>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locked/>
    <w:rsid w:val="00F40E29"/>
    <w:rPr>
      <w:rFonts w:ascii="Times New Roman" w:eastAsia="Times New Roman" w:hAnsi="Times New Roman" w:cs="Times New Roman"/>
      <w:sz w:val="24"/>
      <w:szCs w:val="24"/>
      <w:lang w:val="bg-BG" w:eastAsia="bg-BG"/>
    </w:rPr>
  </w:style>
  <w:style w:type="character" w:styleId="CommentReference">
    <w:name w:val="annotation reference"/>
    <w:basedOn w:val="DefaultParagraphFont"/>
    <w:uiPriority w:val="99"/>
    <w:semiHidden/>
    <w:unhideWhenUsed/>
    <w:rsid w:val="000F5B98"/>
    <w:rPr>
      <w:sz w:val="16"/>
      <w:szCs w:val="16"/>
    </w:rPr>
  </w:style>
  <w:style w:type="paragraph" w:styleId="CommentText">
    <w:name w:val="annotation text"/>
    <w:basedOn w:val="Normal"/>
    <w:link w:val="CommentTextChar"/>
    <w:uiPriority w:val="99"/>
    <w:semiHidden/>
    <w:unhideWhenUsed/>
    <w:rsid w:val="000F5B98"/>
    <w:rPr>
      <w:sz w:val="20"/>
      <w:szCs w:val="20"/>
    </w:rPr>
  </w:style>
  <w:style w:type="character" w:customStyle="1" w:styleId="CommentTextChar">
    <w:name w:val="Comment Text Char"/>
    <w:basedOn w:val="DefaultParagraphFont"/>
    <w:link w:val="CommentText"/>
    <w:uiPriority w:val="99"/>
    <w:semiHidden/>
    <w:rsid w:val="000F5B98"/>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0F5B98"/>
    <w:rPr>
      <w:b/>
      <w:bCs/>
    </w:rPr>
  </w:style>
  <w:style w:type="character" w:customStyle="1" w:styleId="CommentSubjectChar">
    <w:name w:val="Comment Subject Char"/>
    <w:basedOn w:val="CommentTextChar"/>
    <w:link w:val="CommentSubject"/>
    <w:uiPriority w:val="99"/>
    <w:semiHidden/>
    <w:rsid w:val="000F5B98"/>
    <w:rPr>
      <w:rFonts w:ascii="Times New Roman" w:eastAsia="Times New Roman" w:hAnsi="Times New Roman" w:cs="Times New Roman"/>
      <w:b/>
      <w:bCs/>
      <w:sz w:val="20"/>
      <w:szCs w:val="20"/>
      <w:lang w:val="bg-BG" w:eastAsia="bg-BG"/>
    </w:rPr>
  </w:style>
  <w:style w:type="table" w:styleId="TableGrid">
    <w:name w:val="Table Grid"/>
    <w:basedOn w:val="TableNormal"/>
    <w:uiPriority w:val="59"/>
    <w:rsid w:val="004D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4117">
      <w:bodyDiv w:val="1"/>
      <w:marLeft w:val="0"/>
      <w:marRight w:val="0"/>
      <w:marTop w:val="0"/>
      <w:marBottom w:val="0"/>
      <w:divBdr>
        <w:top w:val="none" w:sz="0" w:space="0" w:color="auto"/>
        <w:left w:val="none" w:sz="0" w:space="0" w:color="auto"/>
        <w:bottom w:val="none" w:sz="0" w:space="0" w:color="auto"/>
        <w:right w:val="none" w:sz="0" w:space="0" w:color="auto"/>
      </w:divBdr>
    </w:div>
    <w:div w:id="411897228">
      <w:bodyDiv w:val="1"/>
      <w:marLeft w:val="0"/>
      <w:marRight w:val="0"/>
      <w:marTop w:val="0"/>
      <w:marBottom w:val="0"/>
      <w:divBdr>
        <w:top w:val="none" w:sz="0" w:space="0" w:color="auto"/>
        <w:left w:val="none" w:sz="0" w:space="0" w:color="auto"/>
        <w:bottom w:val="none" w:sz="0" w:space="0" w:color="auto"/>
        <w:right w:val="none" w:sz="0" w:space="0" w:color="auto"/>
      </w:divBdr>
    </w:div>
    <w:div w:id="751242585">
      <w:bodyDiv w:val="1"/>
      <w:marLeft w:val="0"/>
      <w:marRight w:val="0"/>
      <w:marTop w:val="0"/>
      <w:marBottom w:val="0"/>
      <w:divBdr>
        <w:top w:val="none" w:sz="0" w:space="0" w:color="auto"/>
        <w:left w:val="none" w:sz="0" w:space="0" w:color="auto"/>
        <w:bottom w:val="none" w:sz="0" w:space="0" w:color="auto"/>
        <w:right w:val="none" w:sz="0" w:space="0" w:color="auto"/>
      </w:divBdr>
    </w:div>
    <w:div w:id="1081410091">
      <w:bodyDiv w:val="1"/>
      <w:marLeft w:val="0"/>
      <w:marRight w:val="0"/>
      <w:marTop w:val="0"/>
      <w:marBottom w:val="0"/>
      <w:divBdr>
        <w:top w:val="none" w:sz="0" w:space="0" w:color="auto"/>
        <w:left w:val="none" w:sz="0" w:space="0" w:color="auto"/>
        <w:bottom w:val="none" w:sz="0" w:space="0" w:color="auto"/>
        <w:right w:val="none" w:sz="0" w:space="0" w:color="auto"/>
      </w:divBdr>
    </w:div>
    <w:div w:id="139750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C5871-D603-4315-A22C-F094180F2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Pages>
  <Words>1659</Words>
  <Characters>9461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Slavi Kralev</dc:creator>
  <cp:lastModifiedBy>Svetoslav Tsekov</cp:lastModifiedBy>
  <cp:revision>37</cp:revision>
  <cp:lastPrinted>2021-02-23T11:29:00Z</cp:lastPrinted>
  <dcterms:created xsi:type="dcterms:W3CDTF">2023-04-11T11:35:00Z</dcterms:created>
  <dcterms:modified xsi:type="dcterms:W3CDTF">2024-09-18T08:03:00Z</dcterms:modified>
</cp:coreProperties>
</file>