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85" w:rsidRDefault="00053985">
      <w:pPr>
        <w:jc w:val="center"/>
        <w:rPr>
          <w:b/>
          <w:sz w:val="22"/>
          <w:szCs w:val="22"/>
        </w:rPr>
      </w:pPr>
    </w:p>
    <w:p w:rsidR="00053985" w:rsidRDefault="000F0B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Индикативна годишна работна програма по програмите, финансирани от</w:t>
      </w:r>
    </w:p>
    <w:p w:rsidR="00053985" w:rsidRDefault="000F0B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Европейските фондове при споделено управление за програмен период 2021 – 2027 г.</w:t>
      </w:r>
      <w:r>
        <w:rPr>
          <w:rStyle w:val="FootnoteReference"/>
          <w:b/>
          <w:sz w:val="22"/>
          <w:szCs w:val="22"/>
        </w:rPr>
        <w:footnoteReference w:id="1"/>
      </w:r>
    </w:p>
    <w:p w:rsidR="00053985" w:rsidRDefault="000F0B7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p w:rsidR="00053985" w:rsidRDefault="000F0B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ПРОГРАМА „РАЗВИТИЕ НА РЕГИОНИТЕ“ 2021 – 2027 г.</w:t>
      </w:r>
    </w:p>
    <w:p w:rsidR="00053985" w:rsidRDefault="000F0B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ГОДИНА </w:t>
      </w:r>
    </w:p>
    <w:p w:rsidR="00053985" w:rsidRDefault="00053985">
      <w:pPr>
        <w:jc w:val="center"/>
        <w:rPr>
          <w:b/>
          <w:sz w:val="22"/>
          <w:szCs w:val="22"/>
          <w:lang w:val="en-US"/>
        </w:rPr>
      </w:pPr>
    </w:p>
    <w:tbl>
      <w:tblPr>
        <w:tblW w:w="15765" w:type="dxa"/>
        <w:tblInd w:w="-177" w:type="dxa"/>
        <w:tblLayout w:type="fixed"/>
        <w:tblLook w:val="01E0" w:firstRow="1" w:lastRow="1" w:firstColumn="1" w:lastColumn="1" w:noHBand="0" w:noVBand="0"/>
      </w:tblPr>
      <w:tblGrid>
        <w:gridCol w:w="314"/>
        <w:gridCol w:w="1431"/>
        <w:gridCol w:w="33"/>
        <w:gridCol w:w="1146"/>
        <w:gridCol w:w="143"/>
        <w:gridCol w:w="683"/>
        <w:gridCol w:w="33"/>
        <w:gridCol w:w="788"/>
        <w:gridCol w:w="1075"/>
        <w:gridCol w:w="2153"/>
        <w:gridCol w:w="1575"/>
        <w:gridCol w:w="1148"/>
        <w:gridCol w:w="574"/>
        <w:gridCol w:w="1004"/>
        <w:gridCol w:w="1004"/>
        <w:gridCol w:w="572"/>
        <w:gridCol w:w="1107"/>
        <w:gridCol w:w="566"/>
        <w:gridCol w:w="416"/>
      </w:tblGrid>
      <w:tr w:rsidR="00053985">
        <w:trPr>
          <w:cantSplit/>
          <w:trHeight w:val="584"/>
        </w:trPr>
        <w:tc>
          <w:tcPr>
            <w:tcW w:w="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на  процедурата </w:t>
            </w:r>
          </w:p>
        </w:tc>
        <w:tc>
          <w:tcPr>
            <w:tcW w:w="13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Цели на </w:t>
            </w:r>
            <w:r>
              <w:rPr>
                <w:b/>
                <w:sz w:val="16"/>
                <w:szCs w:val="16"/>
              </w:rPr>
              <w:t>предоставяната БФП</w:t>
            </w:r>
            <w:r>
              <w:rPr>
                <w:rStyle w:val="FootnoteReference"/>
                <w:b/>
                <w:sz w:val="16"/>
                <w:szCs w:val="16"/>
              </w:rPr>
              <w:footnoteReference w:id="2"/>
            </w:r>
            <w:r>
              <w:rPr>
                <w:b/>
                <w:sz w:val="16"/>
                <w:szCs w:val="16"/>
              </w:rPr>
              <w:t xml:space="preserve"> по  процедурата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Начин на провеждане на процедурата съгласно чл. 2 от ПМС № 23/2023 г.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Извършване на предварителен подбор на концепции за проектни предложения</w:t>
            </w:r>
            <w:r>
              <w:rPr>
                <w:rStyle w:val="FootnoteReference"/>
                <w:b/>
                <w:sz w:val="16"/>
                <w:szCs w:val="16"/>
              </w:rPr>
              <w:footnoteReference w:id="3"/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29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 размер на БФП  по процедурата /лв./</w:t>
            </w:r>
          </w:p>
        </w:tc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9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Допустими кандидати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16" w:right="-1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Примерни </w:t>
            </w:r>
            <w:r>
              <w:rPr>
                <w:b/>
                <w:sz w:val="16"/>
                <w:szCs w:val="16"/>
              </w:rPr>
              <w:t>допустими дейности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8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Максимален </w:t>
            </w:r>
          </w:p>
          <w:p w:rsidR="00053985" w:rsidRDefault="000F0B72">
            <w:pPr>
              <w:widowControl w:val="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% на </w:t>
            </w:r>
            <w:proofErr w:type="spellStart"/>
            <w:r>
              <w:rPr>
                <w:b/>
                <w:sz w:val="16"/>
                <w:szCs w:val="16"/>
              </w:rPr>
              <w:t>съ</w:t>
            </w:r>
            <w:proofErr w:type="spellEnd"/>
            <w:r>
              <w:rPr>
                <w:b/>
                <w:sz w:val="16"/>
                <w:szCs w:val="16"/>
              </w:rPr>
              <w:t>-финансиране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tabs>
                <w:tab w:val="left" w:pos="601"/>
              </w:tabs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 на обявяване на процедурата</w:t>
            </w:r>
            <w:r>
              <w:rPr>
                <w:rStyle w:val="FootnoteReference"/>
                <w:b/>
                <w:sz w:val="16"/>
                <w:szCs w:val="16"/>
              </w:rPr>
              <w:footnoteReference w:id="4"/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7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Краен срок за подаване на проектни предложения</w:t>
            </w:r>
            <w:r>
              <w:rPr>
                <w:rStyle w:val="FootnoteReference"/>
                <w:b/>
                <w:sz w:val="16"/>
                <w:szCs w:val="16"/>
              </w:rPr>
              <w:footnoteReference w:id="5"/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2" w:right="-14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Представлява ли процедурата/част от нея</w:t>
            </w:r>
            <w:r>
              <w:rPr>
                <w:rStyle w:val="FootnoteReference"/>
                <w:b/>
                <w:sz w:val="16"/>
                <w:szCs w:val="16"/>
              </w:rPr>
              <w:footnoteReference w:id="6"/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spacing w:before="120"/>
              <w:ind w:left="-109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Размер на БФП за проект /лв./</w:t>
            </w:r>
            <w:r>
              <w:rPr>
                <w:rStyle w:val="FootnoteReference"/>
                <w:b/>
                <w:sz w:val="16"/>
                <w:szCs w:val="16"/>
              </w:rPr>
              <w:footnoteReference w:id="7"/>
            </w:r>
          </w:p>
        </w:tc>
      </w:tr>
      <w:tr w:rsidR="00053985">
        <w:trPr>
          <w:cantSplit/>
          <w:trHeight w:val="419"/>
        </w:trPr>
        <w:tc>
          <w:tcPr>
            <w:tcW w:w="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ind w:left="-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53985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9" w:right="-5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Държавна </w:t>
            </w:r>
            <w:r>
              <w:rPr>
                <w:b/>
                <w:sz w:val="16"/>
                <w:szCs w:val="16"/>
              </w:rPr>
              <w:t>помощ</w:t>
            </w:r>
            <w:r>
              <w:rPr>
                <w:rStyle w:val="FootnoteReference"/>
                <w:b/>
                <w:sz w:val="16"/>
                <w:szCs w:val="16"/>
              </w:rPr>
              <w:footnoteReference w:id="8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4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Минимална помощ</w:t>
            </w:r>
            <w:r>
              <w:rPr>
                <w:rStyle w:val="FootnoteReference"/>
                <w:b/>
                <w:sz w:val="16"/>
                <w:szCs w:val="16"/>
              </w:rPr>
              <w:footnoteReference w:id="9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0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Минимален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0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максимален</w:t>
            </w:r>
          </w:p>
        </w:tc>
      </w:tr>
      <w:tr w:rsidR="00053985">
        <w:tc>
          <w:tcPr>
            <w:tcW w:w="1576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53985" w:rsidRDefault="000F0B72">
            <w:pPr>
              <w:widowControl w:val="0"/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</w:t>
            </w:r>
            <w:r>
              <w:rPr>
                <w:b/>
                <w:sz w:val="16"/>
                <w:szCs w:val="16"/>
              </w:rPr>
              <w:t>иоритет 2 „Интегрирано териториално развитие на регионите“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Подкрепа за интегрирано градско развитие в 40 градски общини - 2</w:t>
            </w:r>
            <w:r>
              <w:rPr>
                <w:rStyle w:val="FootnoteReference"/>
                <w:sz w:val="16"/>
                <w:szCs w:val="16"/>
              </w:rPr>
              <w:footnoteReference w:id="10"/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Насърчаване на интегрираното и приобщаващо социално, икономическо и екологично местно развитие, културата, природното </w:t>
            </w:r>
            <w:r>
              <w:rPr>
                <w:sz w:val="16"/>
                <w:szCs w:val="16"/>
              </w:rPr>
              <w:lastRenderedPageBreak/>
              <w:t>наследство, устойчивия туризъм и сигурността, в райони, различни от градските райони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  <w:r>
              <w:rPr>
                <w:rStyle w:val="FootnoteReference"/>
                <w:sz w:val="16"/>
                <w:szCs w:val="16"/>
              </w:rPr>
              <w:footnoteReference w:id="11"/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900 000 000, от които 880 млн. лв. по Приоритет 2 и 20 млн. лв. по Приоритет 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40 общини - Враца, Ловеч, Лом, Монтана, Троян, Габрово, Горна Оряховица, Севлиево, </w:t>
            </w:r>
            <w:r>
              <w:rPr>
                <w:sz w:val="16"/>
                <w:szCs w:val="16"/>
              </w:rPr>
              <w:t xml:space="preserve">Разград, Свищов, Силистра, Добрич, Търговище, Шумен, Сливен, Ямбол, Нова Загора, Айтос, Карнобат, Казанлък, Свиленград, Харманли, Димитровград, Кърджали, Хасково, </w:t>
            </w:r>
            <w:r>
              <w:rPr>
                <w:sz w:val="16"/>
                <w:szCs w:val="16"/>
              </w:rPr>
              <w:lastRenderedPageBreak/>
              <w:t>Асеновград, Велинград, Смолян, Пазарджик, Пещера, Панагюрище, Карлово, Ботевград, Гоце Делчев</w:t>
            </w:r>
            <w:r>
              <w:rPr>
                <w:sz w:val="16"/>
                <w:szCs w:val="16"/>
              </w:rPr>
              <w:t>, Дупница, Кюстендил, Перник, Петрич, Самоков, Сандански, в партньорство с различни заинтересовани страни (държавни органи, областни администрации и общински власти; представителите на гражданското общество (неправителствени организации, организации на раб</w:t>
            </w:r>
            <w:r>
              <w:rPr>
                <w:sz w:val="16"/>
                <w:szCs w:val="16"/>
              </w:rPr>
              <w:t>отодатели и на синдикати, фондации); представители на бизнеса (предприятия), научната общност; сдруженията на собствениците на сгради в режим на етажна собственост и други.</w:t>
            </w:r>
          </w:p>
          <w:p w:rsidR="00053985" w:rsidRDefault="00053985">
            <w:pPr>
              <w:widowControl w:val="0"/>
              <w:ind w:left="-96"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-Енергийна ефективност и устойчиво обновяване на жилищни сгради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-Образователна инф</w:t>
            </w:r>
            <w:r>
              <w:rPr>
                <w:sz w:val="16"/>
                <w:szCs w:val="16"/>
              </w:rPr>
              <w:t>раструктура и оборудване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-Здравна и социална инфраструктура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-Жилищно </w:t>
            </w:r>
            <w:r>
              <w:rPr>
                <w:sz w:val="16"/>
                <w:szCs w:val="16"/>
              </w:rPr>
              <w:lastRenderedPageBreak/>
              <w:t>настаняване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-Всички свързани с тях дейности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-Разходи за СМР;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-Разходи за материални активи;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-Разходи за нематериални активи;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-Разходи за услуги;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-Непреки разходи – в т.ч. разходи за орган</w:t>
            </w:r>
            <w:r>
              <w:rPr>
                <w:sz w:val="16"/>
                <w:szCs w:val="16"/>
              </w:rPr>
              <w:t xml:space="preserve">изация и управление, разходи за комуникация и видимост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-Други разходи, в съответствие с допустимите дейности и разпоредбите на РОР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3-то/ </w:t>
            </w:r>
            <w:r>
              <w:rPr>
                <w:sz w:val="16"/>
                <w:szCs w:val="16"/>
                <w:lang w:val="en-US"/>
              </w:rPr>
              <w:t>4</w:t>
            </w:r>
            <w:r>
              <w:rPr>
                <w:sz w:val="16"/>
                <w:szCs w:val="16"/>
              </w:rPr>
              <w:t xml:space="preserve">-то тримесечие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 w:right="-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2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Техническа подкрепа за изпълнение на ИТИ инструмента </w:t>
            </w:r>
          </w:p>
          <w:p w:rsidR="00053985" w:rsidRDefault="00053985">
            <w:pPr>
              <w:widowControl w:val="0"/>
              <w:ind w:left="-87" w:right="-108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Осигуряване подготовката на концепции за интегрирани териториални инвестиции по процедура Подкрепа за интегрирано градско развитие в 40 градски общини - 2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3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2 500 000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40-те градски общини, допустими кандидати по Приоритет 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-Подкрепа за подготовка и подпомагане на разработването на концепции за интегрирани териториални инвестиции, вкл. в процеса на партньорство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Други дейности, свързани с целта на процедурата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-Р</w:t>
            </w:r>
            <w:r>
              <w:rPr>
                <w:sz w:val="16"/>
                <w:szCs w:val="16"/>
              </w:rPr>
              <w:t>азходи за услуги;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-Непреки разходи – в т.ч. разходи за организация и управление, разходи за комуникация и видимост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-Други разходи, в съответствие с допустимите дейности и разпоредбите на РОР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1-во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Предстои да бъде уточнено след съгласуване с МФ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_Ref178677832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13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НП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2 500 000</w:t>
            </w:r>
          </w:p>
        </w:tc>
      </w:tr>
      <w:tr w:rsidR="00053985">
        <w:trPr>
          <w:trHeight w:val="381"/>
        </w:trPr>
        <w:tc>
          <w:tcPr>
            <w:tcW w:w="1576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53985" w:rsidRDefault="000F0B72">
            <w:pPr>
              <w:widowControl w:val="0"/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Приоритет 4 „Справедлив преход“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Подкрепа за енергийни общности с цел устойчиви и </w:t>
            </w:r>
            <w:r>
              <w:rPr>
                <w:sz w:val="16"/>
                <w:szCs w:val="16"/>
              </w:rPr>
              <w:t>чисти енергийни решения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Въвеждане използването на зелена енергия в крайното енергийно потребление на </w:t>
            </w:r>
            <w:r>
              <w:rPr>
                <w:sz w:val="16"/>
                <w:szCs w:val="16"/>
              </w:rPr>
              <w:lastRenderedPageBreak/>
              <w:t>обществени сгради с цел насърчаване създаването на енергийни общности и повишаване използването на енергията от възобновяеми енергийни източници (ВЕИ), рес</w:t>
            </w:r>
            <w:r>
              <w:rPr>
                <w:sz w:val="16"/>
                <w:szCs w:val="16"/>
              </w:rPr>
              <w:t>п. подобряване средата и качеството на живот на населението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ПП</w:t>
            </w:r>
            <w:r>
              <w:rPr>
                <w:rStyle w:val="FootnoteReference"/>
                <w:sz w:val="16"/>
                <w:szCs w:val="16"/>
              </w:rPr>
              <w:footnoteReference w:id="12"/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3"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298 914 998</w:t>
            </w:r>
          </w:p>
          <w:p w:rsidR="00053985" w:rsidRDefault="00053985">
            <w:pPr>
              <w:widowControl w:val="0"/>
              <w:ind w:left="-113"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13" w:right="-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-Всички общини в областите Кюстендил, Перник и Стара Загора, както и общините Нова Загора, Ямбол, Симеоновград, Харманли, Тополовград, Димитровград, </w:t>
            </w:r>
            <w:r>
              <w:rPr>
                <w:sz w:val="16"/>
                <w:szCs w:val="16"/>
              </w:rPr>
              <w:lastRenderedPageBreak/>
              <w:t xml:space="preserve">Хасково, Елхово, Сливен и </w:t>
            </w:r>
            <w:r>
              <w:rPr>
                <w:sz w:val="16"/>
                <w:szCs w:val="16"/>
              </w:rPr>
              <w:t>Тунджа (прилежащи към Област Стара Загора, съгласно одобрения Териториален план за справедлив преход), вкл. в партньорство/а с:</w:t>
            </w:r>
          </w:p>
          <w:p w:rsidR="00053985" w:rsidRDefault="000F0B72">
            <w:pPr>
              <w:widowControl w:val="0"/>
              <w:ind w:left="-113"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други публични органи;</w:t>
            </w:r>
          </w:p>
          <w:p w:rsidR="00053985" w:rsidRDefault="000F0B72">
            <w:pPr>
              <w:widowControl w:val="0"/>
              <w:ind w:left="-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микро</w:t>
            </w:r>
            <w:proofErr w:type="spellEnd"/>
            <w:r>
              <w:rPr>
                <w:sz w:val="16"/>
                <w:szCs w:val="16"/>
              </w:rPr>
              <w:t>, малки и средни предприятия, инвестиращи на територията на общините в областите Кюстендил, Перн</w:t>
            </w:r>
            <w:r>
              <w:rPr>
                <w:sz w:val="16"/>
                <w:szCs w:val="16"/>
              </w:rPr>
              <w:t>ик и Стара Загора, както и на общините Нова Загора, Ямбол, Симеоновград, Харманли, Тополовград, Димитровград, Хасково, Елхово, Сливен и Тунджа;</w:t>
            </w:r>
          </w:p>
          <w:p w:rsidR="00053985" w:rsidRDefault="000F0B72">
            <w:pPr>
              <w:widowControl w:val="0"/>
              <w:ind w:left="-113" w:right="-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висши училища, организации в научно-изследователската и развойна дейност.</w:t>
            </w:r>
          </w:p>
          <w:p w:rsidR="00053985" w:rsidRDefault="00053985">
            <w:pPr>
              <w:widowControl w:val="0"/>
              <w:ind w:left="-113"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Дейности по изпълнение на мерки за </w:t>
            </w:r>
            <w:r>
              <w:rPr>
                <w:sz w:val="16"/>
                <w:szCs w:val="16"/>
              </w:rPr>
              <w:t xml:space="preserve">енергийна ефективност, които са предписани като задължителни за </w:t>
            </w:r>
            <w:r>
              <w:rPr>
                <w:sz w:val="16"/>
                <w:szCs w:val="16"/>
              </w:rPr>
              <w:lastRenderedPageBreak/>
              <w:t>сградата в обследването за енергийна ефективност;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Поставяне/ инсталиране на системи за оползотворяване на енергия от ВЕИ за енергийните потребности на сградата и батерии за съхранение на енерг</w:t>
            </w:r>
            <w:r>
              <w:rPr>
                <w:sz w:val="16"/>
                <w:szCs w:val="16"/>
              </w:rPr>
              <w:t>ия, ако са предписани в енергийното обследване, включително от енергийни общности;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-Дейности по конструктивно и сеизмично укрепване, системи за отопление и климатизация, интегрирани инсталации за възобновяема енергия на място, оборудване за зареждане на </w:t>
            </w:r>
            <w:proofErr w:type="spellStart"/>
            <w:r>
              <w:rPr>
                <w:sz w:val="16"/>
                <w:szCs w:val="16"/>
              </w:rPr>
              <w:t>ел</w:t>
            </w:r>
            <w:r>
              <w:rPr>
                <w:sz w:val="16"/>
                <w:szCs w:val="16"/>
              </w:rPr>
              <w:t>ектромобили</w:t>
            </w:r>
            <w:proofErr w:type="spellEnd"/>
            <w:r>
              <w:rPr>
                <w:sz w:val="16"/>
                <w:szCs w:val="16"/>
              </w:rPr>
              <w:t>, цифровизация на сградите, зелена инфраструктура и др., включително от енергийни общности</w:t>
            </w:r>
            <w:r>
              <w:rPr>
                <w:sz w:val="16"/>
                <w:szCs w:val="16"/>
                <w:lang w:val="en-US"/>
              </w:rPr>
              <w:t>;</w:t>
            </w:r>
          </w:p>
          <w:p w:rsidR="00053985" w:rsidRDefault="000F0B72">
            <w:pPr>
              <w:widowControl w:val="0"/>
              <w:ind w:left="-104" w:right="1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Други дейности, свързани с изпълнението на дейностите за енергийна ефективност</w:t>
            </w:r>
            <w:r w:rsidR="00761BFE">
              <w:rPr>
                <w:sz w:val="16"/>
                <w:szCs w:val="16"/>
              </w:rPr>
              <w:t>;</w:t>
            </w:r>
          </w:p>
          <w:p w:rsidR="00053985" w:rsidRDefault="000F0B72">
            <w:pPr>
              <w:widowControl w:val="0"/>
              <w:tabs>
                <w:tab w:val="left" w:pos="0"/>
              </w:tabs>
              <w:ind w:left="-104" w:right="1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Дейности по  създаване на енергийни общности, включително </w:t>
            </w:r>
            <w:r>
              <w:rPr>
                <w:sz w:val="16"/>
                <w:szCs w:val="16"/>
              </w:rPr>
              <w:lastRenderedPageBreak/>
              <w:t>подготвителн</w:t>
            </w:r>
            <w:r>
              <w:rPr>
                <w:sz w:val="16"/>
                <w:szCs w:val="16"/>
              </w:rPr>
              <w:t xml:space="preserve">и дейности </w:t>
            </w:r>
            <w:r>
              <w:rPr>
                <w:sz w:val="16"/>
                <w:szCs w:val="16"/>
              </w:rPr>
              <w:t xml:space="preserve">и дейности по </w:t>
            </w:r>
            <w:r>
              <w:rPr>
                <w:color w:val="000000"/>
                <w:sz w:val="16"/>
                <w:szCs w:val="16"/>
              </w:rPr>
              <w:t>предоставяне на регулаторна подкрепа и помощ за изграждане на капацитет на публичните органи при улесняването и създаването на енергийни общности</w:t>
            </w:r>
            <w:r>
              <w:rPr>
                <w:sz w:val="16"/>
                <w:szCs w:val="16"/>
              </w:rPr>
              <w:t>;</w:t>
            </w:r>
          </w:p>
          <w:p w:rsidR="00053985" w:rsidRDefault="000F0B72">
            <w:pPr>
              <w:widowControl w:val="0"/>
              <w:tabs>
                <w:tab w:val="left" w:pos="0"/>
              </w:tabs>
              <w:ind w:left="-104" w:right="1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Дейности за подкрепа за изграждане на общински топлофикационни централи и топлоцен</w:t>
            </w:r>
            <w:r>
              <w:rPr>
                <w:sz w:val="16"/>
                <w:szCs w:val="16"/>
              </w:rPr>
              <w:t xml:space="preserve">трали; системи за съхранение на електрическа и топлинна енергия; инсталиране на системи за активен енергиен мениджмънт; изграждане на общински електроцентрали на базата на ВЕИ; оптимизиране на крайното потребление на енергия и др. 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2021/105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ро</w:t>
            </w:r>
            <w:proofErr w:type="spellEnd"/>
            <w:r>
              <w:rPr>
                <w:sz w:val="16"/>
                <w:szCs w:val="16"/>
              </w:rPr>
              <w:t xml:space="preserve">/3-то тримесечие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bookmarkStart w:id="1" w:name="_Ref178677832"/>
            <w:bookmarkStart w:id="2" w:name="_Ref156233233"/>
            <w:r>
              <w:rPr>
                <w:sz w:val="16"/>
                <w:szCs w:val="16"/>
              </w:rPr>
              <w:t xml:space="preserve">Предстои да бъде уточнено </w:t>
            </w:r>
            <w:r>
              <w:rPr>
                <w:sz w:val="16"/>
                <w:szCs w:val="16"/>
              </w:rPr>
              <w:lastRenderedPageBreak/>
              <w:t>след съгласуване с МФ</w:t>
            </w:r>
            <w:r>
              <w:rPr>
                <w:rStyle w:val="FootnoteReference"/>
                <w:sz w:val="16"/>
                <w:szCs w:val="16"/>
              </w:rPr>
              <w:footnoteReference w:id="13"/>
            </w:r>
            <w:bookmarkEnd w:id="1"/>
            <w:bookmarkEnd w:id="2"/>
          </w:p>
          <w:p w:rsidR="00053985" w:rsidRDefault="00053985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Да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_Ref178677832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13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Подкрепа за производствени инвестиции в големи предприятия в регион Стара Загора</w:t>
            </w:r>
            <w:r>
              <w:rPr>
                <w:rStyle w:val="FootnoteReference"/>
                <w:sz w:val="16"/>
                <w:szCs w:val="16"/>
              </w:rPr>
              <w:footnoteReference w:id="14"/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Подкрепа за производствени инвестиции в предприятия, </w:t>
            </w:r>
            <w:r>
              <w:rPr>
                <w:sz w:val="16"/>
                <w:szCs w:val="16"/>
              </w:rPr>
              <w:t xml:space="preserve">различни от МСП в регион Стара Загора в процеса към </w:t>
            </w:r>
            <w:r>
              <w:rPr>
                <w:sz w:val="16"/>
                <w:szCs w:val="16"/>
              </w:rPr>
              <w:lastRenderedPageBreak/>
              <w:t>реализиране на икономически преход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проектни предложения за: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  <w:lang w:bidi="bg-BG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color w:val="000000"/>
                <w:lang w:bidi="bg-BG"/>
              </w:rPr>
              <w:t xml:space="preserve"> </w:t>
            </w:r>
            <w:r>
              <w:rPr>
                <w:sz w:val="16"/>
                <w:szCs w:val="16"/>
                <w:lang w:bidi="bg-BG"/>
              </w:rPr>
              <w:t>обновяване на съществуващи производствени активи;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-изграждане на нови производствени активи за нови целеви дейности)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462 700 632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-Големи предприятия, инвестиращи в област Стара Загора, както и в общините Нова Загора, Ямбол, Симеоновград, Харманли, Тополовград, Димитровград, Хасково, Елхово, Сливен и Тунджа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-Подкрепа за производствени инвестиции в предприятия, различни от МСП в съотв</w:t>
            </w:r>
            <w:r>
              <w:rPr>
                <w:sz w:val="16"/>
                <w:szCs w:val="16"/>
              </w:rPr>
              <w:t>етствие с чл. 11 от Регламент (ЕС) 2021/1056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-Производствени инвестиции в технологии за спестяване на енергия, енергийна ефективност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-Производство и инсталиране на мрежи, интелигентно измерване, свързаност, системни връзки, пренос;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Подпомагане на проекти</w:t>
            </w:r>
            <w:r>
              <w:rPr>
                <w:sz w:val="16"/>
                <w:szCs w:val="16"/>
              </w:rPr>
              <w:t xml:space="preserve"> за производство и съхранение на водород, вкл. с индустриално приложение;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-Иновационни проекти за производство/съхранение на енергия от ВЕИ</w:t>
            </w: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2021/1056,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  <w:p w:rsidR="00053985" w:rsidRDefault="00053985">
            <w:pPr>
              <w:widowControl w:val="0"/>
              <w:ind w:left="-104" w:right="-109"/>
              <w:jc w:val="both"/>
              <w:rPr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 50 % от общо допустимите </w:t>
            </w:r>
            <w:r>
              <w:rPr>
                <w:sz w:val="16"/>
                <w:szCs w:val="16"/>
              </w:rPr>
              <w:lastRenderedPageBreak/>
              <w:t>разходи за съответния кандидат, но не повече от 30 млн. лева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2-ро </w:t>
            </w:r>
            <w:r>
              <w:rPr>
                <w:sz w:val="16"/>
                <w:szCs w:val="16"/>
              </w:rPr>
              <w:t>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  <w:bookmarkStart w:id="3" w:name="_Ref178683962"/>
            <w:r>
              <w:rPr>
                <w:rStyle w:val="FootnoteReference"/>
                <w:sz w:val="16"/>
                <w:szCs w:val="16"/>
              </w:rPr>
              <w:footnoteReference w:id="15"/>
            </w:r>
            <w:bookmarkEnd w:id="3"/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НП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Рекултивация на минни терени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Подкрепа и подпомагане на дружества -концесионери на находище, от което се осъществява добив на въглища (мина) на територията на</w:t>
            </w:r>
            <w:r>
              <w:rPr>
                <w:sz w:val="16"/>
                <w:szCs w:val="16"/>
              </w:rPr>
              <w:t xml:space="preserve"> области: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Стара Загора, Перник и  Кюстендил в процеса на  рекултивация на минните терени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475 543 774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Министерство на енергетиката чрез дружество за рекултивация на терените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Общини на територията на области Стара Загора, Перник и Кюстендил като со</w:t>
            </w:r>
            <w:r>
              <w:rPr>
                <w:sz w:val="16"/>
                <w:szCs w:val="16"/>
              </w:rPr>
              <w:t>бственици на терени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Собственици на терени за рекултивация</w:t>
            </w:r>
          </w:p>
          <w:p w:rsidR="00053985" w:rsidRDefault="00053985">
            <w:pPr>
              <w:widowControl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Възстановяване нарушените от минната дейност терени, при спазване принципа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"замърсителят плаща" (извън обхвата на дейностите, ангажимент на концесионера) и подготовката им за алтернативни иконо</w:t>
            </w:r>
            <w:r>
              <w:rPr>
                <w:sz w:val="16"/>
                <w:szCs w:val="16"/>
              </w:rPr>
              <w:t>мически дейности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(развитие на индустриални/ логистични зони, изграждане на мощности за ВЕИ);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-Извършване на анализ и разработване на идейни проекти за алтернативно ползване на терените и извършване на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подготвителни дейности за икономическото им преобразуване;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-Извършване на предварителни проучвания за влиянието върху околната среда – натура 2000, цялостната екосистема, местообитания, оценка на нуждите, оценка на кумулативното въздействие, изготвяне на </w:t>
            </w:r>
            <w:r>
              <w:rPr>
                <w:sz w:val="16"/>
                <w:szCs w:val="16"/>
              </w:rPr>
              <w:t>ОВОС;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-Разработване на Общ Устройствен План за територията на минните терени съгласно ЗУТ;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-Подкрепа за определяне на най-подходящите методи за рекултивация с оглед на планираното икономическо преобразуване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необходимите инвестиции за тяхното реализиране </w:t>
            </w:r>
            <w:r>
              <w:rPr>
                <w:sz w:val="16"/>
                <w:szCs w:val="16"/>
              </w:rPr>
              <w:t>при спазване на принципа „замърсителят плаща”;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-Подкрепа за рекултивация на нарушени терени в подготовка на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бъдещото им преобразуване (нови функции)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-Подкрепа за изграждането на инфраструктура, която да направи бившите изоставени промишлени терени </w:t>
            </w:r>
            <w:r>
              <w:rPr>
                <w:sz w:val="16"/>
                <w:szCs w:val="16"/>
              </w:rPr>
              <w:lastRenderedPageBreak/>
              <w:t>по-привл</w:t>
            </w:r>
            <w:r>
              <w:rPr>
                <w:sz w:val="16"/>
                <w:szCs w:val="16"/>
              </w:rPr>
              <w:t>екателни за инвеститорите или обществените услуги.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-Други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2021/1056,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2-ро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</w:t>
            </w:r>
            <w:r>
              <w:rPr>
                <w:sz w:val="16"/>
                <w:szCs w:val="16"/>
              </w:rPr>
              <w:t>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Квалификация и преквалификация за подпомагане на зеления преход в 2 компонента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Подкрепа чрез квалификация и преквалификация на база  картографиране на пряко и косвено засегнатите лица в секторите в преход към климатична неутралност (вкл. </w:t>
            </w:r>
            <w:r>
              <w:rPr>
                <w:sz w:val="16"/>
                <w:szCs w:val="16"/>
              </w:rPr>
              <w:t>свързаните с тях);</w:t>
            </w:r>
          </w:p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Квалификация и преквалификация на лица с цел подпомагане на секторите с висок потенциал за растеж към зеления преход 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Компонент 1: ДП</w:t>
            </w:r>
          </w:p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Компонент 2: 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127 473 373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компонент 1: Агенция по заетостта</w:t>
            </w:r>
          </w:p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компонент 2: </w:t>
            </w:r>
          </w:p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микро</w:t>
            </w:r>
            <w:proofErr w:type="spellEnd"/>
            <w:r>
              <w:rPr>
                <w:sz w:val="16"/>
                <w:szCs w:val="16"/>
              </w:rPr>
              <w:t xml:space="preserve">, малки </w:t>
            </w:r>
            <w:r>
              <w:rPr>
                <w:sz w:val="16"/>
                <w:szCs w:val="16"/>
              </w:rPr>
              <w:t>и средни предприятия, инвестиращи на територията на общините в областите Кюстендил, Перник и Стара Загора, както и на общините Нова Загора, Ямбол, Симеоновград, Харманли, Тополовград, Димитровград, Хасково, Елхово, Сливен и Тунджа;</w:t>
            </w:r>
          </w:p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-големи предприятия, инв</w:t>
            </w:r>
            <w:r>
              <w:rPr>
                <w:sz w:val="16"/>
                <w:szCs w:val="16"/>
              </w:rPr>
              <w:t>естиращи в област Стара Загора, както и в общините Нова Загора, Ямбол, Симеоновград, Харманли, Тополовград, Димитровград, Хасково, Елхово, Сливен и Тунджа</w:t>
            </w:r>
          </w:p>
          <w:p w:rsidR="00053985" w:rsidRDefault="00053985">
            <w:pPr>
              <w:widowControl w:val="0"/>
              <w:ind w:left="-96"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-Обучения за професионална квалификация и преквалификация за работа в сектор Енергетика, насочени към: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за Стара Загора се предвиждат обучения в областта на чистата енергия и </w:t>
            </w:r>
            <w:r>
              <w:rPr>
                <w:sz w:val="16"/>
                <w:szCs w:val="16"/>
              </w:rPr>
              <w:t>енергийна ефективност</w:t>
            </w:r>
            <w:bookmarkStart w:id="4" w:name="_GoBack"/>
            <w:bookmarkEnd w:id="4"/>
            <w:r>
              <w:rPr>
                <w:sz w:val="16"/>
                <w:szCs w:val="16"/>
              </w:rPr>
              <w:t>, съгласно ТПСП;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за Перник и Кюстендил се предвиждат обучения за професии, свързани със зеления преход; повишаване на техническата квалификация; за придобиване на зелени умения, съгласно ТПСП;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Обучения за професионална квалификация</w:t>
            </w:r>
            <w:r>
              <w:rPr>
                <w:sz w:val="16"/>
                <w:szCs w:val="16"/>
              </w:rPr>
              <w:t xml:space="preserve"> и преквалификация за работа извън сектор Енергетика, насочени към интелигентна специализация и кръгова икономика, в зависимост от спецификата на всеки от трите региона, съгласно ТПСП;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Подкрепа за обучения в разширяващи/ </w:t>
            </w:r>
            <w:proofErr w:type="spellStart"/>
            <w:r>
              <w:rPr>
                <w:sz w:val="16"/>
                <w:szCs w:val="16"/>
              </w:rPr>
              <w:t>диверсифициращи</w:t>
            </w:r>
            <w:proofErr w:type="spellEnd"/>
            <w:r>
              <w:rPr>
                <w:sz w:val="16"/>
                <w:szCs w:val="16"/>
              </w:rPr>
              <w:t xml:space="preserve"> се/ стартиращи „з</w:t>
            </w:r>
            <w:r>
              <w:rPr>
                <w:sz w:val="16"/>
                <w:szCs w:val="16"/>
              </w:rPr>
              <w:t>елени“ предприятия, съгласно ТПСП;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създаване на </w:t>
            </w:r>
            <w:r>
              <w:rPr>
                <w:sz w:val="16"/>
                <w:szCs w:val="16"/>
              </w:rPr>
              <w:lastRenderedPageBreak/>
              <w:t>междурегионален обучителен център в област Кюстендил, съгласно ТПСП;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3775D4">
              <w:rPr>
                <w:sz w:val="16"/>
                <w:szCs w:val="16"/>
              </w:rPr>
              <w:t>Други обучения за квалификация и преквалификация</w:t>
            </w:r>
            <w:r>
              <w:rPr>
                <w:sz w:val="16"/>
                <w:szCs w:val="16"/>
              </w:rPr>
              <w:t xml:space="preserve"> на база на картографиране на пряко и косвено засегнатите лица в секторите в преход към климатична неутралност (вкл. свър</w:t>
            </w:r>
            <w:r>
              <w:rPr>
                <w:sz w:val="16"/>
                <w:szCs w:val="16"/>
              </w:rPr>
              <w:t>заните с тях)</w:t>
            </w:r>
            <w:r>
              <w:rPr>
                <w:sz w:val="16"/>
                <w:szCs w:val="16"/>
                <w:lang w:val="en-US"/>
              </w:rPr>
              <w:t>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Други допустими дейности, необходими за  изпълнение на процедурата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2021/1056,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  <w:r>
              <w:rPr>
                <w:sz w:val="16"/>
                <w:szCs w:val="16"/>
                <w:lang w:bidi="bg-BG"/>
              </w:rPr>
              <w:t xml:space="preserve">Регламент (ЕС) № </w:t>
            </w:r>
            <w:r>
              <w:rPr>
                <w:sz w:val="16"/>
                <w:szCs w:val="16"/>
                <w:lang w:bidi="bg-BG"/>
              </w:rPr>
              <w:t>651/2014 и Регламент (ЕС) № 2023/2831,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3-то/4-то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7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Капацитет за водородна верига на добавена стойност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Насърчаване на създаването на капацитет за водородна верига на добавена стойност, базирани на водород 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300 800 667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7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Микро, малки и средни предприятия на територията на област Стара Загора, както и общините Нова Загора, Ямбол, Симеоновград, Харманли,</w:t>
            </w:r>
            <w:r>
              <w:rPr>
                <w:sz w:val="16"/>
                <w:szCs w:val="16"/>
              </w:rPr>
              <w:t xml:space="preserve"> Тополовград, Димитровград, Хасково, Елхово, Сливен и Тунджа (прилежащи към Област Стара Загора, съгласно одобрения Териториален план за справедлив преход)</w:t>
            </w:r>
            <w:r>
              <w:rPr>
                <w:sz w:val="16"/>
                <w:szCs w:val="16"/>
                <w:lang w:val="en-US"/>
              </w:rPr>
              <w:t xml:space="preserve">; </w:t>
            </w:r>
          </w:p>
          <w:p w:rsidR="00053985" w:rsidRDefault="000F0B72">
            <w:pPr>
              <w:widowControl w:val="0"/>
              <w:ind w:left="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-Министерство на енергетиката или предприятия към тях, </w:t>
            </w:r>
          </w:p>
          <w:p w:rsidR="00053985" w:rsidRDefault="000F0B72">
            <w:pPr>
              <w:widowControl w:val="0"/>
              <w:ind w:left="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Общини в област Стара Загора, както и об</w:t>
            </w:r>
            <w:r>
              <w:rPr>
                <w:sz w:val="16"/>
                <w:szCs w:val="16"/>
              </w:rPr>
              <w:t xml:space="preserve">щините Нова Загора, Ямбол, Симеоновград, Харманли, Тополовград, Димитровград, Хасково, Елхово, Сливен и Тунджа, </w:t>
            </w:r>
          </w:p>
          <w:p w:rsidR="00053985" w:rsidRDefault="000F0B7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-Висши училища, организации в научно-изследователската и развойна дейност, в т.ч. Българска академия на науките </w:t>
            </w:r>
          </w:p>
          <w:p w:rsidR="00053985" w:rsidRDefault="00053985">
            <w:pPr>
              <w:widowControl w:val="0"/>
              <w:ind w:left="-96"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-Извършване на предварителни </w:t>
            </w:r>
            <w:r>
              <w:rPr>
                <w:sz w:val="16"/>
                <w:szCs w:val="16"/>
              </w:rPr>
              <w:t>проучвания за влиянието върху околната среда – натура 2000, цялостната екосистема, местообитания, оценка на нуждите, оценка на кумулативното въздействие, изготвяне на ОВОС;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-Подкрепа за създаване на местни производствени съоръжения в мащаб за производство </w:t>
            </w:r>
            <w:r>
              <w:rPr>
                <w:sz w:val="16"/>
                <w:szCs w:val="16"/>
              </w:rPr>
              <w:t xml:space="preserve">на </w:t>
            </w:r>
            <w:proofErr w:type="spellStart"/>
            <w:r>
              <w:rPr>
                <w:sz w:val="16"/>
                <w:szCs w:val="16"/>
              </w:rPr>
              <w:t>електролизни</w:t>
            </w:r>
            <w:proofErr w:type="spellEnd"/>
            <w:r>
              <w:rPr>
                <w:sz w:val="16"/>
                <w:szCs w:val="16"/>
              </w:rPr>
              <w:t xml:space="preserve"> системи, горивни клетки, HRS зарядни станции, базирани на горивни клетки задвижващи системи, софтуерни системи и/или компоненти и др.</w:t>
            </w:r>
          </w:p>
          <w:p w:rsidR="00053985" w:rsidRDefault="000F0B72">
            <w:pPr>
              <w:pStyle w:val="ListParagraph"/>
              <w:widowControl w:val="0"/>
              <w:numPr>
                <w:ilvl w:val="0"/>
                <w:numId w:val="1"/>
              </w:numPr>
              <w:ind w:left="-69" w:right="-109" w:hanging="35"/>
              <w:rPr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Подкрепа за НИРД, трансфер на технологии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сътрудничество между предприятия, изследователски центрове и ун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иверситети с акцент върху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нисковъглеродната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икономика и устойчивостта и адаптирането към изменението на климата в сферата на водородните технологии, производството на зелен водород, инфраструктура за съхранение и т.н.</w:t>
            </w:r>
          </w:p>
          <w:p w:rsidR="00053985" w:rsidRDefault="000F0B72">
            <w:pPr>
              <w:pStyle w:val="ListParagraph"/>
              <w:widowControl w:val="0"/>
              <w:numPr>
                <w:ilvl w:val="0"/>
                <w:numId w:val="1"/>
              </w:numPr>
              <w:ind w:left="67" w:right="-109" w:hanging="142"/>
              <w:rPr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Други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съотв</w:t>
            </w:r>
            <w:r>
              <w:rPr>
                <w:sz w:val="16"/>
                <w:szCs w:val="16"/>
              </w:rPr>
              <w:t xml:space="preserve">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2021/105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3-то/4-то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</w:t>
            </w:r>
            <w:r>
              <w:rPr>
                <w:sz w:val="16"/>
                <w:szCs w:val="16"/>
              </w:rPr>
              <w:t xml:space="preserve">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Подкрепа за фотоволтаични паркове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7" w:right="-120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Подпомагане на фотоволтаични паркове с </w:t>
            </w:r>
            <w:proofErr w:type="spellStart"/>
            <w:r>
              <w:rPr>
                <w:iCs/>
                <w:sz w:val="16"/>
                <w:szCs w:val="16"/>
              </w:rPr>
              <w:t>електролизьори</w:t>
            </w:r>
            <w:proofErr w:type="spellEnd"/>
            <w:r>
              <w:rPr>
                <w:iCs/>
                <w:sz w:val="16"/>
                <w:szCs w:val="16"/>
              </w:rPr>
              <w:t xml:space="preserve"> и/или</w:t>
            </w:r>
            <w:r>
              <w:rPr>
                <w:iCs/>
                <w:sz w:val="16"/>
                <w:szCs w:val="16"/>
              </w:rPr>
              <w:t xml:space="preserve"> системи за съхранение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141 769 243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МСП на територията на всички общини в областите Кюстендил, Перник и Стара Загора, както и общините Нова Загора, Ямбол, Симеоновград, Харманли, Тополовград, Димитровград, Хасково, Елхово, Сливен и Тунджа (прилежащи</w:t>
            </w:r>
            <w:r>
              <w:rPr>
                <w:sz w:val="16"/>
                <w:szCs w:val="16"/>
              </w:rPr>
              <w:t xml:space="preserve"> към Област Стара Загора, съгласно одобрения Териториален план за справедлив преход), </w:t>
            </w:r>
          </w:p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всички общини в областите Кюстендил, Перник и Стара Загора, както и общините Нова Загора, Ямбол, Симеоновград, Харманли, Тополовград, Димитровград, Хасково, Елхово, Сл</w:t>
            </w:r>
            <w:r>
              <w:rPr>
                <w:sz w:val="16"/>
                <w:szCs w:val="16"/>
              </w:rPr>
              <w:t>ивен и Тунджа (прилежащи към Област Стара Загора, съгласно одобрения Териториален план за справедлив преход)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-Извършване на предварителни проучвания за влиянието върху околната среда – натура 2000, цялостната екосистема, местообитания, оценка на нуждите, о</w:t>
            </w:r>
            <w:r>
              <w:rPr>
                <w:sz w:val="16"/>
                <w:szCs w:val="16"/>
              </w:rPr>
              <w:t>ценка на кумулативното въздействие, изготвяне на ОВОС;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-Извършване на проучвания и проектиране за изграждане на фотоволтаични паркове, в т.ч. със съоръжения  за енергия, </w:t>
            </w:r>
            <w:proofErr w:type="spellStart"/>
            <w:r>
              <w:rPr>
                <w:sz w:val="16"/>
                <w:szCs w:val="16"/>
              </w:rPr>
              <w:t>електролизьори</w:t>
            </w:r>
            <w:proofErr w:type="spellEnd"/>
            <w:r>
              <w:rPr>
                <w:sz w:val="16"/>
                <w:szCs w:val="16"/>
              </w:rPr>
              <w:t xml:space="preserve"> и/или производство на зелен водород;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-Свързваща инфраструктура (пътна </w:t>
            </w:r>
            <w:r>
              <w:rPr>
                <w:sz w:val="16"/>
                <w:szCs w:val="16"/>
              </w:rPr>
              <w:lastRenderedPageBreak/>
              <w:t>и</w:t>
            </w:r>
            <w:r>
              <w:rPr>
                <w:sz w:val="16"/>
                <w:szCs w:val="16"/>
              </w:rPr>
              <w:t>нфраструктура за достъп до съоръженията и техническа инфраструктура) при спазване на изискванията на Закона за устройство на територията;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-Изграждане на фотоволтаични паркове със съоръжения за съхранение на енергия и/или за производство на зелен водород;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-Технологично оборудване за фотоволтаични паркове, съхранение и/или производство на зелен водород.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Подкрепа за НИРД, трансфер на технологии и сътрудничество между предприятия, изследователски центрове и университети с акцент върху </w:t>
            </w:r>
            <w:proofErr w:type="spellStart"/>
            <w:r>
              <w:rPr>
                <w:sz w:val="16"/>
                <w:szCs w:val="16"/>
              </w:rPr>
              <w:t>нисковъглеродната</w:t>
            </w:r>
            <w:proofErr w:type="spellEnd"/>
            <w:r>
              <w:rPr>
                <w:sz w:val="16"/>
                <w:szCs w:val="16"/>
              </w:rPr>
              <w:t xml:space="preserve"> иконо</w:t>
            </w:r>
            <w:r>
              <w:rPr>
                <w:sz w:val="16"/>
                <w:szCs w:val="16"/>
              </w:rPr>
              <w:t>мика и устойчивостта и адаптирането към изменението на климата в сферата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2021/105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3-то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</w:t>
            </w:r>
            <w:r>
              <w:rPr>
                <w:sz w:val="16"/>
                <w:szCs w:val="16"/>
              </w:rPr>
              <w:t>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Чиста енергия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Насърчаване на енергийната ефективност в предприятията чрез въвеждане на нови енергийно и ресурсно ефективни технологии в производствените процеси, в </w:t>
            </w:r>
            <w:r>
              <w:rPr>
                <w:sz w:val="16"/>
                <w:szCs w:val="16"/>
              </w:rPr>
              <w:lastRenderedPageBreak/>
              <w:t xml:space="preserve">т.ч. подпомагане на МСП за внедряване на инсталации за биогаз/ </w:t>
            </w:r>
            <w:proofErr w:type="spellStart"/>
            <w:r>
              <w:rPr>
                <w:sz w:val="16"/>
                <w:szCs w:val="16"/>
              </w:rPr>
              <w:t>биометан</w:t>
            </w:r>
            <w:proofErr w:type="spellEnd"/>
            <w:r>
              <w:rPr>
                <w:sz w:val="16"/>
                <w:szCs w:val="16"/>
              </w:rPr>
              <w:t xml:space="preserve">;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-Внедряване на технологични решения с голям потенциал в областта на ВЕИ и съхранението на енергия за подпомагане на производствени инвестиции на МСП. 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138 682 565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-Микро, малки и средни предприятия, инвестиращи на територията на общините в областите </w:t>
            </w:r>
            <w:r>
              <w:rPr>
                <w:sz w:val="16"/>
                <w:szCs w:val="16"/>
              </w:rPr>
              <w:t>Кюстендил, Перник и Стара Загора, както и на общините Нова Загора, Ямбол, Симеоновград, Харманли, Тополовград, Димитровград, Хасково, Елхово, Сливен и Тунджа;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общини в областите Кюстендил, Перник и Стара </w:t>
            </w:r>
            <w:r>
              <w:rPr>
                <w:sz w:val="16"/>
                <w:szCs w:val="16"/>
              </w:rPr>
              <w:lastRenderedPageBreak/>
              <w:t>Загора, както и на общините Нова Загора, Ямбол, Си</w:t>
            </w:r>
            <w:r>
              <w:rPr>
                <w:sz w:val="16"/>
                <w:szCs w:val="16"/>
              </w:rPr>
              <w:t>меоновград, Харманли, Тополовград, Димитровград, Хасково, Елхово, Сливен и Тунджа;</w:t>
            </w:r>
          </w:p>
          <w:p w:rsidR="00053985" w:rsidRDefault="00053985">
            <w:pPr>
              <w:widowControl w:val="0"/>
              <w:ind w:left="-87" w:right="-108"/>
              <w:rPr>
                <w:sz w:val="16"/>
                <w:szCs w:val="16"/>
              </w:rPr>
            </w:pPr>
          </w:p>
          <w:p w:rsidR="00053985" w:rsidRDefault="00053985">
            <w:pPr>
              <w:widowControl w:val="0"/>
              <w:ind w:left="-96"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-Извършване на предварителни проучвания при изграждането на вятърни паркове за влиянието на вятърните турбини/ използването на геотермална енергия върху околната среда – н</w:t>
            </w:r>
            <w:r>
              <w:rPr>
                <w:sz w:val="16"/>
                <w:szCs w:val="16"/>
              </w:rPr>
              <w:t xml:space="preserve">атура 2000, цялостната </w:t>
            </w:r>
            <w:r>
              <w:rPr>
                <w:sz w:val="16"/>
                <w:szCs w:val="16"/>
              </w:rPr>
              <w:lastRenderedPageBreak/>
              <w:t>екосистема, местообитания, оценка на нуждите, оценка на кумулативното въздействие, изготвяне на ОВОС;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Проектиране и инсталиране на съоръжения за вятърна енергия и </w:t>
            </w:r>
            <w:proofErr w:type="spellStart"/>
            <w:r>
              <w:rPr>
                <w:sz w:val="16"/>
                <w:szCs w:val="16"/>
              </w:rPr>
              <w:t>биометан</w:t>
            </w:r>
            <w:proofErr w:type="spellEnd"/>
            <w:r>
              <w:rPr>
                <w:sz w:val="16"/>
                <w:szCs w:val="16"/>
              </w:rPr>
              <w:t>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-Изграждане на съоръжения за производство на </w:t>
            </w:r>
            <w:proofErr w:type="spellStart"/>
            <w:r>
              <w:rPr>
                <w:sz w:val="16"/>
                <w:szCs w:val="16"/>
              </w:rPr>
              <w:t>биометан</w:t>
            </w:r>
            <w:proofErr w:type="spellEnd"/>
            <w:r>
              <w:rPr>
                <w:sz w:val="16"/>
                <w:szCs w:val="16"/>
              </w:rPr>
              <w:t xml:space="preserve"> и вя</w:t>
            </w:r>
            <w:r>
              <w:rPr>
                <w:sz w:val="16"/>
                <w:szCs w:val="16"/>
              </w:rPr>
              <w:t>търна енергия, вкл. изграждане на пътища за достъп, платформи, турбини и т.н.;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Проектиране и изграждане/ инсталиране на съоръжения за геотермална енергия в област Кюстендил.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2021/105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4-то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 3 месеца от публикуване </w:t>
            </w:r>
            <w:r>
              <w:rPr>
                <w:sz w:val="16"/>
                <w:szCs w:val="16"/>
              </w:rPr>
              <w:t>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  <w:tr w:rsidR="00053985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985" w:rsidRDefault="000F0B72">
            <w:pPr>
              <w:widowControl w:val="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Подкрепа на научно-изследователска и развойна дейност (НИРД)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-Създаване и развитие на екипи и звена за НИРД с цел насърчаване на </w:t>
            </w:r>
            <w:r>
              <w:rPr>
                <w:sz w:val="16"/>
                <w:szCs w:val="16"/>
              </w:rPr>
              <w:t>използването на зелени технологии и продукти и подкрепа на икономическата диверсификация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Подкрепа за създаването на работещи обединения между бизнеса и академичните среди за бързо изпитване и внедряване на иновативни решения и </w:t>
            </w:r>
            <w:r>
              <w:rPr>
                <w:sz w:val="16"/>
                <w:szCs w:val="16"/>
              </w:rPr>
              <w:lastRenderedPageBreak/>
              <w:t>технологии в местната иконо</w:t>
            </w:r>
            <w:r>
              <w:rPr>
                <w:sz w:val="16"/>
                <w:szCs w:val="16"/>
              </w:rPr>
              <w:t>мика.</w:t>
            </w:r>
          </w:p>
          <w:p w:rsidR="00053985" w:rsidRDefault="00053985">
            <w:pPr>
              <w:widowControl w:val="0"/>
              <w:ind w:left="-104" w:right="-109"/>
              <w:rPr>
                <w:sz w:val="16"/>
                <w:szCs w:val="16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6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137 167 478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-Микро, малки и средни предприятия, инвестиращи на територията на област Стара Загора, както и на общините Нова Загора, Ямбол, Симеоновград, Харманли, Тополовград, Димитровград, Хасково, Елхово, Сливен и Тунджа;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Общини в област </w:t>
            </w:r>
            <w:r>
              <w:rPr>
                <w:sz w:val="16"/>
                <w:szCs w:val="16"/>
              </w:rPr>
              <w:t>Стара Загора, както и общините Нова Загора, Ямбол, Симеоновград, Харманли, Тополовград, Димитровград, Хасково, Елхово, Сливен и Тунджа;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Висши училища, организации в научно-изследователската и развойна дейност, в т.ч. Българска академия на науките </w:t>
            </w:r>
          </w:p>
          <w:p w:rsidR="00053985" w:rsidRDefault="00053985">
            <w:pPr>
              <w:widowControl w:val="0"/>
              <w:ind w:left="-96" w:right="-108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</w:t>
            </w:r>
            <w:r>
              <w:rPr>
                <w:sz w:val="16"/>
                <w:szCs w:val="16"/>
              </w:rPr>
              <w:t xml:space="preserve">репа на МСП за създаване и развитие на вътрешния капацитет за НИРД в предприятията;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-Подкрепа за внедряване на иновации и трансфер на модерни технологии в предприятията, вкл. въвеждане на продуктови иновации, иновации в производствените процеси, иновации </w:t>
            </w:r>
            <w:r>
              <w:rPr>
                <w:sz w:val="16"/>
                <w:szCs w:val="16"/>
              </w:rPr>
              <w:t>в бизнес процесите (напр. маркетингови и организационни иновации и др.)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-Подкрепа за сътрудничество на вътрешни екипи за </w:t>
            </w:r>
            <w:r>
              <w:rPr>
                <w:sz w:val="16"/>
                <w:szCs w:val="16"/>
              </w:rPr>
              <w:lastRenderedPageBreak/>
              <w:t>НИРД с академичните среди чрез участие в иновационни и технологични центрове в областта.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-Подкрепа за разработване на зелени продукти ч</w:t>
            </w:r>
            <w:r>
              <w:rPr>
                <w:sz w:val="16"/>
                <w:szCs w:val="16"/>
              </w:rPr>
              <w:t>рез внедряване на модели на кръговата икономика;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Подкрепа за иновативни (</w:t>
            </w:r>
            <w:proofErr w:type="spellStart"/>
            <w:r>
              <w:rPr>
                <w:sz w:val="16"/>
                <w:szCs w:val="16"/>
              </w:rPr>
              <w:t>нисковъглеродни</w:t>
            </w:r>
            <w:proofErr w:type="spellEnd"/>
            <w:r>
              <w:rPr>
                <w:sz w:val="16"/>
                <w:szCs w:val="16"/>
              </w:rPr>
              <w:t>) производствени процеси;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предприятията;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Подкрепа за цифровизация, цифрови иновации и цифрова свързаност;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Подобряване на работата в мрежа и сътрудничеството между</w:t>
            </w:r>
            <w:r>
              <w:rPr>
                <w:sz w:val="16"/>
                <w:szCs w:val="16"/>
              </w:rPr>
              <w:t xml:space="preserve"> академичните среди, центровете за НИРД и бизнеса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Развитие на технологични центрове и бизнес инкубатори</w:t>
            </w:r>
            <w:r>
              <w:rPr>
                <w:sz w:val="16"/>
                <w:szCs w:val="16"/>
                <w:lang w:val="en-US"/>
              </w:rPr>
              <w:t>;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 xml:space="preserve"> Подкрепа за НИРД чрез:</w:t>
            </w:r>
          </w:p>
          <w:p w:rsidR="00053985" w:rsidRDefault="000F0B72">
            <w:pPr>
              <w:widowControl w:val="0"/>
              <w:ind w:left="-104" w:right="-109"/>
            </w:pPr>
            <w:r>
              <w:rPr>
                <w:sz w:val="16"/>
                <w:szCs w:val="16"/>
              </w:rPr>
              <w:t>- Създаване на</w:t>
            </w:r>
            <w: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Център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за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НИРД </w:t>
            </w:r>
            <w:proofErr w:type="spellStart"/>
            <w:r>
              <w:rPr>
                <w:sz w:val="16"/>
                <w:szCs w:val="16"/>
                <w:lang w:val="en-US"/>
              </w:rPr>
              <w:t>за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промишлеността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en-US"/>
              </w:rPr>
              <w:t>подкрепящ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услуги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като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изследователски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център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за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промишлен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дизайн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и </w:t>
            </w:r>
            <w:proofErr w:type="spellStart"/>
            <w:r>
              <w:rPr>
                <w:sz w:val="16"/>
                <w:szCs w:val="16"/>
                <w:lang w:val="en-US"/>
              </w:rPr>
              <w:t>научен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ц</w:t>
            </w:r>
            <w:r>
              <w:rPr>
                <w:sz w:val="16"/>
                <w:szCs w:val="16"/>
                <w:lang w:val="en-US"/>
              </w:rPr>
              <w:t>ентър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за</w:t>
            </w:r>
            <w:proofErr w:type="spellEnd"/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материалознание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в област Перник;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Създаване на Център за научни изследвания и иновации в област Кюстендил.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Допустимите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разходи са в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съответствие с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разпоредбите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Регламент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(ЕС) 2021/1060,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2021/105</w:t>
            </w:r>
            <w:r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</w:rPr>
              <w:t xml:space="preserve">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Регламент (ЕС,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Еврато</w:t>
            </w:r>
            <w:r>
              <w:rPr>
                <w:sz w:val="16"/>
                <w:szCs w:val="16"/>
              </w:rPr>
              <w:t>м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2018/1046,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ЗУСЕФСУ,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приложимата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национална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уредба и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приложимото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общностно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законодателство в областта </w:t>
            </w:r>
          </w:p>
          <w:p w:rsidR="00053985" w:rsidRDefault="000F0B72">
            <w:pPr>
              <w:widowControl w:val="0"/>
              <w:ind w:left="-10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държавните </w:t>
            </w:r>
          </w:p>
          <w:p w:rsidR="00053985" w:rsidRDefault="000F0B72">
            <w:pPr>
              <w:widowControl w:val="0"/>
              <w:ind w:left="-8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помощи.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До 100 %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3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4-то тримесечие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94"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3 месеца от публикуване на НК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Предстои да бъде уточнено след съгласуване с МФ </w:t>
            </w:r>
            <w:r>
              <w:fldChar w:fldCharType="begin"/>
            </w:r>
            <w:r>
              <w:rPr>
                <w:sz w:val="16"/>
                <w:szCs w:val="16"/>
              </w:rPr>
              <w:instrText>NOTEREF _Ref178683962 \h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  <w:vertAlign w:val="superscript"/>
              </w:rPr>
              <w:t>15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985" w:rsidRDefault="000F0B72">
            <w:pPr>
              <w:widowControl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 бъде уточнено в НК</w:t>
            </w:r>
          </w:p>
        </w:tc>
      </w:tr>
    </w:tbl>
    <w:p w:rsidR="00053985" w:rsidRDefault="000F0B72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053985">
      <w:headerReference w:type="default" r:id="rId8"/>
      <w:footerReference w:type="default" r:id="rId9"/>
      <w:pgSz w:w="16838" w:h="11906" w:orient="landscape"/>
      <w:pgMar w:top="477" w:right="641" w:bottom="567" w:left="709" w:header="4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B72" w:rsidRDefault="000F0B72">
      <w:r>
        <w:separator/>
      </w:r>
    </w:p>
  </w:endnote>
  <w:endnote w:type="continuationSeparator" w:id="0">
    <w:p w:rsidR="000F0B72" w:rsidRDefault="000F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985" w:rsidRDefault="000F0B72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ИГРП за 202</w:t>
    </w:r>
    <w:r>
      <w:rPr>
        <w:sz w:val="16"/>
        <w:szCs w:val="16"/>
        <w:lang w:val="en-US"/>
      </w:rPr>
      <w:t>5</w:t>
    </w:r>
    <w:r>
      <w:rPr>
        <w:sz w:val="16"/>
        <w:szCs w:val="16"/>
      </w:rPr>
      <w:t xml:space="preserve"> г. на ПРР  </w:t>
    </w:r>
  </w:p>
  <w:p w:rsidR="00053985" w:rsidRDefault="000F0B72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стр.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61BFE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  <w:p w:rsidR="00053985" w:rsidRDefault="00053985">
    <w:pPr>
      <w:pStyle w:val="Footer"/>
    </w:pPr>
  </w:p>
  <w:p w:rsidR="00053985" w:rsidRDefault="000539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B72" w:rsidRDefault="000F0B72">
      <w:pPr>
        <w:rPr>
          <w:sz w:val="12"/>
        </w:rPr>
      </w:pPr>
      <w:r>
        <w:separator/>
      </w:r>
    </w:p>
  </w:footnote>
  <w:footnote w:type="continuationSeparator" w:id="0">
    <w:p w:rsidR="000F0B72" w:rsidRDefault="000F0B72">
      <w:pPr>
        <w:rPr>
          <w:sz w:val="12"/>
        </w:rPr>
      </w:pPr>
      <w:r>
        <w:continuationSeparator/>
      </w:r>
    </w:p>
  </w:footnote>
  <w:footnote w:id="1">
    <w:p w:rsidR="00053985" w:rsidRDefault="000F0B72">
      <w:pPr>
        <w:pStyle w:val="FootnoteText"/>
        <w:ind w:left="142" w:hanging="142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ab/>
        <w:t xml:space="preserve"> Индикативната годишна работна програма се </w:t>
      </w:r>
      <w:r>
        <w:rPr>
          <w:sz w:val="16"/>
          <w:szCs w:val="16"/>
        </w:rPr>
        <w:t>изготвя в съответствие с чл. 26, ал. 1 от Постановление № 23 на Министерския съвет от 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</w:t>
      </w:r>
      <w:r>
        <w:rPr>
          <w:sz w:val="16"/>
          <w:szCs w:val="16"/>
        </w:rPr>
        <w:t>рограмен период 2021 – 2027 г.;</w:t>
      </w:r>
    </w:p>
  </w:footnote>
  <w:footnote w:id="2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Безвъзмездна финансова помощ;</w:t>
      </w:r>
    </w:p>
  </w:footnote>
  <w:footnote w:id="3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Отбелязва се „да“ или „не“;</w:t>
      </w:r>
    </w:p>
  </w:footnote>
  <w:footnote w:id="4">
    <w:p w:rsidR="00053985" w:rsidRDefault="000F0B72">
      <w:pPr>
        <w:pStyle w:val="FootnoteText"/>
        <w:jc w:val="both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В случай че се предвижда извършване на предварителен подбор на концепции за проектни предложения, се посочва и датата на публикуване на обявата за предварителен</w:t>
      </w:r>
      <w:r>
        <w:rPr>
          <w:sz w:val="16"/>
          <w:szCs w:val="16"/>
        </w:rPr>
        <w:t xml:space="preserve"> подбор;</w:t>
      </w:r>
    </w:p>
  </w:footnote>
  <w:footnote w:id="5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В случай че се предвижда извършване на предварителен подбор на концепции за проектни предложения, се посочва и крайният срок за подаване на концепциите;</w:t>
      </w:r>
    </w:p>
  </w:footnote>
  <w:footnote w:id="6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Отбелязва се „да“, „не“ или „предстои да бъде уточнено“;</w:t>
      </w:r>
    </w:p>
  </w:footnote>
  <w:footnote w:id="7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Ако е приложимо;</w:t>
      </w:r>
    </w:p>
  </w:footnote>
  <w:footnote w:id="8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По смисъла н</w:t>
      </w:r>
      <w:r>
        <w:rPr>
          <w:sz w:val="16"/>
          <w:szCs w:val="16"/>
        </w:rPr>
        <w:t>а чл. 107 от Договора за функционирането на Европейския съюз;</w:t>
      </w:r>
    </w:p>
  </w:footnote>
  <w:footnote w:id="9">
    <w:p w:rsidR="00053985" w:rsidRDefault="000F0B72">
      <w:pPr>
        <w:pStyle w:val="FootnoteText"/>
        <w:jc w:val="both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По смисъла на Регламент (ЕС) № 1407/2013 на ЕК от 18.12.2013 г. относно прилагането на членове 107 и 108 от Договора за функционирането на Европейския съюз към помощта </w:t>
      </w:r>
      <w:r>
        <w:rPr>
          <w:sz w:val="16"/>
          <w:szCs w:val="16"/>
          <w:lang w:val="en-US"/>
        </w:rPr>
        <w:t>de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  <w:lang w:val="en-US"/>
        </w:rPr>
        <w:t>minimis</w:t>
      </w:r>
      <w:proofErr w:type="spellEnd"/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(ОВ, </w:t>
      </w:r>
      <w:r>
        <w:rPr>
          <w:sz w:val="16"/>
          <w:szCs w:val="16"/>
          <w:lang w:val="en-US"/>
        </w:rPr>
        <w:t>L</w:t>
      </w:r>
      <w:r>
        <w:rPr>
          <w:sz w:val="16"/>
          <w:szCs w:val="16"/>
        </w:rPr>
        <w:t xml:space="preserve"> 352 от</w:t>
      </w:r>
      <w:r>
        <w:rPr>
          <w:sz w:val="16"/>
          <w:szCs w:val="16"/>
        </w:rPr>
        <w:t xml:space="preserve"> 24.12.2013 г.);</w:t>
      </w:r>
    </w:p>
    <w:p w:rsidR="00053985" w:rsidRDefault="000F0B72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 xml:space="preserve"> Настоящата процедура включва изпълнение на териториалния инструмент за градско развитие;</w:t>
      </w:r>
    </w:p>
  </w:footnote>
  <w:footnote w:id="10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Настоящата процедура представлява изпълнение на териториалния инструмент интегрирани териториални инвестиции;</w:t>
      </w:r>
    </w:p>
  </w:footnote>
  <w:footnote w:id="11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bookmarkStart w:id="0" w:name="_GoBack_Copy_1_Copy_1_Copy_1"/>
      <w:r>
        <w:rPr>
          <w:b/>
          <w:sz w:val="16"/>
          <w:szCs w:val="16"/>
        </w:rPr>
        <w:t xml:space="preserve">Процедурата включва предварителен </w:t>
      </w:r>
      <w:r>
        <w:rPr>
          <w:b/>
          <w:sz w:val="16"/>
          <w:szCs w:val="16"/>
        </w:rPr>
        <w:t>етап, свързан с подбор и приоритизация на концепции за интегрирани териториални инвестиции (фаза 1</w:t>
      </w:r>
      <w:bookmarkEnd w:id="0"/>
      <w:r>
        <w:rPr>
          <w:b/>
          <w:sz w:val="16"/>
          <w:szCs w:val="16"/>
        </w:rPr>
        <w:t>);</w:t>
      </w:r>
    </w:p>
  </w:footnote>
  <w:footnote w:id="12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Подбор на проекти, съгласно чл. 2, т. 1 от ПМС № 23/2023 г.;</w:t>
      </w:r>
    </w:p>
  </w:footnote>
  <w:footnote w:id="13">
    <w:p w:rsidR="00053985" w:rsidRDefault="000F0B72">
      <w:pPr>
        <w:pStyle w:val="FootnoteText"/>
        <w:jc w:val="both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Доколкото финансираните дейности не се използват за извършване на стопанска дейност БФП по</w:t>
      </w:r>
      <w:r>
        <w:rPr>
          <w:sz w:val="16"/>
          <w:szCs w:val="16"/>
        </w:rPr>
        <w:t xml:space="preserve">падат извън обхвата на правилата по държавните помощи. </w:t>
      </w:r>
    </w:p>
    <w:p w:rsidR="00053985" w:rsidRDefault="000F0B72">
      <w:pPr>
        <w:pStyle w:val="FootnoteText"/>
        <w:rPr>
          <w:sz w:val="16"/>
          <w:szCs w:val="16"/>
        </w:rPr>
      </w:pPr>
      <w:r>
        <w:rPr>
          <w:sz w:val="16"/>
          <w:szCs w:val="16"/>
        </w:rPr>
        <w:t>В случай на стопанска дейност режимът на държавна/ минимална помощ ще бъде подробно описан в Насоките за кандидатстване (НК) по съответната процедура.</w:t>
      </w:r>
    </w:p>
  </w:footnote>
  <w:footnote w:id="14">
    <w:p w:rsidR="00053985" w:rsidRDefault="000F0B72">
      <w:pPr>
        <w:pStyle w:val="FootnoteText"/>
        <w:jc w:val="both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При реализация на мерките по приоритет „Справед</w:t>
      </w:r>
      <w:r>
        <w:rPr>
          <w:sz w:val="16"/>
          <w:szCs w:val="16"/>
        </w:rPr>
        <w:t xml:space="preserve">лив преход“ по ПРР 2021-2027 ще се използва механизъм за </w:t>
      </w:r>
      <w:proofErr w:type="spellStart"/>
      <w:r>
        <w:rPr>
          <w:sz w:val="16"/>
          <w:szCs w:val="16"/>
        </w:rPr>
        <w:t>демаркация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синергия</w:t>
      </w:r>
      <w:proofErr w:type="spellEnd"/>
      <w:r>
        <w:rPr>
          <w:sz w:val="16"/>
          <w:szCs w:val="16"/>
        </w:rPr>
        <w:t xml:space="preserve"> с програма ПКИП 2021-2027 и НПВУ, на проектен принцип чрез извършване на проверка за двойно финансиране. При кандидатстване по процедурите, ще се заложи задължително изискване з</w:t>
      </w:r>
      <w:r>
        <w:rPr>
          <w:sz w:val="16"/>
          <w:szCs w:val="16"/>
        </w:rPr>
        <w:t>а бенефициентите, проектът или отделни части от него да не са финансирани от други програми (регионални, национални и/или на ЕС) на декларативен принцип. Също така, за определени мерки по Приоритета са възможни синхронизация на графиците за обявяване на пр</w:t>
      </w:r>
      <w:r>
        <w:rPr>
          <w:sz w:val="16"/>
          <w:szCs w:val="16"/>
        </w:rPr>
        <w:t xml:space="preserve">оцедурите за кандидатстване с цел </w:t>
      </w:r>
      <w:proofErr w:type="spellStart"/>
      <w:r>
        <w:rPr>
          <w:sz w:val="16"/>
          <w:szCs w:val="16"/>
        </w:rPr>
        <w:t>синергия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допълняемост</w:t>
      </w:r>
      <w:proofErr w:type="spellEnd"/>
      <w:r>
        <w:rPr>
          <w:sz w:val="16"/>
          <w:szCs w:val="16"/>
        </w:rPr>
        <w:t>.</w:t>
      </w:r>
    </w:p>
  </w:footnote>
  <w:footnote w:id="15">
    <w:p w:rsidR="00053985" w:rsidRDefault="000F0B72">
      <w:pPr>
        <w:pStyle w:val="FootnoteText"/>
        <w:rPr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Приложимият режим ще бъде описан и обоснован в НК по процедурата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985" w:rsidRDefault="000F0B72">
    <w:pPr>
      <w:pStyle w:val="Header"/>
      <w:tabs>
        <w:tab w:val="clear" w:pos="4536"/>
        <w:tab w:val="clear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</w:rPr>
      <w:tab/>
    </w:r>
    <w:r>
      <w:rPr>
        <w:rFonts w:ascii="Calibri" w:eastAsia="Calibri" w:hAnsi="Calibri"/>
        <w:sz w:val="22"/>
        <w:szCs w:val="22"/>
        <w:lang w:eastAsia="en-US"/>
      </w:rPr>
      <w:tab/>
      <w:t xml:space="preserve">              </w:t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noProof/>
        <w:lang w:val="en-US" w:eastAsia="en-US"/>
      </w:rPr>
      <w:drawing>
        <wp:inline distT="0" distB="0" distL="0" distR="0">
          <wp:extent cx="2781300" cy="514350"/>
          <wp:effectExtent l="0" t="0" r="0" b="0"/>
          <wp:docPr id="1" name="Picture 8" descr="C:\Users\TanevaD\AppData\Local\Microsoft\Windows\INetCache\Content.Word\BG Съфинансирано от Европейския съюз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C:\Users\TanevaD\AppData\Local\Microsoft\Windows\INetCache\Content.Word\BG Съфинансирано от Европейския съюз_POS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</w:r>
    <w:r>
      <w:rPr>
        <w:rFonts w:ascii="Calibri" w:eastAsia="Calibri" w:hAnsi="Calibri"/>
        <w:sz w:val="22"/>
        <w:szCs w:val="22"/>
        <w:lang w:eastAsia="en-US"/>
      </w:rPr>
      <w:tab/>
      <w:t xml:space="preserve">              </w:t>
    </w:r>
    <w:r>
      <w:rPr>
        <w:rFonts w:ascii="Calibri" w:eastAsia="Calibri" w:hAnsi="Calibri"/>
        <w:sz w:val="22"/>
        <w:szCs w:val="22"/>
        <w:lang w:eastAsia="en-US"/>
      </w:rPr>
      <w:tab/>
    </w:r>
  </w:p>
  <w:p w:rsidR="00053985" w:rsidRDefault="000F0B72">
    <w:pPr>
      <w:tabs>
        <w:tab w:val="center" w:pos="3969"/>
        <w:tab w:val="right" w:pos="9406"/>
      </w:tabs>
      <w:ind w:firstLine="2694"/>
      <w:rPr>
        <w:rFonts w:eastAsia="Calibri"/>
        <w:b/>
        <w:lang w:eastAsia="en-US"/>
      </w:rPr>
    </w:pPr>
    <w:r>
      <w:rPr>
        <w:rFonts w:ascii="Calibri" w:eastAsia="Calibri" w:hAnsi="Calibri"/>
        <w:b/>
        <w:sz w:val="12"/>
        <w:szCs w:val="12"/>
        <w:lang w:val="en-US" w:eastAsia="en-US"/>
      </w:rPr>
      <w:t xml:space="preserve">         </w:t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ascii="Calibri" w:eastAsia="Calibri" w:hAnsi="Calibri"/>
        <w:b/>
        <w:sz w:val="12"/>
        <w:szCs w:val="12"/>
        <w:lang w:val="en-US" w:eastAsia="en-US"/>
      </w:rPr>
      <w:tab/>
    </w:r>
    <w:r>
      <w:rPr>
        <w:rFonts w:eastAsia="Calibri"/>
        <w:b/>
        <w:lang w:eastAsia="en-US"/>
      </w:rPr>
      <w:t>ПРОЕКТ!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05D4"/>
    <w:multiLevelType w:val="multilevel"/>
    <w:tmpl w:val="72E087E8"/>
    <w:lvl w:ilvl="0">
      <w:start w:val="315"/>
      <w:numFmt w:val="bullet"/>
      <w:lvlText w:val="-"/>
      <w:lvlJc w:val="left"/>
      <w:pPr>
        <w:tabs>
          <w:tab w:val="num" w:pos="0"/>
        </w:tabs>
        <w:ind w:left="25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6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8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5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2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1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781BCD"/>
    <w:multiLevelType w:val="multilevel"/>
    <w:tmpl w:val="71F8A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85"/>
    <w:rsid w:val="00053985"/>
    <w:rsid w:val="000F0B72"/>
    <w:rsid w:val="003775D4"/>
    <w:rsid w:val="0076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041D6"/>
  <w15:docId w15:val="{BEC4C612-0DCE-4F39-A1CC-9A7FCAFB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2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qFormat/>
    <w:rsid w:val="0076292E"/>
    <w:rPr>
      <w:sz w:val="16"/>
      <w:szCs w:val="16"/>
    </w:rPr>
  </w:style>
  <w:style w:type="character" w:customStyle="1" w:styleId="FootnoteCharacters">
    <w:name w:val="Footnote Characters"/>
    <w:semiHidden/>
    <w:qFormat/>
    <w:rsid w:val="000033E2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HeaderChar">
    <w:name w:val="Header Char"/>
    <w:link w:val="Header"/>
    <w:uiPriority w:val="99"/>
    <w:qFormat/>
    <w:rsid w:val="00AD0B96"/>
    <w:rPr>
      <w:sz w:val="24"/>
      <w:szCs w:val="24"/>
    </w:rPr>
  </w:style>
  <w:style w:type="character" w:customStyle="1" w:styleId="FooterChar">
    <w:name w:val="Footer Char"/>
    <w:link w:val="Footer"/>
    <w:uiPriority w:val="99"/>
    <w:qFormat/>
    <w:rsid w:val="00AD0B96"/>
    <w:rPr>
      <w:sz w:val="24"/>
      <w:szCs w:val="24"/>
    </w:rPr>
  </w:style>
  <w:style w:type="character" w:styleId="LineNumber">
    <w:name w:val="line number"/>
  </w:style>
  <w:style w:type="character" w:customStyle="1" w:styleId="ListParagraphChar">
    <w:name w:val="List Paragraph Char"/>
    <w:link w:val="ListParagraph"/>
    <w:uiPriority w:val="34"/>
    <w:qFormat/>
    <w:locked/>
    <w:rsid w:val="002952E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1Char">
    <w:name w:val="Text 1 Char"/>
    <w:link w:val="Text1"/>
    <w:qFormat/>
    <w:locked/>
    <w:rsid w:val="002A0775"/>
    <w:rPr>
      <w:sz w:val="24"/>
      <w:szCs w:val="24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qFormat/>
    <w:rsid w:val="00560D49"/>
  </w:style>
  <w:style w:type="character" w:customStyle="1" w:styleId="EndnoteCharacters">
    <w:name w:val="Endnote Characters"/>
    <w:qFormat/>
    <w:rsid w:val="00560D49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23B0"/>
  </w:style>
  <w:style w:type="character" w:customStyle="1" w:styleId="fontstyle01">
    <w:name w:val="fontstyle01"/>
    <w:basedOn w:val="DefaultParagraphFont"/>
    <w:qFormat/>
    <w:rsid w:val="00124BCD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qFormat/>
    <w:rsid w:val="00F41070"/>
    <w:rPr>
      <w:rFonts w:ascii="Arial" w:eastAsia="Arial" w:hAnsi="Arial" w:cs="Arial"/>
      <w:shd w:val="clear" w:color="auto" w:fill="FFFFFF"/>
    </w:rPr>
  </w:style>
  <w:style w:type="character" w:customStyle="1" w:styleId="BodyTextChar1">
    <w:name w:val="Body Text Char1"/>
    <w:basedOn w:val="DefaultParagraphFont"/>
    <w:qFormat/>
    <w:rsid w:val="00F41070"/>
    <w:rPr>
      <w:sz w:val="24"/>
      <w:szCs w:val="24"/>
    </w:rPr>
  </w:style>
  <w:style w:type="character" w:customStyle="1" w:styleId="Other">
    <w:name w:val="Other_"/>
    <w:basedOn w:val="DefaultParagraphFont"/>
    <w:link w:val="Other0"/>
    <w:qFormat/>
    <w:rsid w:val="00F41070"/>
    <w:rPr>
      <w:rFonts w:ascii="Arial" w:eastAsia="Arial" w:hAnsi="Arial" w:cs="Arial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qFormat/>
    <w:rsid w:val="00D778C2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CommentTextChar">
    <w:name w:val="Comment Text Char"/>
    <w:basedOn w:val="DefaultParagraphFont"/>
    <w:link w:val="CommentText"/>
    <w:qFormat/>
    <w:rsid w:val="000E4077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F41070"/>
    <w:pPr>
      <w:widowControl w:val="0"/>
      <w:shd w:val="clear" w:color="auto" w:fill="FFFFFF"/>
      <w:spacing w:after="120"/>
    </w:pPr>
    <w:rPr>
      <w:rFonts w:ascii="Arial" w:eastAsia="Arial" w:hAnsi="Arial" w:cs="Arial"/>
      <w:sz w:val="20"/>
      <w:szCs w:val="20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mmentText">
    <w:name w:val="annotation text"/>
    <w:basedOn w:val="Normal"/>
    <w:link w:val="CommentTextChar"/>
    <w:qFormat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qFormat/>
    <w:rsid w:val="007629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0033E2"/>
    <w:rPr>
      <w:sz w:val="20"/>
      <w:szCs w:val="2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2952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1">
    <w:name w:val="Text 1"/>
    <w:basedOn w:val="Normal"/>
    <w:link w:val="Text1Char"/>
    <w:qFormat/>
    <w:rsid w:val="002A0775"/>
    <w:pPr>
      <w:spacing w:before="60" w:after="60"/>
      <w:ind w:left="850"/>
    </w:pPr>
    <w:rPr>
      <w:lang w:val="en-GB" w:eastAsia="en-US"/>
    </w:rPr>
  </w:style>
  <w:style w:type="paragraph" w:styleId="EndnoteText">
    <w:name w:val="endnote text"/>
    <w:basedOn w:val="Normal"/>
    <w:link w:val="EndnoteTextChar"/>
    <w:rsid w:val="00560D49"/>
    <w:rPr>
      <w:sz w:val="20"/>
      <w:szCs w:val="20"/>
    </w:rPr>
  </w:style>
  <w:style w:type="paragraph" w:customStyle="1" w:styleId="Other0">
    <w:name w:val="Other"/>
    <w:basedOn w:val="Normal"/>
    <w:link w:val="Other"/>
    <w:qFormat/>
    <w:rsid w:val="00F41070"/>
    <w:pPr>
      <w:widowControl w:val="0"/>
      <w:shd w:val="clear" w:color="auto" w:fill="FFFFFF"/>
      <w:spacing w:after="160" w:line="276" w:lineRule="auto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"/>
    <w:link w:val="Bodytext2"/>
    <w:qFormat/>
    <w:rsid w:val="00D778C2"/>
    <w:pPr>
      <w:widowControl w:val="0"/>
      <w:shd w:val="clear" w:color="auto" w:fill="FFFFFF"/>
      <w:spacing w:line="252" w:lineRule="auto"/>
    </w:pPr>
    <w:rPr>
      <w:rFonts w:ascii="Arial" w:eastAsia="Arial" w:hAnsi="Arial" w:cs="Arial"/>
      <w:sz w:val="17"/>
      <w:szCs w:val="17"/>
    </w:rPr>
  </w:style>
  <w:style w:type="table" w:styleId="TableGrid">
    <w:name w:val="Table Grid"/>
    <w:basedOn w:val="TableNormal"/>
    <w:rsid w:val="00DD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9AE9-6585-4A3F-A4BB-51398609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3234</Words>
  <Characters>18436</Characters>
  <Application>Microsoft Office Word</Application>
  <DocSecurity>0</DocSecurity>
  <Lines>153</Lines>
  <Paragraphs>43</Paragraphs>
  <ScaleCrop>false</ScaleCrop>
  <Company>minfin</Company>
  <LinksUpToDate>false</LinksUpToDate>
  <CharactersWithSpaces>21627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pfilipova</dc:creator>
  <dc:description/>
  <cp:lastModifiedBy>KETI STOYANOVA KARACHOLOVA</cp:lastModifiedBy>
  <cp:revision>14</cp:revision>
  <cp:lastPrinted>2024-01-15T08:14:00Z</cp:lastPrinted>
  <dcterms:created xsi:type="dcterms:W3CDTF">2024-10-22T13:16:00Z</dcterms:created>
  <dcterms:modified xsi:type="dcterms:W3CDTF">2024-10-28T11:33:00Z</dcterms:modified>
  <dc:language>en-US</dc:language>
</cp:coreProperties>
</file>