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1963"/>
        <w:gridCol w:w="1858"/>
        <w:gridCol w:w="7282"/>
        <w:gridCol w:w="4063"/>
      </w:tblGrid>
      <w:tr w:rsidR="00786B8E" w:rsidRPr="00431505" w:rsidTr="00B97243">
        <w:trPr>
          <w:trHeight w:val="350"/>
        </w:trPr>
        <w:tc>
          <w:tcPr>
            <w:tcW w:w="15694" w:type="dxa"/>
            <w:gridSpan w:val="5"/>
            <w:shd w:val="clear" w:color="auto" w:fill="auto"/>
          </w:tcPr>
          <w:p w:rsidR="004F6AC7" w:rsidRPr="00B97243" w:rsidRDefault="004F6AC7" w:rsidP="00431505">
            <w:pPr>
              <w:jc w:val="center"/>
              <w:rPr>
                <w:b/>
              </w:rPr>
            </w:pPr>
            <w:bookmarkStart w:id="0" w:name="_GoBack"/>
            <w:bookmarkEnd w:id="0"/>
            <w:r w:rsidRPr="00B97243">
              <w:rPr>
                <w:b/>
              </w:rPr>
              <w:t>Таблица</w:t>
            </w:r>
          </w:p>
          <w:p w:rsidR="004145C4" w:rsidRPr="00B97243" w:rsidRDefault="00EB46AE" w:rsidP="00431505">
            <w:pPr>
              <w:jc w:val="center"/>
              <w:rPr>
                <w:b/>
              </w:rPr>
            </w:pPr>
            <w:r w:rsidRPr="00B97243">
              <w:rPr>
                <w:b/>
              </w:rPr>
              <w:t>за направените предложения и коментари в процеса на обществено</w:t>
            </w:r>
            <w:r w:rsidR="000112E0" w:rsidRPr="00B97243">
              <w:rPr>
                <w:b/>
              </w:rPr>
              <w:t xml:space="preserve">то </w:t>
            </w:r>
            <w:r w:rsidRPr="00B97243">
              <w:rPr>
                <w:b/>
              </w:rPr>
              <w:t xml:space="preserve"> обсъждане </w:t>
            </w:r>
            <w:r w:rsidR="00B97243" w:rsidRPr="00B97243">
              <w:rPr>
                <w:b/>
              </w:rPr>
              <w:t xml:space="preserve">на Индикативната годишна работна програма по </w:t>
            </w:r>
            <w:r w:rsidRPr="00B97243">
              <w:rPr>
                <w:b/>
              </w:rPr>
              <w:t>Програма за морско дело, рибарст</w:t>
            </w:r>
            <w:r w:rsidR="004F6AC7" w:rsidRPr="00B97243">
              <w:rPr>
                <w:b/>
              </w:rPr>
              <w:t>во и аквакултури 2021-</w:t>
            </w:r>
            <w:r w:rsidRPr="00B97243">
              <w:rPr>
                <w:b/>
              </w:rPr>
              <w:t>2027</w:t>
            </w:r>
            <w:r w:rsidR="00B97243" w:rsidRPr="00B97243">
              <w:rPr>
                <w:b/>
              </w:rPr>
              <w:t xml:space="preserve"> за 2025 година</w:t>
            </w:r>
          </w:p>
          <w:p w:rsidR="00560CBF" w:rsidRPr="00B97243" w:rsidRDefault="00560CBF" w:rsidP="00431505">
            <w:pPr>
              <w:jc w:val="center"/>
              <w:rPr>
                <w:b/>
              </w:rPr>
            </w:pPr>
          </w:p>
        </w:tc>
      </w:tr>
      <w:tr w:rsidR="0088106A" w:rsidRPr="00431505" w:rsidTr="00B97243">
        <w:trPr>
          <w:trHeight w:val="350"/>
        </w:trPr>
        <w:tc>
          <w:tcPr>
            <w:tcW w:w="528" w:type="dxa"/>
            <w:shd w:val="clear" w:color="auto" w:fill="D9D9D9"/>
          </w:tcPr>
          <w:p w:rsidR="0088182E" w:rsidRPr="00B97243" w:rsidRDefault="0088182E" w:rsidP="00431505">
            <w:pPr>
              <w:jc w:val="center"/>
              <w:rPr>
                <w:b/>
              </w:rPr>
            </w:pPr>
          </w:p>
          <w:p w:rsidR="0088182E" w:rsidRPr="00B97243" w:rsidRDefault="0077264B" w:rsidP="00431505">
            <w:pPr>
              <w:jc w:val="center"/>
              <w:rPr>
                <w:b/>
              </w:rPr>
            </w:pPr>
            <w:r w:rsidRPr="00B97243">
              <w:rPr>
                <w:b/>
              </w:rPr>
              <w:t>№</w:t>
            </w:r>
          </w:p>
          <w:p w:rsidR="0088182E" w:rsidRPr="00B97243" w:rsidRDefault="0088182E" w:rsidP="00431505">
            <w:pPr>
              <w:jc w:val="center"/>
              <w:rPr>
                <w:b/>
              </w:rPr>
            </w:pPr>
          </w:p>
        </w:tc>
        <w:tc>
          <w:tcPr>
            <w:tcW w:w="1922" w:type="dxa"/>
            <w:shd w:val="clear" w:color="auto" w:fill="D9D9D9"/>
          </w:tcPr>
          <w:p w:rsidR="0088182E" w:rsidRPr="00B97243" w:rsidRDefault="0088182E" w:rsidP="00431505">
            <w:pPr>
              <w:jc w:val="center"/>
              <w:rPr>
                <w:b/>
              </w:rPr>
            </w:pPr>
            <w:r w:rsidRPr="00B97243">
              <w:rPr>
                <w:b/>
              </w:rPr>
              <w:t xml:space="preserve">Данни на подателя  </w:t>
            </w:r>
          </w:p>
        </w:tc>
        <w:tc>
          <w:tcPr>
            <w:tcW w:w="1860" w:type="dxa"/>
            <w:shd w:val="clear" w:color="auto" w:fill="D9D9D9"/>
          </w:tcPr>
          <w:p w:rsidR="0088182E" w:rsidRPr="00B97243" w:rsidRDefault="0088182E" w:rsidP="00431505">
            <w:pPr>
              <w:jc w:val="center"/>
              <w:rPr>
                <w:b/>
              </w:rPr>
            </w:pPr>
            <w:r w:rsidRPr="00B97243">
              <w:rPr>
                <w:b/>
              </w:rPr>
              <w:t>Дата на получаване</w:t>
            </w:r>
          </w:p>
        </w:tc>
        <w:tc>
          <w:tcPr>
            <w:tcW w:w="7309" w:type="dxa"/>
            <w:shd w:val="clear" w:color="auto" w:fill="D9D9D9"/>
          </w:tcPr>
          <w:p w:rsidR="0088182E" w:rsidRPr="00B97243" w:rsidRDefault="0088182E" w:rsidP="00431505">
            <w:pPr>
              <w:jc w:val="center"/>
              <w:rPr>
                <w:b/>
              </w:rPr>
            </w:pPr>
            <w:r w:rsidRPr="00B97243">
              <w:rPr>
                <w:b/>
              </w:rPr>
              <w:t xml:space="preserve">Коментар/Предложение </w:t>
            </w:r>
          </w:p>
        </w:tc>
        <w:tc>
          <w:tcPr>
            <w:tcW w:w="4075" w:type="dxa"/>
            <w:shd w:val="clear" w:color="auto" w:fill="D9D9D9"/>
          </w:tcPr>
          <w:p w:rsidR="0088182E" w:rsidRPr="00D017B4" w:rsidRDefault="0088182E" w:rsidP="007D7884">
            <w:pPr>
              <w:jc w:val="center"/>
              <w:rPr>
                <w:b/>
              </w:rPr>
            </w:pPr>
            <w:r w:rsidRPr="00D017B4">
              <w:rPr>
                <w:b/>
              </w:rPr>
              <w:t xml:space="preserve">Становище на УО на </w:t>
            </w:r>
            <w:r w:rsidR="007D7884" w:rsidRPr="00D017B4">
              <w:rPr>
                <w:b/>
              </w:rPr>
              <w:t>ПМДР</w:t>
            </w:r>
            <w:r w:rsidR="00A06693" w:rsidRPr="00D017B4">
              <w:rPr>
                <w:b/>
              </w:rPr>
              <w:t>А</w:t>
            </w:r>
          </w:p>
        </w:tc>
      </w:tr>
      <w:tr w:rsidR="0088106A" w:rsidRPr="00EB46AE" w:rsidTr="00B97243">
        <w:trPr>
          <w:trHeight w:val="2680"/>
        </w:trPr>
        <w:tc>
          <w:tcPr>
            <w:tcW w:w="528" w:type="dxa"/>
            <w:shd w:val="clear" w:color="auto" w:fill="auto"/>
          </w:tcPr>
          <w:p w:rsidR="00FA2977" w:rsidRPr="00B97243" w:rsidRDefault="00EB46AE" w:rsidP="00FA2977">
            <w:pPr>
              <w:jc w:val="both"/>
            </w:pPr>
            <w:r w:rsidRPr="00B97243">
              <w:rPr>
                <w:lang w:val="en-US"/>
              </w:rPr>
              <w:t>1</w:t>
            </w:r>
            <w:r w:rsidR="008808AF" w:rsidRPr="00B97243">
              <w:t>.</w:t>
            </w:r>
          </w:p>
          <w:p w:rsidR="00FA2977" w:rsidRDefault="00FA2977"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 w:rsidR="0088106A" w:rsidRDefault="0088106A" w:rsidP="00FA2977">
            <w:pPr>
              <w:rPr>
                <w:lang w:val="en-US"/>
              </w:rPr>
            </w:pPr>
          </w:p>
          <w:p w:rsidR="0088106A" w:rsidRPr="0088106A" w:rsidRDefault="0088106A" w:rsidP="00FA2977">
            <w:pPr>
              <w:rPr>
                <w:lang w:val="en-US"/>
              </w:rPr>
            </w:pPr>
            <w:r>
              <w:rPr>
                <w:lang w:val="en-US"/>
              </w:rPr>
              <w:t>2.</w:t>
            </w:r>
          </w:p>
          <w:p w:rsidR="003966C0" w:rsidRPr="00B97243" w:rsidRDefault="003966C0" w:rsidP="00FA2977"/>
        </w:tc>
        <w:tc>
          <w:tcPr>
            <w:tcW w:w="1922" w:type="dxa"/>
            <w:shd w:val="clear" w:color="auto" w:fill="auto"/>
          </w:tcPr>
          <w:p w:rsidR="008E3D7D" w:rsidRDefault="00B97243" w:rsidP="00B97243">
            <w:pPr>
              <w:jc w:val="both"/>
            </w:pPr>
            <w:r w:rsidRPr="00B97243">
              <w:lastRenderedPageBreak/>
              <w:t>Национално сдружение на общините в Р България</w:t>
            </w: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Default="0088106A" w:rsidP="00B97243">
            <w:pPr>
              <w:jc w:val="both"/>
            </w:pPr>
          </w:p>
          <w:p w:rsidR="0088106A" w:rsidRPr="00B97243" w:rsidRDefault="0088106A" w:rsidP="00B97243">
            <w:pPr>
              <w:jc w:val="both"/>
            </w:pPr>
            <w:r>
              <w:t xml:space="preserve">Асоциация на производителите на рибни продукти „БГ ФИШ“ </w:t>
            </w:r>
            <w:r w:rsidRPr="0088106A">
              <w:t>bgfish@abv.bg</w:t>
            </w:r>
          </w:p>
        </w:tc>
        <w:tc>
          <w:tcPr>
            <w:tcW w:w="1860" w:type="dxa"/>
            <w:shd w:val="clear" w:color="auto" w:fill="auto"/>
          </w:tcPr>
          <w:p w:rsidR="00B02BEA" w:rsidRPr="00B97243" w:rsidRDefault="00B97243" w:rsidP="00431505">
            <w:pPr>
              <w:jc w:val="both"/>
            </w:pPr>
            <w:r w:rsidRPr="00B97243">
              <w:lastRenderedPageBreak/>
              <w:t>03</w:t>
            </w:r>
            <w:r w:rsidR="00701794" w:rsidRPr="00B97243">
              <w:t>.</w:t>
            </w:r>
            <w:r w:rsidRPr="00B97243">
              <w:t>10</w:t>
            </w:r>
            <w:r w:rsidR="00701794" w:rsidRPr="00B97243">
              <w:t>.2024</w:t>
            </w: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B02BEA" w:rsidRPr="00B97243" w:rsidRDefault="00B02BEA" w:rsidP="00431505">
            <w:pPr>
              <w:jc w:val="both"/>
            </w:pPr>
          </w:p>
          <w:p w:rsidR="0088106A" w:rsidRDefault="0088106A" w:rsidP="00431505">
            <w:pPr>
              <w:jc w:val="both"/>
            </w:pPr>
          </w:p>
          <w:p w:rsidR="00B02BEA" w:rsidRDefault="0088106A" w:rsidP="00431505">
            <w:pPr>
              <w:jc w:val="both"/>
            </w:pPr>
            <w:r>
              <w:t>23.10.2024 г.</w:t>
            </w:r>
          </w:p>
          <w:p w:rsidR="0088106A" w:rsidRPr="00B97243" w:rsidRDefault="0088106A" w:rsidP="00431505">
            <w:pPr>
              <w:jc w:val="both"/>
            </w:pPr>
            <w:r>
              <w:t>(получено извън срока)</w:t>
            </w:r>
          </w:p>
        </w:tc>
        <w:tc>
          <w:tcPr>
            <w:tcW w:w="7309" w:type="dxa"/>
            <w:shd w:val="clear" w:color="auto" w:fill="auto"/>
          </w:tcPr>
          <w:p w:rsidR="00B97243" w:rsidRPr="00B97243" w:rsidRDefault="00B97243" w:rsidP="009E3627">
            <w:pPr>
              <w:jc w:val="both"/>
            </w:pPr>
            <w:r w:rsidRPr="00B97243">
              <w:lastRenderedPageBreak/>
              <w:t xml:space="preserve">След запознаване с публикувания за обществено обсъждане проект на Индикативна годишна работна програма за 2025 г. (ИГРП)  по </w:t>
            </w:r>
            <w:r w:rsidRPr="009E3627">
              <w:t>Програмата за морско дело, рибарство и аквакултури 2021-2027 (ПМДРА)</w:t>
            </w:r>
            <w:r w:rsidRPr="00B97243">
              <w:t xml:space="preserve">, прави впечатление, че в </w:t>
            </w:r>
            <w:r w:rsidRPr="009E3627">
              <w:t>същият не са включени процедури за предоставяне на БФП в подкрепа подобряването на инфраструктурата на рибарските пристанища, рибните борси, местата на разтоварване и лодкостоянките и за реализацията на Стратегиите по подхода на „Воденото от общностите местно развитие“ (ВОМР).</w:t>
            </w:r>
            <w:r w:rsidRPr="00B97243">
              <w:t xml:space="preserve"> </w:t>
            </w:r>
          </w:p>
          <w:p w:rsidR="00B97243" w:rsidRPr="00B97243" w:rsidRDefault="00B97243" w:rsidP="009E3627">
            <w:pPr>
              <w:jc w:val="both"/>
            </w:pPr>
            <w:r w:rsidRPr="00B97243">
              <w:t>Процедурите „</w:t>
            </w:r>
            <w:r w:rsidRPr="009E3627">
              <w:t xml:space="preserve">Подобряване на инфраструктурата на рибарските пристанища, рибните борси, местата на разтоварване и лодкостоянките, с цел да се улесни разтоварването и съхранението на нежелания улов“ и „Изпълнение на стратегии за Водено от общностите местно развитие“ с общ бюджет от над 53 млн. лв. </w:t>
            </w:r>
            <w:r w:rsidRPr="00B97243">
              <w:t xml:space="preserve">са включени в ИГРП за 2024 г. със срокове за обявяването им през трето тримесечие на годината, като поканите за набиране на проекти по тях все още не са анонсирани.  </w:t>
            </w:r>
          </w:p>
          <w:p w:rsidR="00B97243" w:rsidRPr="009E3627" w:rsidRDefault="00B97243" w:rsidP="009E3627">
            <w:pPr>
              <w:jc w:val="both"/>
            </w:pPr>
            <w:r w:rsidRPr="00B97243">
              <w:t xml:space="preserve">В тази връзка и с оглед осъщественото договаряне на проектите по Фаза 1 от реализацията на подхода ВОМР с общини и местни инициативни рибарски групи, </w:t>
            </w:r>
            <w:r w:rsidRPr="009E3627">
              <w:t xml:space="preserve">предлагаме в проекта на ИГРП за 2025 г. да се заложат изброените по-горе две процедури за предоставяне </w:t>
            </w:r>
            <w:r w:rsidRPr="009E3627">
              <w:lastRenderedPageBreak/>
              <w:t>на безвъзме</w:t>
            </w:r>
            <w:r w:rsidR="008E4248">
              <w:t>з</w:t>
            </w:r>
            <w:r w:rsidRPr="009E3627">
              <w:t xml:space="preserve">дна финансова помощ. </w:t>
            </w:r>
            <w:r w:rsidRPr="00B97243">
              <w:t>По този начин, каквато е и целта на ИГРП за следващата календарна година, потенциалните кандидати по процедурите ще се информират за планираните в тяхна подкрепа дейности обект на финансиране, минималната и максималната финансова помощ и индикативните срокове за обявяване и кандидатс</w:t>
            </w:r>
            <w:r w:rsidR="008E4248">
              <w:t>т</w:t>
            </w:r>
            <w:r w:rsidRPr="00B97243">
              <w:t>ване с проектни предложения. При условие, че съществува готовност за обявяването на процедурите до края на настоящата година, то това следва своевременно да се отрази в изменение на ИГРП за 2024 г.</w:t>
            </w:r>
          </w:p>
          <w:p w:rsidR="000F16D5" w:rsidRDefault="00B97243" w:rsidP="00B97243">
            <w:pPr>
              <w:jc w:val="both"/>
            </w:pPr>
            <w:r w:rsidRPr="00B97243">
              <w:t>Като се надяваме, че предложението ни ще бъде отразено във финалните варианти на Индикативните годишни работни програми за 2024 г. или 2025 г. по Програмата за морско дело, рибарство и аквакултури  2021-2027 г.</w:t>
            </w:r>
          </w:p>
          <w:p w:rsidR="0088106A" w:rsidRDefault="0088106A" w:rsidP="00B97243">
            <w:pPr>
              <w:jc w:val="both"/>
            </w:pPr>
          </w:p>
          <w:p w:rsidR="0088106A" w:rsidRDefault="0088106A" w:rsidP="00B97243">
            <w:pPr>
              <w:jc w:val="both"/>
            </w:pPr>
          </w:p>
          <w:p w:rsidR="0088106A" w:rsidRPr="00B97243" w:rsidRDefault="0088106A" w:rsidP="00B97243">
            <w:pPr>
              <w:jc w:val="both"/>
            </w:pPr>
            <w:r w:rsidRPr="0088106A">
              <w:t>Във връзка с общественото обсъждане на ИГРП за 2025 по Програмата за морско дело, рибарство и аквакултури изразяваме следните коментари: По процедура Предлагане на пазара, не следва да бъдат ограничени допустимите кандидати единствено до Организации на производителите и Асоциации на организации на производители, тъй като това би ограничило останалите сдружения на в сектора, организирани по друг принцип. Националното законодателство допуска сдружаване във всякакъв вид чрез Закона за юридическите лица с нестопанска цел в обществена или частна полза. Следва УО да предприеме действия за премахването на подобно ограничения.</w:t>
            </w:r>
          </w:p>
        </w:tc>
        <w:tc>
          <w:tcPr>
            <w:tcW w:w="4075" w:type="dxa"/>
            <w:shd w:val="clear" w:color="auto" w:fill="auto"/>
          </w:tcPr>
          <w:p w:rsidR="00B84598" w:rsidRDefault="0004280A" w:rsidP="004474F5">
            <w:pPr>
              <w:jc w:val="both"/>
            </w:pPr>
            <w:r w:rsidRPr="0004280A">
              <w:lastRenderedPageBreak/>
              <w:t>Процедурите чрез подбор на проекти „</w:t>
            </w:r>
            <w:r w:rsidR="009E3627" w:rsidRPr="0004280A">
              <w:t>Подобряване на инфраструктурата на рибарските пристанища, рибните борси, местата на разтоварване и лодкостоянките, с цел да се улесни разтоварването и съхранението на нежелания улов</w:t>
            </w:r>
            <w:r w:rsidRPr="0004280A">
              <w:t>“</w:t>
            </w:r>
            <w:r w:rsidR="009E3627" w:rsidRPr="0004280A">
              <w:t xml:space="preserve"> и </w:t>
            </w:r>
            <w:r w:rsidRPr="0004280A">
              <w:t>„</w:t>
            </w:r>
            <w:r w:rsidR="009E3627" w:rsidRPr="0004280A">
              <w:t>Изпълнение на стратегии за Водено от общностите местно развитие</w:t>
            </w:r>
            <w:r w:rsidRPr="0004280A">
              <w:t xml:space="preserve">“ са включени в Индикативната годишна работна програма (ИГРП) за 2024 г.  </w:t>
            </w:r>
            <w:r w:rsidR="00707806">
              <w:t>с целия програмен бюджет на съответния вид дейност.</w:t>
            </w:r>
            <w:r w:rsidR="004474F5">
              <w:t xml:space="preserve"> </w:t>
            </w:r>
            <w:r w:rsidR="00707806">
              <w:t>Процедур</w:t>
            </w:r>
            <w:r w:rsidR="0099201E">
              <w:t xml:space="preserve">ата за </w:t>
            </w:r>
            <w:r w:rsidR="0099201E" w:rsidRPr="0004280A">
              <w:t>„Подобряване на инфраструктурата на рибарските пристанища, рибните борси, местата на разтоварване и лодкостоянките, с цел да се улесни разтоварването и съхранението на нежелания улов“</w:t>
            </w:r>
            <w:r w:rsidR="0099201E">
              <w:t xml:space="preserve"> е планирана да се обяви</w:t>
            </w:r>
            <w:r w:rsidR="00707806">
              <w:t xml:space="preserve"> с два</w:t>
            </w:r>
            <w:r w:rsidR="0099201E">
              <w:t xml:space="preserve"> крайни</w:t>
            </w:r>
            <w:r w:rsidR="00707806">
              <w:t xml:space="preserve"> срока за подаване на проектни предложения</w:t>
            </w:r>
            <w:r w:rsidR="0099201E">
              <w:t xml:space="preserve">. </w:t>
            </w:r>
            <w:r w:rsidR="0099201E">
              <w:lastRenderedPageBreak/>
              <w:t>Изчерпването на наличния финансов ресурс и съответно еднократното обявяване на приема за подбор на стратегии е основанието,</w:t>
            </w:r>
            <w:r w:rsidR="00707806">
              <w:t xml:space="preserve"> поради което </w:t>
            </w:r>
            <w:r w:rsidR="0099201E">
              <w:t xml:space="preserve">УО на ПМДРА </w:t>
            </w:r>
            <w:r w:rsidR="00707806">
              <w:t xml:space="preserve">не </w:t>
            </w:r>
            <w:r w:rsidR="0099201E">
              <w:t>е</w:t>
            </w:r>
            <w:r w:rsidR="00707806">
              <w:t xml:space="preserve"> включ</w:t>
            </w:r>
            <w:r w:rsidR="0099201E">
              <w:t>ил</w:t>
            </w:r>
            <w:r w:rsidR="00707806">
              <w:t xml:space="preserve"> в ИГРП по ПМДРА за 2025 година</w:t>
            </w:r>
            <w:r w:rsidR="004474F5">
              <w:t xml:space="preserve"> прием по този вид дейност</w:t>
            </w:r>
            <w:r w:rsidR="00707806">
              <w:t>.</w:t>
            </w:r>
            <w:r w:rsidRPr="0004280A">
              <w:t xml:space="preserve"> </w:t>
            </w:r>
          </w:p>
          <w:p w:rsidR="0088106A" w:rsidRDefault="0088106A" w:rsidP="004474F5">
            <w:pPr>
              <w:jc w:val="both"/>
            </w:pPr>
          </w:p>
          <w:p w:rsidR="0088106A" w:rsidRDefault="0088106A" w:rsidP="004474F5">
            <w:pPr>
              <w:jc w:val="both"/>
            </w:pPr>
          </w:p>
          <w:p w:rsidR="0088106A" w:rsidRDefault="0088106A" w:rsidP="004474F5">
            <w:pPr>
              <w:jc w:val="both"/>
            </w:pPr>
          </w:p>
          <w:p w:rsidR="0088106A" w:rsidRDefault="0088106A" w:rsidP="004474F5">
            <w:pPr>
              <w:jc w:val="both"/>
            </w:pPr>
          </w:p>
          <w:p w:rsidR="0088106A" w:rsidRDefault="0088106A" w:rsidP="004474F5">
            <w:pPr>
              <w:jc w:val="both"/>
            </w:pPr>
          </w:p>
          <w:p w:rsidR="0088106A" w:rsidRDefault="0088106A" w:rsidP="004474F5">
            <w:pPr>
              <w:jc w:val="both"/>
            </w:pPr>
          </w:p>
          <w:p w:rsidR="0088106A" w:rsidRDefault="0088106A" w:rsidP="004474F5">
            <w:pPr>
              <w:jc w:val="both"/>
            </w:pPr>
          </w:p>
          <w:p w:rsidR="0088106A" w:rsidRDefault="0088106A" w:rsidP="004474F5">
            <w:pPr>
              <w:jc w:val="both"/>
            </w:pPr>
          </w:p>
          <w:p w:rsidR="0088106A" w:rsidRPr="0004280A" w:rsidRDefault="0088106A" w:rsidP="004474F5">
            <w:pPr>
              <w:jc w:val="both"/>
            </w:pPr>
            <w:r>
              <w:t>В ИГРП за 2025 г. на ПМДРА са добавени като допустими кандидати юридически лица, регистрирани по ЗЮЛНЦ.</w:t>
            </w:r>
          </w:p>
        </w:tc>
      </w:tr>
    </w:tbl>
    <w:p w:rsidR="00CA374E" w:rsidRPr="00112269" w:rsidRDefault="00CA374E" w:rsidP="00F0188E">
      <w:pPr>
        <w:jc w:val="both"/>
        <w:rPr>
          <w:rFonts w:ascii="Verdana" w:hAnsi="Verdana" w:cs="Tahoma"/>
          <w:sz w:val="16"/>
          <w:szCs w:val="16"/>
        </w:rPr>
      </w:pPr>
    </w:p>
    <w:p w:rsidR="00B26503" w:rsidRDefault="00B26503" w:rsidP="00304EDA">
      <w:pPr>
        <w:jc w:val="both"/>
        <w:rPr>
          <w:rFonts w:ascii="Verdana" w:hAnsi="Verdana" w:cs="Tahoma"/>
          <w:sz w:val="16"/>
          <w:szCs w:val="16"/>
        </w:rPr>
      </w:pPr>
    </w:p>
    <w:p w:rsidR="00B26503" w:rsidRDefault="00B26503" w:rsidP="00304EDA">
      <w:pPr>
        <w:jc w:val="both"/>
        <w:rPr>
          <w:rFonts w:ascii="Verdana" w:hAnsi="Verdana" w:cs="Tahoma"/>
          <w:sz w:val="16"/>
          <w:szCs w:val="16"/>
        </w:rPr>
      </w:pPr>
    </w:p>
    <w:p w:rsidR="00B26503" w:rsidRDefault="00B26503" w:rsidP="00304EDA">
      <w:pPr>
        <w:jc w:val="both"/>
        <w:rPr>
          <w:rFonts w:ascii="Verdana" w:hAnsi="Verdana" w:cs="Tahoma"/>
          <w:sz w:val="16"/>
          <w:szCs w:val="16"/>
        </w:rPr>
      </w:pPr>
    </w:p>
    <w:p w:rsidR="00B26503" w:rsidRDefault="00B26503" w:rsidP="00304EDA">
      <w:pPr>
        <w:jc w:val="both"/>
        <w:rPr>
          <w:rFonts w:ascii="Verdana" w:hAnsi="Verdana" w:cs="Tahoma"/>
          <w:sz w:val="16"/>
          <w:szCs w:val="16"/>
        </w:rPr>
      </w:pPr>
    </w:p>
    <w:p w:rsidR="00B26503" w:rsidRDefault="00B26503" w:rsidP="00304EDA">
      <w:pPr>
        <w:jc w:val="both"/>
        <w:rPr>
          <w:rFonts w:ascii="Verdana" w:hAnsi="Verdana" w:cs="Tahoma"/>
          <w:sz w:val="16"/>
          <w:szCs w:val="16"/>
        </w:rPr>
      </w:pPr>
    </w:p>
    <w:sectPr w:rsidR="00B26503" w:rsidSect="00FA2977">
      <w:pgSz w:w="16838" w:h="11906" w:orient="landscape" w:code="9"/>
      <w:pgMar w:top="1276" w:right="567" w:bottom="2608"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657" w:rsidRDefault="00B45657">
      <w:r>
        <w:separator/>
      </w:r>
    </w:p>
  </w:endnote>
  <w:endnote w:type="continuationSeparator" w:id="0">
    <w:p w:rsidR="00B45657" w:rsidRDefault="00B45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657" w:rsidRDefault="00B45657">
      <w:r>
        <w:separator/>
      </w:r>
    </w:p>
  </w:footnote>
  <w:footnote w:type="continuationSeparator" w:id="0">
    <w:p w:rsidR="00B45657" w:rsidRDefault="00B456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0CB7"/>
    <w:multiLevelType w:val="multilevel"/>
    <w:tmpl w:val="12F47058"/>
    <w:lvl w:ilvl="0">
      <w:start w:val="3"/>
      <w:numFmt w:val="decimal"/>
      <w:pStyle w:val="style2manualCharCharCharChar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140E09A2"/>
    <w:multiLevelType w:val="hybridMultilevel"/>
    <w:tmpl w:val="C08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6153B3"/>
    <w:multiLevelType w:val="hybridMultilevel"/>
    <w:tmpl w:val="A02E9B8E"/>
    <w:lvl w:ilvl="0" w:tplc="CB2A9806">
      <w:start w:val="1"/>
      <w:numFmt w:val="bullet"/>
      <w:lvlText w:val=""/>
      <w:lvlJc w:val="left"/>
      <w:pPr>
        <w:tabs>
          <w:tab w:val="num" w:pos="720"/>
        </w:tabs>
        <w:ind w:left="720" w:hanging="360"/>
      </w:pPr>
      <w:rPr>
        <w:rFonts w:ascii="Wingdings" w:hAnsi="Wingdings" w:hint="default"/>
      </w:rPr>
    </w:lvl>
    <w:lvl w:ilvl="1" w:tplc="90245E88">
      <w:start w:val="3"/>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Wingdings"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Wingdings"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586546"/>
    <w:multiLevelType w:val="hybridMultilevel"/>
    <w:tmpl w:val="5E985CCE"/>
    <w:lvl w:ilvl="0" w:tplc="04020011">
      <w:start w:val="1"/>
      <w:numFmt w:val="decimal"/>
      <w:lvlText w:val="%1)"/>
      <w:lvlJc w:val="left"/>
      <w:pPr>
        <w:tabs>
          <w:tab w:val="num" w:pos="360"/>
        </w:tabs>
        <w:ind w:left="360" w:hanging="360"/>
      </w:pPr>
      <w:rPr>
        <w:rFonts w:hint="default"/>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660"/>
        </w:tabs>
        <w:ind w:left="660" w:hanging="660"/>
      </w:pPr>
      <w:rPr>
        <w:rFonts w:ascii="Wingdings" w:eastAsia="Times New Roman" w:hAnsi="Wingdings" w:cs="MS Mincho"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1B1536CF"/>
    <w:multiLevelType w:val="hybridMultilevel"/>
    <w:tmpl w:val="FDB6C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E6089E"/>
    <w:multiLevelType w:val="hybridMultilevel"/>
    <w:tmpl w:val="B57246DA"/>
    <w:lvl w:ilvl="0" w:tplc="CF7C7408">
      <w:start w:val="80"/>
      <w:numFmt w:val="bullet"/>
      <w:lvlText w:val="-"/>
      <w:lvlJc w:val="left"/>
      <w:pPr>
        <w:tabs>
          <w:tab w:val="num" w:pos="720"/>
        </w:tabs>
        <w:ind w:left="720" w:hanging="360"/>
      </w:pPr>
      <w:rPr>
        <w:rFonts w:ascii="Times New Roman" w:eastAsia="Times New Roman" w:hAnsi="Times New Roman" w:cs="Times New Roman"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b/>
        <w:i w:val="0"/>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8C2284"/>
    <w:multiLevelType w:val="hybridMultilevel"/>
    <w:tmpl w:val="9846640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4D590997"/>
    <w:multiLevelType w:val="hybridMultilevel"/>
    <w:tmpl w:val="2D84AF82"/>
    <w:lvl w:ilvl="0" w:tplc="0D9C685E">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Wingdings"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Wingdings"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934FEB"/>
    <w:multiLevelType w:val="hybridMultilevel"/>
    <w:tmpl w:val="4C885FCE"/>
    <w:lvl w:ilvl="0" w:tplc="04020001">
      <w:start w:val="1"/>
      <w:numFmt w:val="bullet"/>
      <w:lvlText w:val=""/>
      <w:lvlJc w:val="left"/>
      <w:pPr>
        <w:tabs>
          <w:tab w:val="num" w:pos="915"/>
        </w:tabs>
        <w:ind w:left="915" w:hanging="360"/>
      </w:pPr>
      <w:rPr>
        <w:rFonts w:ascii="Symbol" w:hAnsi="Symbol" w:hint="default"/>
        <w:b/>
        <w:i w:val="0"/>
      </w:rPr>
    </w:lvl>
    <w:lvl w:ilvl="1" w:tplc="04020003" w:tentative="1">
      <w:start w:val="1"/>
      <w:numFmt w:val="bullet"/>
      <w:lvlText w:val="o"/>
      <w:lvlJc w:val="left"/>
      <w:pPr>
        <w:tabs>
          <w:tab w:val="num" w:pos="1635"/>
        </w:tabs>
        <w:ind w:left="1635" w:hanging="360"/>
      </w:pPr>
      <w:rPr>
        <w:rFonts w:ascii="Courier New" w:hAnsi="Courier New" w:cs="Courier New" w:hint="default"/>
      </w:rPr>
    </w:lvl>
    <w:lvl w:ilvl="2" w:tplc="04020005" w:tentative="1">
      <w:start w:val="1"/>
      <w:numFmt w:val="bullet"/>
      <w:lvlText w:val=""/>
      <w:lvlJc w:val="left"/>
      <w:pPr>
        <w:tabs>
          <w:tab w:val="num" w:pos="2355"/>
        </w:tabs>
        <w:ind w:left="2355" w:hanging="360"/>
      </w:pPr>
      <w:rPr>
        <w:rFonts w:ascii="Wingdings" w:hAnsi="Wingdings" w:hint="default"/>
      </w:rPr>
    </w:lvl>
    <w:lvl w:ilvl="3" w:tplc="04020001">
      <w:start w:val="1"/>
      <w:numFmt w:val="bullet"/>
      <w:lvlText w:val=""/>
      <w:lvlJc w:val="left"/>
      <w:pPr>
        <w:tabs>
          <w:tab w:val="num" w:pos="3075"/>
        </w:tabs>
        <w:ind w:left="3075" w:hanging="360"/>
      </w:pPr>
      <w:rPr>
        <w:rFonts w:ascii="Symbol" w:hAnsi="Symbol" w:hint="default"/>
        <w:b/>
        <w:i w:val="0"/>
      </w:rPr>
    </w:lvl>
    <w:lvl w:ilvl="4" w:tplc="04020003" w:tentative="1">
      <w:start w:val="1"/>
      <w:numFmt w:val="bullet"/>
      <w:lvlText w:val="o"/>
      <w:lvlJc w:val="left"/>
      <w:pPr>
        <w:tabs>
          <w:tab w:val="num" w:pos="3795"/>
        </w:tabs>
        <w:ind w:left="3795" w:hanging="360"/>
      </w:pPr>
      <w:rPr>
        <w:rFonts w:ascii="Courier New" w:hAnsi="Courier New" w:cs="Courier New" w:hint="default"/>
      </w:rPr>
    </w:lvl>
    <w:lvl w:ilvl="5" w:tplc="04020005" w:tentative="1">
      <w:start w:val="1"/>
      <w:numFmt w:val="bullet"/>
      <w:lvlText w:val=""/>
      <w:lvlJc w:val="left"/>
      <w:pPr>
        <w:tabs>
          <w:tab w:val="num" w:pos="4515"/>
        </w:tabs>
        <w:ind w:left="4515" w:hanging="360"/>
      </w:pPr>
      <w:rPr>
        <w:rFonts w:ascii="Wingdings" w:hAnsi="Wingdings" w:hint="default"/>
      </w:rPr>
    </w:lvl>
    <w:lvl w:ilvl="6" w:tplc="04020001" w:tentative="1">
      <w:start w:val="1"/>
      <w:numFmt w:val="bullet"/>
      <w:lvlText w:val=""/>
      <w:lvlJc w:val="left"/>
      <w:pPr>
        <w:tabs>
          <w:tab w:val="num" w:pos="5235"/>
        </w:tabs>
        <w:ind w:left="5235" w:hanging="360"/>
      </w:pPr>
      <w:rPr>
        <w:rFonts w:ascii="Symbol" w:hAnsi="Symbol" w:hint="default"/>
      </w:rPr>
    </w:lvl>
    <w:lvl w:ilvl="7" w:tplc="04020003" w:tentative="1">
      <w:start w:val="1"/>
      <w:numFmt w:val="bullet"/>
      <w:lvlText w:val="o"/>
      <w:lvlJc w:val="left"/>
      <w:pPr>
        <w:tabs>
          <w:tab w:val="num" w:pos="5955"/>
        </w:tabs>
        <w:ind w:left="5955" w:hanging="360"/>
      </w:pPr>
      <w:rPr>
        <w:rFonts w:ascii="Courier New" w:hAnsi="Courier New" w:cs="Courier New" w:hint="default"/>
      </w:rPr>
    </w:lvl>
    <w:lvl w:ilvl="8" w:tplc="0402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52B230A0"/>
    <w:multiLevelType w:val="hybridMultilevel"/>
    <w:tmpl w:val="E4EA8D02"/>
    <w:lvl w:ilvl="0" w:tplc="0402000F">
      <w:start w:val="6"/>
      <w:numFmt w:val="decimal"/>
      <w:lvlText w:val="%1."/>
      <w:lvlJc w:val="left"/>
      <w:pPr>
        <w:tabs>
          <w:tab w:val="num" w:pos="720"/>
        </w:tabs>
        <w:ind w:left="720" w:hanging="360"/>
      </w:pPr>
      <w:rPr>
        <w:rFonts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D422CA"/>
    <w:multiLevelType w:val="hybridMultilevel"/>
    <w:tmpl w:val="205CD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502032"/>
    <w:multiLevelType w:val="hybridMultilevel"/>
    <w:tmpl w:val="16C8771E"/>
    <w:lvl w:ilvl="0" w:tplc="0402000F">
      <w:start w:val="1"/>
      <w:numFmt w:val="decimal"/>
      <w:lvlText w:val="%1."/>
      <w:lvlJc w:val="left"/>
      <w:pPr>
        <w:tabs>
          <w:tab w:val="num" w:pos="720"/>
        </w:tabs>
        <w:ind w:left="720" w:hanging="360"/>
      </w:pPr>
      <w:rPr>
        <w:rFonts w:hint="default"/>
      </w:rPr>
    </w:lvl>
    <w:lvl w:ilvl="1" w:tplc="04020019">
      <w:start w:val="1"/>
      <w:numFmt w:val="bullet"/>
      <w:lvlText w:val="o"/>
      <w:lvlJc w:val="left"/>
      <w:pPr>
        <w:tabs>
          <w:tab w:val="num" w:pos="1440"/>
        </w:tabs>
        <w:ind w:left="1440" w:hanging="360"/>
      </w:pPr>
      <w:rPr>
        <w:rFonts w:ascii="Courier New" w:hAnsi="Courier New" w:cs="Wingdings" w:hint="default"/>
      </w:rPr>
    </w:lvl>
    <w:lvl w:ilvl="2" w:tplc="0402001B">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Wingdings"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Wingdings"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655195"/>
    <w:multiLevelType w:val="hybridMultilevel"/>
    <w:tmpl w:val="D548BE58"/>
    <w:lvl w:ilvl="0" w:tplc="04020009">
      <w:start w:val="1"/>
      <w:numFmt w:val="bullet"/>
      <w:pStyle w:val="ListBullet2"/>
      <w:lvlText w:val=""/>
      <w:lvlJc w:val="left"/>
      <w:pPr>
        <w:tabs>
          <w:tab w:val="num" w:pos="1003"/>
        </w:tabs>
        <w:ind w:left="1003" w:hanging="283"/>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2"/>
  </w:num>
  <w:num w:numId="4">
    <w:abstractNumId w:val="4"/>
  </w:num>
  <w:num w:numId="5">
    <w:abstractNumId w:val="3"/>
  </w:num>
  <w:num w:numId="6">
    <w:abstractNumId w:val="1"/>
  </w:num>
  <w:num w:numId="7">
    <w:abstractNumId w:val="7"/>
  </w:num>
  <w:num w:numId="8">
    <w:abstractNumId w:val="13"/>
  </w:num>
  <w:num w:numId="9">
    <w:abstractNumId w:val="6"/>
  </w:num>
  <w:num w:numId="10">
    <w:abstractNumId w:val="9"/>
  </w:num>
  <w:num w:numId="11">
    <w:abstractNumId w:val="10"/>
  </w:num>
  <w:num w:numId="12">
    <w:abstractNumId w:val="0"/>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C2"/>
    <w:rsid w:val="0000402A"/>
    <w:rsid w:val="000112E0"/>
    <w:rsid w:val="00013A3C"/>
    <w:rsid w:val="0001777D"/>
    <w:rsid w:val="00017F11"/>
    <w:rsid w:val="000226FB"/>
    <w:rsid w:val="00036602"/>
    <w:rsid w:val="0004280A"/>
    <w:rsid w:val="000536CF"/>
    <w:rsid w:val="00063706"/>
    <w:rsid w:val="0008378F"/>
    <w:rsid w:val="000969EE"/>
    <w:rsid w:val="000A01E6"/>
    <w:rsid w:val="000C1A6A"/>
    <w:rsid w:val="000C3472"/>
    <w:rsid w:val="000C6778"/>
    <w:rsid w:val="000F16D5"/>
    <w:rsid w:val="00104817"/>
    <w:rsid w:val="00112269"/>
    <w:rsid w:val="0013042A"/>
    <w:rsid w:val="0013771B"/>
    <w:rsid w:val="00140548"/>
    <w:rsid w:val="001453BE"/>
    <w:rsid w:val="00150195"/>
    <w:rsid w:val="00152543"/>
    <w:rsid w:val="0015692D"/>
    <w:rsid w:val="00162A12"/>
    <w:rsid w:val="0017293A"/>
    <w:rsid w:val="0017321D"/>
    <w:rsid w:val="001767EE"/>
    <w:rsid w:val="00180574"/>
    <w:rsid w:val="00180BED"/>
    <w:rsid w:val="001961DC"/>
    <w:rsid w:val="00197136"/>
    <w:rsid w:val="001B3040"/>
    <w:rsid w:val="001B4E81"/>
    <w:rsid w:val="001D3AB0"/>
    <w:rsid w:val="001D79F7"/>
    <w:rsid w:val="001E5070"/>
    <w:rsid w:val="001E55F3"/>
    <w:rsid w:val="002004AB"/>
    <w:rsid w:val="00200C47"/>
    <w:rsid w:val="0020333C"/>
    <w:rsid w:val="00210931"/>
    <w:rsid w:val="002138A1"/>
    <w:rsid w:val="00215E29"/>
    <w:rsid w:val="0022347B"/>
    <w:rsid w:val="002271CA"/>
    <w:rsid w:val="00230989"/>
    <w:rsid w:val="0023736D"/>
    <w:rsid w:val="002471AB"/>
    <w:rsid w:val="0024739B"/>
    <w:rsid w:val="002536E0"/>
    <w:rsid w:val="00270A0D"/>
    <w:rsid w:val="00271716"/>
    <w:rsid w:val="002928E7"/>
    <w:rsid w:val="002B2DF9"/>
    <w:rsid w:val="002B7853"/>
    <w:rsid w:val="002C4815"/>
    <w:rsid w:val="002C6EC2"/>
    <w:rsid w:val="002C7E9D"/>
    <w:rsid w:val="002D053A"/>
    <w:rsid w:val="002D372F"/>
    <w:rsid w:val="002D539C"/>
    <w:rsid w:val="002D5AF7"/>
    <w:rsid w:val="002E5F13"/>
    <w:rsid w:val="002E699A"/>
    <w:rsid w:val="002F0E42"/>
    <w:rsid w:val="002F7FD2"/>
    <w:rsid w:val="00304EDA"/>
    <w:rsid w:val="00306CCE"/>
    <w:rsid w:val="00310D8B"/>
    <w:rsid w:val="003130BA"/>
    <w:rsid w:val="003144EA"/>
    <w:rsid w:val="003202DB"/>
    <w:rsid w:val="003214E2"/>
    <w:rsid w:val="003237B2"/>
    <w:rsid w:val="003277D3"/>
    <w:rsid w:val="00330790"/>
    <w:rsid w:val="00366601"/>
    <w:rsid w:val="00370AE2"/>
    <w:rsid w:val="00382217"/>
    <w:rsid w:val="00394352"/>
    <w:rsid w:val="00396472"/>
    <w:rsid w:val="003966C0"/>
    <w:rsid w:val="003B3DF2"/>
    <w:rsid w:val="003C7709"/>
    <w:rsid w:val="003D080A"/>
    <w:rsid w:val="003D2BDB"/>
    <w:rsid w:val="003E0C7C"/>
    <w:rsid w:val="003E3F39"/>
    <w:rsid w:val="003E67DD"/>
    <w:rsid w:val="003E6EBB"/>
    <w:rsid w:val="0041052C"/>
    <w:rsid w:val="004145C4"/>
    <w:rsid w:val="004234D8"/>
    <w:rsid w:val="00431341"/>
    <w:rsid w:val="00431505"/>
    <w:rsid w:val="00436167"/>
    <w:rsid w:val="00443238"/>
    <w:rsid w:val="00445289"/>
    <w:rsid w:val="004474F5"/>
    <w:rsid w:val="0044764C"/>
    <w:rsid w:val="00452B14"/>
    <w:rsid w:val="00453355"/>
    <w:rsid w:val="004542FF"/>
    <w:rsid w:val="00462B80"/>
    <w:rsid w:val="004709AC"/>
    <w:rsid w:val="00474674"/>
    <w:rsid w:val="0047796C"/>
    <w:rsid w:val="00486011"/>
    <w:rsid w:val="00494BEC"/>
    <w:rsid w:val="00496E57"/>
    <w:rsid w:val="004A7F39"/>
    <w:rsid w:val="004B1018"/>
    <w:rsid w:val="004B4715"/>
    <w:rsid w:val="004B4915"/>
    <w:rsid w:val="004C2492"/>
    <w:rsid w:val="004C3653"/>
    <w:rsid w:val="004C5BBD"/>
    <w:rsid w:val="004D64C8"/>
    <w:rsid w:val="004F0A7B"/>
    <w:rsid w:val="004F286C"/>
    <w:rsid w:val="004F648D"/>
    <w:rsid w:val="004F6AC7"/>
    <w:rsid w:val="00501E46"/>
    <w:rsid w:val="00501F3F"/>
    <w:rsid w:val="00505169"/>
    <w:rsid w:val="005327A1"/>
    <w:rsid w:val="0054380D"/>
    <w:rsid w:val="00544248"/>
    <w:rsid w:val="005466CF"/>
    <w:rsid w:val="00551036"/>
    <w:rsid w:val="0055260D"/>
    <w:rsid w:val="00560CBF"/>
    <w:rsid w:val="00561E4C"/>
    <w:rsid w:val="00571A5F"/>
    <w:rsid w:val="005B2150"/>
    <w:rsid w:val="005C3417"/>
    <w:rsid w:val="005D4E71"/>
    <w:rsid w:val="005D5913"/>
    <w:rsid w:val="005E1E82"/>
    <w:rsid w:val="005E4D6B"/>
    <w:rsid w:val="005E51BF"/>
    <w:rsid w:val="005E6CCD"/>
    <w:rsid w:val="00607F2B"/>
    <w:rsid w:val="006113BF"/>
    <w:rsid w:val="006145CB"/>
    <w:rsid w:val="006155B9"/>
    <w:rsid w:val="006326ED"/>
    <w:rsid w:val="00636599"/>
    <w:rsid w:val="00637DC2"/>
    <w:rsid w:val="00640AA6"/>
    <w:rsid w:val="00646EA6"/>
    <w:rsid w:val="00653680"/>
    <w:rsid w:val="00656737"/>
    <w:rsid w:val="00666371"/>
    <w:rsid w:val="00672F2F"/>
    <w:rsid w:val="006777B9"/>
    <w:rsid w:val="00677E7B"/>
    <w:rsid w:val="006815DA"/>
    <w:rsid w:val="006858DB"/>
    <w:rsid w:val="00685A79"/>
    <w:rsid w:val="00687550"/>
    <w:rsid w:val="00690015"/>
    <w:rsid w:val="0069032E"/>
    <w:rsid w:val="006961BB"/>
    <w:rsid w:val="006A1F2F"/>
    <w:rsid w:val="006A4EFF"/>
    <w:rsid w:val="006A6F14"/>
    <w:rsid w:val="006B20C5"/>
    <w:rsid w:val="006E0147"/>
    <w:rsid w:val="006F553B"/>
    <w:rsid w:val="007002E9"/>
    <w:rsid w:val="00701794"/>
    <w:rsid w:val="00707806"/>
    <w:rsid w:val="00722560"/>
    <w:rsid w:val="00726A86"/>
    <w:rsid w:val="00726D23"/>
    <w:rsid w:val="007538C8"/>
    <w:rsid w:val="00760142"/>
    <w:rsid w:val="007707EF"/>
    <w:rsid w:val="0077264B"/>
    <w:rsid w:val="007729C6"/>
    <w:rsid w:val="00780350"/>
    <w:rsid w:val="0078386F"/>
    <w:rsid w:val="00786B8E"/>
    <w:rsid w:val="00791071"/>
    <w:rsid w:val="0079327A"/>
    <w:rsid w:val="0079523F"/>
    <w:rsid w:val="007A7687"/>
    <w:rsid w:val="007D7884"/>
    <w:rsid w:val="007E096B"/>
    <w:rsid w:val="007E0B23"/>
    <w:rsid w:val="007F5ECB"/>
    <w:rsid w:val="00824BD3"/>
    <w:rsid w:val="00825169"/>
    <w:rsid w:val="00831092"/>
    <w:rsid w:val="00840D1B"/>
    <w:rsid w:val="00842B5C"/>
    <w:rsid w:val="008469B7"/>
    <w:rsid w:val="008618A1"/>
    <w:rsid w:val="00870DF3"/>
    <w:rsid w:val="00875289"/>
    <w:rsid w:val="00877530"/>
    <w:rsid w:val="008808AF"/>
    <w:rsid w:val="0088106A"/>
    <w:rsid w:val="0088182E"/>
    <w:rsid w:val="00884A24"/>
    <w:rsid w:val="00886882"/>
    <w:rsid w:val="00887561"/>
    <w:rsid w:val="0089395F"/>
    <w:rsid w:val="008B650A"/>
    <w:rsid w:val="008B7EC8"/>
    <w:rsid w:val="008C5F0F"/>
    <w:rsid w:val="008D5D8F"/>
    <w:rsid w:val="008D6783"/>
    <w:rsid w:val="008E3D7D"/>
    <w:rsid w:val="008E4248"/>
    <w:rsid w:val="00911E6C"/>
    <w:rsid w:val="009178F3"/>
    <w:rsid w:val="0093316B"/>
    <w:rsid w:val="009368E6"/>
    <w:rsid w:val="009370D1"/>
    <w:rsid w:val="009474BC"/>
    <w:rsid w:val="00947C84"/>
    <w:rsid w:val="00960DBA"/>
    <w:rsid w:val="00966ADA"/>
    <w:rsid w:val="00966FA3"/>
    <w:rsid w:val="00967EF1"/>
    <w:rsid w:val="00967F65"/>
    <w:rsid w:val="00982B5D"/>
    <w:rsid w:val="00982D3C"/>
    <w:rsid w:val="009835EB"/>
    <w:rsid w:val="00984400"/>
    <w:rsid w:val="0099201E"/>
    <w:rsid w:val="009A091B"/>
    <w:rsid w:val="009C2EE3"/>
    <w:rsid w:val="009D2983"/>
    <w:rsid w:val="009D2FCA"/>
    <w:rsid w:val="009D4358"/>
    <w:rsid w:val="009D78AC"/>
    <w:rsid w:val="009E02E6"/>
    <w:rsid w:val="009E3627"/>
    <w:rsid w:val="009E4C13"/>
    <w:rsid w:val="009F0361"/>
    <w:rsid w:val="00A06693"/>
    <w:rsid w:val="00A0757A"/>
    <w:rsid w:val="00A268BE"/>
    <w:rsid w:val="00A35C73"/>
    <w:rsid w:val="00A37EE9"/>
    <w:rsid w:val="00A530D3"/>
    <w:rsid w:val="00A601EB"/>
    <w:rsid w:val="00A6043B"/>
    <w:rsid w:val="00A61D39"/>
    <w:rsid w:val="00A65239"/>
    <w:rsid w:val="00A7140B"/>
    <w:rsid w:val="00A7778D"/>
    <w:rsid w:val="00A805F2"/>
    <w:rsid w:val="00A837BC"/>
    <w:rsid w:val="00A90A94"/>
    <w:rsid w:val="00AA0643"/>
    <w:rsid w:val="00AA52AE"/>
    <w:rsid w:val="00AC250E"/>
    <w:rsid w:val="00AD388E"/>
    <w:rsid w:val="00AF6F1C"/>
    <w:rsid w:val="00B02BEA"/>
    <w:rsid w:val="00B063B3"/>
    <w:rsid w:val="00B10214"/>
    <w:rsid w:val="00B159F4"/>
    <w:rsid w:val="00B17CAB"/>
    <w:rsid w:val="00B22313"/>
    <w:rsid w:val="00B26503"/>
    <w:rsid w:val="00B346AF"/>
    <w:rsid w:val="00B45657"/>
    <w:rsid w:val="00B57B46"/>
    <w:rsid w:val="00B617F0"/>
    <w:rsid w:val="00B62900"/>
    <w:rsid w:val="00B746EC"/>
    <w:rsid w:val="00B836E8"/>
    <w:rsid w:val="00B84598"/>
    <w:rsid w:val="00B87958"/>
    <w:rsid w:val="00B90E8D"/>
    <w:rsid w:val="00B97243"/>
    <w:rsid w:val="00BA4C95"/>
    <w:rsid w:val="00BA576D"/>
    <w:rsid w:val="00BD61D2"/>
    <w:rsid w:val="00BE2E9E"/>
    <w:rsid w:val="00C21E38"/>
    <w:rsid w:val="00C2641B"/>
    <w:rsid w:val="00C3387D"/>
    <w:rsid w:val="00C53E63"/>
    <w:rsid w:val="00C6362A"/>
    <w:rsid w:val="00C65CA2"/>
    <w:rsid w:val="00C93338"/>
    <w:rsid w:val="00CA209E"/>
    <w:rsid w:val="00CA374E"/>
    <w:rsid w:val="00CA46F2"/>
    <w:rsid w:val="00CA5366"/>
    <w:rsid w:val="00CB5F80"/>
    <w:rsid w:val="00CC7398"/>
    <w:rsid w:val="00CE115F"/>
    <w:rsid w:val="00CE4453"/>
    <w:rsid w:val="00CE50B7"/>
    <w:rsid w:val="00CF26E5"/>
    <w:rsid w:val="00D017B4"/>
    <w:rsid w:val="00D21C30"/>
    <w:rsid w:val="00D2290C"/>
    <w:rsid w:val="00D40651"/>
    <w:rsid w:val="00D4352A"/>
    <w:rsid w:val="00D44055"/>
    <w:rsid w:val="00D4662E"/>
    <w:rsid w:val="00D6702E"/>
    <w:rsid w:val="00D81812"/>
    <w:rsid w:val="00DA0192"/>
    <w:rsid w:val="00DB5633"/>
    <w:rsid w:val="00DC231F"/>
    <w:rsid w:val="00DC6D19"/>
    <w:rsid w:val="00DD2AAE"/>
    <w:rsid w:val="00DD5972"/>
    <w:rsid w:val="00DD5B8C"/>
    <w:rsid w:val="00DD7FDA"/>
    <w:rsid w:val="00DE34C1"/>
    <w:rsid w:val="00DE5492"/>
    <w:rsid w:val="00E1683C"/>
    <w:rsid w:val="00E2302D"/>
    <w:rsid w:val="00E51D89"/>
    <w:rsid w:val="00E64965"/>
    <w:rsid w:val="00E80C74"/>
    <w:rsid w:val="00E813B8"/>
    <w:rsid w:val="00E87F60"/>
    <w:rsid w:val="00EA33C8"/>
    <w:rsid w:val="00EA73D7"/>
    <w:rsid w:val="00EB2F39"/>
    <w:rsid w:val="00EB348E"/>
    <w:rsid w:val="00EB46AE"/>
    <w:rsid w:val="00EB47C8"/>
    <w:rsid w:val="00ED7921"/>
    <w:rsid w:val="00EE07F8"/>
    <w:rsid w:val="00EF08EE"/>
    <w:rsid w:val="00EF7BA5"/>
    <w:rsid w:val="00F0188E"/>
    <w:rsid w:val="00F145E6"/>
    <w:rsid w:val="00F353FF"/>
    <w:rsid w:val="00F418D5"/>
    <w:rsid w:val="00F45D8A"/>
    <w:rsid w:val="00F503E6"/>
    <w:rsid w:val="00F67F01"/>
    <w:rsid w:val="00F70C7E"/>
    <w:rsid w:val="00F8100B"/>
    <w:rsid w:val="00F93403"/>
    <w:rsid w:val="00F97B45"/>
    <w:rsid w:val="00FA2977"/>
    <w:rsid w:val="00FB31BC"/>
    <w:rsid w:val="00FB6AC6"/>
    <w:rsid w:val="00FC424F"/>
    <w:rsid w:val="00FC61DB"/>
    <w:rsid w:val="00FD307F"/>
    <w:rsid w:val="00FE5F9B"/>
    <w:rsid w:val="00FF6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ACE76CB-8F4E-431E-A644-F901D950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bg-BG" w:eastAsia="bg-BG"/>
    </w:rPr>
  </w:style>
  <w:style w:type="paragraph" w:styleId="Heading2">
    <w:name w:val="heading 2"/>
    <w:basedOn w:val="Normal"/>
    <w:next w:val="Normal"/>
    <w:qFormat/>
    <w:rsid w:val="00366601"/>
    <w:pPr>
      <w:keepNext/>
      <w:spacing w:before="240" w:after="60"/>
      <w:outlineLvl w:val="1"/>
    </w:pPr>
    <w:rPr>
      <w:b/>
      <w:snapToGrid w:val="0"/>
      <w:szCs w:val="20"/>
      <w:lang w:val="en-GB" w:eastAsia="en-US"/>
    </w:rPr>
  </w:style>
  <w:style w:type="paragraph" w:styleId="Heading3">
    <w:name w:val="heading 3"/>
    <w:basedOn w:val="Normal"/>
    <w:next w:val="Normal"/>
    <w:link w:val="Heading3Char"/>
    <w:semiHidden/>
    <w:unhideWhenUsed/>
    <w:qFormat/>
    <w:rsid w:val="0072256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C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C6EC2"/>
    <w:rPr>
      <w:sz w:val="16"/>
      <w:szCs w:val="16"/>
    </w:rPr>
  </w:style>
  <w:style w:type="paragraph" w:styleId="CommentText">
    <w:name w:val="annotation text"/>
    <w:basedOn w:val="Normal"/>
    <w:link w:val="CommentTextChar"/>
    <w:semiHidden/>
    <w:rsid w:val="002C6EC2"/>
    <w:rPr>
      <w:snapToGrid w:val="0"/>
      <w:sz w:val="20"/>
      <w:szCs w:val="20"/>
      <w:lang w:val="en-GB" w:eastAsia="en-US"/>
    </w:rPr>
  </w:style>
  <w:style w:type="paragraph" w:styleId="BalloonText">
    <w:name w:val="Balloon Text"/>
    <w:basedOn w:val="Normal"/>
    <w:semiHidden/>
    <w:rsid w:val="002C6EC2"/>
    <w:rPr>
      <w:rFonts w:ascii="Tahoma" w:hAnsi="Tahoma" w:cs="Tahoma"/>
      <w:sz w:val="16"/>
      <w:szCs w:val="16"/>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2C6EC2"/>
    <w:pPr>
      <w:widowControl w:val="0"/>
      <w:tabs>
        <w:tab w:val="left" w:pos="-720"/>
      </w:tabs>
      <w:suppressAutoHyphens/>
      <w:jc w:val="both"/>
    </w:pPr>
    <w:rPr>
      <w:snapToGrid w:val="0"/>
      <w:spacing w:val="-2"/>
      <w:sz w:val="20"/>
      <w:szCs w:val="20"/>
      <w:lang w:val="en-GB"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2C6EC2"/>
    <w:rPr>
      <w:snapToGrid w:val="0"/>
      <w:spacing w:val="-2"/>
      <w:lang w:val="en-GB" w:eastAsia="en-US" w:bidi="ar-SA"/>
    </w:rPr>
  </w:style>
  <w:style w:type="character" w:styleId="FootnoteReference">
    <w:name w:val="footnote reference"/>
    <w:aliases w:val="Footnote symbol"/>
    <w:semiHidden/>
    <w:rsid w:val="00571A5F"/>
    <w:rPr>
      <w:rFonts w:ascii="Times New Roman" w:hAnsi="Times New Roman"/>
      <w:noProof w:val="0"/>
      <w:sz w:val="27"/>
      <w:vertAlign w:val="superscript"/>
      <w:lang w:val="en-US"/>
    </w:rPr>
  </w:style>
  <w:style w:type="paragraph" w:customStyle="1" w:styleId="GfAheading1">
    <w:name w:val="GfA heading 1"/>
    <w:basedOn w:val="Normal"/>
    <w:rsid w:val="00436167"/>
    <w:pPr>
      <w:numPr>
        <w:numId w:val="6"/>
      </w:numPr>
    </w:pPr>
    <w:rPr>
      <w:b/>
      <w:snapToGrid w:val="0"/>
      <w:lang w:eastAsia="en-US"/>
    </w:rPr>
  </w:style>
  <w:style w:type="paragraph" w:customStyle="1" w:styleId="CharChar">
    <w:name w:val="Char Char"/>
    <w:basedOn w:val="Normal"/>
    <w:rsid w:val="004C5BBD"/>
    <w:pPr>
      <w:tabs>
        <w:tab w:val="left" w:pos="709"/>
      </w:tabs>
    </w:pPr>
    <w:rPr>
      <w:rFonts w:ascii="Tahoma" w:hAnsi="Tahoma"/>
      <w:lang w:val="pl-PL" w:eastAsia="pl-PL"/>
    </w:rPr>
  </w:style>
  <w:style w:type="paragraph" w:customStyle="1" w:styleId="CharCharCharCharChar">
    <w:name w:val="Char Char Char Char Знак Char"/>
    <w:basedOn w:val="Normal"/>
    <w:rsid w:val="00486011"/>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786B8E"/>
    <w:pPr>
      <w:tabs>
        <w:tab w:val="left" w:pos="709"/>
      </w:tabs>
    </w:pPr>
    <w:rPr>
      <w:rFonts w:ascii="Tahoma" w:hAnsi="Tahoma"/>
      <w:lang w:val="pl-PL" w:eastAsia="pl-PL"/>
    </w:rPr>
  </w:style>
  <w:style w:type="paragraph" w:customStyle="1" w:styleId="Char">
    <w:name w:val="Char"/>
    <w:basedOn w:val="Normal"/>
    <w:semiHidden/>
    <w:rsid w:val="00DD2AAE"/>
    <w:pPr>
      <w:tabs>
        <w:tab w:val="left" w:pos="709"/>
      </w:tabs>
    </w:pPr>
    <w:rPr>
      <w:rFonts w:ascii="Tahoma" w:hAnsi="Tahoma"/>
      <w:lang w:val="pl-PL" w:eastAsia="pl-PL"/>
    </w:rPr>
  </w:style>
  <w:style w:type="character" w:styleId="Hyperlink">
    <w:name w:val="Hyperlink"/>
    <w:rsid w:val="00DD2AAE"/>
    <w:rPr>
      <w:color w:val="0000FF"/>
      <w:u w:val="single"/>
    </w:rPr>
  </w:style>
  <w:style w:type="paragraph" w:styleId="BodyText">
    <w:name w:val="Body Text"/>
    <w:basedOn w:val="Normal"/>
    <w:rsid w:val="00DD2AAE"/>
    <w:pPr>
      <w:spacing w:after="120"/>
    </w:pPr>
    <w:rPr>
      <w:lang w:val="en-GB" w:eastAsia="en-US"/>
    </w:rPr>
  </w:style>
  <w:style w:type="paragraph" w:styleId="ListBullet2">
    <w:name w:val="List Bullet 2"/>
    <w:basedOn w:val="Normal"/>
    <w:rsid w:val="00DD2AAE"/>
    <w:pPr>
      <w:numPr>
        <w:numId w:val="8"/>
      </w:numPr>
    </w:pPr>
    <w:rPr>
      <w:snapToGrid w:val="0"/>
      <w:szCs w:val="20"/>
      <w:lang w:val="en-GB" w:eastAsia="en-US"/>
    </w:rPr>
  </w:style>
  <w:style w:type="paragraph" w:styleId="Header">
    <w:name w:val="header"/>
    <w:basedOn w:val="Normal"/>
    <w:rsid w:val="00560CBF"/>
    <w:pPr>
      <w:tabs>
        <w:tab w:val="center" w:pos="4536"/>
        <w:tab w:val="right" w:pos="9072"/>
      </w:tabs>
    </w:pPr>
  </w:style>
  <w:style w:type="paragraph" w:styleId="Footer">
    <w:name w:val="footer"/>
    <w:basedOn w:val="Normal"/>
    <w:rsid w:val="00560CBF"/>
    <w:pPr>
      <w:tabs>
        <w:tab w:val="center" w:pos="4536"/>
        <w:tab w:val="right" w:pos="9072"/>
      </w:tabs>
    </w:pPr>
  </w:style>
  <w:style w:type="paragraph" w:customStyle="1" w:styleId="CharChar4Char1">
    <w:name w:val="Char Char4 Char1"/>
    <w:basedOn w:val="Normal"/>
    <w:rsid w:val="00560CBF"/>
    <w:pPr>
      <w:tabs>
        <w:tab w:val="left" w:pos="709"/>
      </w:tabs>
    </w:pPr>
    <w:rPr>
      <w:rFonts w:ascii="Tahoma" w:hAnsi="Tahoma"/>
      <w:lang w:val="pl-PL" w:eastAsia="pl-PL"/>
    </w:rPr>
  </w:style>
  <w:style w:type="paragraph" w:customStyle="1" w:styleId="Index">
    <w:name w:val="Index"/>
    <w:basedOn w:val="Normal"/>
    <w:rsid w:val="00560CBF"/>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560CBF"/>
    <w:pPr>
      <w:widowControl w:val="0"/>
      <w:suppressLineNumbers/>
      <w:suppressAutoHyphens/>
    </w:pPr>
    <w:rPr>
      <w:rFonts w:eastAsia="HG Mincho Light J"/>
      <w:color w:val="000000"/>
      <w:szCs w:val="20"/>
      <w:lang w:val="en-US" w:eastAsia="bg-BG"/>
    </w:rPr>
  </w:style>
  <w:style w:type="paragraph" w:customStyle="1" w:styleId="style2manualCharCharCharCharChar">
    <w:name w:val="style 2 manual Char Char Char Char Char Знак Знак"/>
    <w:basedOn w:val="Normal"/>
    <w:rsid w:val="00230989"/>
    <w:pPr>
      <w:numPr>
        <w:numId w:val="12"/>
      </w:numPr>
      <w:tabs>
        <w:tab w:val="left" w:pos="709"/>
      </w:tabs>
    </w:pPr>
    <w:rPr>
      <w:b/>
      <w:lang w:val="pl-PL" w:eastAsia="pl-PL"/>
    </w:rPr>
  </w:style>
  <w:style w:type="character" w:styleId="PageNumber">
    <w:name w:val="page number"/>
    <w:rsid w:val="002E5F13"/>
    <w:rPr>
      <w:b/>
      <w:sz w:val="24"/>
      <w:szCs w:val="24"/>
      <w:lang w:val="pl-PL" w:eastAsia="pl-PL" w:bidi="ar-SA"/>
    </w:rPr>
  </w:style>
  <w:style w:type="paragraph" w:styleId="ListParagraph">
    <w:name w:val="List Paragraph"/>
    <w:basedOn w:val="Normal"/>
    <w:qFormat/>
    <w:rsid w:val="00452B14"/>
    <w:pPr>
      <w:ind w:left="708"/>
    </w:pPr>
    <w:rPr>
      <w:lang w:val="de-DE" w:eastAsia="de-DE"/>
    </w:rPr>
  </w:style>
  <w:style w:type="paragraph" w:styleId="CommentSubject">
    <w:name w:val="annotation subject"/>
    <w:basedOn w:val="CommentText"/>
    <w:next w:val="CommentText"/>
    <w:link w:val="CommentSubjectChar"/>
    <w:semiHidden/>
    <w:unhideWhenUsed/>
    <w:rsid w:val="005D4E71"/>
    <w:rPr>
      <w:b/>
      <w:bCs/>
      <w:snapToGrid/>
      <w:lang w:val="bg-BG" w:eastAsia="bg-BG"/>
    </w:rPr>
  </w:style>
  <w:style w:type="character" w:customStyle="1" w:styleId="CommentTextChar">
    <w:name w:val="Comment Text Char"/>
    <w:basedOn w:val="DefaultParagraphFont"/>
    <w:link w:val="CommentText"/>
    <w:semiHidden/>
    <w:rsid w:val="005D4E71"/>
    <w:rPr>
      <w:snapToGrid w:val="0"/>
      <w:lang w:val="en-GB"/>
    </w:rPr>
  </w:style>
  <w:style w:type="character" w:customStyle="1" w:styleId="CommentSubjectChar">
    <w:name w:val="Comment Subject Char"/>
    <w:basedOn w:val="CommentTextChar"/>
    <w:link w:val="CommentSubject"/>
    <w:semiHidden/>
    <w:rsid w:val="005D4E71"/>
    <w:rPr>
      <w:b/>
      <w:bCs/>
      <w:snapToGrid/>
      <w:lang w:val="bg-BG" w:eastAsia="bg-BG"/>
    </w:rPr>
  </w:style>
  <w:style w:type="character" w:customStyle="1" w:styleId="Heading3Char">
    <w:name w:val="Heading 3 Char"/>
    <w:basedOn w:val="DefaultParagraphFont"/>
    <w:link w:val="Heading3"/>
    <w:semiHidden/>
    <w:rsid w:val="00722560"/>
    <w:rPr>
      <w:rFonts w:asciiTheme="majorHAnsi" w:eastAsiaTheme="majorEastAsia" w:hAnsiTheme="majorHAnsi" w:cstheme="majorBidi"/>
      <w:b/>
      <w:bCs/>
      <w:color w:val="4F81BD" w:themeColor="accent1"/>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918907">
      <w:bodyDiv w:val="1"/>
      <w:marLeft w:val="0"/>
      <w:marRight w:val="0"/>
      <w:marTop w:val="0"/>
      <w:marBottom w:val="0"/>
      <w:divBdr>
        <w:top w:val="none" w:sz="0" w:space="0" w:color="auto"/>
        <w:left w:val="none" w:sz="0" w:space="0" w:color="auto"/>
        <w:bottom w:val="none" w:sz="0" w:space="0" w:color="auto"/>
        <w:right w:val="none" w:sz="0" w:space="0" w:color="auto"/>
      </w:divBdr>
      <w:divsChild>
        <w:div w:id="89742758">
          <w:marLeft w:val="0"/>
          <w:marRight w:val="0"/>
          <w:marTop w:val="0"/>
          <w:marBottom w:val="0"/>
          <w:divBdr>
            <w:top w:val="none" w:sz="0" w:space="0" w:color="auto"/>
            <w:left w:val="none" w:sz="0" w:space="0" w:color="auto"/>
            <w:bottom w:val="none" w:sz="0" w:space="0" w:color="auto"/>
            <w:right w:val="none" w:sz="0" w:space="0" w:color="auto"/>
          </w:divBdr>
        </w:div>
        <w:div w:id="89856543">
          <w:marLeft w:val="0"/>
          <w:marRight w:val="0"/>
          <w:marTop w:val="0"/>
          <w:marBottom w:val="0"/>
          <w:divBdr>
            <w:top w:val="none" w:sz="0" w:space="0" w:color="auto"/>
            <w:left w:val="none" w:sz="0" w:space="0" w:color="auto"/>
            <w:bottom w:val="none" w:sz="0" w:space="0" w:color="auto"/>
            <w:right w:val="none" w:sz="0" w:space="0" w:color="auto"/>
          </w:divBdr>
        </w:div>
        <w:div w:id="119811854">
          <w:marLeft w:val="0"/>
          <w:marRight w:val="0"/>
          <w:marTop w:val="0"/>
          <w:marBottom w:val="0"/>
          <w:divBdr>
            <w:top w:val="none" w:sz="0" w:space="0" w:color="auto"/>
            <w:left w:val="none" w:sz="0" w:space="0" w:color="auto"/>
            <w:bottom w:val="none" w:sz="0" w:space="0" w:color="auto"/>
            <w:right w:val="none" w:sz="0" w:space="0" w:color="auto"/>
          </w:divBdr>
        </w:div>
        <w:div w:id="290324922">
          <w:marLeft w:val="0"/>
          <w:marRight w:val="0"/>
          <w:marTop w:val="0"/>
          <w:marBottom w:val="0"/>
          <w:divBdr>
            <w:top w:val="none" w:sz="0" w:space="0" w:color="auto"/>
            <w:left w:val="none" w:sz="0" w:space="0" w:color="auto"/>
            <w:bottom w:val="none" w:sz="0" w:space="0" w:color="auto"/>
            <w:right w:val="none" w:sz="0" w:space="0" w:color="auto"/>
          </w:divBdr>
        </w:div>
        <w:div w:id="362249350">
          <w:marLeft w:val="0"/>
          <w:marRight w:val="0"/>
          <w:marTop w:val="0"/>
          <w:marBottom w:val="0"/>
          <w:divBdr>
            <w:top w:val="none" w:sz="0" w:space="0" w:color="auto"/>
            <w:left w:val="none" w:sz="0" w:space="0" w:color="auto"/>
            <w:bottom w:val="none" w:sz="0" w:space="0" w:color="auto"/>
            <w:right w:val="none" w:sz="0" w:space="0" w:color="auto"/>
          </w:divBdr>
        </w:div>
        <w:div w:id="418213576">
          <w:marLeft w:val="0"/>
          <w:marRight w:val="0"/>
          <w:marTop w:val="0"/>
          <w:marBottom w:val="0"/>
          <w:divBdr>
            <w:top w:val="none" w:sz="0" w:space="0" w:color="auto"/>
            <w:left w:val="none" w:sz="0" w:space="0" w:color="auto"/>
            <w:bottom w:val="none" w:sz="0" w:space="0" w:color="auto"/>
            <w:right w:val="none" w:sz="0" w:space="0" w:color="auto"/>
          </w:divBdr>
        </w:div>
        <w:div w:id="724181769">
          <w:marLeft w:val="0"/>
          <w:marRight w:val="0"/>
          <w:marTop w:val="0"/>
          <w:marBottom w:val="0"/>
          <w:divBdr>
            <w:top w:val="none" w:sz="0" w:space="0" w:color="auto"/>
            <w:left w:val="none" w:sz="0" w:space="0" w:color="auto"/>
            <w:bottom w:val="none" w:sz="0" w:space="0" w:color="auto"/>
            <w:right w:val="none" w:sz="0" w:space="0" w:color="auto"/>
          </w:divBdr>
        </w:div>
        <w:div w:id="1004168945">
          <w:marLeft w:val="0"/>
          <w:marRight w:val="0"/>
          <w:marTop w:val="0"/>
          <w:marBottom w:val="0"/>
          <w:divBdr>
            <w:top w:val="none" w:sz="0" w:space="0" w:color="auto"/>
            <w:left w:val="none" w:sz="0" w:space="0" w:color="auto"/>
            <w:bottom w:val="none" w:sz="0" w:space="0" w:color="auto"/>
            <w:right w:val="none" w:sz="0" w:space="0" w:color="auto"/>
          </w:divBdr>
        </w:div>
        <w:div w:id="1047489206">
          <w:marLeft w:val="0"/>
          <w:marRight w:val="0"/>
          <w:marTop w:val="0"/>
          <w:marBottom w:val="0"/>
          <w:divBdr>
            <w:top w:val="none" w:sz="0" w:space="0" w:color="auto"/>
            <w:left w:val="none" w:sz="0" w:space="0" w:color="auto"/>
            <w:bottom w:val="none" w:sz="0" w:space="0" w:color="auto"/>
            <w:right w:val="none" w:sz="0" w:space="0" w:color="auto"/>
          </w:divBdr>
        </w:div>
        <w:div w:id="1146236921">
          <w:marLeft w:val="0"/>
          <w:marRight w:val="0"/>
          <w:marTop w:val="0"/>
          <w:marBottom w:val="0"/>
          <w:divBdr>
            <w:top w:val="none" w:sz="0" w:space="0" w:color="auto"/>
            <w:left w:val="none" w:sz="0" w:space="0" w:color="auto"/>
            <w:bottom w:val="none" w:sz="0" w:space="0" w:color="auto"/>
            <w:right w:val="none" w:sz="0" w:space="0" w:color="auto"/>
          </w:divBdr>
        </w:div>
        <w:div w:id="1361777722">
          <w:marLeft w:val="0"/>
          <w:marRight w:val="0"/>
          <w:marTop w:val="0"/>
          <w:marBottom w:val="0"/>
          <w:divBdr>
            <w:top w:val="none" w:sz="0" w:space="0" w:color="auto"/>
            <w:left w:val="none" w:sz="0" w:space="0" w:color="auto"/>
            <w:bottom w:val="none" w:sz="0" w:space="0" w:color="auto"/>
            <w:right w:val="none" w:sz="0" w:space="0" w:color="auto"/>
          </w:divBdr>
        </w:div>
        <w:div w:id="1367751358">
          <w:marLeft w:val="0"/>
          <w:marRight w:val="0"/>
          <w:marTop w:val="0"/>
          <w:marBottom w:val="0"/>
          <w:divBdr>
            <w:top w:val="none" w:sz="0" w:space="0" w:color="auto"/>
            <w:left w:val="none" w:sz="0" w:space="0" w:color="auto"/>
            <w:bottom w:val="none" w:sz="0" w:space="0" w:color="auto"/>
            <w:right w:val="none" w:sz="0" w:space="0" w:color="auto"/>
          </w:divBdr>
        </w:div>
        <w:div w:id="1496451620">
          <w:marLeft w:val="0"/>
          <w:marRight w:val="0"/>
          <w:marTop w:val="0"/>
          <w:marBottom w:val="0"/>
          <w:divBdr>
            <w:top w:val="none" w:sz="0" w:space="0" w:color="auto"/>
            <w:left w:val="none" w:sz="0" w:space="0" w:color="auto"/>
            <w:bottom w:val="none" w:sz="0" w:space="0" w:color="auto"/>
            <w:right w:val="none" w:sz="0" w:space="0" w:color="auto"/>
          </w:divBdr>
        </w:div>
        <w:div w:id="1600790685">
          <w:marLeft w:val="0"/>
          <w:marRight w:val="0"/>
          <w:marTop w:val="0"/>
          <w:marBottom w:val="0"/>
          <w:divBdr>
            <w:top w:val="none" w:sz="0" w:space="0" w:color="auto"/>
            <w:left w:val="none" w:sz="0" w:space="0" w:color="auto"/>
            <w:bottom w:val="none" w:sz="0" w:space="0" w:color="auto"/>
            <w:right w:val="none" w:sz="0" w:space="0" w:color="auto"/>
          </w:divBdr>
        </w:div>
        <w:div w:id="1654487560">
          <w:marLeft w:val="0"/>
          <w:marRight w:val="0"/>
          <w:marTop w:val="0"/>
          <w:marBottom w:val="0"/>
          <w:divBdr>
            <w:top w:val="none" w:sz="0" w:space="0" w:color="auto"/>
            <w:left w:val="none" w:sz="0" w:space="0" w:color="auto"/>
            <w:bottom w:val="none" w:sz="0" w:space="0" w:color="auto"/>
            <w:right w:val="none" w:sz="0" w:space="0" w:color="auto"/>
          </w:divBdr>
        </w:div>
      </w:divsChild>
    </w:div>
    <w:div w:id="1010990803">
      <w:bodyDiv w:val="1"/>
      <w:marLeft w:val="0"/>
      <w:marRight w:val="0"/>
      <w:marTop w:val="0"/>
      <w:marBottom w:val="0"/>
      <w:divBdr>
        <w:top w:val="none" w:sz="0" w:space="0" w:color="auto"/>
        <w:left w:val="none" w:sz="0" w:space="0" w:color="auto"/>
        <w:bottom w:val="none" w:sz="0" w:space="0" w:color="auto"/>
        <w:right w:val="none" w:sz="0" w:space="0" w:color="auto"/>
      </w:divBdr>
    </w:div>
    <w:div w:id="1989942882">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Текст в НК</vt:lpstr>
    </vt:vector>
  </TitlesOfParts>
  <Company>MEE</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в НК</dc:title>
  <dc:creator>ME</dc:creator>
  <cp:lastModifiedBy>Elena Aleksieva</cp:lastModifiedBy>
  <cp:revision>2</cp:revision>
  <cp:lastPrinted>2013-01-29T09:20:00Z</cp:lastPrinted>
  <dcterms:created xsi:type="dcterms:W3CDTF">2024-11-12T07:39:00Z</dcterms:created>
  <dcterms:modified xsi:type="dcterms:W3CDTF">2024-11-12T07:39:00Z</dcterms:modified>
</cp:coreProperties>
</file>