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6DC4" w14:textId="77777777" w:rsidR="00C21CE9" w:rsidRDefault="00C21CE9" w:rsidP="001A36D6">
      <w:pPr>
        <w:pStyle w:val="Header"/>
        <w:ind w:left="3545"/>
        <w:jc w:val="center"/>
        <w:rPr>
          <w:b/>
          <w:bCs/>
          <w:lang w:val="en-US"/>
        </w:rPr>
      </w:pPr>
    </w:p>
    <w:p w14:paraId="7FA0FD6C" w14:textId="0B31B3DA" w:rsidR="001A36D6" w:rsidRPr="003E1000" w:rsidRDefault="001A36D6" w:rsidP="001A36D6">
      <w:pPr>
        <w:pStyle w:val="Header"/>
        <w:ind w:left="3545"/>
        <w:jc w:val="center"/>
        <w:rPr>
          <w:b/>
          <w:bCs/>
          <w:lang w:eastAsia="fr-FR"/>
        </w:rPr>
      </w:pPr>
      <w:r w:rsidRPr="003E1000">
        <w:rPr>
          <w:b/>
          <w:bCs/>
        </w:rPr>
        <w:t xml:space="preserve">     </w:t>
      </w:r>
    </w:p>
    <w:p w14:paraId="5E272639" w14:textId="77777777" w:rsidR="00921644" w:rsidRPr="003E1000" w:rsidRDefault="00921644" w:rsidP="004012BA">
      <w:pPr>
        <w:ind w:left="11344"/>
        <w:jc w:val="both"/>
      </w:pPr>
    </w:p>
    <w:tbl>
      <w:tblPr>
        <w:tblW w:w="15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51"/>
        <w:gridCol w:w="1389"/>
        <w:gridCol w:w="6379"/>
        <w:gridCol w:w="3260"/>
        <w:gridCol w:w="1984"/>
      </w:tblGrid>
      <w:tr w:rsidR="00921644" w:rsidRPr="003E1000" w14:paraId="0FCE2E1F" w14:textId="77777777" w:rsidTr="005642BC">
        <w:trPr>
          <w:trHeight w:val="2874"/>
        </w:trPr>
        <w:tc>
          <w:tcPr>
            <w:tcW w:w="2977" w:type="dxa"/>
            <w:gridSpan w:val="2"/>
            <w:shd w:val="clear" w:color="auto" w:fill="auto"/>
          </w:tcPr>
          <w:p w14:paraId="1EF23AA4" w14:textId="77777777" w:rsidR="004012BA" w:rsidRPr="003E1000" w:rsidRDefault="004012BA" w:rsidP="00F237AC">
            <w:pPr>
              <w:tabs>
                <w:tab w:val="left" w:pos="1315"/>
              </w:tabs>
              <w:rPr>
                <w:rFonts w:ascii="Verdana" w:hAnsi="Verdana"/>
                <w:sz w:val="22"/>
                <w:szCs w:val="22"/>
              </w:rPr>
            </w:pPr>
            <w:r w:rsidRPr="003E1000">
              <w:rPr>
                <w:rFonts w:ascii="Verdana" w:hAnsi="Verdana"/>
                <w:sz w:val="22"/>
                <w:szCs w:val="22"/>
              </w:rPr>
              <w:t xml:space="preserve">       </w:t>
            </w:r>
          </w:p>
          <w:p w14:paraId="4DC06890" w14:textId="77777777" w:rsidR="004012BA" w:rsidRPr="003E1000" w:rsidRDefault="004012BA" w:rsidP="00F237AC">
            <w:pPr>
              <w:tabs>
                <w:tab w:val="left" w:pos="1315"/>
              </w:tabs>
              <w:rPr>
                <w:rFonts w:ascii="Verdana" w:hAnsi="Verdana"/>
                <w:sz w:val="22"/>
                <w:szCs w:val="22"/>
              </w:rPr>
            </w:pPr>
          </w:p>
          <w:p w14:paraId="697844FC" w14:textId="4B267A88" w:rsidR="005828BB" w:rsidRPr="003E1000" w:rsidRDefault="00894C54" w:rsidP="001C62E3">
            <w:pPr>
              <w:jc w:val="center"/>
              <w:rPr>
                <w:rFonts w:ascii="Verdana" w:hAnsi="Verdana"/>
                <w:sz w:val="22"/>
                <w:szCs w:val="22"/>
              </w:rPr>
            </w:pPr>
            <w:r w:rsidRPr="003E1000">
              <w:rPr>
                <w:rFonts w:ascii="Verdana" w:hAnsi="Verdana"/>
                <w:noProof/>
                <w:sz w:val="22"/>
                <w:szCs w:val="22"/>
              </w:rPr>
              <w:drawing>
                <wp:inline distT="0" distB="0" distL="0" distR="0" wp14:anchorId="2B8EE182" wp14:editId="1261C099">
                  <wp:extent cx="89027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11028" w:type="dxa"/>
            <w:gridSpan w:val="3"/>
          </w:tcPr>
          <w:p w14:paraId="45FB6E3C" w14:textId="77777777" w:rsidR="00921644" w:rsidRPr="003E1000" w:rsidRDefault="00921644" w:rsidP="00F237AC">
            <w:pPr>
              <w:pStyle w:val="TableContents"/>
              <w:tabs>
                <w:tab w:val="center" w:pos="1168"/>
                <w:tab w:val="right" w:pos="2336"/>
              </w:tabs>
              <w:spacing w:after="0"/>
              <w:jc w:val="right"/>
              <w:rPr>
                <w:b/>
                <w:sz w:val="20"/>
                <w:lang w:val="bg-BG"/>
              </w:rPr>
            </w:pPr>
          </w:p>
          <w:p w14:paraId="59C0C2D8" w14:textId="77777777" w:rsidR="00921644" w:rsidRPr="003E1000" w:rsidRDefault="00921644" w:rsidP="00A4221D">
            <w:pPr>
              <w:pStyle w:val="TableContents"/>
              <w:tabs>
                <w:tab w:val="center" w:pos="1168"/>
                <w:tab w:val="right" w:pos="2336"/>
              </w:tabs>
              <w:spacing w:after="0"/>
              <w:rPr>
                <w:b/>
                <w:sz w:val="20"/>
                <w:lang w:val="bg-BG"/>
              </w:rPr>
            </w:pPr>
          </w:p>
          <w:p w14:paraId="52FFCA82" w14:textId="77777777" w:rsidR="00921644" w:rsidRPr="003E1000" w:rsidRDefault="00921644" w:rsidP="00F237AC">
            <w:pPr>
              <w:pStyle w:val="TableContents"/>
              <w:tabs>
                <w:tab w:val="center" w:pos="1168"/>
                <w:tab w:val="right" w:pos="2336"/>
              </w:tabs>
              <w:spacing w:after="0"/>
              <w:jc w:val="center"/>
              <w:rPr>
                <w:b/>
                <w:sz w:val="20"/>
                <w:lang w:val="bg-BG"/>
              </w:rPr>
            </w:pPr>
            <w:r w:rsidRPr="003E1000">
              <w:rPr>
                <w:b/>
                <w:sz w:val="20"/>
                <w:lang w:val="bg-BG"/>
              </w:rPr>
              <w:t>МИНИСТЕРСТВО НА ОКОЛНАТА СРЕДА И ВОДИТЕ</w:t>
            </w:r>
          </w:p>
          <w:p w14:paraId="3A08C899" w14:textId="77777777" w:rsidR="00921644" w:rsidRPr="003E1000" w:rsidRDefault="00921644" w:rsidP="00F237AC">
            <w:pPr>
              <w:rPr>
                <w:rFonts w:ascii="Verdana" w:hAnsi="Verdana"/>
                <w:sz w:val="22"/>
                <w:szCs w:val="22"/>
              </w:rPr>
            </w:pPr>
            <w:r w:rsidRPr="003E1000">
              <w:rPr>
                <w:b/>
                <w:sz w:val="20"/>
              </w:rPr>
              <w:t xml:space="preserve">Главна дирекция „Оперативна програма „Околна среда“ – Управляващ орган на </w:t>
            </w:r>
            <w:r w:rsidR="001C62E3" w:rsidRPr="003E1000">
              <w:rPr>
                <w:b/>
                <w:sz w:val="20"/>
              </w:rPr>
              <w:t>П</w:t>
            </w:r>
            <w:r w:rsidRPr="003E1000">
              <w:rPr>
                <w:b/>
                <w:sz w:val="20"/>
              </w:rPr>
              <w:t>рограма „Околна среда</w:t>
            </w:r>
            <w:r w:rsidR="001C62E3" w:rsidRPr="003E1000">
              <w:rPr>
                <w:b/>
                <w:sz w:val="20"/>
              </w:rPr>
              <w:t>“</w:t>
            </w:r>
            <w:r w:rsidRPr="003E1000">
              <w:rPr>
                <w:b/>
                <w:sz w:val="20"/>
              </w:rPr>
              <w:t xml:space="preserve"> 20</w:t>
            </w:r>
            <w:r w:rsidR="001C62E3" w:rsidRPr="003E1000">
              <w:rPr>
                <w:b/>
                <w:sz w:val="20"/>
              </w:rPr>
              <w:t>2</w:t>
            </w:r>
            <w:r w:rsidRPr="003E1000">
              <w:rPr>
                <w:b/>
                <w:sz w:val="20"/>
              </w:rPr>
              <w:t>1-202</w:t>
            </w:r>
            <w:r w:rsidR="001C62E3" w:rsidRPr="003E1000">
              <w:rPr>
                <w:b/>
                <w:sz w:val="20"/>
              </w:rPr>
              <w:t>7</w:t>
            </w:r>
            <w:r w:rsidRPr="003E1000">
              <w:rPr>
                <w:b/>
                <w:sz w:val="20"/>
              </w:rPr>
              <w:t xml:space="preserve"> г. (ПОС 20</w:t>
            </w:r>
            <w:r w:rsidR="001C62E3" w:rsidRPr="003E1000">
              <w:rPr>
                <w:b/>
                <w:sz w:val="20"/>
              </w:rPr>
              <w:t>2</w:t>
            </w:r>
            <w:r w:rsidRPr="003E1000">
              <w:rPr>
                <w:b/>
                <w:sz w:val="20"/>
              </w:rPr>
              <w:t>1-202</w:t>
            </w:r>
            <w:r w:rsidR="001C62E3" w:rsidRPr="003E1000">
              <w:rPr>
                <w:b/>
                <w:sz w:val="20"/>
              </w:rPr>
              <w:t>7</w:t>
            </w:r>
            <w:r w:rsidRPr="003E1000">
              <w:rPr>
                <w:b/>
                <w:sz w:val="20"/>
              </w:rPr>
              <w:t xml:space="preserve"> г.)</w:t>
            </w:r>
          </w:p>
          <w:p w14:paraId="7E047A95" w14:textId="77777777" w:rsidR="00921644" w:rsidRPr="003E1000" w:rsidRDefault="00921644" w:rsidP="00F237AC">
            <w:pPr>
              <w:pStyle w:val="TableContents"/>
              <w:tabs>
                <w:tab w:val="center" w:pos="1168"/>
                <w:tab w:val="right" w:pos="2336"/>
                <w:tab w:val="left" w:pos="2980"/>
              </w:tabs>
              <w:spacing w:after="0"/>
              <w:rPr>
                <w:b/>
                <w:sz w:val="8"/>
                <w:szCs w:val="8"/>
                <w:lang w:val="bg-BG"/>
              </w:rPr>
            </w:pPr>
            <w:r w:rsidRPr="003E1000">
              <w:rPr>
                <w:b/>
                <w:sz w:val="8"/>
                <w:szCs w:val="8"/>
                <w:lang w:val="bg-BG"/>
              </w:rPr>
              <w:tab/>
            </w:r>
            <w:r w:rsidRPr="003E1000">
              <w:rPr>
                <w:b/>
                <w:sz w:val="8"/>
                <w:szCs w:val="8"/>
                <w:lang w:val="bg-BG"/>
              </w:rPr>
              <w:tab/>
            </w:r>
            <w:r w:rsidRPr="003E1000">
              <w:rPr>
                <w:b/>
                <w:sz w:val="8"/>
                <w:szCs w:val="8"/>
                <w:lang w:val="bg-BG"/>
              </w:rPr>
              <w:tab/>
            </w:r>
          </w:p>
          <w:p w14:paraId="0CDFA0A4" w14:textId="77777777" w:rsidR="00921644" w:rsidRPr="003E1000" w:rsidRDefault="00921644" w:rsidP="00F237AC">
            <w:pPr>
              <w:pStyle w:val="TableContents"/>
              <w:tabs>
                <w:tab w:val="center" w:pos="1168"/>
                <w:tab w:val="right" w:pos="2336"/>
              </w:tabs>
              <w:spacing w:after="0"/>
              <w:jc w:val="center"/>
              <w:rPr>
                <w:b/>
                <w:szCs w:val="24"/>
                <w:lang w:val="bg-BG"/>
              </w:rPr>
            </w:pPr>
          </w:p>
          <w:p w14:paraId="7A226674" w14:textId="71C2E632" w:rsidR="00921644" w:rsidRPr="003E1000" w:rsidRDefault="00921644" w:rsidP="006F033D">
            <w:pPr>
              <w:pStyle w:val="TableContents"/>
              <w:tabs>
                <w:tab w:val="center" w:pos="1168"/>
                <w:tab w:val="right" w:pos="2336"/>
              </w:tabs>
              <w:jc w:val="center"/>
              <w:rPr>
                <w:b/>
                <w:szCs w:val="24"/>
                <w:lang w:val="bg-BG"/>
              </w:rPr>
            </w:pPr>
            <w:r w:rsidRPr="003E1000">
              <w:rPr>
                <w:b/>
                <w:szCs w:val="24"/>
                <w:lang w:val="bg-BG"/>
              </w:rPr>
              <w:t xml:space="preserve">Справка за </w:t>
            </w:r>
            <w:r w:rsidR="00C77B62" w:rsidRPr="003E1000">
              <w:rPr>
                <w:b/>
                <w:szCs w:val="24"/>
                <w:lang w:val="bg-BG"/>
              </w:rPr>
              <w:t xml:space="preserve">получените </w:t>
            </w:r>
            <w:r w:rsidRPr="003E1000">
              <w:rPr>
                <w:b/>
                <w:szCs w:val="24"/>
                <w:lang w:val="bg-BG"/>
              </w:rPr>
              <w:t xml:space="preserve">предложения и възражения на заинтересованите лица </w:t>
            </w:r>
            <w:r w:rsidRPr="003E1000">
              <w:rPr>
                <w:b/>
                <w:noProof/>
                <w:szCs w:val="24"/>
                <w:lang w:val="bg-BG"/>
              </w:rPr>
              <w:t xml:space="preserve">по процедура </w:t>
            </w:r>
            <w:r w:rsidR="006F033D" w:rsidRPr="003E1000">
              <w:rPr>
                <w:b/>
                <w:noProof/>
                <w:szCs w:val="24"/>
                <w:lang w:val="bg-BG"/>
              </w:rPr>
              <w:t xml:space="preserve">чрез подбор на проектни предложения № </w:t>
            </w:r>
            <w:r w:rsidR="00483BA1" w:rsidRPr="003E1000">
              <w:rPr>
                <w:b/>
                <w:noProof/>
                <w:szCs w:val="24"/>
                <w:lang w:val="bg-BG"/>
              </w:rPr>
              <w:t xml:space="preserve">BG16FFPR002-3.011 </w:t>
            </w:r>
            <w:r w:rsidR="006F033D" w:rsidRPr="003E1000">
              <w:rPr>
                <w:b/>
                <w:noProof/>
                <w:szCs w:val="24"/>
                <w:lang w:val="bg-BG"/>
              </w:rPr>
              <w:t>„Изпълнение на м</w:t>
            </w:r>
            <w:r w:rsidR="00A87E0B" w:rsidRPr="003E1000">
              <w:rPr>
                <w:b/>
                <w:noProof/>
                <w:szCs w:val="24"/>
                <w:lang w:val="bg-BG"/>
              </w:rPr>
              <w:t>я</w:t>
            </w:r>
            <w:r w:rsidR="006F033D" w:rsidRPr="003E1000">
              <w:rPr>
                <w:b/>
                <w:noProof/>
                <w:szCs w:val="24"/>
                <w:lang w:val="bg-BG"/>
              </w:rPr>
              <w:t>рк</w:t>
            </w:r>
            <w:r w:rsidR="00A87E0B" w:rsidRPr="003E1000">
              <w:rPr>
                <w:b/>
                <w:noProof/>
                <w:szCs w:val="24"/>
                <w:lang w:val="bg-BG"/>
              </w:rPr>
              <w:t>а</w:t>
            </w:r>
            <w:r w:rsidR="006F033D" w:rsidRPr="003E1000">
              <w:rPr>
                <w:b/>
                <w:noProof/>
                <w:szCs w:val="24"/>
                <w:lang w:val="bg-BG"/>
              </w:rPr>
              <w:t xml:space="preserve"> </w:t>
            </w:r>
            <w:r w:rsidR="00483BA1" w:rsidRPr="003E1000">
              <w:rPr>
                <w:b/>
                <w:noProof/>
                <w:szCs w:val="24"/>
                <w:lang w:val="bg-BG"/>
              </w:rPr>
              <w:t>70</w:t>
            </w:r>
            <w:r w:rsidR="006F033D" w:rsidRPr="003E1000">
              <w:rPr>
                <w:b/>
                <w:noProof/>
                <w:szCs w:val="24"/>
                <w:lang w:val="bg-BG"/>
              </w:rPr>
              <w:t xml:space="preserve"> от  Националната рамка за приоритетни действия за НАТУРА 2000“</w:t>
            </w:r>
            <w:r w:rsidR="001C62E3" w:rsidRPr="003E1000">
              <w:rPr>
                <w:b/>
                <w:noProof/>
                <w:szCs w:val="24"/>
                <w:lang w:val="bg-BG"/>
              </w:rPr>
              <w:t xml:space="preserve"> </w:t>
            </w:r>
            <w:r w:rsidRPr="003E1000">
              <w:rPr>
                <w:b/>
                <w:szCs w:val="24"/>
                <w:lang w:val="bg-BG"/>
              </w:rPr>
              <w:t xml:space="preserve">от управляващия орган на </w:t>
            </w:r>
            <w:r w:rsidR="001C62E3" w:rsidRPr="003E1000">
              <w:rPr>
                <w:b/>
                <w:szCs w:val="24"/>
                <w:lang w:val="bg-BG"/>
              </w:rPr>
              <w:t>Програма</w:t>
            </w:r>
            <w:r w:rsidRPr="003E1000">
              <w:rPr>
                <w:b/>
                <w:szCs w:val="24"/>
                <w:lang w:val="bg-BG"/>
              </w:rPr>
              <w:t xml:space="preserve"> „Околна среда</w:t>
            </w:r>
            <w:r w:rsidR="001C62E3" w:rsidRPr="003E1000">
              <w:rPr>
                <w:b/>
                <w:szCs w:val="24"/>
                <w:lang w:val="bg-BG"/>
              </w:rPr>
              <w:t>“</w:t>
            </w:r>
            <w:r w:rsidRPr="003E1000">
              <w:rPr>
                <w:b/>
                <w:szCs w:val="24"/>
                <w:lang w:val="bg-BG"/>
              </w:rPr>
              <w:t xml:space="preserve"> 20</w:t>
            </w:r>
            <w:r w:rsidR="001C62E3" w:rsidRPr="003E1000">
              <w:rPr>
                <w:b/>
                <w:szCs w:val="24"/>
                <w:lang w:val="bg-BG"/>
              </w:rPr>
              <w:t>2</w:t>
            </w:r>
            <w:r w:rsidRPr="003E1000">
              <w:rPr>
                <w:b/>
                <w:szCs w:val="24"/>
                <w:lang w:val="bg-BG"/>
              </w:rPr>
              <w:t>1-202</w:t>
            </w:r>
            <w:r w:rsidR="001C62E3" w:rsidRPr="003E1000">
              <w:rPr>
                <w:b/>
                <w:szCs w:val="24"/>
                <w:lang w:val="bg-BG"/>
              </w:rPr>
              <w:t>7</w:t>
            </w:r>
            <w:r w:rsidRPr="003E1000">
              <w:rPr>
                <w:b/>
                <w:szCs w:val="24"/>
                <w:lang w:val="bg-BG"/>
              </w:rPr>
              <w:t xml:space="preserve"> г. </w:t>
            </w:r>
          </w:p>
          <w:p w14:paraId="14C156CC" w14:textId="77777777" w:rsidR="00921644" w:rsidRPr="003E1000" w:rsidRDefault="00921644" w:rsidP="00F237AC"/>
          <w:p w14:paraId="582B7DE4" w14:textId="77777777" w:rsidR="00921644" w:rsidRPr="003E1000" w:rsidRDefault="00921644" w:rsidP="00F237AC">
            <w:pPr>
              <w:tabs>
                <w:tab w:val="left" w:pos="6186"/>
              </w:tabs>
              <w:rPr>
                <w:rFonts w:ascii="Verdana" w:hAnsi="Verdana"/>
                <w:sz w:val="22"/>
                <w:szCs w:val="22"/>
              </w:rPr>
            </w:pPr>
            <w:r w:rsidRPr="003E1000">
              <w:tab/>
            </w:r>
          </w:p>
        </w:tc>
        <w:tc>
          <w:tcPr>
            <w:tcW w:w="1984" w:type="dxa"/>
          </w:tcPr>
          <w:p w14:paraId="17896CFF" w14:textId="77777777" w:rsidR="00921644" w:rsidRPr="003E1000" w:rsidRDefault="00921644" w:rsidP="00F237AC">
            <w:pPr>
              <w:pStyle w:val="TableContents"/>
              <w:tabs>
                <w:tab w:val="center" w:pos="1168"/>
                <w:tab w:val="right" w:pos="2336"/>
              </w:tabs>
              <w:spacing w:after="0"/>
              <w:rPr>
                <w:b/>
                <w:sz w:val="20"/>
                <w:lang w:val="bg-BG"/>
              </w:rPr>
            </w:pPr>
          </w:p>
          <w:p w14:paraId="0E272BF6" w14:textId="4F4368C4" w:rsidR="005828BB" w:rsidRPr="003E1000" w:rsidRDefault="00894C54" w:rsidP="00F237AC">
            <w:pPr>
              <w:jc w:val="center"/>
            </w:pPr>
            <w:r w:rsidRPr="003E1000">
              <w:rPr>
                <w:noProof/>
              </w:rPr>
              <w:drawing>
                <wp:inline distT="0" distB="0" distL="0" distR="0" wp14:anchorId="4E81A153" wp14:editId="2D3B1939">
                  <wp:extent cx="1127760" cy="908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908685"/>
                          </a:xfrm>
                          <a:prstGeom prst="rect">
                            <a:avLst/>
                          </a:prstGeom>
                          <a:noFill/>
                        </pic:spPr>
                      </pic:pic>
                    </a:graphicData>
                  </a:graphic>
                </wp:inline>
              </w:drawing>
            </w:r>
          </w:p>
        </w:tc>
      </w:tr>
      <w:tr w:rsidR="00921644" w:rsidRPr="003E1000" w14:paraId="33DC5032" w14:textId="77777777" w:rsidTr="005642BC">
        <w:trPr>
          <w:trHeight w:val="436"/>
        </w:trPr>
        <w:tc>
          <w:tcPr>
            <w:tcW w:w="426" w:type="dxa"/>
            <w:shd w:val="clear" w:color="auto" w:fill="F2F2F2"/>
          </w:tcPr>
          <w:p w14:paraId="73CC261D" w14:textId="77777777" w:rsidR="00921644" w:rsidRPr="003E1000" w:rsidRDefault="00921644" w:rsidP="00F237AC">
            <w:pPr>
              <w:jc w:val="center"/>
              <w:rPr>
                <w:b/>
                <w:sz w:val="18"/>
                <w:szCs w:val="18"/>
              </w:rPr>
            </w:pPr>
            <w:r w:rsidRPr="003E1000">
              <w:rPr>
                <w:b/>
                <w:sz w:val="18"/>
                <w:szCs w:val="18"/>
              </w:rPr>
              <w:t>№</w:t>
            </w:r>
          </w:p>
          <w:p w14:paraId="79DF11FB" w14:textId="77777777" w:rsidR="00921644" w:rsidRPr="003E1000" w:rsidRDefault="00921644" w:rsidP="00F237AC">
            <w:pPr>
              <w:jc w:val="center"/>
              <w:rPr>
                <w:b/>
                <w:sz w:val="18"/>
                <w:szCs w:val="18"/>
              </w:rPr>
            </w:pPr>
          </w:p>
        </w:tc>
        <w:tc>
          <w:tcPr>
            <w:tcW w:w="2551" w:type="dxa"/>
            <w:shd w:val="clear" w:color="auto" w:fill="F2F2F2"/>
          </w:tcPr>
          <w:p w14:paraId="7DC1B64D" w14:textId="77777777" w:rsidR="00921644" w:rsidRPr="003E1000" w:rsidRDefault="00921644" w:rsidP="00F237AC">
            <w:pPr>
              <w:rPr>
                <w:b/>
                <w:sz w:val="18"/>
                <w:szCs w:val="18"/>
              </w:rPr>
            </w:pPr>
            <w:r w:rsidRPr="003E1000">
              <w:rPr>
                <w:b/>
                <w:sz w:val="18"/>
                <w:szCs w:val="18"/>
              </w:rPr>
              <w:t>Данни на подателя</w:t>
            </w:r>
          </w:p>
          <w:p w14:paraId="0B7BAC60" w14:textId="77777777" w:rsidR="00921644" w:rsidRPr="003E1000" w:rsidRDefault="00921644" w:rsidP="00F237AC">
            <w:pPr>
              <w:rPr>
                <w:b/>
                <w:sz w:val="18"/>
                <w:szCs w:val="18"/>
              </w:rPr>
            </w:pPr>
            <w:r w:rsidRPr="003E1000">
              <w:rPr>
                <w:b/>
                <w:sz w:val="18"/>
                <w:szCs w:val="18"/>
              </w:rPr>
              <w:t>Име/Наименование</w:t>
            </w:r>
          </w:p>
        </w:tc>
        <w:tc>
          <w:tcPr>
            <w:tcW w:w="1389" w:type="dxa"/>
            <w:tcBorders>
              <w:bottom w:val="single" w:sz="4" w:space="0" w:color="auto"/>
            </w:tcBorders>
            <w:shd w:val="clear" w:color="auto" w:fill="F2F2F2"/>
          </w:tcPr>
          <w:p w14:paraId="229090DB" w14:textId="77777777" w:rsidR="00921644" w:rsidRPr="003E1000" w:rsidRDefault="00921644" w:rsidP="00F237AC">
            <w:pPr>
              <w:jc w:val="center"/>
              <w:rPr>
                <w:b/>
                <w:sz w:val="18"/>
                <w:szCs w:val="18"/>
              </w:rPr>
            </w:pPr>
            <w:r w:rsidRPr="003E1000">
              <w:rPr>
                <w:b/>
                <w:sz w:val="18"/>
                <w:szCs w:val="18"/>
              </w:rPr>
              <w:t>Дата на получаване</w:t>
            </w:r>
          </w:p>
          <w:p w14:paraId="1F11DAF5" w14:textId="77777777" w:rsidR="00921644" w:rsidRPr="003E1000" w:rsidRDefault="00921644" w:rsidP="00F237AC">
            <w:pPr>
              <w:jc w:val="center"/>
              <w:rPr>
                <w:b/>
                <w:sz w:val="18"/>
                <w:szCs w:val="18"/>
              </w:rPr>
            </w:pPr>
          </w:p>
        </w:tc>
        <w:tc>
          <w:tcPr>
            <w:tcW w:w="6379" w:type="dxa"/>
            <w:shd w:val="clear" w:color="auto" w:fill="F2F2F2"/>
          </w:tcPr>
          <w:p w14:paraId="0B09A1BA" w14:textId="77777777" w:rsidR="00921644" w:rsidRPr="003E1000" w:rsidRDefault="00921644" w:rsidP="00F237AC">
            <w:pPr>
              <w:pStyle w:val="TableContents"/>
              <w:spacing w:after="0"/>
              <w:jc w:val="center"/>
              <w:rPr>
                <w:b/>
                <w:sz w:val="18"/>
                <w:szCs w:val="18"/>
                <w:lang w:val="bg-BG"/>
              </w:rPr>
            </w:pPr>
            <w:r w:rsidRPr="003E1000">
              <w:rPr>
                <w:b/>
                <w:sz w:val="18"/>
                <w:szCs w:val="18"/>
                <w:lang w:val="bg-BG"/>
              </w:rPr>
              <w:t>Предложение/Възражение</w:t>
            </w:r>
          </w:p>
        </w:tc>
        <w:tc>
          <w:tcPr>
            <w:tcW w:w="5244" w:type="dxa"/>
            <w:gridSpan w:val="2"/>
            <w:shd w:val="clear" w:color="auto" w:fill="F2F2F2"/>
          </w:tcPr>
          <w:p w14:paraId="0B8E234E" w14:textId="77777777" w:rsidR="00921644" w:rsidRPr="003E1000" w:rsidRDefault="00921644" w:rsidP="00F237AC">
            <w:pPr>
              <w:pStyle w:val="TableContents"/>
              <w:spacing w:after="0"/>
              <w:jc w:val="center"/>
              <w:rPr>
                <w:b/>
                <w:sz w:val="18"/>
                <w:szCs w:val="18"/>
                <w:lang w:val="bg-BG"/>
              </w:rPr>
            </w:pPr>
            <w:r w:rsidRPr="003E1000">
              <w:rPr>
                <w:b/>
                <w:sz w:val="18"/>
                <w:szCs w:val="18"/>
                <w:lang w:val="bg-BG"/>
              </w:rPr>
              <w:t xml:space="preserve"> </w:t>
            </w:r>
            <w:r w:rsidR="0073440C" w:rsidRPr="003E1000">
              <w:rPr>
                <w:b/>
                <w:sz w:val="18"/>
                <w:szCs w:val="18"/>
                <w:lang w:val="bg-BG"/>
              </w:rPr>
              <w:t xml:space="preserve"> М</w:t>
            </w:r>
            <w:r w:rsidRPr="003E1000">
              <w:rPr>
                <w:b/>
                <w:sz w:val="18"/>
                <w:szCs w:val="18"/>
                <w:lang w:val="bg-BG"/>
              </w:rPr>
              <w:t xml:space="preserve">отиви </w:t>
            </w:r>
            <w:r w:rsidR="0073440C" w:rsidRPr="003E1000">
              <w:rPr>
                <w:b/>
                <w:sz w:val="18"/>
                <w:szCs w:val="18"/>
                <w:lang w:val="bg-BG"/>
              </w:rPr>
              <w:t>УО на ПОС 20</w:t>
            </w:r>
            <w:r w:rsidR="001C62E3" w:rsidRPr="003E1000">
              <w:rPr>
                <w:b/>
                <w:sz w:val="18"/>
                <w:szCs w:val="18"/>
                <w:lang w:val="bg-BG"/>
              </w:rPr>
              <w:t>2</w:t>
            </w:r>
            <w:r w:rsidR="0073440C" w:rsidRPr="003E1000">
              <w:rPr>
                <w:b/>
                <w:sz w:val="18"/>
                <w:szCs w:val="18"/>
                <w:lang w:val="bg-BG"/>
              </w:rPr>
              <w:t>1-202</w:t>
            </w:r>
            <w:r w:rsidR="001C62E3" w:rsidRPr="003E1000">
              <w:rPr>
                <w:b/>
                <w:sz w:val="18"/>
                <w:szCs w:val="18"/>
                <w:lang w:val="bg-BG"/>
              </w:rPr>
              <w:t>7 г.</w:t>
            </w:r>
            <w:r w:rsidR="0073440C" w:rsidRPr="003E1000">
              <w:rPr>
                <w:b/>
                <w:sz w:val="18"/>
                <w:szCs w:val="18"/>
                <w:lang w:val="bg-BG"/>
              </w:rPr>
              <w:t xml:space="preserve"> </w:t>
            </w:r>
            <w:r w:rsidRPr="003E1000">
              <w:rPr>
                <w:b/>
                <w:sz w:val="18"/>
                <w:szCs w:val="18"/>
                <w:lang w:val="bg-BG"/>
              </w:rPr>
              <w:t>за неприетите предложения/възражения</w:t>
            </w:r>
          </w:p>
          <w:p w14:paraId="66ED2CCB" w14:textId="77777777" w:rsidR="00921644" w:rsidRPr="003E1000" w:rsidRDefault="00921644" w:rsidP="00F237AC">
            <w:pPr>
              <w:pStyle w:val="TableContents"/>
              <w:spacing w:after="0"/>
              <w:jc w:val="center"/>
              <w:rPr>
                <w:b/>
                <w:sz w:val="18"/>
                <w:szCs w:val="18"/>
                <w:lang w:val="bg-BG"/>
              </w:rPr>
            </w:pPr>
          </w:p>
        </w:tc>
      </w:tr>
    </w:tbl>
    <w:p w14:paraId="25FD6FF3" w14:textId="77777777" w:rsidR="00F237AC" w:rsidRPr="003E1000" w:rsidRDefault="00F237AC" w:rsidP="00F237AC">
      <w:pPr>
        <w:rPr>
          <w:vanish/>
        </w:rPr>
      </w:pPr>
    </w:p>
    <w:tbl>
      <w:tblPr>
        <w:tblpPr w:leftFromText="141" w:rightFromText="141" w:vertAnchor="text" w:horzAnchor="margin" w:tblpX="-39" w:tblpY="8"/>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433"/>
        <w:gridCol w:w="6500"/>
        <w:gridCol w:w="5080"/>
      </w:tblGrid>
      <w:tr w:rsidR="00A4221D" w:rsidRPr="003E1000" w14:paraId="112F90B8" w14:textId="77777777" w:rsidTr="00E879AD">
        <w:trPr>
          <w:trHeight w:val="4246"/>
        </w:trPr>
        <w:tc>
          <w:tcPr>
            <w:tcW w:w="426" w:type="dxa"/>
            <w:shd w:val="clear" w:color="auto" w:fill="auto"/>
          </w:tcPr>
          <w:p w14:paraId="06BC7255" w14:textId="77777777" w:rsidR="00A4221D" w:rsidRPr="003E1000" w:rsidRDefault="00A4221D" w:rsidP="005642BC">
            <w:pPr>
              <w:jc w:val="center"/>
            </w:pPr>
            <w:r w:rsidRPr="003E1000">
              <w:t>1.</w:t>
            </w:r>
          </w:p>
        </w:tc>
        <w:tc>
          <w:tcPr>
            <w:tcW w:w="2551" w:type="dxa"/>
            <w:shd w:val="clear" w:color="auto" w:fill="auto"/>
          </w:tcPr>
          <w:p w14:paraId="09A9FCD9" w14:textId="2A76970C" w:rsidR="000D41B9" w:rsidRPr="003E1000" w:rsidRDefault="000D41B9" w:rsidP="005642BC">
            <w:pPr>
              <w:jc w:val="both"/>
            </w:pPr>
            <w:r w:rsidRPr="003E1000">
              <w:t>rosi_tv@abv.bg</w:t>
            </w:r>
          </w:p>
          <w:p w14:paraId="067ACB13" w14:textId="28380F26" w:rsidR="00485F7A" w:rsidRPr="003E1000" w:rsidRDefault="000D41B9" w:rsidP="005642BC">
            <w:pPr>
              <w:jc w:val="both"/>
            </w:pPr>
            <w:r w:rsidRPr="003E1000">
              <w:t xml:space="preserve">д-р Михаил Василев - Ветеринарен лекар ОП „Зоопарк-СЦ“ </w:t>
            </w:r>
            <w:proofErr w:type="spellStart"/>
            <w:r w:rsidRPr="003E1000">
              <w:t>гр.Варна</w:t>
            </w:r>
            <w:proofErr w:type="spellEnd"/>
          </w:p>
        </w:tc>
        <w:tc>
          <w:tcPr>
            <w:tcW w:w="1433" w:type="dxa"/>
            <w:shd w:val="clear" w:color="auto" w:fill="auto"/>
          </w:tcPr>
          <w:p w14:paraId="2FCD411D" w14:textId="0BBB36F5" w:rsidR="00A4221D" w:rsidRPr="003E1000" w:rsidRDefault="000D41B9" w:rsidP="005642BC">
            <w:pPr>
              <w:ind w:hanging="125"/>
              <w:jc w:val="center"/>
            </w:pPr>
            <w:r w:rsidRPr="003E1000">
              <w:t>13.09.24 г.</w:t>
            </w:r>
          </w:p>
        </w:tc>
        <w:tc>
          <w:tcPr>
            <w:tcW w:w="6500" w:type="dxa"/>
            <w:shd w:val="clear" w:color="auto" w:fill="auto"/>
          </w:tcPr>
          <w:p w14:paraId="59A958E7" w14:textId="0FE88D45" w:rsidR="000D41B9" w:rsidRPr="003E1000" w:rsidRDefault="000D41B9" w:rsidP="000D41B9">
            <w:pPr>
              <w:jc w:val="both"/>
            </w:pPr>
            <w:r w:rsidRPr="003E1000">
              <w:t>1.</w:t>
            </w:r>
            <w:r w:rsidRPr="003E1000">
              <w:tab/>
              <w:t xml:space="preserve">Предоставена е информация, че финансиране по процедурата се предоставя за извършване на подхранване на 15 площадки, регистрирани по реда на Закона за ветеринарномедицинската дейност (ЗВМД), които се намират на територията на защитена зона от мрежата Натура 2000. Въпреки това остава неясна локацията и собствеността на дадените обекти за подхранване на птиците. Не е ясно и дали разпределението на обектите за подхранване е равномерно за цялата страна или съсредоточено в определени точки с по-голяма концентрация на индивиди от приоритетните видове. </w:t>
            </w:r>
          </w:p>
          <w:p w14:paraId="67804C28" w14:textId="3559FC6B" w:rsidR="00EB6261" w:rsidRPr="003E1000" w:rsidRDefault="00EB6261" w:rsidP="000D41B9">
            <w:pPr>
              <w:jc w:val="both"/>
            </w:pPr>
          </w:p>
          <w:p w14:paraId="583558C1" w14:textId="119AD3AF" w:rsidR="00EB6261" w:rsidRPr="003E1000" w:rsidRDefault="00EB6261" w:rsidP="000D41B9">
            <w:pPr>
              <w:jc w:val="both"/>
            </w:pPr>
          </w:p>
          <w:p w14:paraId="7BB7A5CE" w14:textId="4F60C9BE" w:rsidR="00EB6261" w:rsidRPr="003E1000" w:rsidRDefault="00EB6261" w:rsidP="000D41B9">
            <w:pPr>
              <w:jc w:val="both"/>
            </w:pPr>
          </w:p>
          <w:p w14:paraId="4F286C3E" w14:textId="5CCD67C7" w:rsidR="00EB6261" w:rsidRPr="003E1000" w:rsidRDefault="00EB6261" w:rsidP="000D41B9">
            <w:pPr>
              <w:jc w:val="both"/>
            </w:pPr>
          </w:p>
          <w:p w14:paraId="4F1334A7" w14:textId="12FFC617" w:rsidR="00EB6261" w:rsidRPr="003E1000" w:rsidRDefault="00EB6261" w:rsidP="000D41B9">
            <w:pPr>
              <w:jc w:val="both"/>
            </w:pPr>
          </w:p>
          <w:p w14:paraId="795F1879" w14:textId="503ADC08" w:rsidR="00EB6261" w:rsidRPr="003E1000" w:rsidRDefault="00EB6261" w:rsidP="000D41B9">
            <w:pPr>
              <w:jc w:val="both"/>
            </w:pPr>
          </w:p>
          <w:p w14:paraId="7D180554" w14:textId="1D917356" w:rsidR="00EB6261" w:rsidRPr="003E1000" w:rsidRDefault="00EB6261" w:rsidP="000D41B9">
            <w:pPr>
              <w:jc w:val="both"/>
            </w:pPr>
          </w:p>
          <w:p w14:paraId="70025B9E" w14:textId="2581B123" w:rsidR="00EB6261" w:rsidRPr="003E1000" w:rsidRDefault="00EB6261" w:rsidP="000D41B9">
            <w:pPr>
              <w:jc w:val="both"/>
            </w:pPr>
          </w:p>
          <w:p w14:paraId="7B75658D" w14:textId="61C5CA42" w:rsidR="00EB6261" w:rsidRPr="003E1000" w:rsidRDefault="00EB6261" w:rsidP="000D41B9">
            <w:pPr>
              <w:jc w:val="both"/>
            </w:pPr>
          </w:p>
          <w:p w14:paraId="7BED1F83" w14:textId="52DEE71D" w:rsidR="00EB6261" w:rsidRPr="003E1000" w:rsidRDefault="00EB6261" w:rsidP="000D41B9">
            <w:pPr>
              <w:jc w:val="both"/>
            </w:pPr>
          </w:p>
          <w:p w14:paraId="4C552D8F" w14:textId="7AC1A19C" w:rsidR="00EB6261" w:rsidRPr="003E1000" w:rsidRDefault="00EB6261" w:rsidP="000D41B9">
            <w:pPr>
              <w:jc w:val="both"/>
            </w:pPr>
          </w:p>
          <w:p w14:paraId="7161D5A1" w14:textId="514D7A59" w:rsidR="00EB6261" w:rsidRPr="003E1000" w:rsidRDefault="00EB6261" w:rsidP="000D41B9">
            <w:pPr>
              <w:jc w:val="both"/>
            </w:pPr>
          </w:p>
          <w:p w14:paraId="245B81B9" w14:textId="658C646E" w:rsidR="00EB6261" w:rsidRPr="003E1000" w:rsidRDefault="00EB6261" w:rsidP="000D41B9">
            <w:pPr>
              <w:jc w:val="both"/>
            </w:pPr>
          </w:p>
          <w:p w14:paraId="74591FAF" w14:textId="77777777" w:rsidR="00EB6261" w:rsidRPr="003E1000" w:rsidRDefault="00EB6261" w:rsidP="000D41B9">
            <w:pPr>
              <w:jc w:val="both"/>
            </w:pPr>
          </w:p>
          <w:p w14:paraId="4602848E" w14:textId="77777777" w:rsidR="00494B55" w:rsidRDefault="00494B55" w:rsidP="000D41B9">
            <w:pPr>
              <w:jc w:val="both"/>
            </w:pPr>
          </w:p>
          <w:p w14:paraId="08378217" w14:textId="77777777" w:rsidR="00B10160" w:rsidRDefault="00B10160" w:rsidP="000D41B9">
            <w:pPr>
              <w:jc w:val="both"/>
            </w:pPr>
          </w:p>
          <w:p w14:paraId="44AC624E" w14:textId="77777777" w:rsidR="00B10160" w:rsidRDefault="00B10160" w:rsidP="000D41B9">
            <w:pPr>
              <w:jc w:val="both"/>
            </w:pPr>
          </w:p>
          <w:p w14:paraId="66CA9165" w14:textId="77777777" w:rsidR="00B10160" w:rsidRDefault="00B10160" w:rsidP="000D41B9">
            <w:pPr>
              <w:jc w:val="both"/>
            </w:pPr>
          </w:p>
          <w:p w14:paraId="0FC935AE" w14:textId="77777777" w:rsidR="00B10160" w:rsidRDefault="00B10160" w:rsidP="000D41B9">
            <w:pPr>
              <w:jc w:val="both"/>
            </w:pPr>
          </w:p>
          <w:p w14:paraId="381E2131" w14:textId="77777777" w:rsidR="00B10160" w:rsidRDefault="00B10160" w:rsidP="000D41B9">
            <w:pPr>
              <w:jc w:val="both"/>
            </w:pPr>
          </w:p>
          <w:p w14:paraId="5F024D06" w14:textId="77777777" w:rsidR="00B10160" w:rsidRDefault="00B10160" w:rsidP="000D41B9">
            <w:pPr>
              <w:jc w:val="both"/>
            </w:pPr>
          </w:p>
          <w:p w14:paraId="3930BB1C" w14:textId="77777777" w:rsidR="00B10160" w:rsidRDefault="00B10160" w:rsidP="000D41B9">
            <w:pPr>
              <w:jc w:val="both"/>
            </w:pPr>
          </w:p>
          <w:p w14:paraId="5BB21248" w14:textId="77777777" w:rsidR="00B10160" w:rsidRDefault="00B10160" w:rsidP="000D41B9">
            <w:pPr>
              <w:jc w:val="both"/>
            </w:pPr>
          </w:p>
          <w:p w14:paraId="5B098ACE" w14:textId="77777777" w:rsidR="00B10160" w:rsidRDefault="00B10160" w:rsidP="000D41B9">
            <w:pPr>
              <w:jc w:val="both"/>
            </w:pPr>
          </w:p>
          <w:p w14:paraId="746CDCDC" w14:textId="77777777" w:rsidR="00B10160" w:rsidRPr="003E1000" w:rsidRDefault="00B10160" w:rsidP="000D41B9">
            <w:pPr>
              <w:jc w:val="both"/>
            </w:pPr>
          </w:p>
          <w:p w14:paraId="076C5656" w14:textId="77777777" w:rsidR="005231C8" w:rsidRDefault="005231C8" w:rsidP="000D41B9">
            <w:pPr>
              <w:jc w:val="both"/>
            </w:pPr>
          </w:p>
          <w:p w14:paraId="3B8A0E64" w14:textId="77777777" w:rsidR="005231C8" w:rsidRDefault="005231C8" w:rsidP="000D41B9">
            <w:pPr>
              <w:jc w:val="both"/>
            </w:pPr>
          </w:p>
          <w:p w14:paraId="2388D6EC" w14:textId="77777777" w:rsidR="00246607" w:rsidRDefault="00246607" w:rsidP="000D41B9">
            <w:pPr>
              <w:jc w:val="both"/>
            </w:pPr>
          </w:p>
          <w:p w14:paraId="38C64B04" w14:textId="77777777" w:rsidR="00246607" w:rsidRDefault="00246607" w:rsidP="000D41B9">
            <w:pPr>
              <w:jc w:val="both"/>
            </w:pPr>
          </w:p>
          <w:p w14:paraId="2672CBEA" w14:textId="77777777" w:rsidR="000A50E8" w:rsidRDefault="000A50E8" w:rsidP="000D41B9">
            <w:pPr>
              <w:jc w:val="both"/>
            </w:pPr>
          </w:p>
          <w:p w14:paraId="37EA1657" w14:textId="77777777" w:rsidR="000A50E8" w:rsidRDefault="000A50E8" w:rsidP="000D41B9">
            <w:pPr>
              <w:jc w:val="both"/>
            </w:pPr>
          </w:p>
          <w:p w14:paraId="7BC13963" w14:textId="77777777" w:rsidR="000A50E8" w:rsidRDefault="000A50E8" w:rsidP="000D41B9">
            <w:pPr>
              <w:jc w:val="both"/>
            </w:pPr>
          </w:p>
          <w:p w14:paraId="27AD7BE3" w14:textId="77777777" w:rsidR="000A50E8" w:rsidRDefault="000A50E8" w:rsidP="000D41B9">
            <w:pPr>
              <w:jc w:val="both"/>
            </w:pPr>
          </w:p>
          <w:p w14:paraId="026A9A4F" w14:textId="77777777" w:rsidR="00A140AC" w:rsidRDefault="00A140AC" w:rsidP="000D41B9">
            <w:pPr>
              <w:jc w:val="both"/>
            </w:pPr>
          </w:p>
          <w:p w14:paraId="50C476F3" w14:textId="21DEFBB2" w:rsidR="000D41B9" w:rsidRPr="003E1000" w:rsidRDefault="000D41B9" w:rsidP="000D41B9">
            <w:pPr>
              <w:jc w:val="both"/>
            </w:pPr>
            <w:r w:rsidRPr="003E1000">
              <w:t>2.</w:t>
            </w:r>
            <w:r w:rsidRPr="003E1000">
              <w:tab/>
              <w:t xml:space="preserve">В точка „13.4. Видове недопустими дейности“ от Условията за кандидатстване е посочено, че дейности по закупуване на месо и СЖП са недопустими. По този начин остава неясно как потенциален кандидат за участие по проекта ще се сдобие с нужните СЖП и месо за подхранване на птиците. </w:t>
            </w:r>
          </w:p>
          <w:p w14:paraId="474B19B4" w14:textId="77777777" w:rsidR="00EB6261" w:rsidRPr="003E1000" w:rsidRDefault="00EB6261" w:rsidP="000D41B9">
            <w:pPr>
              <w:jc w:val="both"/>
            </w:pPr>
          </w:p>
          <w:p w14:paraId="513D13C2" w14:textId="77777777" w:rsidR="00494B55" w:rsidRPr="003E1000" w:rsidRDefault="00494B55" w:rsidP="000D41B9">
            <w:pPr>
              <w:jc w:val="both"/>
            </w:pPr>
          </w:p>
          <w:p w14:paraId="425339B2" w14:textId="77777777" w:rsidR="00494B55" w:rsidRPr="003E1000" w:rsidRDefault="00494B55" w:rsidP="000D41B9">
            <w:pPr>
              <w:jc w:val="both"/>
            </w:pPr>
          </w:p>
          <w:p w14:paraId="38C14742" w14:textId="77777777" w:rsidR="00494B55" w:rsidRPr="003E1000" w:rsidRDefault="00494B55" w:rsidP="000D41B9">
            <w:pPr>
              <w:jc w:val="both"/>
            </w:pPr>
          </w:p>
          <w:p w14:paraId="642DFA1E" w14:textId="77777777" w:rsidR="00494B55" w:rsidRPr="003E1000" w:rsidRDefault="00494B55" w:rsidP="000D41B9">
            <w:pPr>
              <w:jc w:val="both"/>
            </w:pPr>
          </w:p>
          <w:p w14:paraId="79496F30" w14:textId="77777777" w:rsidR="00AE43AF" w:rsidRDefault="00AE43AF" w:rsidP="000D41B9">
            <w:pPr>
              <w:jc w:val="both"/>
            </w:pPr>
          </w:p>
          <w:p w14:paraId="39C7B176" w14:textId="77777777" w:rsidR="00AE43AF" w:rsidRDefault="00AE43AF" w:rsidP="000D41B9">
            <w:pPr>
              <w:jc w:val="both"/>
            </w:pPr>
          </w:p>
          <w:p w14:paraId="68C27275" w14:textId="77777777" w:rsidR="00C81F31" w:rsidRDefault="00C81F31" w:rsidP="000D41B9">
            <w:pPr>
              <w:jc w:val="both"/>
            </w:pPr>
          </w:p>
          <w:p w14:paraId="7047CBA0" w14:textId="4F1935D5" w:rsidR="00A4221D" w:rsidRPr="003E1000" w:rsidRDefault="000D41B9" w:rsidP="000D41B9">
            <w:pPr>
              <w:jc w:val="both"/>
            </w:pPr>
            <w:r w:rsidRPr="003E1000">
              <w:lastRenderedPageBreak/>
              <w:t>3.</w:t>
            </w:r>
            <w:r w:rsidRPr="003E1000">
              <w:tab/>
              <w:t>Налични са подходящи местообитания за гнездене на видове, като Египетски лешояд (</w:t>
            </w:r>
            <w:proofErr w:type="spellStart"/>
            <w:r w:rsidRPr="003E1000">
              <w:t>Neophron</w:t>
            </w:r>
            <w:proofErr w:type="spellEnd"/>
            <w:r w:rsidRPr="003E1000">
              <w:t xml:space="preserve"> </w:t>
            </w:r>
            <w:proofErr w:type="spellStart"/>
            <w:r w:rsidRPr="003E1000">
              <w:t>percnopterus</w:t>
            </w:r>
            <w:proofErr w:type="spellEnd"/>
            <w:r w:rsidRPr="003E1000">
              <w:t>) в Североизточна България в защитени територии от мрежата на Натура 2000, където видът не разполага с гнездящи двойки. Изграждането на нови площадки за захранване може да допринесе за установяването на вида в нови местообитания и да изгради мрежа от локации в страната, подпомагащи опазването му. Въпреки това, целта на проекта е съсредоточена върху вече установени и ограничени локации с повече индивиди от приоритетните видове, където вече има установена практика за подхранване. Остава неясно как общини с интерес за участие по проекта могат да реализират такъв, след като най-известните локации на приоритетните видове са концентрирани в районите включващи Източни Родопи и природни паркове в Централен и Врачански Балкан?</w:t>
            </w:r>
          </w:p>
        </w:tc>
        <w:tc>
          <w:tcPr>
            <w:tcW w:w="5080" w:type="dxa"/>
            <w:shd w:val="clear" w:color="auto" w:fill="auto"/>
          </w:tcPr>
          <w:p w14:paraId="01190232" w14:textId="0D02E9C1" w:rsidR="00B10160" w:rsidRDefault="00454723" w:rsidP="00EF26BB">
            <w:pPr>
              <w:jc w:val="both"/>
            </w:pPr>
            <w:r>
              <w:lastRenderedPageBreak/>
              <w:t xml:space="preserve">По т. </w:t>
            </w:r>
            <w:r w:rsidR="00494B55" w:rsidRPr="00C21CE9">
              <w:t>1</w:t>
            </w:r>
            <w:r>
              <w:t xml:space="preserve"> -</w:t>
            </w:r>
            <w:r w:rsidR="00494B55" w:rsidRPr="00C21CE9">
              <w:t xml:space="preserve"> </w:t>
            </w:r>
            <w:r w:rsidR="00B10160">
              <w:t xml:space="preserve"> </w:t>
            </w:r>
            <w:r w:rsidR="000A50E8">
              <w:t>Не се приема</w:t>
            </w:r>
            <w:r w:rsidR="00B10160">
              <w:t>.</w:t>
            </w:r>
          </w:p>
          <w:p w14:paraId="53D9D499" w14:textId="7D46A4E1" w:rsidR="00B10160" w:rsidRDefault="00E47CB3" w:rsidP="00EF26BB">
            <w:pPr>
              <w:jc w:val="both"/>
            </w:pPr>
            <w:r w:rsidRPr="00C21CE9">
              <w:t xml:space="preserve">Целта на процедура BG16FFPR002-3.011 „Изпълнение на мярка 70 от Националната рамка за приоритетни действия за НАТУРА 2000“ е </w:t>
            </w:r>
            <w:r w:rsidR="000A50E8">
              <w:t xml:space="preserve"> </w:t>
            </w:r>
            <w:r w:rsidR="000A50E8" w:rsidRPr="000A50E8">
              <w:t xml:space="preserve">да се подобри състоянието на защитени видове птици Черен лешояд (А079 </w:t>
            </w:r>
            <w:proofErr w:type="spellStart"/>
            <w:r w:rsidR="000A50E8" w:rsidRPr="000A50E8">
              <w:t>Aegypius</w:t>
            </w:r>
            <w:proofErr w:type="spellEnd"/>
            <w:r w:rsidR="000A50E8" w:rsidRPr="000A50E8">
              <w:t xml:space="preserve"> </w:t>
            </w:r>
            <w:proofErr w:type="spellStart"/>
            <w:r w:rsidR="000A50E8" w:rsidRPr="000A50E8">
              <w:t>monachus</w:t>
            </w:r>
            <w:proofErr w:type="spellEnd"/>
            <w:r w:rsidR="000A50E8" w:rsidRPr="000A50E8">
              <w:t xml:space="preserve">), </w:t>
            </w:r>
            <w:proofErr w:type="spellStart"/>
            <w:r w:rsidR="000A50E8" w:rsidRPr="000A50E8">
              <w:t>Кръстат</w:t>
            </w:r>
            <w:proofErr w:type="spellEnd"/>
            <w:r w:rsidR="000A50E8" w:rsidRPr="000A50E8">
              <w:t xml:space="preserve"> орел (А404 </w:t>
            </w:r>
            <w:proofErr w:type="spellStart"/>
            <w:r w:rsidR="000A50E8" w:rsidRPr="000A50E8">
              <w:t>Aquila</w:t>
            </w:r>
            <w:proofErr w:type="spellEnd"/>
            <w:r w:rsidR="000A50E8" w:rsidRPr="000A50E8">
              <w:t xml:space="preserve"> </w:t>
            </w:r>
            <w:proofErr w:type="spellStart"/>
            <w:r w:rsidR="000A50E8" w:rsidRPr="000A50E8">
              <w:t>heliaca</w:t>
            </w:r>
            <w:proofErr w:type="spellEnd"/>
            <w:r w:rsidR="000A50E8" w:rsidRPr="000A50E8">
              <w:t xml:space="preserve">), Белоглав лешояд (А078 </w:t>
            </w:r>
            <w:proofErr w:type="spellStart"/>
            <w:r w:rsidR="000A50E8" w:rsidRPr="000A50E8">
              <w:t>Gyps</w:t>
            </w:r>
            <w:proofErr w:type="spellEnd"/>
            <w:r w:rsidR="000A50E8" w:rsidRPr="000A50E8">
              <w:t xml:space="preserve"> </w:t>
            </w:r>
            <w:proofErr w:type="spellStart"/>
            <w:r w:rsidR="000A50E8" w:rsidRPr="000A50E8">
              <w:t>fulvus</w:t>
            </w:r>
            <w:proofErr w:type="spellEnd"/>
            <w:r w:rsidR="000A50E8" w:rsidRPr="000A50E8">
              <w:t xml:space="preserve">), Египетски лешояд (А077 </w:t>
            </w:r>
            <w:proofErr w:type="spellStart"/>
            <w:r w:rsidR="000A50E8" w:rsidRPr="000A50E8">
              <w:t>Neophron</w:t>
            </w:r>
            <w:proofErr w:type="spellEnd"/>
            <w:r w:rsidR="000A50E8" w:rsidRPr="000A50E8">
              <w:t xml:space="preserve"> </w:t>
            </w:r>
            <w:proofErr w:type="spellStart"/>
            <w:r w:rsidR="000A50E8" w:rsidRPr="000A50E8">
              <w:t>percnopterus</w:t>
            </w:r>
            <w:proofErr w:type="spellEnd"/>
            <w:r w:rsidR="000A50E8" w:rsidRPr="000A50E8">
              <w:t>) чрез извършване на подхранвания в съществуващи площадки в защитените зони от мрежата НАТУРА 2000.</w:t>
            </w:r>
            <w:r w:rsidR="000A50E8">
              <w:t xml:space="preserve"> С направената редакция на  </w:t>
            </w:r>
            <w:r w:rsidR="000A50E8" w:rsidRPr="00246607">
              <w:t xml:space="preserve">проекта на условия </w:t>
            </w:r>
            <w:r w:rsidR="000A50E8">
              <w:t xml:space="preserve">за кандидатстване, в раздел 13, т. 13.2 е </w:t>
            </w:r>
            <w:r w:rsidR="00A140AC">
              <w:t>предвидено</w:t>
            </w:r>
            <w:r w:rsidR="000A50E8">
              <w:t xml:space="preserve"> следното: </w:t>
            </w:r>
            <w:r w:rsidR="000A50E8" w:rsidRPr="008C2224">
              <w:rPr>
                <w:i/>
                <w:iCs/>
              </w:rPr>
              <w:t xml:space="preserve">Финансиране по процедурата се предоставя за извършване на подхранване на площадки, регистрирани по реда на Закона за ветеринарномедицинската дейност (ЗВМД), които се намират на територията на защитена зона от мрежата Натура 2000, като в НРПД техният брой е </w:t>
            </w:r>
            <w:r w:rsidR="000A50E8" w:rsidRPr="008C2224">
              <w:rPr>
                <w:i/>
                <w:iCs/>
              </w:rPr>
              <w:lastRenderedPageBreak/>
              <w:t>определен на 15, но в случай на достатъчен финансов ресурс, могат да бъдат финансирани допълнителни площадки, които отговарят на изискванията по процедурата</w:t>
            </w:r>
            <w:r w:rsidR="000A50E8">
              <w:t xml:space="preserve">. </w:t>
            </w:r>
            <w:r w:rsidRPr="00C21CE9">
              <w:t xml:space="preserve">Процедурата е конкурентна, </w:t>
            </w:r>
            <w:r w:rsidR="00B10160">
              <w:t xml:space="preserve">поради което </w:t>
            </w:r>
            <w:r w:rsidR="000A50E8">
              <w:t>площадките</w:t>
            </w:r>
            <w:r w:rsidR="00B10160">
              <w:t xml:space="preserve">, </w:t>
            </w:r>
            <w:r w:rsidR="000A50E8">
              <w:t xml:space="preserve">тяхното </w:t>
            </w:r>
            <w:r w:rsidR="00B10160">
              <w:t xml:space="preserve">разположение и собственост не са предварително определени </w:t>
            </w:r>
            <w:r w:rsidR="00A140AC">
              <w:t xml:space="preserve">и изброени </w:t>
            </w:r>
            <w:r w:rsidR="00B10160">
              <w:t xml:space="preserve">в </w:t>
            </w:r>
            <w:r w:rsidR="00246607" w:rsidRPr="00246607">
              <w:t xml:space="preserve">проекта на условия </w:t>
            </w:r>
            <w:r w:rsidR="00B10160">
              <w:t>за кандидатстване. Всеки допустим кандидат има правото да подаде проектно предложение при спазване на изискванията по процедурата. На етапа на кандидатстване, съгласно раздел 24, т. 24.</w:t>
            </w:r>
            <w:r w:rsidR="00B0796E">
              <w:t>1</w:t>
            </w:r>
            <w:r w:rsidR="00B10160">
              <w:t>7</w:t>
            </w:r>
            <w:r w:rsidR="00A140AC">
              <w:t xml:space="preserve"> от проекта на условия за кандидатстване,</w:t>
            </w:r>
            <w:r w:rsidR="00B10160">
              <w:t xml:space="preserve"> изискуем документ са </w:t>
            </w:r>
            <w:r w:rsidR="00B10160" w:rsidRPr="00B10160">
              <w:t>GPS координати на площадката и картен материал във формат .</w:t>
            </w:r>
            <w:proofErr w:type="spellStart"/>
            <w:r w:rsidR="00B10160" w:rsidRPr="00B10160">
              <w:t>pdf</w:t>
            </w:r>
            <w:proofErr w:type="spellEnd"/>
            <w:r w:rsidR="00B10160" w:rsidRPr="00B10160">
              <w:t>, с което се доказва, че същата попада в териториалния обхват на защитена зона от Натура 2000.</w:t>
            </w:r>
            <w:r w:rsidR="00B10160">
              <w:t xml:space="preserve"> Изискуем документ, съгласно раздел 24, т. 24.5 </w:t>
            </w:r>
            <w:r w:rsidR="00246607">
              <w:t xml:space="preserve">от проекта на условия за </w:t>
            </w:r>
            <w:r w:rsidR="00616B2E">
              <w:t>кандидатстване</w:t>
            </w:r>
            <w:r w:rsidR="00B0796E">
              <w:t>, е</w:t>
            </w:r>
            <w:r w:rsidR="00B10160">
              <w:t xml:space="preserve"> </w:t>
            </w:r>
            <w:r w:rsidR="00B10160" w:rsidRPr="00B10160">
              <w:t>съгласие на собственика на съответната площадка за интервенции от страна на кандидата, в случаите, в които кандидатът не е собственик на площадката</w:t>
            </w:r>
            <w:r w:rsidR="00B10160">
              <w:t>.</w:t>
            </w:r>
          </w:p>
          <w:p w14:paraId="1C2BA926" w14:textId="77777777" w:rsidR="00B10160" w:rsidRDefault="00B10160" w:rsidP="00EF26BB">
            <w:pPr>
              <w:jc w:val="both"/>
            </w:pPr>
          </w:p>
          <w:p w14:paraId="3A3EC476" w14:textId="77777777" w:rsidR="00EF26BB" w:rsidRPr="00C21CE9" w:rsidRDefault="00EF26BB" w:rsidP="005642BC">
            <w:pPr>
              <w:jc w:val="both"/>
            </w:pPr>
          </w:p>
          <w:p w14:paraId="21D89AE6" w14:textId="23E4F3E1" w:rsidR="00494B55" w:rsidRDefault="00454723" w:rsidP="005642BC">
            <w:pPr>
              <w:jc w:val="both"/>
            </w:pPr>
            <w:r>
              <w:t xml:space="preserve">По т. </w:t>
            </w:r>
            <w:r w:rsidR="00494B55" w:rsidRPr="00C21CE9">
              <w:t>2</w:t>
            </w:r>
            <w:r>
              <w:t xml:space="preserve"> -</w:t>
            </w:r>
            <w:r w:rsidR="00494B55" w:rsidRPr="00C21CE9">
              <w:t xml:space="preserve"> </w:t>
            </w:r>
            <w:r w:rsidR="005231C8">
              <w:t xml:space="preserve"> </w:t>
            </w:r>
            <w:r w:rsidR="005231C8" w:rsidRPr="005231C8">
              <w:t xml:space="preserve">Не се </w:t>
            </w:r>
            <w:r w:rsidR="00C81F31">
              <w:t>приема</w:t>
            </w:r>
            <w:r w:rsidR="006E0FF6">
              <w:t>.</w:t>
            </w:r>
            <w:r w:rsidR="00C81F31">
              <w:t xml:space="preserve"> </w:t>
            </w:r>
            <w:r w:rsidR="006E0FF6">
              <w:t>Н</w:t>
            </w:r>
            <w:r w:rsidR="00C81F31">
              <w:t>е е необходимо</w:t>
            </w:r>
            <w:r w:rsidR="005231C8" w:rsidRPr="005231C8">
              <w:t xml:space="preserve"> прецизиране на </w:t>
            </w:r>
            <w:r w:rsidR="00881A6A" w:rsidRPr="00881A6A">
              <w:t xml:space="preserve">проекта на условия </w:t>
            </w:r>
            <w:r w:rsidR="00881A6A">
              <w:t xml:space="preserve">за </w:t>
            </w:r>
            <w:r w:rsidR="005231C8" w:rsidRPr="005231C8">
              <w:t>кандидатстване по процедурата.</w:t>
            </w:r>
            <w:r w:rsidR="006E0FF6">
              <w:t xml:space="preserve"> </w:t>
            </w:r>
            <w:r w:rsidR="008043FD">
              <w:t>В</w:t>
            </w:r>
            <w:r w:rsidR="0006415A" w:rsidRPr="00C21CE9">
              <w:t xml:space="preserve"> публикуваните проекти на документи по процедурата, по-специално в </w:t>
            </w:r>
            <w:r w:rsidR="00881A6A" w:rsidRPr="00881A6A">
              <w:t xml:space="preserve">проекта на условия </w:t>
            </w:r>
            <w:r w:rsidR="00881A6A">
              <w:t>за кандидатстване</w:t>
            </w:r>
            <w:r w:rsidR="0006415A" w:rsidRPr="00C21CE9">
              <w:t xml:space="preserve">, в раздел </w:t>
            </w:r>
            <w:r w:rsidR="00881A6A">
              <w:t xml:space="preserve">13, т. </w:t>
            </w:r>
            <w:r w:rsidR="0006415A" w:rsidRPr="00C21CE9">
              <w:t>13.</w:t>
            </w:r>
            <w:r w:rsidR="00AF561C" w:rsidRPr="005F0842">
              <w:t>5</w:t>
            </w:r>
            <w:r w:rsidR="0006415A" w:rsidRPr="00C21CE9">
              <w:t xml:space="preserve">  „Видове недопустими дейности“, дейностите по закупуване на месо и СЖП са </w:t>
            </w:r>
            <w:r w:rsidR="006E0FF6">
              <w:t xml:space="preserve">посочени като </w:t>
            </w:r>
            <w:r w:rsidR="0006415A" w:rsidRPr="00C21CE9">
              <w:t xml:space="preserve">недопустими за финансиране, </w:t>
            </w:r>
            <w:r w:rsidR="00C21CE9" w:rsidRPr="00C21CE9">
              <w:t>от което следва,</w:t>
            </w:r>
            <w:r w:rsidR="0006415A" w:rsidRPr="00C21CE9">
              <w:t xml:space="preserve"> че потенциалните кандидати ще трябва да осигурят нужните СЖП и месо за подхранване на </w:t>
            </w:r>
            <w:r w:rsidR="006E0FF6">
              <w:t xml:space="preserve">целевите видове </w:t>
            </w:r>
            <w:r w:rsidR="0006415A" w:rsidRPr="00C21CE9">
              <w:t>птици за собствена сметка</w:t>
            </w:r>
            <w:r w:rsidR="00BB5233">
              <w:rPr>
                <w:lang w:val="en-US"/>
              </w:rPr>
              <w:t xml:space="preserve"> </w:t>
            </w:r>
            <w:r w:rsidR="00BB5233">
              <w:t>или безвъзмездно</w:t>
            </w:r>
            <w:r w:rsidR="0006415A" w:rsidRPr="00C21CE9">
              <w:t>.</w:t>
            </w:r>
          </w:p>
          <w:p w14:paraId="2EC3F5D5" w14:textId="77777777" w:rsidR="00C81F31" w:rsidRPr="00C21CE9" w:rsidRDefault="00C81F31" w:rsidP="005642BC">
            <w:pPr>
              <w:jc w:val="both"/>
            </w:pPr>
          </w:p>
          <w:p w14:paraId="0D5BAE04" w14:textId="7A98CCA5" w:rsidR="00EB6261" w:rsidRPr="00C21CE9" w:rsidRDefault="00454723" w:rsidP="006A6690">
            <w:pPr>
              <w:jc w:val="both"/>
            </w:pPr>
            <w:r>
              <w:lastRenderedPageBreak/>
              <w:t xml:space="preserve">По т. </w:t>
            </w:r>
            <w:r w:rsidR="00970145" w:rsidRPr="00C21CE9">
              <w:t>3</w:t>
            </w:r>
            <w:r>
              <w:t xml:space="preserve"> -</w:t>
            </w:r>
            <w:r w:rsidR="00970145" w:rsidRPr="00C21CE9">
              <w:t xml:space="preserve"> </w:t>
            </w:r>
            <w:r w:rsidR="006A6690">
              <w:t xml:space="preserve">Не се приема. </w:t>
            </w:r>
            <w:r w:rsidR="00EB6261" w:rsidRPr="00C21CE9">
              <w:t>Следва да се има предвид, че съгласно раздел</w:t>
            </w:r>
            <w:r w:rsidR="00AE43AF" w:rsidRPr="00C21CE9">
              <w:t>и</w:t>
            </w:r>
            <w:r w:rsidR="00EB6261" w:rsidRPr="00C21CE9">
              <w:t xml:space="preserve"> 11</w:t>
            </w:r>
            <w:r w:rsidR="00AE43AF" w:rsidRPr="00C21CE9">
              <w:t xml:space="preserve"> </w:t>
            </w:r>
            <w:r w:rsidR="006A6690">
              <w:t>„</w:t>
            </w:r>
            <w:r w:rsidR="00AE43AF" w:rsidRPr="00C21CE9">
              <w:t>Допустими кандидати</w:t>
            </w:r>
            <w:r w:rsidR="006A6690">
              <w:t>“</w:t>
            </w:r>
            <w:r w:rsidR="00AE43AF" w:rsidRPr="00C21CE9">
              <w:t xml:space="preserve"> и</w:t>
            </w:r>
            <w:r w:rsidR="00EB6261" w:rsidRPr="00C21CE9">
              <w:t xml:space="preserve"> </w:t>
            </w:r>
            <w:r w:rsidR="00AE43AF" w:rsidRPr="00C21CE9">
              <w:t xml:space="preserve">12 </w:t>
            </w:r>
            <w:r w:rsidR="006A6690">
              <w:t>„</w:t>
            </w:r>
            <w:r w:rsidR="00AE43AF" w:rsidRPr="00C21CE9">
              <w:t>Допустими партньори</w:t>
            </w:r>
            <w:r w:rsidR="006A6690">
              <w:t>“</w:t>
            </w:r>
            <w:r w:rsidR="00AE43AF" w:rsidRPr="00C21CE9">
              <w:t xml:space="preserve"> </w:t>
            </w:r>
            <w:r w:rsidR="00EB6261" w:rsidRPr="00C21CE9">
              <w:t xml:space="preserve">от </w:t>
            </w:r>
            <w:r w:rsidR="00881A6A" w:rsidRPr="00881A6A">
              <w:t xml:space="preserve">проекта на условия </w:t>
            </w:r>
            <w:r w:rsidR="00EB6261" w:rsidRPr="00C21CE9">
              <w:t>за кандидатстване сред допустимите кандидати</w:t>
            </w:r>
            <w:r w:rsidR="00AE43AF" w:rsidRPr="00C21CE9">
              <w:t xml:space="preserve"> и партньори</w:t>
            </w:r>
            <w:r w:rsidR="00EB6261" w:rsidRPr="00C21CE9">
              <w:t xml:space="preserve"> са</w:t>
            </w:r>
            <w:r w:rsidR="00AE43AF" w:rsidRPr="00C21CE9">
              <w:t xml:space="preserve"> посочени</w:t>
            </w:r>
            <w:r w:rsidR="00EB6261" w:rsidRPr="00C21CE9">
              <w:t xml:space="preserve"> Министерство на околната среда и водите (МОСВ) и регионалните му органи, структури на/към Министерство на земеделието и храните, други държавни органи (органи на централната и териториалната администрация), </w:t>
            </w:r>
            <w:r w:rsidR="00EB6261" w:rsidRPr="009C4A5A">
              <w:rPr>
                <w:u w:val="single"/>
              </w:rPr>
              <w:t>вкл. общини,</w:t>
            </w:r>
            <w:r w:rsidR="00EB6261" w:rsidRPr="008C2224">
              <w:t xml:space="preserve"> областни администрации</w:t>
            </w:r>
            <w:r w:rsidR="00EB6261" w:rsidRPr="00C81F31">
              <w:t>,</w:t>
            </w:r>
            <w:r w:rsidR="00EB6261" w:rsidRPr="00C21CE9">
              <w:t xml:space="preserve"> както и физически и юридически лица, собственици на площадки за подхранване или такива, които разполагат със съгласие на собственика за извършване на дейностите по проекта. </w:t>
            </w:r>
            <w:r w:rsidR="00833479">
              <w:t>П</w:t>
            </w:r>
            <w:r w:rsidR="00494B55" w:rsidRPr="00C21CE9">
              <w:t>риродните паркове като вид защитени територии не са изключителна държавна собственост</w:t>
            </w:r>
            <w:r w:rsidR="00833479">
              <w:t>, поради което на тяхна територия е възможно да има имоти – общинска собственост, на които да са разположени площадки за подхранване на целеви видове птици</w:t>
            </w:r>
            <w:r w:rsidR="00494B55" w:rsidRPr="00C21CE9">
              <w:t xml:space="preserve">. </w:t>
            </w:r>
            <w:r w:rsidR="00833479">
              <w:t>Респективно, има възможност</w:t>
            </w:r>
            <w:r w:rsidR="00494B55" w:rsidRPr="00C21CE9">
              <w:t xml:space="preserve"> част от площадките за подхранване </w:t>
            </w:r>
            <w:r w:rsidR="00833479">
              <w:t xml:space="preserve">да </w:t>
            </w:r>
            <w:r w:rsidR="00494B55" w:rsidRPr="00C21CE9">
              <w:t xml:space="preserve">са общинска собственост. </w:t>
            </w:r>
            <w:r w:rsidR="007D6B15" w:rsidRPr="007D6B15">
              <w:t>Съгласно НРПД</w:t>
            </w:r>
            <w:r w:rsidR="00C81F31">
              <w:t xml:space="preserve">, в </w:t>
            </w:r>
            <w:r w:rsidR="007D6B15" w:rsidRPr="007D6B15">
              <w:t xml:space="preserve"> обхвата на мярка 70 не </w:t>
            </w:r>
            <w:r w:rsidR="00C81F31">
              <w:t xml:space="preserve">се </w:t>
            </w:r>
            <w:r w:rsidR="007D6B15" w:rsidRPr="007D6B15">
              <w:t>включва изграждане</w:t>
            </w:r>
            <w:r w:rsidR="00C81F31">
              <w:t>то</w:t>
            </w:r>
            <w:r w:rsidR="007D6B15" w:rsidRPr="007D6B15">
              <w:t xml:space="preserve"> на нови площадки за подхранване</w:t>
            </w:r>
            <w:r w:rsidR="00C81F31">
              <w:t>, поради което тази дейност е недопустима за финансиране по процедурата</w:t>
            </w:r>
            <w:r w:rsidR="007D6B15" w:rsidRPr="007D6B15">
              <w:t>.</w:t>
            </w:r>
          </w:p>
        </w:tc>
      </w:tr>
      <w:tr w:rsidR="00EB6261" w:rsidRPr="003E1000" w14:paraId="6A9DF96B" w14:textId="77777777" w:rsidTr="00E879AD">
        <w:trPr>
          <w:trHeight w:val="699"/>
        </w:trPr>
        <w:tc>
          <w:tcPr>
            <w:tcW w:w="426" w:type="dxa"/>
            <w:shd w:val="clear" w:color="auto" w:fill="auto"/>
          </w:tcPr>
          <w:p w14:paraId="77818FF6" w14:textId="71024982" w:rsidR="00EB6261" w:rsidRPr="003E1000" w:rsidRDefault="007F7647" w:rsidP="005642BC">
            <w:pPr>
              <w:jc w:val="center"/>
            </w:pPr>
            <w:r w:rsidRPr="003E1000">
              <w:lastRenderedPageBreak/>
              <w:t>2.</w:t>
            </w:r>
          </w:p>
        </w:tc>
        <w:tc>
          <w:tcPr>
            <w:tcW w:w="2551" w:type="dxa"/>
            <w:shd w:val="clear" w:color="auto" w:fill="auto"/>
          </w:tcPr>
          <w:p w14:paraId="168D5F17" w14:textId="71E02275" w:rsidR="00EB6261" w:rsidRPr="003E1000" w:rsidRDefault="00C25D47" w:rsidP="005642BC">
            <w:pPr>
              <w:jc w:val="both"/>
            </w:pPr>
            <w:hyperlink r:id="rId10" w:history="1">
              <w:r w:rsidR="00724FDD" w:rsidRPr="003E1000">
                <w:rPr>
                  <w:rStyle w:val="Hyperlink"/>
                </w:rPr>
                <w:t>vratchanskybalkan@abv.bg</w:t>
              </w:r>
            </w:hyperlink>
          </w:p>
          <w:p w14:paraId="407CBBF7" w14:textId="1A2FD7FC" w:rsidR="00724FDD" w:rsidRPr="003E1000" w:rsidRDefault="00724FDD" w:rsidP="005642BC">
            <w:pPr>
              <w:jc w:val="both"/>
            </w:pPr>
            <w:r w:rsidRPr="003E1000">
              <w:t>инж. Н. Ненчев</w:t>
            </w:r>
          </w:p>
        </w:tc>
        <w:tc>
          <w:tcPr>
            <w:tcW w:w="1433" w:type="dxa"/>
            <w:shd w:val="clear" w:color="auto" w:fill="auto"/>
          </w:tcPr>
          <w:p w14:paraId="0C43C647" w14:textId="70A1BEFD" w:rsidR="00EB6261" w:rsidRPr="003E1000" w:rsidRDefault="007F7647" w:rsidP="005642BC">
            <w:pPr>
              <w:ind w:hanging="125"/>
              <w:jc w:val="center"/>
            </w:pPr>
            <w:r w:rsidRPr="003E1000">
              <w:t>16.09.24 г.</w:t>
            </w:r>
          </w:p>
        </w:tc>
        <w:tc>
          <w:tcPr>
            <w:tcW w:w="6500" w:type="dxa"/>
            <w:shd w:val="clear" w:color="auto" w:fill="auto"/>
          </w:tcPr>
          <w:p w14:paraId="47993169" w14:textId="67338EDD" w:rsidR="007F7647" w:rsidRPr="00C537BA" w:rsidRDefault="007F7647" w:rsidP="007F7647">
            <w:pPr>
              <w:jc w:val="both"/>
            </w:pPr>
            <w:r w:rsidRPr="00C537BA">
              <w:t xml:space="preserve">Становище на Дирекция на Природен парк „Врачански Балкан“ </w:t>
            </w:r>
          </w:p>
          <w:p w14:paraId="5B095186" w14:textId="77777777" w:rsidR="007F7647" w:rsidRPr="00C537BA" w:rsidRDefault="007F7647" w:rsidP="007F7647">
            <w:pPr>
              <w:jc w:val="both"/>
            </w:pPr>
            <w:r w:rsidRPr="00C537BA">
              <w:t>1.</w:t>
            </w:r>
            <w:r w:rsidRPr="00C537BA">
              <w:tab/>
              <w:t>По т. 5 „Териториален обхват“ на Условията.</w:t>
            </w:r>
          </w:p>
          <w:p w14:paraId="0F896D5B" w14:textId="77777777" w:rsidR="007F7647" w:rsidRPr="00C537BA" w:rsidRDefault="007F7647" w:rsidP="007F7647">
            <w:pPr>
              <w:jc w:val="both"/>
            </w:pPr>
            <w:r w:rsidRPr="00C537BA">
              <w:t>Посоченият териториален обхват е „само в защитени зони по Директивата за опазване на природните местообитания и на дивата флора и фауна, в които има съществуващи площадки за подхранване.“</w:t>
            </w:r>
          </w:p>
          <w:p w14:paraId="2634F036" w14:textId="77777777" w:rsidR="007F7647" w:rsidRPr="00C537BA" w:rsidRDefault="007F7647" w:rsidP="007F7647">
            <w:pPr>
              <w:jc w:val="both"/>
            </w:pPr>
            <w:r w:rsidRPr="00C537BA">
              <w:t>Считаме, че формулировката не е коректна. Предлагаме текста да стане:</w:t>
            </w:r>
          </w:p>
          <w:p w14:paraId="57F00B47" w14:textId="77777777" w:rsidR="007F7647" w:rsidRPr="00C537BA" w:rsidRDefault="007F7647" w:rsidP="007F7647">
            <w:pPr>
              <w:jc w:val="both"/>
            </w:pPr>
            <w:r w:rsidRPr="00C537BA">
              <w:t xml:space="preserve">Проектите по процедурата ще бъдат изпълнявани в Република България, само в защитени зони по Директива </w:t>
            </w:r>
            <w:r w:rsidRPr="00C537BA">
              <w:lastRenderedPageBreak/>
              <w:t>92/43/ЕИО за опазване на естествените местообитания и на дивата флора и фауна и/или Директива 2009/147/ЕО за опазването на дивите птици, в които има съществуващи площадки за подхранване.</w:t>
            </w:r>
          </w:p>
          <w:p w14:paraId="2EED7D75" w14:textId="77777777" w:rsidR="007F7647" w:rsidRPr="00C537BA" w:rsidRDefault="007F7647" w:rsidP="007F7647">
            <w:pPr>
              <w:jc w:val="both"/>
            </w:pPr>
            <w:r w:rsidRPr="00C537BA">
              <w:t>Мотиви:</w:t>
            </w:r>
          </w:p>
          <w:p w14:paraId="2584DACD" w14:textId="62BF5BFC" w:rsidR="00EB6261" w:rsidRPr="00C537BA" w:rsidRDefault="007F7647" w:rsidP="007F7647">
            <w:pPr>
              <w:jc w:val="both"/>
            </w:pPr>
            <w:r w:rsidRPr="00C537BA">
              <w:t>В НРПД и навсякъде по-надолу в Условията са визирани защитените зони и по двете Директиви. Не е възможно процедурата да включва мерки за подобряване на природозащитното състояние на видове птици, а да не са включени в териториалния и обхват защитените зони по Директивата за птиците.</w:t>
            </w:r>
          </w:p>
          <w:p w14:paraId="6238C08A" w14:textId="62E4A082" w:rsidR="007F7647" w:rsidRDefault="007F7647" w:rsidP="007F7647">
            <w:pPr>
              <w:jc w:val="both"/>
            </w:pPr>
          </w:p>
          <w:p w14:paraId="77EE84CC" w14:textId="146983B1" w:rsidR="005E10AB" w:rsidRDefault="005E10AB" w:rsidP="007F7647">
            <w:pPr>
              <w:jc w:val="both"/>
            </w:pPr>
          </w:p>
          <w:p w14:paraId="2EEDE143" w14:textId="77777777" w:rsidR="005E10AB" w:rsidRPr="00C537BA" w:rsidRDefault="005E10AB" w:rsidP="007F7647">
            <w:pPr>
              <w:jc w:val="both"/>
            </w:pPr>
          </w:p>
          <w:p w14:paraId="0DACA59A" w14:textId="3FA0702D" w:rsidR="007F7647" w:rsidRPr="00C537BA" w:rsidRDefault="007F7647" w:rsidP="007F7647">
            <w:pPr>
              <w:jc w:val="both"/>
            </w:pPr>
            <w:r w:rsidRPr="00C537BA">
              <w:t>2.</w:t>
            </w:r>
            <w:r w:rsidRPr="00C537BA">
              <w:tab/>
              <w:t>По т. 13 „Дейности, допустими за финансиране“ на Условията:</w:t>
            </w:r>
          </w:p>
          <w:p w14:paraId="3359C60F" w14:textId="77777777" w:rsidR="007F7647" w:rsidRPr="00C537BA" w:rsidRDefault="007F7647" w:rsidP="007F7647">
            <w:pPr>
              <w:jc w:val="both"/>
            </w:pPr>
            <w:r w:rsidRPr="00C537BA">
              <w:t>2.1</w:t>
            </w:r>
            <w:r w:rsidRPr="00C537BA">
              <w:tab/>
              <w:t xml:space="preserve">Не е предвидена като допустима дейност Подготовката на проектното предложение. </w:t>
            </w:r>
          </w:p>
          <w:p w14:paraId="1610015F" w14:textId="77777777" w:rsidR="007F7647" w:rsidRPr="00C537BA" w:rsidRDefault="007F7647" w:rsidP="007F7647">
            <w:pPr>
              <w:jc w:val="both"/>
            </w:pPr>
            <w:r w:rsidRPr="00C537BA">
              <w:t>Мотиви:</w:t>
            </w:r>
          </w:p>
          <w:p w14:paraId="38734232" w14:textId="7F115DC5" w:rsidR="007F7647" w:rsidRPr="00C537BA" w:rsidRDefault="007F7647" w:rsidP="007F7647">
            <w:pPr>
              <w:jc w:val="both"/>
            </w:pPr>
            <w:r w:rsidRPr="00C537BA">
              <w:t>В Индикативната годишна работна програма от 05.06.2024 год. подготовката на проекта е допустима дейност. Освен това в Условията са поставени редица изисквания свързани с прилагане на ГИС (при определянето на Индикаторите), както и разработване на Анализ за остойностяване на дейностите, което изисква допълнителна експертиза при подготовката на проектното предложение. Освен това при подготовката на проекта е необходимо да бъдат получени актуални данни свързани с организирането на подхранването – ферми, ветеринарни власти и др.</w:t>
            </w:r>
          </w:p>
          <w:p w14:paraId="1F8CBD40" w14:textId="77777777" w:rsidR="007F7647" w:rsidRPr="00C537BA" w:rsidRDefault="007F7647" w:rsidP="007F7647">
            <w:pPr>
              <w:jc w:val="both"/>
            </w:pPr>
          </w:p>
          <w:p w14:paraId="4331483F" w14:textId="77777777" w:rsidR="004343CD" w:rsidRDefault="004343CD" w:rsidP="007F7647">
            <w:pPr>
              <w:jc w:val="both"/>
            </w:pPr>
          </w:p>
          <w:p w14:paraId="1F58E140" w14:textId="77777777" w:rsidR="004343CD" w:rsidRDefault="004343CD" w:rsidP="007F7647">
            <w:pPr>
              <w:jc w:val="both"/>
            </w:pPr>
          </w:p>
          <w:p w14:paraId="7B9CC4D1" w14:textId="77777777" w:rsidR="00680C38" w:rsidRDefault="00680C38" w:rsidP="007F7647">
            <w:pPr>
              <w:jc w:val="both"/>
            </w:pPr>
          </w:p>
          <w:p w14:paraId="47537157" w14:textId="77777777" w:rsidR="00C81F31" w:rsidRDefault="00C81F31" w:rsidP="007F7647">
            <w:pPr>
              <w:jc w:val="both"/>
            </w:pPr>
          </w:p>
          <w:p w14:paraId="222A5AFB" w14:textId="77777777" w:rsidR="00C81F31" w:rsidRDefault="00C81F31" w:rsidP="007F7647">
            <w:pPr>
              <w:jc w:val="both"/>
            </w:pPr>
          </w:p>
          <w:p w14:paraId="672CBDC2" w14:textId="77777777" w:rsidR="00C81F31" w:rsidRDefault="00C81F31" w:rsidP="007F7647">
            <w:pPr>
              <w:jc w:val="both"/>
            </w:pPr>
          </w:p>
          <w:p w14:paraId="330DC7A9" w14:textId="77777777" w:rsidR="00C81F31" w:rsidRDefault="00C81F31" w:rsidP="007F7647">
            <w:pPr>
              <w:jc w:val="both"/>
            </w:pPr>
          </w:p>
          <w:p w14:paraId="22C14AD8" w14:textId="77777777" w:rsidR="00C81F31" w:rsidRDefault="00C81F31" w:rsidP="007F7647">
            <w:pPr>
              <w:jc w:val="both"/>
            </w:pPr>
          </w:p>
          <w:p w14:paraId="650A0956" w14:textId="77777777" w:rsidR="00C81F31" w:rsidRDefault="00C81F31" w:rsidP="007F7647">
            <w:pPr>
              <w:jc w:val="both"/>
            </w:pPr>
          </w:p>
          <w:p w14:paraId="038DB68E" w14:textId="77777777" w:rsidR="00C81F31" w:rsidRDefault="00C81F31" w:rsidP="007F7647">
            <w:pPr>
              <w:jc w:val="both"/>
            </w:pPr>
          </w:p>
          <w:p w14:paraId="6161AF8B" w14:textId="77777777" w:rsidR="00C81F31" w:rsidRDefault="00C81F31" w:rsidP="007F7647">
            <w:pPr>
              <w:jc w:val="both"/>
            </w:pPr>
          </w:p>
          <w:p w14:paraId="46B8AA95" w14:textId="77777777" w:rsidR="00C81F31" w:rsidRDefault="00C81F31" w:rsidP="007F7647">
            <w:pPr>
              <w:jc w:val="both"/>
            </w:pPr>
          </w:p>
          <w:p w14:paraId="3E6763F6" w14:textId="77777777" w:rsidR="00C81F31" w:rsidRDefault="00C81F31" w:rsidP="007F7647">
            <w:pPr>
              <w:jc w:val="both"/>
            </w:pPr>
          </w:p>
          <w:p w14:paraId="3A376D06" w14:textId="77777777" w:rsidR="00C81F31" w:rsidRDefault="00C81F31" w:rsidP="007F7647">
            <w:pPr>
              <w:jc w:val="both"/>
            </w:pPr>
          </w:p>
          <w:p w14:paraId="269939C8" w14:textId="77777777" w:rsidR="00C81F31" w:rsidRDefault="00C81F31" w:rsidP="007F7647">
            <w:pPr>
              <w:jc w:val="both"/>
            </w:pPr>
          </w:p>
          <w:p w14:paraId="7DFB0E9F" w14:textId="61E4EE5C" w:rsidR="007F7647" w:rsidRPr="00C537BA" w:rsidRDefault="007F7647" w:rsidP="007F7647">
            <w:pPr>
              <w:jc w:val="both"/>
            </w:pPr>
            <w:r w:rsidRPr="00C537BA">
              <w:t>2.2</w:t>
            </w:r>
            <w:r w:rsidRPr="00C537BA">
              <w:tab/>
              <w:t xml:space="preserve">Има неяснота следният абзац на т. 13.1: </w:t>
            </w:r>
          </w:p>
          <w:p w14:paraId="236CF2F5" w14:textId="77777777" w:rsidR="007F7647" w:rsidRPr="00C537BA" w:rsidRDefault="007F7647" w:rsidP="007F7647">
            <w:pPr>
              <w:jc w:val="both"/>
            </w:pPr>
            <w:r w:rsidRPr="00C537BA">
              <w:t>„Допустима дейност е и обезвреждането на остатъчните след подхранването продукти в обекти, регистрирани по реда на чл. 229 или на чл. 262 от ЗВМД или извън такива обекти, по реда и при спазване на изискванията на Наредба № 3 от 27.01.2021 г.............. При спазване на чл. 275, ал. 1 от ЗВМД, обезвреждането следва да се извърши за сметка на кандидата или партньора.“.</w:t>
            </w:r>
          </w:p>
          <w:p w14:paraId="25B16AF6" w14:textId="77777777" w:rsidR="007F7647" w:rsidRPr="00C537BA" w:rsidRDefault="007F7647" w:rsidP="007F7647">
            <w:pPr>
              <w:jc w:val="both"/>
            </w:pPr>
            <w:r w:rsidRPr="00C537BA">
              <w:t xml:space="preserve">Предлагаме посоченият абзац да бъде редактиран както следва: </w:t>
            </w:r>
          </w:p>
          <w:p w14:paraId="71583777" w14:textId="02B7C7A7" w:rsidR="007F7647" w:rsidRPr="00C537BA" w:rsidRDefault="007F7647" w:rsidP="007F7647">
            <w:pPr>
              <w:jc w:val="both"/>
            </w:pPr>
            <w:r w:rsidRPr="00C537BA">
              <w:t>„Допустима дейност е и обезвреждането на остатъчните след подхранването продукти в обекти, регистрирани по реда на чл. 229 или на чл. 262 от ЗВМД или извън такива обекти, по реда и при спазване на изискванията на Наредба № 3 от 27.01.2021 г. за условията и реда за обезвреждане на странични животински продукти и на продукти, получени от тях, извън обектите, регистрирани в областните дирекции по безопасност на храните, при спазване на чл. 275, ал. 1 от ЗВМД.“</w:t>
            </w:r>
          </w:p>
          <w:p w14:paraId="5F72F6D5" w14:textId="06FD2762" w:rsidR="007F7647" w:rsidRPr="00C537BA" w:rsidRDefault="007F7647" w:rsidP="007F7647">
            <w:pPr>
              <w:jc w:val="both"/>
            </w:pPr>
          </w:p>
          <w:p w14:paraId="37C1DE65" w14:textId="77777777" w:rsidR="00A33D2A" w:rsidRDefault="00A33D2A" w:rsidP="00724FDD">
            <w:pPr>
              <w:jc w:val="both"/>
            </w:pPr>
          </w:p>
          <w:p w14:paraId="3B8A3847" w14:textId="1F0902EC" w:rsidR="00724FDD" w:rsidRPr="00C537BA" w:rsidRDefault="00724FDD" w:rsidP="00724FDD">
            <w:pPr>
              <w:jc w:val="both"/>
            </w:pPr>
            <w:r w:rsidRPr="00C537BA">
              <w:t>3.</w:t>
            </w:r>
            <w:r w:rsidRPr="00C537BA">
              <w:tab/>
              <w:t>По т. 24. Списък на документите, които се подават на етап кандидатстване на Условията.</w:t>
            </w:r>
          </w:p>
          <w:p w14:paraId="409DC29A" w14:textId="77777777" w:rsidR="00724FDD" w:rsidRPr="00C537BA" w:rsidRDefault="00724FDD" w:rsidP="00724FDD">
            <w:pPr>
              <w:jc w:val="both"/>
            </w:pPr>
            <w:r w:rsidRPr="00C537BA">
              <w:t>Предлагаме изискваното в т. 24.16 „Удостоверение за регистрация по чл. 246, ал. 1 от ЗДВМ на транспортното/</w:t>
            </w:r>
            <w:proofErr w:type="spellStart"/>
            <w:r w:rsidRPr="00C537BA">
              <w:t>ите</w:t>
            </w:r>
            <w:proofErr w:type="spellEnd"/>
            <w:r w:rsidRPr="00C537BA">
              <w:t xml:space="preserve"> средство/а за превоз на животински продукти по проекта“ да отпадне.</w:t>
            </w:r>
          </w:p>
          <w:p w14:paraId="7F3F5A5E" w14:textId="77777777" w:rsidR="00724FDD" w:rsidRPr="00C537BA" w:rsidRDefault="00724FDD" w:rsidP="00724FDD">
            <w:pPr>
              <w:jc w:val="both"/>
            </w:pPr>
            <w:r w:rsidRPr="00C537BA">
              <w:t>Мотиви:</w:t>
            </w:r>
          </w:p>
          <w:p w14:paraId="3C7AD2D7" w14:textId="77777777" w:rsidR="00724FDD" w:rsidRPr="00C537BA" w:rsidRDefault="00724FDD" w:rsidP="00724FDD">
            <w:pPr>
              <w:jc w:val="both"/>
            </w:pPr>
            <w:r w:rsidRPr="00C537BA">
              <w:t xml:space="preserve">Такова удостоверение не е възможно да бъде представено от кандидата, на етап кандидатстване, тъй като той ще обяви определи изпълнител на услугите по подхранването след одобряването на проектното предложение. </w:t>
            </w:r>
          </w:p>
          <w:p w14:paraId="4EF76456" w14:textId="77777777" w:rsidR="00724FDD" w:rsidRPr="00C537BA" w:rsidRDefault="00724FDD" w:rsidP="00724FDD">
            <w:pPr>
              <w:jc w:val="both"/>
            </w:pPr>
            <w:r w:rsidRPr="00C537BA">
              <w:t xml:space="preserve">                                                          С уважение,</w:t>
            </w:r>
          </w:p>
          <w:p w14:paraId="03D1161B" w14:textId="77777777" w:rsidR="00724FDD" w:rsidRPr="00C537BA" w:rsidRDefault="00724FDD" w:rsidP="00724FDD">
            <w:pPr>
              <w:jc w:val="both"/>
            </w:pPr>
            <w:r w:rsidRPr="00C537BA">
              <w:lastRenderedPageBreak/>
              <w:t>16.09.2024 год.</w:t>
            </w:r>
            <w:r w:rsidRPr="00C537BA">
              <w:tab/>
            </w:r>
            <w:r w:rsidRPr="00C537BA">
              <w:tab/>
            </w:r>
            <w:r w:rsidRPr="00C537BA">
              <w:tab/>
            </w:r>
            <w:r w:rsidRPr="00C537BA">
              <w:tab/>
            </w:r>
            <w:r w:rsidRPr="00C537BA">
              <w:tab/>
            </w:r>
            <w:r w:rsidRPr="00C537BA">
              <w:tab/>
              <w:t>Директор:</w:t>
            </w:r>
          </w:p>
          <w:p w14:paraId="0749BBA4" w14:textId="77777777" w:rsidR="00724FDD" w:rsidRPr="00C537BA" w:rsidRDefault="00724FDD" w:rsidP="00724FDD">
            <w:pPr>
              <w:jc w:val="both"/>
            </w:pPr>
            <w:r w:rsidRPr="00C537BA">
              <w:t>Враца</w:t>
            </w:r>
            <w:r w:rsidRPr="00C537BA">
              <w:tab/>
            </w:r>
            <w:r w:rsidRPr="00C537BA">
              <w:tab/>
            </w:r>
            <w:r w:rsidRPr="00C537BA">
              <w:tab/>
            </w:r>
            <w:r w:rsidRPr="00C537BA">
              <w:tab/>
            </w:r>
            <w:r w:rsidRPr="00C537BA">
              <w:tab/>
            </w:r>
            <w:r w:rsidRPr="00C537BA">
              <w:tab/>
            </w:r>
            <w:r w:rsidRPr="00C537BA">
              <w:tab/>
            </w:r>
            <w:r w:rsidRPr="00C537BA">
              <w:tab/>
            </w:r>
            <w:r w:rsidRPr="00C537BA">
              <w:tab/>
              <w:t>(инж. Н. Ненчев)</w:t>
            </w:r>
          </w:p>
          <w:p w14:paraId="1F1A5994" w14:textId="2B6960F7" w:rsidR="007F7647" w:rsidRPr="00C537BA" w:rsidRDefault="007F7647" w:rsidP="007F7647">
            <w:pPr>
              <w:jc w:val="both"/>
            </w:pPr>
          </w:p>
        </w:tc>
        <w:tc>
          <w:tcPr>
            <w:tcW w:w="5080" w:type="dxa"/>
            <w:shd w:val="clear" w:color="auto" w:fill="auto"/>
          </w:tcPr>
          <w:p w14:paraId="5AE00CEE" w14:textId="77777777" w:rsidR="00EB6261" w:rsidRPr="00C537BA" w:rsidRDefault="00EB6261" w:rsidP="005642BC">
            <w:pPr>
              <w:jc w:val="both"/>
            </w:pPr>
          </w:p>
          <w:p w14:paraId="67324ED7" w14:textId="77777777" w:rsidR="005D6F83" w:rsidRPr="00C537BA" w:rsidRDefault="005D6F83" w:rsidP="005642BC">
            <w:pPr>
              <w:jc w:val="both"/>
            </w:pPr>
          </w:p>
          <w:p w14:paraId="6330698E" w14:textId="0D74ED67" w:rsidR="009A0053" w:rsidRDefault="00454723" w:rsidP="005642BC">
            <w:pPr>
              <w:jc w:val="both"/>
            </w:pPr>
            <w:r>
              <w:t xml:space="preserve">По т. </w:t>
            </w:r>
            <w:r w:rsidR="005D6F83" w:rsidRPr="00C537BA">
              <w:t>1</w:t>
            </w:r>
            <w:r>
              <w:t xml:space="preserve"> -</w:t>
            </w:r>
            <w:r w:rsidR="005D6F83" w:rsidRPr="00C537BA">
              <w:t xml:space="preserve"> Приема се. </w:t>
            </w:r>
            <w:r w:rsidR="00970145">
              <w:t xml:space="preserve">Текстът </w:t>
            </w:r>
            <w:r w:rsidR="008171E4">
              <w:t xml:space="preserve">в раздел 5 от </w:t>
            </w:r>
            <w:r w:rsidR="00881A6A">
              <w:t xml:space="preserve"> проекта на условия </w:t>
            </w:r>
            <w:r w:rsidR="008171E4">
              <w:t>за кандидатстване</w:t>
            </w:r>
            <w:r w:rsidR="00970145">
              <w:t xml:space="preserve"> е прецизиран </w:t>
            </w:r>
            <w:r w:rsidR="009A0053">
              <w:t xml:space="preserve">по следния начин: </w:t>
            </w:r>
            <w:r w:rsidR="009A0053" w:rsidRPr="009A0053">
              <w:rPr>
                <w:i/>
                <w:iCs/>
              </w:rPr>
              <w:t>„Проектите по процедурата ще бъдат изпълнявани в Република България, само в защитени зони</w:t>
            </w:r>
            <w:r w:rsidR="009A0053" w:rsidRPr="005F0842">
              <w:rPr>
                <w:i/>
                <w:iCs/>
              </w:rPr>
              <w:t xml:space="preserve"> </w:t>
            </w:r>
            <w:r w:rsidR="009A0053" w:rsidRPr="009A0053">
              <w:rPr>
                <w:i/>
                <w:iCs/>
              </w:rPr>
              <w:t>от мрежата Натура 2000 (по Директива 92/43/ЕИО и Директива 2009/147/ЕО) в които има  съществуващи площадки за подхранване.“</w:t>
            </w:r>
          </w:p>
          <w:p w14:paraId="240BB6BE" w14:textId="77777777" w:rsidR="005E10AB" w:rsidRDefault="008171E4" w:rsidP="005642BC">
            <w:pPr>
              <w:jc w:val="both"/>
            </w:pPr>
            <w:r w:rsidRPr="008171E4">
              <w:lastRenderedPageBreak/>
              <w:t>П</w:t>
            </w:r>
            <w:r w:rsidR="005D6F83" w:rsidRPr="008171E4">
              <w:t xml:space="preserve">редвид </w:t>
            </w:r>
            <w:r w:rsidR="005D6F83" w:rsidRPr="008171E4">
              <w:t>разширяването на териториалния обхват на процедурата</w:t>
            </w:r>
            <w:r w:rsidRPr="008171E4">
              <w:t xml:space="preserve"> чрез включването на защитени зони по Директива 2009/147/ЕО за опазването на дивите птици</w:t>
            </w:r>
            <w:r w:rsidR="00C81F31">
              <w:t xml:space="preserve">, </w:t>
            </w:r>
            <w:r w:rsidR="005D6F83" w:rsidRPr="008171E4">
              <w:t xml:space="preserve">максималният размер на безвъзмездната финансова помощ за един проект </w:t>
            </w:r>
            <w:r w:rsidR="0005254B">
              <w:t>е</w:t>
            </w:r>
            <w:r w:rsidR="005D6F83" w:rsidRPr="008171E4">
              <w:t xml:space="preserve"> </w:t>
            </w:r>
            <w:r w:rsidRPr="008171E4">
              <w:t>определ</w:t>
            </w:r>
            <w:r>
              <w:t xml:space="preserve">ен на </w:t>
            </w:r>
            <w:r w:rsidR="007D6B15" w:rsidRPr="00F8150C">
              <w:t>279 684 лв.</w:t>
            </w:r>
            <w:r w:rsidR="0084702E">
              <w:t>, въз основа на ограниченията, заложени в НРПД 2021-2027 г. (25 000 евро на година), отчитане на инфлацията спрямо декември 2020 г. и включване на % за допълнително включените дейности по закупуване на материални активи</w:t>
            </w:r>
            <w:r w:rsidR="005E10AB">
              <w:t>, за максималния срок за изпълнение на проектите от 4 години</w:t>
            </w:r>
            <w:r w:rsidR="0084702E">
              <w:t>.</w:t>
            </w:r>
          </w:p>
          <w:p w14:paraId="4F298160" w14:textId="77777777" w:rsidR="005E10AB" w:rsidRDefault="005E10AB" w:rsidP="005642BC">
            <w:pPr>
              <w:jc w:val="both"/>
            </w:pPr>
          </w:p>
          <w:p w14:paraId="37A6A492" w14:textId="51AC0430" w:rsidR="001E403D" w:rsidRPr="001E403D" w:rsidRDefault="00454723" w:rsidP="005642BC">
            <w:pPr>
              <w:jc w:val="both"/>
              <w:rPr>
                <w:bCs/>
              </w:rPr>
            </w:pPr>
            <w:r>
              <w:t xml:space="preserve">По т. </w:t>
            </w:r>
            <w:r w:rsidR="005D6F83" w:rsidRPr="00C537BA">
              <w:t>2.</w:t>
            </w:r>
            <w:r w:rsidR="00A33D2A">
              <w:t>1.</w:t>
            </w:r>
            <w:r w:rsidR="005D6F83" w:rsidRPr="00C537BA">
              <w:t xml:space="preserve"> </w:t>
            </w:r>
            <w:r>
              <w:t>-</w:t>
            </w:r>
            <w:r w:rsidR="005D6F83" w:rsidRPr="00C537BA">
              <w:t xml:space="preserve"> </w:t>
            </w:r>
            <w:r w:rsidR="00661D0E" w:rsidRPr="00C537BA">
              <w:t xml:space="preserve">Приема се. </w:t>
            </w:r>
            <w:r w:rsidR="00744096">
              <w:t xml:space="preserve">В проекта на </w:t>
            </w:r>
            <w:r w:rsidR="00680C38">
              <w:t>условия за кандидатстване</w:t>
            </w:r>
            <w:r w:rsidR="00744096">
              <w:t xml:space="preserve"> и конкретно в </w:t>
            </w:r>
            <w:r w:rsidR="00680C38">
              <w:t>раздел</w:t>
            </w:r>
            <w:r w:rsidR="00744096">
              <w:t xml:space="preserve"> 13</w:t>
            </w:r>
            <w:r w:rsidR="00744096" w:rsidRPr="00744096">
              <w:t xml:space="preserve"> „Дейности, допустими за финансиране“</w:t>
            </w:r>
            <w:r w:rsidR="00744096">
              <w:t xml:space="preserve">, </w:t>
            </w:r>
            <w:r w:rsidR="00F50E78">
              <w:t>е</w:t>
            </w:r>
            <w:r w:rsidR="00661D0E" w:rsidRPr="00C537BA">
              <w:t xml:space="preserve"> добавена </w:t>
            </w:r>
            <w:r w:rsidR="001368AC">
              <w:t>нова точка, „</w:t>
            </w:r>
            <w:r w:rsidR="001E403D" w:rsidRPr="008C2224">
              <w:rPr>
                <w:i/>
                <w:iCs/>
              </w:rPr>
              <w:t>т</w:t>
            </w:r>
            <w:r w:rsidR="001E403D" w:rsidRPr="00C81F31">
              <w:rPr>
                <w:i/>
                <w:iCs/>
              </w:rPr>
              <w:t xml:space="preserve">. </w:t>
            </w:r>
            <w:r w:rsidR="001E403D" w:rsidRPr="00C81F31">
              <w:rPr>
                <w:bCs/>
                <w:i/>
                <w:iCs/>
              </w:rPr>
              <w:t>13.1.</w:t>
            </w:r>
            <w:r w:rsidR="001E403D" w:rsidRPr="00C81F31">
              <w:rPr>
                <w:b/>
                <w:i/>
                <w:iCs/>
              </w:rPr>
              <w:t xml:space="preserve"> </w:t>
            </w:r>
            <w:r w:rsidR="001E403D" w:rsidRPr="00C81F31">
              <w:rPr>
                <w:i/>
                <w:iCs/>
              </w:rPr>
              <w:t xml:space="preserve"> </w:t>
            </w:r>
            <w:r w:rsidR="001E403D" w:rsidRPr="00C81F31">
              <w:rPr>
                <w:bCs/>
                <w:i/>
                <w:iCs/>
              </w:rPr>
              <w:t>Спомагателни дейности</w:t>
            </w:r>
            <w:r w:rsidR="001E403D" w:rsidRPr="001368AC">
              <w:rPr>
                <w:bCs/>
                <w:i/>
                <w:iCs/>
              </w:rPr>
              <w:t xml:space="preserve"> - </w:t>
            </w:r>
            <w:r w:rsidR="00C81F31">
              <w:t xml:space="preserve"> </w:t>
            </w:r>
            <w:r w:rsidR="00C81F31" w:rsidRPr="00C81F31">
              <w:rPr>
                <w:bCs/>
                <w:i/>
                <w:iCs/>
              </w:rPr>
              <w:t>дейности по изготвяне на проектно предложение, вкл. експертни и технически анализи и проучвания (в това число теренни посещения), необходими за разработването и планирането на проектното предложение. Експертните и технически анализи и проучвания не трябва да са самоцелни, а да осигуряват информация, без която е невъзможно да се подготви проектно предложение.</w:t>
            </w:r>
            <w:r w:rsidR="00C81F31">
              <w:rPr>
                <w:bCs/>
                <w:i/>
                <w:iCs/>
              </w:rPr>
              <w:t xml:space="preserve"> </w:t>
            </w:r>
            <w:r w:rsidR="00C81F31">
              <w:t xml:space="preserve"> </w:t>
            </w:r>
            <w:r w:rsidR="00C81F31" w:rsidRPr="00C81F31">
              <w:rPr>
                <w:bCs/>
                <w:i/>
                <w:iCs/>
              </w:rPr>
              <w:t>Към спомагателните дейности спада и изготвянето на документация и провеждане на изискващи се процедури по реда екологичното законодателство. За целите на настоящата процедура чрез подбор се изисква на етапа на кандидатстване да бъдат издадени и да се представят крайни актове по реда на екологичното законодателство – Решения на компетентен орган от съгласуване по реда на екологичното законодателство за планираните дейности.</w:t>
            </w:r>
            <w:r w:rsidR="001368AC">
              <w:rPr>
                <w:bCs/>
                <w:i/>
                <w:iCs/>
              </w:rPr>
              <w:t>“</w:t>
            </w:r>
            <w:r w:rsidR="001E403D" w:rsidRPr="001E403D">
              <w:rPr>
                <w:bCs/>
              </w:rPr>
              <w:t>.</w:t>
            </w:r>
            <w:r w:rsidR="00370F4C">
              <w:rPr>
                <w:bCs/>
              </w:rPr>
              <w:t xml:space="preserve"> За тази категория разходи се въвежда и максимален размер на </w:t>
            </w:r>
            <w:r w:rsidR="00370F4C">
              <w:rPr>
                <w:bCs/>
              </w:rPr>
              <w:lastRenderedPageBreak/>
              <w:t xml:space="preserve">безвъзмездната финансова помощ от </w:t>
            </w:r>
            <w:r w:rsidR="00370F4C" w:rsidRPr="00370F4C">
              <w:rPr>
                <w:bCs/>
              </w:rPr>
              <w:t xml:space="preserve">20 000 лева </w:t>
            </w:r>
            <w:r w:rsidR="00C81F31">
              <w:rPr>
                <w:bCs/>
              </w:rPr>
              <w:t>с</w:t>
            </w:r>
            <w:r w:rsidR="00370F4C" w:rsidRPr="00370F4C">
              <w:rPr>
                <w:bCs/>
              </w:rPr>
              <w:t xml:space="preserve"> ДДС.</w:t>
            </w:r>
          </w:p>
          <w:p w14:paraId="5816181C" w14:textId="77777777" w:rsidR="00725533" w:rsidRDefault="00725533" w:rsidP="005642BC">
            <w:pPr>
              <w:jc w:val="both"/>
            </w:pPr>
          </w:p>
          <w:p w14:paraId="5C6D325A" w14:textId="77777777" w:rsidR="00725533" w:rsidRDefault="00725533" w:rsidP="005642BC">
            <w:pPr>
              <w:jc w:val="both"/>
            </w:pPr>
          </w:p>
          <w:p w14:paraId="5C1ABB23" w14:textId="2ED928B9" w:rsidR="00661D0E" w:rsidRPr="00725533" w:rsidRDefault="00454723" w:rsidP="005642BC">
            <w:pPr>
              <w:jc w:val="both"/>
            </w:pPr>
            <w:r>
              <w:t xml:space="preserve">По т. </w:t>
            </w:r>
            <w:r w:rsidR="00661D0E" w:rsidRPr="00C537BA">
              <w:t>2.</w:t>
            </w:r>
            <w:r w:rsidR="00A33D2A">
              <w:t>2</w:t>
            </w:r>
            <w:r>
              <w:t xml:space="preserve"> -</w:t>
            </w:r>
            <w:r w:rsidR="00661D0E" w:rsidRPr="00C537BA">
              <w:t xml:space="preserve"> Приема се</w:t>
            </w:r>
            <w:r w:rsidR="00A33D2A">
              <w:t>.</w:t>
            </w:r>
            <w:r w:rsidR="00661D0E" w:rsidRPr="00C537BA">
              <w:t xml:space="preserve"> </w:t>
            </w:r>
            <w:r w:rsidR="00A33D2A">
              <w:t>П</w:t>
            </w:r>
            <w:r w:rsidR="00661D0E" w:rsidRPr="00C537BA">
              <w:t>редложената формулировка</w:t>
            </w:r>
            <w:r w:rsidR="00A33D2A">
              <w:t xml:space="preserve"> </w:t>
            </w:r>
            <w:r w:rsidR="00F50E78">
              <w:t>е</w:t>
            </w:r>
            <w:r w:rsidR="00A33D2A">
              <w:t xml:space="preserve"> отразена </w:t>
            </w:r>
            <w:r w:rsidR="002164A9">
              <w:t xml:space="preserve">в </w:t>
            </w:r>
            <w:r w:rsidR="00881A6A">
              <w:t xml:space="preserve">проекта на условия за кандидатстване </w:t>
            </w:r>
            <w:r w:rsidR="000B1E03">
              <w:t xml:space="preserve"> (раздел 13, т. 13.2) </w:t>
            </w:r>
            <w:r w:rsidR="00725533">
              <w:t>по следния начин: „</w:t>
            </w:r>
            <w:r w:rsidR="000B1E03" w:rsidRPr="000B1E03">
              <w:rPr>
                <w:i/>
                <w:iCs/>
              </w:rPr>
              <w:t>Допустима дейност е и обезвреждането на остатъчните след подхранването продукти в обекти, регистрирани по реда на чл. 229 или на чл. 262 от ЗВМД или извън такива обекти, по реда и при спазване на изискванията на Наредба № 3 от 27.01.2021 г. за условията и реда за обезвреждане на странични животински продукти и на продукти, получени от тях, извън обектите, регистрирани в областните дирекции по безопасност на храните, при спазване на чл. 275, ал. 1 от ЗВМД.</w:t>
            </w:r>
            <w:r w:rsidR="00725533" w:rsidRPr="00725533">
              <w:rPr>
                <w:i/>
                <w:iCs/>
              </w:rPr>
              <w:t>“</w:t>
            </w:r>
            <w:r w:rsidR="00725533">
              <w:t>.</w:t>
            </w:r>
          </w:p>
          <w:p w14:paraId="3239A54B" w14:textId="77777777" w:rsidR="00661D0E" w:rsidRPr="00C537BA" w:rsidRDefault="00661D0E" w:rsidP="005642BC">
            <w:pPr>
              <w:jc w:val="both"/>
            </w:pPr>
          </w:p>
          <w:p w14:paraId="1E6DCFC1" w14:textId="77777777" w:rsidR="00661D0E" w:rsidRPr="00C537BA" w:rsidRDefault="00661D0E" w:rsidP="005642BC">
            <w:pPr>
              <w:jc w:val="both"/>
            </w:pPr>
          </w:p>
          <w:p w14:paraId="10032438" w14:textId="77777777" w:rsidR="00661D0E" w:rsidRPr="00C537BA" w:rsidRDefault="00661D0E" w:rsidP="005642BC">
            <w:pPr>
              <w:jc w:val="both"/>
            </w:pPr>
          </w:p>
          <w:p w14:paraId="521FF669" w14:textId="77777777" w:rsidR="00661D0E" w:rsidRPr="00C537BA" w:rsidRDefault="00661D0E" w:rsidP="005642BC">
            <w:pPr>
              <w:jc w:val="both"/>
            </w:pPr>
          </w:p>
          <w:p w14:paraId="7F1580C1" w14:textId="77777777" w:rsidR="00661D0E" w:rsidRPr="00C537BA" w:rsidRDefault="00661D0E" w:rsidP="005642BC">
            <w:pPr>
              <w:jc w:val="both"/>
            </w:pPr>
          </w:p>
          <w:p w14:paraId="583642C2" w14:textId="77777777" w:rsidR="00661D0E" w:rsidRPr="00C537BA" w:rsidRDefault="00661D0E" w:rsidP="005642BC">
            <w:pPr>
              <w:jc w:val="both"/>
            </w:pPr>
          </w:p>
          <w:p w14:paraId="774A5DB3" w14:textId="10BB225C" w:rsidR="00411FDA" w:rsidRDefault="00454723" w:rsidP="005642BC">
            <w:pPr>
              <w:jc w:val="both"/>
            </w:pPr>
            <w:r>
              <w:t xml:space="preserve">По т. </w:t>
            </w:r>
            <w:r w:rsidR="009C7C49" w:rsidRPr="00C537BA">
              <w:t>3</w:t>
            </w:r>
            <w:r>
              <w:t xml:space="preserve"> </w:t>
            </w:r>
            <w:r w:rsidR="0019750E">
              <w:t>–</w:t>
            </w:r>
            <w:r w:rsidR="009C7C49" w:rsidRPr="00C537BA">
              <w:t xml:space="preserve"> </w:t>
            </w:r>
            <w:r w:rsidR="0019750E">
              <w:t>Не се приема</w:t>
            </w:r>
            <w:r w:rsidR="00661D0E" w:rsidRPr="00C537BA">
              <w:t xml:space="preserve">. </w:t>
            </w:r>
          </w:p>
          <w:p w14:paraId="50EB36B1" w14:textId="14B03F1E" w:rsidR="00661D0E" w:rsidRPr="00C537BA" w:rsidRDefault="00411FDA" w:rsidP="00E00451">
            <w:pPr>
              <w:jc w:val="both"/>
            </w:pPr>
            <w:r w:rsidRPr="00C537BA">
              <w:t xml:space="preserve">В случаите, в които </w:t>
            </w:r>
            <w:r>
              <w:t>кандидатът и/или партньорът</w:t>
            </w:r>
            <w:r w:rsidRPr="00C537BA">
              <w:t xml:space="preserve"> ще използва</w:t>
            </w:r>
            <w:r>
              <w:t>/т</w:t>
            </w:r>
            <w:r w:rsidRPr="00C537BA">
              <w:t xml:space="preserve"> собствени </w:t>
            </w:r>
            <w:r>
              <w:t>транспортни</w:t>
            </w:r>
            <w:r w:rsidRPr="00C537BA">
              <w:t xml:space="preserve"> средства,</w:t>
            </w:r>
            <w:r>
              <w:t xml:space="preserve"> налични към момента на подаване на проектното предложение,</w:t>
            </w:r>
            <w:r w:rsidRPr="00C537BA">
              <w:t xml:space="preserve"> удостоверени</w:t>
            </w:r>
            <w:r>
              <w:t>ето</w:t>
            </w:r>
            <w:r w:rsidRPr="00C537BA">
              <w:t xml:space="preserve"> за регистрация по чл. 246, ал. 1 от ЗВМД </w:t>
            </w:r>
            <w:r w:rsidR="00A12CB3">
              <w:t xml:space="preserve">ще </w:t>
            </w:r>
            <w:r w:rsidRPr="00C537BA">
              <w:t xml:space="preserve">се изисква </w:t>
            </w:r>
            <w:r>
              <w:t>да бъде представено на етапа на кандидатстване.</w:t>
            </w:r>
            <w:r w:rsidR="00A12CB3">
              <w:t xml:space="preserve"> Точка 24.16 на раздел 24 от проектът на условия за кандидатстване и Приложение № 2 към условията за изпълнение </w:t>
            </w:r>
            <w:r w:rsidR="00E00451">
              <w:t>са</w:t>
            </w:r>
            <w:r w:rsidR="00A12CB3">
              <w:t xml:space="preserve"> изменени, като се прави следното уточнение: </w:t>
            </w:r>
            <w:r w:rsidR="00E00451">
              <w:t xml:space="preserve"> „</w:t>
            </w:r>
            <w:r w:rsidR="00E00451" w:rsidRPr="00E00451">
              <w:rPr>
                <w:i/>
                <w:iCs/>
              </w:rPr>
              <w:t xml:space="preserve">Документът не се представя на етапа на кандидатстване, в случаите когато кандидатът и/или </w:t>
            </w:r>
            <w:r w:rsidR="00E00451" w:rsidRPr="00E00451">
              <w:rPr>
                <w:i/>
                <w:iCs/>
              </w:rPr>
              <w:lastRenderedPageBreak/>
              <w:t>партньорът предвижда да закупи транспортното/</w:t>
            </w:r>
            <w:proofErr w:type="spellStart"/>
            <w:r w:rsidR="00E00451" w:rsidRPr="00E00451">
              <w:rPr>
                <w:i/>
                <w:iCs/>
              </w:rPr>
              <w:t>ите</w:t>
            </w:r>
            <w:proofErr w:type="spellEnd"/>
            <w:r w:rsidR="00E00451" w:rsidRPr="00E00451">
              <w:rPr>
                <w:i/>
                <w:iCs/>
              </w:rPr>
              <w:t xml:space="preserve"> средство/а с финансиране по проекта, да възложи транспортирането на животинските продукти на изпълнител, определен по реда на ЗОП/Глава четвърта от ЗУСЕФСУ или да наеме транспортното/</w:t>
            </w:r>
            <w:proofErr w:type="spellStart"/>
            <w:r w:rsidR="00E00451" w:rsidRPr="00E00451">
              <w:rPr>
                <w:i/>
                <w:iCs/>
              </w:rPr>
              <w:t>ите</w:t>
            </w:r>
            <w:proofErr w:type="spellEnd"/>
            <w:r w:rsidR="00E00451" w:rsidRPr="00E00451">
              <w:rPr>
                <w:i/>
                <w:iCs/>
              </w:rPr>
              <w:t xml:space="preserve"> средство/а, за да извърши превоза.</w:t>
            </w:r>
            <w:r w:rsidR="00E00451">
              <w:rPr>
                <w:i/>
                <w:iCs/>
              </w:rPr>
              <w:t>“.</w:t>
            </w:r>
          </w:p>
        </w:tc>
      </w:tr>
      <w:tr w:rsidR="007F7647" w:rsidRPr="003E1000" w14:paraId="05A33F48" w14:textId="77777777" w:rsidTr="004F13B4">
        <w:trPr>
          <w:trHeight w:val="1125"/>
        </w:trPr>
        <w:tc>
          <w:tcPr>
            <w:tcW w:w="426" w:type="dxa"/>
            <w:shd w:val="clear" w:color="auto" w:fill="auto"/>
          </w:tcPr>
          <w:p w14:paraId="34D18A58" w14:textId="421667ED" w:rsidR="007F7647" w:rsidRPr="003E1000" w:rsidRDefault="00593998" w:rsidP="005642BC">
            <w:pPr>
              <w:jc w:val="center"/>
            </w:pPr>
            <w:r w:rsidRPr="003E1000">
              <w:lastRenderedPageBreak/>
              <w:t>3.</w:t>
            </w:r>
          </w:p>
        </w:tc>
        <w:tc>
          <w:tcPr>
            <w:tcW w:w="2551" w:type="dxa"/>
            <w:shd w:val="clear" w:color="auto" w:fill="auto"/>
          </w:tcPr>
          <w:p w14:paraId="57934CDF" w14:textId="3D874AFA" w:rsidR="007F7647" w:rsidRDefault="00C25D47" w:rsidP="005642BC">
            <w:pPr>
              <w:jc w:val="both"/>
            </w:pPr>
            <w:hyperlink r:id="rId11" w:history="1">
              <w:r w:rsidR="009A0B0D" w:rsidRPr="003E4905">
                <w:rPr>
                  <w:rStyle w:val="Hyperlink"/>
                </w:rPr>
                <w:t>dppsinite_kamani@abv.bg</w:t>
              </w:r>
            </w:hyperlink>
          </w:p>
          <w:p w14:paraId="65B52C55" w14:textId="3E78C144" w:rsidR="009A0B0D" w:rsidRPr="003E1000" w:rsidRDefault="009A0B0D" w:rsidP="005642BC">
            <w:pPr>
              <w:jc w:val="both"/>
            </w:pPr>
          </w:p>
        </w:tc>
        <w:tc>
          <w:tcPr>
            <w:tcW w:w="1433" w:type="dxa"/>
            <w:shd w:val="clear" w:color="auto" w:fill="auto"/>
          </w:tcPr>
          <w:p w14:paraId="727294F7" w14:textId="5F134CA1" w:rsidR="007F7647" w:rsidRPr="003E1000" w:rsidRDefault="00593998" w:rsidP="005642BC">
            <w:pPr>
              <w:ind w:hanging="125"/>
              <w:jc w:val="center"/>
            </w:pPr>
            <w:r w:rsidRPr="003E1000">
              <w:t>16.09.2024 г.</w:t>
            </w:r>
          </w:p>
        </w:tc>
        <w:tc>
          <w:tcPr>
            <w:tcW w:w="6500" w:type="dxa"/>
            <w:shd w:val="clear" w:color="auto" w:fill="auto"/>
          </w:tcPr>
          <w:p w14:paraId="0635D943" w14:textId="573D1B37" w:rsidR="0096742E" w:rsidRDefault="00454723" w:rsidP="007F7647">
            <w:pPr>
              <w:jc w:val="both"/>
            </w:pPr>
            <w:r>
              <w:t xml:space="preserve">1. </w:t>
            </w:r>
            <w:r w:rsidR="0096742E">
              <w:t>Допустим разход ли е: винетка, гражданска отговорност, автокаско, данък, масла, гуми, ремонт и консумативи (течност за чистачки, филтри и др.). Годишните консумативи за автомобила с който се транспортира храната, допустим разход ли е?</w:t>
            </w:r>
          </w:p>
          <w:p w14:paraId="58754A91" w14:textId="77777777" w:rsidR="0096742E" w:rsidRDefault="0096742E" w:rsidP="007F7647">
            <w:pPr>
              <w:jc w:val="both"/>
            </w:pPr>
          </w:p>
          <w:p w14:paraId="27B1099E" w14:textId="77777777" w:rsidR="00194659" w:rsidRDefault="00194659" w:rsidP="007F7647">
            <w:pPr>
              <w:jc w:val="both"/>
            </w:pPr>
          </w:p>
          <w:p w14:paraId="772CBBC9" w14:textId="77777777" w:rsidR="00194659" w:rsidRDefault="00194659" w:rsidP="007F7647">
            <w:pPr>
              <w:jc w:val="both"/>
            </w:pPr>
          </w:p>
          <w:p w14:paraId="7F05C12D" w14:textId="77777777" w:rsidR="00194659" w:rsidRDefault="00194659" w:rsidP="007F7647">
            <w:pPr>
              <w:jc w:val="both"/>
            </w:pPr>
          </w:p>
          <w:p w14:paraId="57CBB5D5" w14:textId="77777777" w:rsidR="00194659" w:rsidRDefault="00194659" w:rsidP="007F7647">
            <w:pPr>
              <w:jc w:val="both"/>
            </w:pPr>
          </w:p>
          <w:p w14:paraId="7CEF921C" w14:textId="77777777" w:rsidR="00194659" w:rsidRDefault="00194659" w:rsidP="007F7647">
            <w:pPr>
              <w:jc w:val="both"/>
            </w:pPr>
          </w:p>
          <w:p w14:paraId="51EC3B07" w14:textId="77777777" w:rsidR="00194659" w:rsidRDefault="00194659" w:rsidP="007F7647">
            <w:pPr>
              <w:jc w:val="both"/>
            </w:pPr>
          </w:p>
          <w:p w14:paraId="68F465D9" w14:textId="77777777" w:rsidR="00A12CB3" w:rsidRDefault="00A12CB3" w:rsidP="007F7647">
            <w:pPr>
              <w:jc w:val="both"/>
            </w:pPr>
          </w:p>
          <w:p w14:paraId="6A826EB4" w14:textId="77777777" w:rsidR="00A12CB3" w:rsidRDefault="00A12CB3" w:rsidP="007F7647">
            <w:pPr>
              <w:jc w:val="both"/>
            </w:pPr>
          </w:p>
          <w:p w14:paraId="6188ED92" w14:textId="77777777" w:rsidR="00A12CB3" w:rsidRDefault="00A12CB3" w:rsidP="007F7647">
            <w:pPr>
              <w:jc w:val="both"/>
            </w:pPr>
          </w:p>
          <w:p w14:paraId="1E0B4318" w14:textId="77777777" w:rsidR="00A12CB3" w:rsidRDefault="00A12CB3" w:rsidP="007F7647">
            <w:pPr>
              <w:jc w:val="both"/>
            </w:pPr>
          </w:p>
          <w:p w14:paraId="3F266BE1" w14:textId="77777777" w:rsidR="00A12CB3" w:rsidRDefault="00A12CB3" w:rsidP="007F7647">
            <w:pPr>
              <w:jc w:val="both"/>
            </w:pPr>
          </w:p>
          <w:p w14:paraId="2CC243AC" w14:textId="77777777" w:rsidR="00A12CB3" w:rsidRDefault="00A12CB3" w:rsidP="007F7647">
            <w:pPr>
              <w:jc w:val="both"/>
            </w:pPr>
          </w:p>
          <w:p w14:paraId="3C5890F1" w14:textId="77777777" w:rsidR="00A12CB3" w:rsidRDefault="00A12CB3" w:rsidP="007F7647">
            <w:pPr>
              <w:jc w:val="both"/>
            </w:pPr>
          </w:p>
          <w:p w14:paraId="7603A681" w14:textId="77777777" w:rsidR="00A12CB3" w:rsidRDefault="00A12CB3" w:rsidP="007F7647">
            <w:pPr>
              <w:jc w:val="both"/>
            </w:pPr>
          </w:p>
          <w:p w14:paraId="17038EBC" w14:textId="77777777" w:rsidR="00592DCF" w:rsidRDefault="00592DCF" w:rsidP="007F7647">
            <w:pPr>
              <w:jc w:val="both"/>
            </w:pPr>
          </w:p>
          <w:p w14:paraId="716E21C0" w14:textId="77777777" w:rsidR="00592DCF" w:rsidRDefault="00592DCF" w:rsidP="007F7647">
            <w:pPr>
              <w:jc w:val="both"/>
            </w:pPr>
          </w:p>
          <w:p w14:paraId="091D24C0" w14:textId="77777777" w:rsidR="00592DCF" w:rsidRDefault="00592DCF" w:rsidP="007F7647">
            <w:pPr>
              <w:jc w:val="both"/>
            </w:pPr>
          </w:p>
          <w:p w14:paraId="5AAC3443" w14:textId="717FF2FF" w:rsidR="0096742E" w:rsidRDefault="00454723" w:rsidP="007F7647">
            <w:pPr>
              <w:jc w:val="both"/>
            </w:pPr>
            <w:r>
              <w:t xml:space="preserve">2. </w:t>
            </w:r>
            <w:r w:rsidR="0096742E">
              <w:t xml:space="preserve">Допустим разход ли е: </w:t>
            </w:r>
            <w:r w:rsidR="0096742E" w:rsidRPr="0096742E">
              <w:t>закупуването</w:t>
            </w:r>
            <w:r w:rsidR="0096742E">
              <w:t xml:space="preserve"> на оградна мрежа, електропастир, колове за ограда, косене и премахване на храсти.  </w:t>
            </w:r>
            <w:r w:rsidR="0096742E" w:rsidRPr="0096742E">
              <w:t>Допустим разход ли е</w:t>
            </w:r>
            <w:r w:rsidR="0096742E">
              <w:t xml:space="preserve"> поддръжката на площадката за подхранване?</w:t>
            </w:r>
          </w:p>
          <w:p w14:paraId="38236EB1" w14:textId="26BA7877" w:rsidR="0096742E" w:rsidRDefault="0096742E" w:rsidP="007F7647">
            <w:pPr>
              <w:jc w:val="both"/>
            </w:pPr>
            <w:r>
              <w:t xml:space="preserve"> </w:t>
            </w:r>
          </w:p>
          <w:p w14:paraId="3FD737D4" w14:textId="77777777" w:rsidR="00194659" w:rsidRDefault="00194659" w:rsidP="007F7647">
            <w:pPr>
              <w:jc w:val="both"/>
            </w:pPr>
          </w:p>
          <w:p w14:paraId="544EDBFC" w14:textId="77777777" w:rsidR="00194659" w:rsidRDefault="00194659" w:rsidP="007F7647">
            <w:pPr>
              <w:jc w:val="both"/>
            </w:pPr>
          </w:p>
          <w:p w14:paraId="42DFC1C7" w14:textId="77777777" w:rsidR="002454A8" w:rsidRDefault="002454A8" w:rsidP="007F7647">
            <w:pPr>
              <w:jc w:val="both"/>
            </w:pPr>
          </w:p>
          <w:p w14:paraId="0328D94D" w14:textId="77777777" w:rsidR="002454A8" w:rsidRDefault="002454A8" w:rsidP="007F7647">
            <w:pPr>
              <w:jc w:val="both"/>
            </w:pPr>
          </w:p>
          <w:p w14:paraId="15EB5B56" w14:textId="77777777" w:rsidR="002454A8" w:rsidRDefault="002454A8" w:rsidP="007F7647">
            <w:pPr>
              <w:jc w:val="both"/>
            </w:pPr>
          </w:p>
          <w:p w14:paraId="1B9A8210" w14:textId="77777777" w:rsidR="002454A8" w:rsidRDefault="002454A8" w:rsidP="007F7647">
            <w:pPr>
              <w:jc w:val="both"/>
            </w:pPr>
          </w:p>
          <w:p w14:paraId="6BECE006" w14:textId="77777777" w:rsidR="002454A8" w:rsidRDefault="002454A8" w:rsidP="007F7647">
            <w:pPr>
              <w:jc w:val="both"/>
            </w:pPr>
          </w:p>
          <w:p w14:paraId="30C9AAA3" w14:textId="0EEBEC60" w:rsidR="00593998" w:rsidRPr="003E1000" w:rsidRDefault="00454723" w:rsidP="007F7647">
            <w:pPr>
              <w:jc w:val="both"/>
            </w:pPr>
            <w:r>
              <w:t xml:space="preserve">3. </w:t>
            </w:r>
            <w:r w:rsidR="00593998" w:rsidRPr="003E1000">
              <w:t>Допустим разход ли е закупуването на транспортно ремарке?</w:t>
            </w:r>
          </w:p>
        </w:tc>
        <w:tc>
          <w:tcPr>
            <w:tcW w:w="5080" w:type="dxa"/>
            <w:shd w:val="clear" w:color="auto" w:fill="auto"/>
          </w:tcPr>
          <w:p w14:paraId="71B29BDB" w14:textId="0ADBC4A9" w:rsidR="00AF00BB" w:rsidRDefault="00454723" w:rsidP="005642BC">
            <w:pPr>
              <w:jc w:val="both"/>
            </w:pPr>
            <w:r>
              <w:lastRenderedPageBreak/>
              <w:t xml:space="preserve">По т. 1 - </w:t>
            </w:r>
            <w:r w:rsidR="00AF00BB">
              <w:t>Приема се частично.</w:t>
            </w:r>
          </w:p>
          <w:p w14:paraId="1B387555" w14:textId="52FB852E" w:rsidR="00D535CD" w:rsidRDefault="00AF00BB" w:rsidP="005642BC">
            <w:pPr>
              <w:jc w:val="both"/>
            </w:pPr>
            <w:r>
              <w:t xml:space="preserve">В </w:t>
            </w:r>
            <w:r w:rsidR="00A12CB3">
              <w:t xml:space="preserve">раздел 14, </w:t>
            </w:r>
            <w:r w:rsidRPr="00AF00BB">
              <w:t xml:space="preserve">т. 14.3. „Допустими за финансиране разходи“ от проекта на </w:t>
            </w:r>
            <w:r w:rsidR="00A12CB3">
              <w:t>условия</w:t>
            </w:r>
            <w:r w:rsidRPr="00AF00BB">
              <w:t xml:space="preserve"> за кандидатстване, в </w:t>
            </w:r>
            <w:r w:rsidR="00A12CB3">
              <w:t xml:space="preserve">част </w:t>
            </w:r>
            <w:r w:rsidRPr="00AF00BB">
              <w:t xml:space="preserve">V. </w:t>
            </w:r>
            <w:r>
              <w:t>„</w:t>
            </w:r>
            <w:r w:rsidRPr="00AF00BB">
              <w:t>Р</w:t>
            </w:r>
            <w:r>
              <w:t>азходи</w:t>
            </w:r>
            <w:r w:rsidRPr="00AF00BB">
              <w:t xml:space="preserve"> </w:t>
            </w:r>
            <w:r>
              <w:t>за</w:t>
            </w:r>
            <w:r w:rsidRPr="00AF00BB">
              <w:t xml:space="preserve"> </w:t>
            </w:r>
            <w:r>
              <w:t>такси“</w:t>
            </w:r>
            <w:r w:rsidRPr="00AF00BB">
              <w:t xml:space="preserve">, </w:t>
            </w:r>
            <w:r w:rsidR="00194659">
              <w:t xml:space="preserve"> </w:t>
            </w:r>
            <w:r w:rsidR="00194659" w:rsidRPr="00194659">
              <w:t>е добавен текст</w:t>
            </w:r>
            <w:r w:rsidR="00A12CB3">
              <w:t>,</w:t>
            </w:r>
            <w:r w:rsidR="00194659" w:rsidRPr="00194659">
              <w:t xml:space="preserve"> с който </w:t>
            </w:r>
            <w:r w:rsidR="006A1B26">
              <w:t>с</w:t>
            </w:r>
            <w:r w:rsidR="00194659" w:rsidRPr="00194659">
              <w:t xml:space="preserve">е </w:t>
            </w:r>
            <w:r w:rsidR="006A1B26">
              <w:t>допускат</w:t>
            </w:r>
            <w:r w:rsidR="00194659" w:rsidRPr="00194659">
              <w:t xml:space="preserve"> разходи</w:t>
            </w:r>
            <w:r w:rsidR="00194659">
              <w:t xml:space="preserve"> по</w:t>
            </w:r>
            <w:r w:rsidRPr="00AF00BB">
              <w:t xml:space="preserve"> </w:t>
            </w:r>
            <w:r w:rsidR="00194659">
              <w:t>ре</w:t>
            </w:r>
            <w:r w:rsidRPr="00AF00BB">
              <w:t>гистрацията по реда на чл. 246 от ЗВМД на закупени с финансиране по процедурата транспортни средства за транспортиране на животински продукти</w:t>
            </w:r>
            <w:r w:rsidR="00513E0D">
              <w:t xml:space="preserve"> (автомобили и ремаркета)</w:t>
            </w:r>
            <w:r w:rsidR="00592DCF">
              <w:t>. Добавен е и текст, че д</w:t>
            </w:r>
            <w:r w:rsidR="00592DCF" w:rsidRPr="00592DCF">
              <w:t xml:space="preserve">опустими разходи са и разходите за първоначална регистрация на транспортни средства за превоз на животински продукти за целите на проекта (автомобили и ремаркета). </w:t>
            </w:r>
            <w:r w:rsidR="00A12CB3">
              <w:t xml:space="preserve">В допълнение, в част </w:t>
            </w:r>
            <w:r w:rsidR="00A12CB3" w:rsidRPr="00A12CB3">
              <w:t xml:space="preserve">І. </w:t>
            </w:r>
            <w:r w:rsidR="00A12CB3">
              <w:t>„</w:t>
            </w:r>
            <w:r w:rsidR="00A12CB3" w:rsidRPr="00A12CB3">
              <w:t xml:space="preserve">Разходи за </w:t>
            </w:r>
            <w:r w:rsidR="00227B5B">
              <w:t>материални активи</w:t>
            </w:r>
            <w:r w:rsidR="00A12CB3">
              <w:t>“ от същия раздел</w:t>
            </w:r>
            <w:r w:rsidR="00A12CB3" w:rsidRPr="00A12CB3">
              <w:t xml:space="preserve">, </w:t>
            </w:r>
            <w:r w:rsidR="00A12CB3">
              <w:t xml:space="preserve">като допустими са посочени разходите </w:t>
            </w:r>
            <w:r w:rsidR="00A12CB3" w:rsidRPr="00A12CB3">
              <w:t xml:space="preserve">за гаранционно (сервизно) обслужване на закупените по процедурата транспортни средства за превоз на животински продукти до приключване на изпълнението на дейностите по проекта.  </w:t>
            </w:r>
          </w:p>
          <w:p w14:paraId="3F62D698" w14:textId="77777777" w:rsidR="00D535CD" w:rsidRDefault="00D535CD" w:rsidP="005642BC">
            <w:pPr>
              <w:jc w:val="both"/>
            </w:pPr>
          </w:p>
          <w:p w14:paraId="574B43FF" w14:textId="77777777" w:rsidR="00A12CB3" w:rsidRDefault="00A12CB3" w:rsidP="00AF00BB">
            <w:pPr>
              <w:jc w:val="both"/>
            </w:pPr>
          </w:p>
          <w:p w14:paraId="1D1DD753" w14:textId="70751235" w:rsidR="00592DCF" w:rsidRDefault="00454723" w:rsidP="00AF00BB">
            <w:pPr>
              <w:jc w:val="both"/>
            </w:pPr>
            <w:r>
              <w:t xml:space="preserve">По т. 2 - </w:t>
            </w:r>
            <w:r w:rsidR="00A12CB3">
              <w:t xml:space="preserve">Приема се. </w:t>
            </w:r>
            <w:r w:rsidR="00592DCF">
              <w:t>П</w:t>
            </w:r>
            <w:r w:rsidR="00A12CB3">
              <w:t xml:space="preserve">роекта на условия за кандидатстване е допълнен като </w:t>
            </w:r>
            <w:r w:rsidR="00592DCF">
              <w:t xml:space="preserve">в раздел 13, т. 13.2 е </w:t>
            </w:r>
            <w:r w:rsidR="00A12CB3">
              <w:t xml:space="preserve">направено уточнението, че </w:t>
            </w:r>
            <w:r w:rsidR="00592DCF">
              <w:t xml:space="preserve">допустимо </w:t>
            </w:r>
            <w:r w:rsidR="00A12CB3">
              <w:t xml:space="preserve">за финансиране </w:t>
            </w:r>
            <w:r w:rsidR="00592DCF">
              <w:t>е</w:t>
            </w:r>
            <w:r w:rsidR="00592DCF" w:rsidRPr="00592DCF">
              <w:t xml:space="preserve"> поддържане</w:t>
            </w:r>
            <w:r w:rsidR="00592DCF">
              <w:t>то</w:t>
            </w:r>
            <w:r w:rsidR="00592DCF" w:rsidRPr="00592DCF">
              <w:t xml:space="preserve"> на площадките за подхранване на вида, включително възстановяване на огради (закупуването на оградна мрежа, електропастир, колове за ограда); косене и премахване на храсти в </w:t>
            </w:r>
            <w:r w:rsidR="00592DCF" w:rsidRPr="00592DCF">
              <w:lastRenderedPageBreak/>
              <w:t xml:space="preserve">периметър не повече от 10 метра от оградата на площадката.  </w:t>
            </w:r>
          </w:p>
          <w:p w14:paraId="5AC0B264" w14:textId="77777777" w:rsidR="00592DCF" w:rsidRDefault="00592DCF" w:rsidP="00AF00BB">
            <w:pPr>
              <w:jc w:val="both"/>
            </w:pPr>
          </w:p>
          <w:p w14:paraId="0BB9FC43" w14:textId="77777777" w:rsidR="00592DCF" w:rsidRDefault="00592DCF" w:rsidP="00AF00BB">
            <w:pPr>
              <w:jc w:val="both"/>
            </w:pPr>
          </w:p>
          <w:p w14:paraId="3B536255" w14:textId="5648808D" w:rsidR="00AE467E" w:rsidRDefault="00454723" w:rsidP="00AF00BB">
            <w:pPr>
              <w:jc w:val="both"/>
            </w:pPr>
            <w:r>
              <w:t xml:space="preserve">По т. 3 - </w:t>
            </w:r>
            <w:r w:rsidR="00A12CB3">
              <w:t xml:space="preserve">Приема се. </w:t>
            </w:r>
            <w:r w:rsidR="00AF00BB" w:rsidRPr="00AF00BB">
              <w:t xml:space="preserve">В </w:t>
            </w:r>
            <w:r w:rsidR="00A12CB3">
              <w:t xml:space="preserve">раздел 14, </w:t>
            </w:r>
            <w:r w:rsidR="00AF00BB" w:rsidRPr="00AF00BB">
              <w:t xml:space="preserve">т. 14.3. „Допустими за финансиране разходи“ от проекта на </w:t>
            </w:r>
            <w:r w:rsidR="00A12CB3">
              <w:t>условия</w:t>
            </w:r>
            <w:r w:rsidR="00AF00BB" w:rsidRPr="00AF00BB">
              <w:t xml:space="preserve"> за кандидатстване, е добавен текст</w:t>
            </w:r>
            <w:r w:rsidR="00A12CB3">
              <w:t>,</w:t>
            </w:r>
            <w:r w:rsidR="00AF00BB" w:rsidRPr="00AF00BB">
              <w:t xml:space="preserve"> с който </w:t>
            </w:r>
            <w:r w:rsidR="001B2F92">
              <w:t>като</w:t>
            </w:r>
            <w:r w:rsidR="00AF00BB" w:rsidRPr="00AF00BB">
              <w:t xml:space="preserve"> допустими </w:t>
            </w:r>
            <w:r w:rsidR="001B2F92">
              <w:t xml:space="preserve">се определят </w:t>
            </w:r>
            <w:r w:rsidR="00AF00BB" w:rsidRPr="00AF00BB">
              <w:t>разходи за закупуване на транспортни средства за превоз на животински продукти, за целите на проекта (автомобили и транспортни ремаркета) и оборудване към тях.</w:t>
            </w:r>
          </w:p>
          <w:p w14:paraId="43A40010" w14:textId="08EEBCCA" w:rsidR="00400B5D" w:rsidRPr="003E1000" w:rsidRDefault="00400B5D" w:rsidP="00AF00BB">
            <w:pPr>
              <w:jc w:val="both"/>
            </w:pPr>
            <w:r>
              <w:t xml:space="preserve">В раздел 14, т. 14.2.2. от проекта на условия за кандидатстване </w:t>
            </w:r>
            <w:r w:rsidR="00911684">
              <w:t>е</w:t>
            </w:r>
            <w:r>
              <w:t xml:space="preserve"> добав</w:t>
            </w:r>
            <w:r w:rsidR="00911684">
              <w:t xml:space="preserve">ена </w:t>
            </w:r>
            <w:r w:rsidR="00911684" w:rsidRPr="00911684">
              <w:t xml:space="preserve">буква б) </w:t>
            </w:r>
            <w:r w:rsidR="00911684">
              <w:t>със</w:t>
            </w:r>
            <w:r>
              <w:t xml:space="preserve"> следния текст: </w:t>
            </w:r>
            <w:r w:rsidR="005F0842" w:rsidRPr="005F0842">
              <w:t>“</w:t>
            </w:r>
            <w:r w:rsidRPr="00400B5D">
              <w:t>За закупуване на превозни средства и ремаркета в рамките на допустимите дейности по т. 13.2 максималните разходи са ограничени в размер до 75 000 лв. с ДДС</w:t>
            </w:r>
            <w:r w:rsidR="005F0842" w:rsidRPr="005F0842">
              <w:t>”</w:t>
            </w:r>
            <w:r w:rsidR="00D748AF">
              <w:t>.</w:t>
            </w:r>
          </w:p>
        </w:tc>
      </w:tr>
      <w:tr w:rsidR="005460F0" w:rsidRPr="003E1000" w14:paraId="2E409616" w14:textId="77777777" w:rsidTr="00E52A56">
        <w:trPr>
          <w:trHeight w:val="3821"/>
        </w:trPr>
        <w:tc>
          <w:tcPr>
            <w:tcW w:w="426" w:type="dxa"/>
            <w:shd w:val="clear" w:color="auto" w:fill="auto"/>
          </w:tcPr>
          <w:p w14:paraId="4F386B56" w14:textId="7ECA8DCD" w:rsidR="005460F0" w:rsidRPr="003E1000" w:rsidRDefault="005460F0" w:rsidP="005642BC">
            <w:pPr>
              <w:jc w:val="center"/>
            </w:pPr>
            <w:r w:rsidRPr="003E1000">
              <w:lastRenderedPageBreak/>
              <w:t>4</w:t>
            </w:r>
          </w:p>
        </w:tc>
        <w:tc>
          <w:tcPr>
            <w:tcW w:w="2551" w:type="dxa"/>
            <w:shd w:val="clear" w:color="auto" w:fill="auto"/>
          </w:tcPr>
          <w:p w14:paraId="427AAD3D" w14:textId="5157667A" w:rsidR="005460F0" w:rsidRPr="003E1000" w:rsidRDefault="00FE14D3" w:rsidP="005642BC">
            <w:pPr>
              <w:jc w:val="both"/>
            </w:pPr>
            <w:r w:rsidRPr="003E1000">
              <w:t>office@slrb.org</w:t>
            </w:r>
          </w:p>
        </w:tc>
        <w:tc>
          <w:tcPr>
            <w:tcW w:w="1433" w:type="dxa"/>
            <w:shd w:val="clear" w:color="auto" w:fill="auto"/>
          </w:tcPr>
          <w:p w14:paraId="7754E5AF" w14:textId="77777777" w:rsidR="005460F0" w:rsidRPr="003E1000" w:rsidRDefault="005460F0" w:rsidP="005642BC">
            <w:pPr>
              <w:ind w:hanging="125"/>
              <w:jc w:val="center"/>
            </w:pPr>
          </w:p>
        </w:tc>
        <w:tc>
          <w:tcPr>
            <w:tcW w:w="6500" w:type="dxa"/>
            <w:shd w:val="clear" w:color="auto" w:fill="auto"/>
          </w:tcPr>
          <w:p w14:paraId="4B3E8236" w14:textId="77777777" w:rsidR="005460F0" w:rsidRPr="003E1000" w:rsidRDefault="005460F0" w:rsidP="005460F0">
            <w:pPr>
              <w:jc w:val="both"/>
            </w:pPr>
            <w:r w:rsidRPr="003E1000">
              <w:t>СТАНОВИЩЕ – Част 1</w:t>
            </w:r>
          </w:p>
          <w:p w14:paraId="38163F9D" w14:textId="77777777" w:rsidR="005460F0" w:rsidRPr="003E1000" w:rsidRDefault="005460F0" w:rsidP="005460F0">
            <w:pPr>
              <w:jc w:val="both"/>
            </w:pPr>
            <w:r w:rsidRPr="003E1000">
              <w:t>ОТ НАЦИОНАЛНО ЛОВНО-РИБАРСКО СДРУЖЕНИЕ „СЪЮЗ НА ЛОВЦИТЕ И РИБОЛОВЦИТЕ В БЪЛГАРИЯ“</w:t>
            </w:r>
          </w:p>
          <w:p w14:paraId="48933663" w14:textId="77777777" w:rsidR="005460F0" w:rsidRPr="003E1000" w:rsidRDefault="005460F0" w:rsidP="005460F0">
            <w:pPr>
              <w:jc w:val="both"/>
            </w:pPr>
          </w:p>
          <w:p w14:paraId="529A5153" w14:textId="601EF0B9" w:rsidR="005460F0" w:rsidRPr="003E1000" w:rsidRDefault="005460F0" w:rsidP="005460F0">
            <w:pPr>
              <w:jc w:val="both"/>
            </w:pPr>
            <w:r w:rsidRPr="003E1000">
              <w:t>По т.</w:t>
            </w:r>
            <w:r w:rsidR="000426CE">
              <w:t xml:space="preserve"> </w:t>
            </w:r>
            <w:r w:rsidRPr="003E1000">
              <w:t>5 от УСЛОВИЯ ЗА КАНДИДАТСТВАНЕ</w:t>
            </w:r>
          </w:p>
          <w:p w14:paraId="052EC36F" w14:textId="77777777" w:rsidR="005460F0" w:rsidRPr="003E1000" w:rsidRDefault="005460F0" w:rsidP="005460F0">
            <w:pPr>
              <w:jc w:val="both"/>
            </w:pPr>
            <w:r w:rsidRPr="003E1000">
              <w:t>Предложеният текст</w:t>
            </w:r>
          </w:p>
          <w:p w14:paraId="6E0C2A7A" w14:textId="77777777" w:rsidR="005460F0" w:rsidRPr="003E1000" w:rsidRDefault="005460F0" w:rsidP="005460F0">
            <w:pPr>
              <w:jc w:val="both"/>
            </w:pPr>
            <w:r w:rsidRPr="003E1000">
              <w:t>5. Териториален обхват:</w:t>
            </w:r>
          </w:p>
          <w:p w14:paraId="63C66A27" w14:textId="77777777" w:rsidR="005460F0" w:rsidRPr="003E1000" w:rsidRDefault="005460F0" w:rsidP="005460F0">
            <w:pPr>
              <w:jc w:val="both"/>
            </w:pPr>
            <w:r w:rsidRPr="003E1000">
              <w:t>Проектите по процедурата ще бъдат изпълнявани в Република България, само в защитени зони по Директивата за опазване на природните местообитания и на дивата флора и фауна, в които има съществуващи площадки за подхранване.</w:t>
            </w:r>
          </w:p>
          <w:p w14:paraId="4DE3404B" w14:textId="77777777" w:rsidR="005460F0" w:rsidRPr="003E1000" w:rsidRDefault="005460F0" w:rsidP="005460F0">
            <w:pPr>
              <w:jc w:val="both"/>
            </w:pPr>
          </w:p>
          <w:p w14:paraId="22266D31" w14:textId="548EA76B" w:rsidR="005460F0" w:rsidRPr="003E1000" w:rsidRDefault="005460F0" w:rsidP="005460F0">
            <w:pPr>
              <w:jc w:val="both"/>
            </w:pPr>
            <w:r w:rsidRPr="003E1000">
              <w:t>Да бъде редактиран по следния начин:</w:t>
            </w:r>
          </w:p>
          <w:p w14:paraId="3737B284" w14:textId="77777777" w:rsidR="005460F0" w:rsidRPr="003E1000" w:rsidRDefault="005460F0" w:rsidP="005460F0">
            <w:pPr>
              <w:jc w:val="both"/>
            </w:pPr>
            <w:r w:rsidRPr="003E1000">
              <w:t>5. Териториален обхват:</w:t>
            </w:r>
          </w:p>
          <w:p w14:paraId="6EC830E4" w14:textId="77777777" w:rsidR="005460F0" w:rsidRPr="003E1000" w:rsidRDefault="005460F0" w:rsidP="005460F0">
            <w:pPr>
              <w:jc w:val="both"/>
            </w:pPr>
            <w:r w:rsidRPr="003E1000">
              <w:t>Проектите по процедурата ще бъдат изпълнявани в Република България, само в защитени зони по Директива 92/43/ЕИО на Съвета за опазване на естествените местообитания и на дивата флора и фауна и Директива 2009/147/ЕО на Европейския парламент и на Съвета от 30 ноември 2009 година относно опазването на дивите птици, в които има съществуващи площадки за подхранване.</w:t>
            </w:r>
          </w:p>
          <w:p w14:paraId="11088AD9" w14:textId="77777777" w:rsidR="005460F0" w:rsidRPr="003E1000" w:rsidRDefault="005460F0" w:rsidP="005460F0">
            <w:pPr>
              <w:jc w:val="both"/>
            </w:pPr>
          </w:p>
          <w:p w14:paraId="0FC36F97" w14:textId="77777777" w:rsidR="005460F0" w:rsidRPr="003E1000" w:rsidRDefault="005460F0" w:rsidP="005460F0">
            <w:pPr>
              <w:jc w:val="both"/>
            </w:pPr>
            <w:r w:rsidRPr="003E1000">
              <w:t>Мотиви:</w:t>
            </w:r>
          </w:p>
          <w:p w14:paraId="579CB5A4" w14:textId="77777777" w:rsidR="005460F0" w:rsidRPr="003E1000" w:rsidRDefault="005460F0" w:rsidP="005460F0">
            <w:pPr>
              <w:jc w:val="both"/>
            </w:pPr>
            <w:r w:rsidRPr="003E1000">
              <w:t xml:space="preserve">Текстът в условията за кандидатстване „Директивата за опазване на природните местообитания и на дивата флора и фауна“  не кореспондира с точните наименования на двете директиви, както и предполага изключването на  Директива 2009/147/ЕО на Европейския парламент и на Съвета от 30 ноември 2009 година относно опазването на дивите птици, в 7 защитени зони /ЗЗ/ по която има 7 изградени площадки за подхранване на Черен лешояд (А079 </w:t>
            </w:r>
            <w:proofErr w:type="spellStart"/>
            <w:r w:rsidRPr="003E1000">
              <w:t>Aegypius</w:t>
            </w:r>
            <w:proofErr w:type="spellEnd"/>
            <w:r w:rsidRPr="003E1000">
              <w:t xml:space="preserve"> </w:t>
            </w:r>
            <w:proofErr w:type="spellStart"/>
            <w:r w:rsidRPr="003E1000">
              <w:t>monachus</w:t>
            </w:r>
            <w:proofErr w:type="spellEnd"/>
            <w:r w:rsidRPr="003E1000">
              <w:t>). Също така в следващите текстове от указанията се визират защитени зони по Натура 2000.</w:t>
            </w:r>
          </w:p>
          <w:p w14:paraId="4345D56B" w14:textId="77777777" w:rsidR="005460F0" w:rsidRPr="003E1000" w:rsidRDefault="005460F0" w:rsidP="005460F0">
            <w:pPr>
              <w:jc w:val="both"/>
            </w:pPr>
            <w:r w:rsidRPr="003E1000">
              <w:t>С предложената редакция се конкретизират  директивите и се избягва възможности за тълкувания по коя директива трябва да са ЗЗ, в които са изградени площадките за да бъдат допустими по обявената процедура.</w:t>
            </w:r>
          </w:p>
          <w:p w14:paraId="078CC2B5" w14:textId="77777777" w:rsidR="00FE14D3" w:rsidRPr="003E1000" w:rsidRDefault="00FE14D3" w:rsidP="005460F0">
            <w:pPr>
              <w:jc w:val="both"/>
            </w:pPr>
          </w:p>
          <w:p w14:paraId="51B9CC72" w14:textId="77777777" w:rsidR="003551C6" w:rsidRDefault="003551C6" w:rsidP="00FE14D3">
            <w:pPr>
              <w:jc w:val="both"/>
            </w:pPr>
          </w:p>
          <w:p w14:paraId="4589FCC8" w14:textId="2BA41B58" w:rsidR="00FE14D3" w:rsidRPr="003E1000" w:rsidRDefault="00FE14D3" w:rsidP="00FE14D3">
            <w:pPr>
              <w:jc w:val="both"/>
            </w:pPr>
            <w:r w:rsidRPr="003E1000">
              <w:t>СТАНОВИЩЕ – Част 2</w:t>
            </w:r>
          </w:p>
          <w:p w14:paraId="52CF6DB4" w14:textId="77777777" w:rsidR="00FE14D3" w:rsidRPr="003E1000" w:rsidRDefault="00FE14D3" w:rsidP="00FE14D3">
            <w:pPr>
              <w:jc w:val="both"/>
            </w:pPr>
            <w:r w:rsidRPr="003E1000">
              <w:t>По т.13 от УСЛОВИЯ ЗА КАНДИДАТСТВАНЕ</w:t>
            </w:r>
          </w:p>
          <w:p w14:paraId="7AB06A47" w14:textId="77777777" w:rsidR="00FE14D3" w:rsidRPr="003E1000" w:rsidRDefault="00FE14D3" w:rsidP="00FE14D3">
            <w:pPr>
              <w:jc w:val="both"/>
            </w:pPr>
            <w:r w:rsidRPr="003E1000">
              <w:t xml:space="preserve">Предложеният текст в т.13.1, </w:t>
            </w:r>
            <w:proofErr w:type="spellStart"/>
            <w:r w:rsidRPr="003E1000">
              <w:t>даа</w:t>
            </w:r>
            <w:proofErr w:type="spellEnd"/>
            <w:r w:rsidRPr="003E1000">
              <w:t xml:space="preserve"> се прецизира по следния начин:</w:t>
            </w:r>
          </w:p>
          <w:p w14:paraId="5CEA2877" w14:textId="77777777" w:rsidR="00FE14D3" w:rsidRPr="003E1000" w:rsidRDefault="00FE14D3" w:rsidP="00FE14D3">
            <w:pPr>
              <w:jc w:val="both"/>
            </w:pPr>
            <w:r w:rsidRPr="003E1000">
              <w:t>Допустими за финансиране са следните дейности, които кандидатът описва и обосновава в проектното предложение:</w:t>
            </w:r>
          </w:p>
          <w:p w14:paraId="1E1F550B" w14:textId="77777777" w:rsidR="00FE14D3" w:rsidRPr="003E1000" w:rsidRDefault="00FE14D3" w:rsidP="00FE14D3">
            <w:pPr>
              <w:jc w:val="both"/>
            </w:pPr>
            <w:r w:rsidRPr="003E1000">
              <w:t xml:space="preserve">13.1. Дейности по мярка 70 от НРПД 2021-2027 г.: поддържане на площадката за подхранване на вида и извършване на подхранвания в съществуващи площадки в защитените зони от мрежата Натура 2000 за подхранване на видовете Черен лешояд (А079 </w:t>
            </w:r>
            <w:proofErr w:type="spellStart"/>
            <w:r w:rsidRPr="003E1000">
              <w:t>Aegypius</w:t>
            </w:r>
            <w:proofErr w:type="spellEnd"/>
            <w:r w:rsidRPr="003E1000">
              <w:t xml:space="preserve"> </w:t>
            </w:r>
            <w:proofErr w:type="spellStart"/>
            <w:r w:rsidRPr="003E1000">
              <w:t>monachus</w:t>
            </w:r>
            <w:proofErr w:type="spellEnd"/>
            <w:r w:rsidRPr="003E1000">
              <w:t xml:space="preserve">), </w:t>
            </w:r>
            <w:proofErr w:type="spellStart"/>
            <w:r w:rsidRPr="003E1000">
              <w:t>Кръстат</w:t>
            </w:r>
            <w:proofErr w:type="spellEnd"/>
            <w:r w:rsidRPr="003E1000">
              <w:t xml:space="preserve"> орел (А404 </w:t>
            </w:r>
            <w:proofErr w:type="spellStart"/>
            <w:r w:rsidRPr="003E1000">
              <w:t>Aquila</w:t>
            </w:r>
            <w:proofErr w:type="spellEnd"/>
            <w:r w:rsidRPr="003E1000">
              <w:t xml:space="preserve"> </w:t>
            </w:r>
            <w:proofErr w:type="spellStart"/>
            <w:r w:rsidRPr="003E1000">
              <w:t>heliaca</w:t>
            </w:r>
            <w:proofErr w:type="spellEnd"/>
            <w:r w:rsidRPr="003E1000">
              <w:t xml:space="preserve">), Белоглав лешояд (А078 </w:t>
            </w:r>
            <w:proofErr w:type="spellStart"/>
            <w:r w:rsidRPr="003E1000">
              <w:t>Gyps</w:t>
            </w:r>
            <w:proofErr w:type="spellEnd"/>
            <w:r w:rsidRPr="003E1000">
              <w:t xml:space="preserve"> </w:t>
            </w:r>
            <w:proofErr w:type="spellStart"/>
            <w:r w:rsidRPr="003E1000">
              <w:t>fulvus</w:t>
            </w:r>
            <w:proofErr w:type="spellEnd"/>
            <w:r w:rsidRPr="003E1000">
              <w:t xml:space="preserve">), Египетски лешояд (А077 </w:t>
            </w:r>
            <w:proofErr w:type="spellStart"/>
            <w:r w:rsidRPr="003E1000">
              <w:t>Neophron</w:t>
            </w:r>
            <w:proofErr w:type="spellEnd"/>
            <w:r w:rsidRPr="003E1000">
              <w:t xml:space="preserve"> </w:t>
            </w:r>
            <w:proofErr w:type="spellStart"/>
            <w:r w:rsidRPr="003E1000">
              <w:t>percnopterus</w:t>
            </w:r>
            <w:proofErr w:type="spellEnd"/>
            <w:r w:rsidRPr="003E1000">
              <w:t>).  както следва:</w:t>
            </w:r>
          </w:p>
          <w:p w14:paraId="330E4B7B" w14:textId="77777777" w:rsidR="00FE14D3" w:rsidRPr="003E1000" w:rsidRDefault="00FE14D3" w:rsidP="00FE14D3">
            <w:pPr>
              <w:jc w:val="both"/>
            </w:pPr>
            <w:r w:rsidRPr="003E1000">
              <w:t>- изготвяне на проектното предложение</w:t>
            </w:r>
          </w:p>
          <w:p w14:paraId="46728846" w14:textId="77777777" w:rsidR="00FE14D3" w:rsidRPr="003E1000" w:rsidRDefault="00FE14D3" w:rsidP="00FE14D3">
            <w:pPr>
              <w:jc w:val="both"/>
            </w:pPr>
            <w:r w:rsidRPr="003E1000">
              <w:t xml:space="preserve"> - възстановяване на компрометирани елементи на площадката, които не представляват строителни и монтажни дейности по смисъла на ЗУТ. </w:t>
            </w:r>
          </w:p>
          <w:p w14:paraId="32E2B00F" w14:textId="77777777" w:rsidR="00FE14D3" w:rsidRPr="003E1000" w:rsidRDefault="00FE14D3" w:rsidP="00FE14D3">
            <w:pPr>
              <w:jc w:val="both"/>
            </w:pPr>
            <w:r w:rsidRPr="003E1000">
              <w:t xml:space="preserve">- извършване на дезинфекция и деконтаминация (механична, физична, биологична, химична с </w:t>
            </w:r>
            <w:proofErr w:type="spellStart"/>
            <w:r w:rsidRPr="003E1000">
              <w:t>биоцидни</w:t>
            </w:r>
            <w:proofErr w:type="spellEnd"/>
            <w:r w:rsidRPr="003E1000">
              <w:t xml:space="preserve"> препарати) на площадките и на транспортните средства, вкл. осигуряването </w:t>
            </w:r>
            <w:r w:rsidRPr="003E1000">
              <w:lastRenderedPageBreak/>
              <w:t xml:space="preserve">на лични предпазни средства,  при спазване на Наредба № 1 от 5.01.2018 г. за условията и реда за извършване на дезинфекции, </w:t>
            </w:r>
            <w:proofErr w:type="spellStart"/>
            <w:r w:rsidRPr="003E1000">
              <w:t>дезинсекции</w:t>
            </w:r>
            <w:proofErr w:type="spellEnd"/>
            <w:r w:rsidRPr="003E1000">
              <w:t xml:space="preserve"> и </w:t>
            </w:r>
            <w:proofErr w:type="spellStart"/>
            <w:r w:rsidRPr="003E1000">
              <w:t>дератизации</w:t>
            </w:r>
            <w:proofErr w:type="spellEnd"/>
            <w:r w:rsidRPr="003E1000">
              <w:t>.</w:t>
            </w:r>
          </w:p>
          <w:p w14:paraId="3D8905FE" w14:textId="77777777" w:rsidR="00FE14D3" w:rsidRPr="003E1000" w:rsidRDefault="00FE14D3" w:rsidP="00FE14D3">
            <w:pPr>
              <w:jc w:val="both"/>
            </w:pPr>
            <w:r w:rsidRPr="003E1000">
              <w:t xml:space="preserve">- обезвреждане на остатъчните след подхранването продукти. Обезвреждане на странични животински продукти и на продукти, получени от тях, се извършва в обекти, регистрирани в ОДБХ по реда на чл. 262.  или извън такива обекти, по реда и при спазване на изискванията на Наредба № 3 от 27.01.2021 г. за условията и реда за обезвреждане на странични животински продукти и на продукти, получени от тях.  При спазване на чл.275,ал.1 от ЗБМД кандидата или партньора, са длъжни да предават остатъчните </w:t>
            </w:r>
            <w:proofErr w:type="spellStart"/>
            <w:r w:rsidRPr="003E1000">
              <w:t>сжп</w:t>
            </w:r>
            <w:proofErr w:type="spellEnd"/>
            <w:r w:rsidRPr="003E1000">
              <w:t xml:space="preserve"> в обекти по чл. 259, ал. 1 или 2 и инсталации по чл. 259а, ал. 1 с изключение на случаите определени с наредбата по чл. 259, ал. 3.</w:t>
            </w:r>
          </w:p>
          <w:p w14:paraId="4CB7B33F" w14:textId="77777777" w:rsidR="00FE14D3" w:rsidRPr="003E1000" w:rsidRDefault="00FE14D3" w:rsidP="00FE14D3">
            <w:pPr>
              <w:jc w:val="both"/>
            </w:pPr>
            <w:r w:rsidRPr="003E1000">
              <w:t xml:space="preserve">- ветеринарно обслужване на площадката </w:t>
            </w:r>
          </w:p>
          <w:p w14:paraId="3E6446C9" w14:textId="77777777" w:rsidR="00FE14D3" w:rsidRPr="003E1000" w:rsidRDefault="00FE14D3" w:rsidP="00FE14D3">
            <w:pPr>
              <w:jc w:val="both"/>
            </w:pPr>
            <w:r w:rsidRPr="003E1000">
              <w:t>- транспортиране на СЖП, при спазване на изискванията по чл. 245 от ЗВМД, като бъдат придружени със съответните транспортни документи. Транспортирането следва да се извърши с превозни средства, регистрирани по реда на чл. 246, ал. 1 от ЗВМД.</w:t>
            </w:r>
          </w:p>
          <w:p w14:paraId="27FC7120" w14:textId="77777777" w:rsidR="00FE14D3" w:rsidRPr="003E1000" w:rsidRDefault="00FE14D3" w:rsidP="00FE14D3">
            <w:pPr>
              <w:jc w:val="both"/>
            </w:pPr>
            <w:r w:rsidRPr="003E1000">
              <w:t>- закупуване и монтаж на полева камера и/или фотокапан. В допълнение към дейностите от НРПД е задължително монтиране на полева камера и/или фотокапан за конкретната площадка (допустими са фотоволтаични панели, осигуряващи захранването на камерите панели, интернет - при покритие от GSM оператор), с което в допълнение към транспортните документи ще се доказва, че животинските продукти са разположени на съответната площадка.</w:t>
            </w:r>
          </w:p>
          <w:p w14:paraId="1A8CA5E1" w14:textId="77777777" w:rsidR="00FE14D3" w:rsidRPr="003E1000" w:rsidRDefault="00FE14D3" w:rsidP="00FE14D3">
            <w:pPr>
              <w:jc w:val="both"/>
            </w:pPr>
            <w:r w:rsidRPr="003E1000">
              <w:t>- генериране на  пространствени компоненти, картен материал в цифров вид, както и пространствени данни в цифров вид (ГИС). Изискванията към картния материал и пространствените данни са: картният материал да бъде в мащаб, позволяващ разчитане на детайлите, представени в съответната карта; за пространствените данни, които се представят в цифров вид - геобаза данни с метаданни или ESRI *</w:t>
            </w:r>
            <w:proofErr w:type="spellStart"/>
            <w:r w:rsidRPr="003E1000">
              <w:t>shp</w:t>
            </w:r>
            <w:proofErr w:type="spellEnd"/>
            <w:r w:rsidRPr="003E1000">
              <w:t xml:space="preserve"> (ESRI </w:t>
            </w:r>
            <w:proofErr w:type="spellStart"/>
            <w:r w:rsidRPr="003E1000">
              <w:t>shape</w:t>
            </w:r>
            <w:proofErr w:type="spellEnd"/>
            <w:r w:rsidRPr="003E1000">
              <w:t xml:space="preserve"> </w:t>
            </w:r>
            <w:proofErr w:type="spellStart"/>
            <w:r w:rsidRPr="003E1000">
              <w:t>file</w:t>
            </w:r>
            <w:proofErr w:type="spellEnd"/>
            <w:r w:rsidRPr="003E1000">
              <w:t>), в проекционна координатна система WGS84/UTM зона 35N и/или в официалната за страната система, при спазване на следната структура:</w:t>
            </w:r>
          </w:p>
          <w:p w14:paraId="20C466A2" w14:textId="77777777" w:rsidR="00FE14D3" w:rsidRPr="003E1000" w:rsidRDefault="00FE14D3" w:rsidP="00FE14D3">
            <w:pPr>
              <w:jc w:val="both"/>
            </w:pPr>
            <w:r w:rsidRPr="003E1000">
              <w:lastRenderedPageBreak/>
              <w:t>•</w:t>
            </w:r>
            <w:r w:rsidRPr="003E1000">
              <w:tab/>
              <w:t>геобаза/пакет от използваните изходни данни, които не са публично достъпни и/или не са в информационната система на НАТУРА 2000;</w:t>
            </w:r>
          </w:p>
          <w:p w14:paraId="29A209AD" w14:textId="77777777" w:rsidR="00FE14D3" w:rsidRPr="003E1000" w:rsidRDefault="00FE14D3" w:rsidP="00FE14D3">
            <w:pPr>
              <w:jc w:val="both"/>
            </w:pPr>
            <w:r w:rsidRPr="003E1000">
              <w:t>•</w:t>
            </w:r>
            <w:r w:rsidRPr="003E1000">
              <w:tab/>
              <w:t>геобаза/пакет от данни от проведените дейности на терен - GPS трак и точки с регистрации; полеви формуляри; снимков материал;</w:t>
            </w:r>
          </w:p>
          <w:p w14:paraId="485A0DDC" w14:textId="77777777" w:rsidR="00FE14D3" w:rsidRPr="003E1000" w:rsidRDefault="00FE14D3" w:rsidP="00FE14D3">
            <w:pPr>
              <w:jc w:val="both"/>
            </w:pPr>
            <w:r w:rsidRPr="003E1000">
              <w:t>•</w:t>
            </w:r>
            <w:r w:rsidRPr="003E1000">
              <w:tab/>
              <w:t xml:space="preserve">геобаза/пакет от данни от крайни продукти, получени от извършените анализи и обобщения. Всички данни за местообитанията, които се набират и анализират за целите на дейностите по проектите, както и посочените пространствени данни със съответните мета-данни, се предоставят при подаване на пакет отчетни документи, като същите стават собственост на Министерството на околната среда и водите. </w:t>
            </w:r>
          </w:p>
          <w:p w14:paraId="41D28CDC" w14:textId="77777777" w:rsidR="00FE14D3" w:rsidRPr="003E1000" w:rsidRDefault="00FE14D3" w:rsidP="00FE14D3">
            <w:pPr>
              <w:jc w:val="both"/>
            </w:pPr>
            <w:r w:rsidRPr="003E1000">
              <w:t>При изпълнение на дейностите, кандидатите следва да спазват всички изисквания, произтичащи от Регламент (ЕО) № 1069/2009 и Регламент (ЕС) № 142/2011. Финансиране по процедурата се предоставя за извършване на подхранване на 15 площадки, регистрирани по реда на Закона за ветеринарномедицинската дейност (ЗВМД), които се намират на територията на защитена зона от мрежата Натура 2000. В случай на достатъчен финансов ресурс, могат да бъдат финансирани допълнителни площадки, които отговарят на изискванията по процедурата .</w:t>
            </w:r>
          </w:p>
          <w:p w14:paraId="4572A8E4" w14:textId="77777777" w:rsidR="00FE14D3" w:rsidRPr="003E1000" w:rsidRDefault="00FE14D3" w:rsidP="00FE14D3">
            <w:pPr>
              <w:jc w:val="both"/>
            </w:pPr>
            <w:r w:rsidRPr="003E1000">
              <w:t xml:space="preserve">За извършване на подхранването, кандидатите следва да разполагат с разрешително за използване на СЖП, издадено по реда на чл. 271 от ЗМВД. Кандидатите следва да посочат в проектните си предложения конкретните площадки, на които ще се изпълняват техните проекти. </w:t>
            </w:r>
          </w:p>
          <w:p w14:paraId="5AC60BEB" w14:textId="77777777" w:rsidR="00FE14D3" w:rsidRPr="003E1000" w:rsidRDefault="00FE14D3" w:rsidP="00FE14D3">
            <w:pPr>
              <w:jc w:val="both"/>
            </w:pPr>
            <w:r w:rsidRPr="003E1000">
              <w:t xml:space="preserve">Кандидатът, преди подаване на проекта, следва да изиска съгласие от собственика за извършване на дейности в конкретната площадка, попадаща в обхвата на проекта (ако същата не е негова собственост), след което да подаде уведомление по реда на екологичното законодателство до компетентния орган. При кандидатстване той следва да представи краен акт – решение на съответния компетентен орган от съгласуване по реда на екологичното законодателство за планираните дейности. </w:t>
            </w:r>
          </w:p>
          <w:p w14:paraId="7AC40F15" w14:textId="77777777" w:rsidR="00FE14D3" w:rsidRPr="003E1000" w:rsidRDefault="00FE14D3" w:rsidP="00FE14D3">
            <w:pPr>
              <w:jc w:val="both"/>
            </w:pPr>
            <w:r w:rsidRPr="003E1000">
              <w:t>Мотиви:</w:t>
            </w:r>
          </w:p>
          <w:p w14:paraId="56007A9F" w14:textId="3BD187BB" w:rsidR="00477883" w:rsidRDefault="00FE14D3" w:rsidP="00FE14D3">
            <w:pPr>
              <w:jc w:val="both"/>
            </w:pPr>
            <w:r w:rsidRPr="003E1000">
              <w:lastRenderedPageBreak/>
              <w:t>С прецизиране на текста се постига яснота и конкретика по отношение на допустимите дейности, които гарантират всеобхватност на дейностите по поддържане на площадки и подхранване. Отстранява се двусмислието по отношение допустимостта на дейностите по обезвреждането и задълженията на кандидата за спазване на чл.275 от ЗВМД, както и се изключват недопустимите дейности, които са отразени в 13.4. Видове недопустими дейности от Условията за кандидатстване.</w:t>
            </w:r>
          </w:p>
          <w:p w14:paraId="4E4357E1" w14:textId="77777777" w:rsidR="00477883" w:rsidRDefault="00477883" w:rsidP="00FE14D3">
            <w:pPr>
              <w:jc w:val="both"/>
            </w:pPr>
          </w:p>
          <w:p w14:paraId="698E9641" w14:textId="6B6CF6C2" w:rsidR="00FE14D3" w:rsidRPr="003E1000" w:rsidRDefault="00FE14D3" w:rsidP="00FE14D3">
            <w:pPr>
              <w:jc w:val="both"/>
            </w:pPr>
            <w:r w:rsidRPr="003E1000">
              <w:t>СТАНОВИЩЕ – Част 3</w:t>
            </w:r>
          </w:p>
          <w:p w14:paraId="3CF84074" w14:textId="77777777" w:rsidR="00FE14D3" w:rsidRPr="003E1000" w:rsidRDefault="00FE14D3" w:rsidP="00FE14D3">
            <w:pPr>
              <w:jc w:val="both"/>
            </w:pPr>
            <w:r w:rsidRPr="003E1000">
              <w:t>По т. 24 от УСЛОВИЯ ЗА КАНДИДАТСТВАНЕ</w:t>
            </w:r>
          </w:p>
          <w:p w14:paraId="1ACD6B33" w14:textId="77777777" w:rsidR="00FE14D3" w:rsidRPr="003E1000" w:rsidRDefault="00FE14D3" w:rsidP="00FE14D3">
            <w:pPr>
              <w:jc w:val="both"/>
            </w:pPr>
            <w:r w:rsidRPr="003E1000">
              <w:t>Т. 24.16.  Удостоверение за регистрация по чл. 246, ал. 1 от ЗДВМ на транспортното/</w:t>
            </w:r>
            <w:proofErr w:type="spellStart"/>
            <w:r w:rsidRPr="003E1000">
              <w:t>ите</w:t>
            </w:r>
            <w:proofErr w:type="spellEnd"/>
            <w:r w:rsidRPr="003E1000">
              <w:t xml:space="preserve"> средство/а за превоз на животински продукти по проекта да отпадне.</w:t>
            </w:r>
          </w:p>
          <w:p w14:paraId="55963AD3" w14:textId="77777777" w:rsidR="00FE14D3" w:rsidRPr="003E1000" w:rsidRDefault="00FE14D3" w:rsidP="00FE14D3">
            <w:pPr>
              <w:jc w:val="both"/>
            </w:pPr>
            <w:r w:rsidRPr="003E1000">
              <w:t xml:space="preserve">Мотиви: </w:t>
            </w:r>
          </w:p>
          <w:p w14:paraId="7F5B8C70" w14:textId="77777777" w:rsidR="00FE14D3" w:rsidRPr="003E1000" w:rsidRDefault="00FE14D3" w:rsidP="00FE14D3">
            <w:pPr>
              <w:jc w:val="both"/>
            </w:pPr>
            <w:r w:rsidRPr="003E1000">
              <w:t>Представянето на Удостоверение за регистрация по чл. 246, ал. 1 от ЗДВМ на транспортното/</w:t>
            </w:r>
            <w:proofErr w:type="spellStart"/>
            <w:r w:rsidRPr="003E1000">
              <w:t>ите</w:t>
            </w:r>
            <w:proofErr w:type="spellEnd"/>
            <w:r w:rsidRPr="003E1000">
              <w:t xml:space="preserve"> средство/а за превоз на животински продукти по проекта е необосновано да се изисква на етап кандидатстване, тъй като дейността транспортиране е допустима за възлагане на външен изпълнител, който ще бъде избран след одобрение на проектното предложение.</w:t>
            </w:r>
          </w:p>
          <w:p w14:paraId="0EFC5354" w14:textId="4E839B3A" w:rsidR="00FE14D3" w:rsidRPr="003E1000" w:rsidRDefault="00FE14D3" w:rsidP="00FE14D3">
            <w:pPr>
              <w:jc w:val="both"/>
            </w:pPr>
          </w:p>
        </w:tc>
        <w:tc>
          <w:tcPr>
            <w:tcW w:w="5080" w:type="dxa"/>
            <w:shd w:val="clear" w:color="auto" w:fill="auto"/>
          </w:tcPr>
          <w:p w14:paraId="1110EC92" w14:textId="36788075" w:rsidR="0005254B" w:rsidRPr="00C537BA" w:rsidRDefault="00454723" w:rsidP="0005254B">
            <w:pPr>
              <w:jc w:val="both"/>
            </w:pPr>
            <w:r>
              <w:rPr>
                <w:lang w:eastAsia="de-DE"/>
              </w:rPr>
              <w:lastRenderedPageBreak/>
              <w:t xml:space="preserve">По част 1 от становището - </w:t>
            </w:r>
            <w:r w:rsidR="00787431" w:rsidRPr="00787431">
              <w:rPr>
                <w:lang w:eastAsia="de-DE"/>
              </w:rPr>
              <w:t>Приема се. Текстът в раздел 5 от проекта на условия за кандидатстване е прецизиран по следния начин: „</w:t>
            </w:r>
            <w:r w:rsidR="00787431" w:rsidRPr="00787431">
              <w:rPr>
                <w:i/>
                <w:iCs/>
                <w:lang w:eastAsia="de-DE"/>
              </w:rPr>
              <w:t>Проектите по процедурата ще бъдат изпълнявани в Република България, само в защитени зони от мрежата Натура 2000 (по Директива 92/43/ЕИО и Директива 2009/147/ЕО) в които има съществуващи площадки за подхранване.“</w:t>
            </w:r>
            <w:r w:rsidR="001F116D">
              <w:rPr>
                <w:i/>
                <w:iCs/>
                <w:lang w:eastAsia="de-DE"/>
              </w:rPr>
              <w:t xml:space="preserve"> </w:t>
            </w:r>
            <w:r w:rsidR="0005254B" w:rsidRPr="008171E4">
              <w:t>Предвид разширяването на териториалния обхват на процедурата чрез включването на защитени зони по Директива 2009/147/ЕО за опазването на дивите птици</w:t>
            </w:r>
            <w:r w:rsidR="0005254B">
              <w:t xml:space="preserve">, </w:t>
            </w:r>
            <w:r w:rsidR="0005254B" w:rsidRPr="008171E4">
              <w:t xml:space="preserve">максималният размер на безвъзмездната финансова помощ за един проект </w:t>
            </w:r>
            <w:r w:rsidR="0005254B">
              <w:t>е</w:t>
            </w:r>
            <w:r w:rsidR="0005254B" w:rsidRPr="008171E4">
              <w:t xml:space="preserve"> определ</w:t>
            </w:r>
            <w:r w:rsidR="0005254B">
              <w:t xml:space="preserve">ен на </w:t>
            </w:r>
            <w:r w:rsidR="0005254B" w:rsidRPr="00F8150C">
              <w:t>279 684 лв.</w:t>
            </w:r>
          </w:p>
          <w:p w14:paraId="4050F9C1" w14:textId="51505469" w:rsidR="003E1000" w:rsidRPr="00787431" w:rsidRDefault="003E1000" w:rsidP="005642BC">
            <w:pPr>
              <w:jc w:val="both"/>
            </w:pPr>
          </w:p>
          <w:p w14:paraId="39BFA2ED" w14:textId="77777777" w:rsidR="003E1000" w:rsidRPr="003E1000" w:rsidRDefault="003E1000" w:rsidP="005642BC">
            <w:pPr>
              <w:jc w:val="both"/>
            </w:pPr>
          </w:p>
          <w:p w14:paraId="5A5E7B53" w14:textId="77777777" w:rsidR="003E1000" w:rsidRPr="003E1000" w:rsidRDefault="003E1000" w:rsidP="005642BC">
            <w:pPr>
              <w:jc w:val="both"/>
            </w:pPr>
          </w:p>
          <w:p w14:paraId="2DA080AC" w14:textId="77777777" w:rsidR="003E1000" w:rsidRPr="003E1000" w:rsidRDefault="003E1000" w:rsidP="005642BC">
            <w:pPr>
              <w:jc w:val="both"/>
            </w:pPr>
          </w:p>
          <w:p w14:paraId="02F8FDC3" w14:textId="77777777" w:rsidR="003E1000" w:rsidRPr="003E1000" w:rsidRDefault="003E1000" w:rsidP="005642BC">
            <w:pPr>
              <w:jc w:val="both"/>
            </w:pPr>
          </w:p>
          <w:p w14:paraId="1EBD14ED" w14:textId="77777777" w:rsidR="003E1000" w:rsidRPr="003E1000" w:rsidRDefault="003E1000" w:rsidP="005642BC">
            <w:pPr>
              <w:jc w:val="both"/>
            </w:pPr>
          </w:p>
          <w:p w14:paraId="4B6F67F9" w14:textId="77777777" w:rsidR="003E1000" w:rsidRPr="003E1000" w:rsidRDefault="003E1000" w:rsidP="005642BC">
            <w:pPr>
              <w:jc w:val="both"/>
            </w:pPr>
          </w:p>
          <w:p w14:paraId="41B9EEA7" w14:textId="77777777" w:rsidR="003E1000" w:rsidRPr="003E1000" w:rsidRDefault="003E1000" w:rsidP="005642BC">
            <w:pPr>
              <w:jc w:val="both"/>
            </w:pPr>
          </w:p>
          <w:p w14:paraId="06D2020D" w14:textId="77777777" w:rsidR="003E1000" w:rsidRPr="003E1000" w:rsidRDefault="003E1000" w:rsidP="005642BC">
            <w:pPr>
              <w:jc w:val="both"/>
            </w:pPr>
          </w:p>
          <w:p w14:paraId="01A767D9" w14:textId="77777777" w:rsidR="003E1000" w:rsidRPr="003E1000" w:rsidRDefault="003E1000" w:rsidP="005642BC">
            <w:pPr>
              <w:jc w:val="both"/>
            </w:pPr>
          </w:p>
          <w:p w14:paraId="6DAFBB1A" w14:textId="77777777" w:rsidR="003E1000" w:rsidRPr="003E1000" w:rsidRDefault="003E1000" w:rsidP="005642BC">
            <w:pPr>
              <w:jc w:val="both"/>
            </w:pPr>
          </w:p>
          <w:p w14:paraId="51D5B705" w14:textId="77777777" w:rsidR="003E1000" w:rsidRPr="003E1000" w:rsidRDefault="003E1000" w:rsidP="005642BC">
            <w:pPr>
              <w:jc w:val="both"/>
            </w:pPr>
          </w:p>
          <w:p w14:paraId="06E21521" w14:textId="77777777" w:rsidR="003E1000" w:rsidRPr="003E1000" w:rsidRDefault="003E1000" w:rsidP="005642BC">
            <w:pPr>
              <w:jc w:val="both"/>
            </w:pPr>
          </w:p>
          <w:p w14:paraId="095CC82D" w14:textId="77777777" w:rsidR="003E1000" w:rsidRPr="003E1000" w:rsidRDefault="003E1000" w:rsidP="005642BC">
            <w:pPr>
              <w:jc w:val="both"/>
            </w:pPr>
          </w:p>
          <w:p w14:paraId="657AE5B6" w14:textId="77777777" w:rsidR="003E1000" w:rsidRPr="003E1000" w:rsidRDefault="003E1000" w:rsidP="005642BC">
            <w:pPr>
              <w:jc w:val="both"/>
            </w:pPr>
          </w:p>
          <w:p w14:paraId="32B6A41D" w14:textId="77777777" w:rsidR="003E1000" w:rsidRPr="003E1000" w:rsidRDefault="003E1000" w:rsidP="005642BC">
            <w:pPr>
              <w:jc w:val="both"/>
            </w:pPr>
          </w:p>
          <w:p w14:paraId="01BA08A1" w14:textId="77777777" w:rsidR="003E1000" w:rsidRPr="003E1000" w:rsidRDefault="003E1000" w:rsidP="005642BC">
            <w:pPr>
              <w:jc w:val="both"/>
            </w:pPr>
          </w:p>
          <w:p w14:paraId="1A1361F3" w14:textId="77777777" w:rsidR="003E1000" w:rsidRPr="003E1000" w:rsidRDefault="003E1000" w:rsidP="005642BC">
            <w:pPr>
              <w:jc w:val="both"/>
            </w:pPr>
          </w:p>
          <w:p w14:paraId="70484B92" w14:textId="77777777" w:rsidR="003E1000" w:rsidRPr="003E1000" w:rsidRDefault="003E1000" w:rsidP="005642BC">
            <w:pPr>
              <w:jc w:val="both"/>
            </w:pPr>
          </w:p>
          <w:p w14:paraId="20CB41F6" w14:textId="77777777" w:rsidR="003E1000" w:rsidRPr="003E1000" w:rsidRDefault="003E1000" w:rsidP="005642BC">
            <w:pPr>
              <w:jc w:val="both"/>
            </w:pPr>
          </w:p>
          <w:p w14:paraId="2A48EDC8" w14:textId="77777777" w:rsidR="003E1000" w:rsidRPr="003E1000" w:rsidRDefault="003E1000" w:rsidP="005642BC">
            <w:pPr>
              <w:jc w:val="both"/>
            </w:pPr>
          </w:p>
          <w:p w14:paraId="3040ADE4" w14:textId="77777777" w:rsidR="003E1000" w:rsidRPr="003E1000" w:rsidRDefault="003E1000" w:rsidP="005642BC">
            <w:pPr>
              <w:jc w:val="both"/>
            </w:pPr>
          </w:p>
          <w:p w14:paraId="2870FC08" w14:textId="77777777" w:rsidR="003E1000" w:rsidRPr="003E1000" w:rsidRDefault="003E1000" w:rsidP="005642BC">
            <w:pPr>
              <w:jc w:val="both"/>
            </w:pPr>
          </w:p>
          <w:p w14:paraId="317AA3D5" w14:textId="77777777" w:rsidR="003E1000" w:rsidRPr="003E1000" w:rsidRDefault="003E1000" w:rsidP="005642BC">
            <w:pPr>
              <w:jc w:val="both"/>
            </w:pPr>
          </w:p>
          <w:p w14:paraId="0DEE0341" w14:textId="77777777" w:rsidR="003F233C" w:rsidRDefault="003F233C" w:rsidP="005642BC">
            <w:pPr>
              <w:jc w:val="both"/>
            </w:pPr>
          </w:p>
          <w:p w14:paraId="1A0C3B11" w14:textId="56E87414" w:rsidR="00572DB9" w:rsidRDefault="00454723" w:rsidP="00572DB9">
            <w:pPr>
              <w:jc w:val="both"/>
            </w:pPr>
            <w:r>
              <w:t xml:space="preserve">По част 2 от становището - </w:t>
            </w:r>
            <w:r w:rsidR="003E1000" w:rsidRPr="003551C6">
              <w:t xml:space="preserve">Приема се по принцип. </w:t>
            </w:r>
            <w:r w:rsidR="003E1000" w:rsidRPr="00572DB9">
              <w:t>Текст</w:t>
            </w:r>
            <w:r w:rsidR="00572DB9">
              <w:t>овете в</w:t>
            </w:r>
            <w:r w:rsidR="003E1000" w:rsidRPr="00572DB9">
              <w:t xml:space="preserve"> </w:t>
            </w:r>
            <w:r w:rsidR="003551C6">
              <w:t>раздел 13 „</w:t>
            </w:r>
            <w:r w:rsidR="00572DB9" w:rsidRPr="00572DB9">
              <w:t>Дейности, допустими за финансиране</w:t>
            </w:r>
            <w:r w:rsidR="003551C6">
              <w:t>“</w:t>
            </w:r>
            <w:r w:rsidR="00572DB9" w:rsidRPr="00572DB9">
              <w:t xml:space="preserve"> </w:t>
            </w:r>
            <w:r w:rsidR="00572DB9">
              <w:t>са</w:t>
            </w:r>
            <w:r w:rsidR="003E1000" w:rsidRPr="00572DB9">
              <w:t xml:space="preserve"> прецизира</w:t>
            </w:r>
            <w:r w:rsidR="00572DB9">
              <w:t>ни</w:t>
            </w:r>
            <w:r w:rsidR="001F116D">
              <w:t xml:space="preserve">. </w:t>
            </w:r>
          </w:p>
          <w:p w14:paraId="72349C80" w14:textId="6CB91817" w:rsidR="00572DB9" w:rsidRPr="008C2224" w:rsidRDefault="003551C6" w:rsidP="00572DB9">
            <w:pPr>
              <w:jc w:val="both"/>
            </w:pPr>
            <w:r>
              <w:t xml:space="preserve">- </w:t>
            </w:r>
            <w:r w:rsidR="006E39F0">
              <w:t>Добавена е т</w:t>
            </w:r>
            <w:r w:rsidR="00572DB9">
              <w:t xml:space="preserve">очка </w:t>
            </w:r>
            <w:r w:rsidR="00572DB9" w:rsidRPr="00572DB9">
              <w:t>13.1.</w:t>
            </w:r>
            <w:r w:rsidR="00572DB9">
              <w:t xml:space="preserve"> </w:t>
            </w:r>
            <w:r w:rsidRPr="003551C6">
              <w:rPr>
                <w:i/>
                <w:iCs/>
              </w:rPr>
              <w:t>„</w:t>
            </w:r>
            <w:r w:rsidR="00572DB9" w:rsidRPr="003551C6">
              <w:rPr>
                <w:i/>
                <w:iCs/>
              </w:rPr>
              <w:t>Спомагателни дейности</w:t>
            </w:r>
            <w:r w:rsidRPr="003551C6">
              <w:rPr>
                <w:i/>
                <w:iCs/>
              </w:rPr>
              <w:t>“,</w:t>
            </w:r>
            <w:r w:rsidR="00572DB9" w:rsidRPr="003551C6">
              <w:rPr>
                <w:i/>
                <w:iCs/>
              </w:rPr>
              <w:t xml:space="preserve"> </w:t>
            </w:r>
            <w:r w:rsidR="00587D24" w:rsidRPr="003551C6">
              <w:rPr>
                <w:i/>
                <w:iCs/>
              </w:rPr>
              <w:t>в която се включват</w:t>
            </w:r>
            <w:r w:rsidR="00572DB9" w:rsidRPr="003551C6">
              <w:rPr>
                <w:i/>
                <w:iCs/>
              </w:rPr>
              <w:t xml:space="preserve"> </w:t>
            </w:r>
            <w:r w:rsidR="001F116D">
              <w:t xml:space="preserve"> </w:t>
            </w:r>
            <w:r w:rsidR="001F116D" w:rsidRPr="001F116D">
              <w:rPr>
                <w:i/>
                <w:iCs/>
              </w:rPr>
              <w:t>дейности по изготвяне на проектно предложение, вкл. експертни и технически анализи и проучвания (в това число теренни посещения), необходими за разработването и планирането на проектното предложение. Експертните и технически анализи и проучвания не трябва да са самоцелни, а да осигуряват информация, без която е невъзможно да се подготви проектно предложение.</w:t>
            </w:r>
            <w:r w:rsidR="001F116D">
              <w:t xml:space="preserve"> </w:t>
            </w:r>
            <w:r w:rsidR="001F116D" w:rsidRPr="001F116D">
              <w:rPr>
                <w:i/>
                <w:iCs/>
              </w:rPr>
              <w:t xml:space="preserve">Към спомагателните дейности спада и изготвянето на документация и провеждане на изискващи се процедури по реда екологичното законодателство. За целите на настоящата процедура чрез подбор се изисква на етапа на кандидатстване да бъдат издадени и да се представят крайни актове по </w:t>
            </w:r>
            <w:r w:rsidR="001F116D" w:rsidRPr="001F116D">
              <w:rPr>
                <w:i/>
                <w:iCs/>
              </w:rPr>
              <w:lastRenderedPageBreak/>
              <w:t>реда на екологичното законодателство – Решения на компетентен орган от съгласуване по реда на екологичното законодателство за планираните дейности.</w:t>
            </w:r>
            <w:r w:rsidR="001F116D">
              <w:t xml:space="preserve"> </w:t>
            </w:r>
            <w:r w:rsidR="00417E90" w:rsidRPr="008C2224">
              <w:t xml:space="preserve">За тази категория разходи се въвежда и максимален размер на безвъзмездната финансова помощ от 20 000 лева </w:t>
            </w:r>
            <w:r w:rsidR="001F116D">
              <w:t>с</w:t>
            </w:r>
            <w:r w:rsidR="00417E90" w:rsidRPr="008C2224">
              <w:t xml:space="preserve"> ДДС.</w:t>
            </w:r>
          </w:p>
          <w:p w14:paraId="3FD93932" w14:textId="1085AE12" w:rsidR="003E1000" w:rsidRDefault="003551C6" w:rsidP="00E70FDE">
            <w:pPr>
              <w:jc w:val="both"/>
            </w:pPr>
            <w:r>
              <w:t xml:space="preserve">- </w:t>
            </w:r>
            <w:r w:rsidR="00477883" w:rsidRPr="003551C6">
              <w:t xml:space="preserve">Не се приема предложението да бъде включена </w:t>
            </w:r>
            <w:r w:rsidR="003A4CA3" w:rsidRPr="003551C6">
              <w:t xml:space="preserve">като </w:t>
            </w:r>
            <w:r w:rsidR="00477883" w:rsidRPr="003551C6">
              <w:t>допустима дейност „ветеринарно обслужване на площадката“.</w:t>
            </w:r>
            <w:r w:rsidR="00477883" w:rsidRPr="00477883">
              <w:t xml:space="preserve"> Предмет на процедурата е подхранването на целевите видове птици и поддържането на площадката за тяхното подхранване. Съгласно чл. 132, ал. 1, т. 1 от ЗВМД, собствениците, съответно ползвателите на животновъдни обекти </w:t>
            </w:r>
            <w:r>
              <w:t xml:space="preserve">са тези, които </w:t>
            </w:r>
            <w:r w:rsidR="00477883" w:rsidRPr="00477883">
              <w:t>осигуряват ветеринарномедицинско обслужване на животните, които отглеждат. Тези лица сключват договори по чл. 137а, съответно по чл. 137б от ЗВМД, с регистрирани ветеринарни лекари за профилактика, лечение и диагностика на болести по животните.</w:t>
            </w:r>
            <w:r>
              <w:t xml:space="preserve"> </w:t>
            </w:r>
            <w:r w:rsidR="00477883" w:rsidRPr="00477883">
              <w:t>Площадките за подхранване, регистрирани по реда на чл. 229 от ЗВМД, подлежат на ветеринарен контрол</w:t>
            </w:r>
            <w:r w:rsidR="00681ED8">
              <w:t xml:space="preserve"> от БАБХ</w:t>
            </w:r>
            <w:r w:rsidR="00477883" w:rsidRPr="00477883">
              <w:t>.</w:t>
            </w:r>
          </w:p>
          <w:p w14:paraId="64FE05EB" w14:textId="4A05A4DF" w:rsidR="00FF026A" w:rsidRDefault="00FF026A" w:rsidP="00E70FDE">
            <w:pPr>
              <w:jc w:val="both"/>
            </w:pPr>
            <w:r>
              <w:t xml:space="preserve">- Не се приема по отношение на предложението за отпадане на текста, съгласно който </w:t>
            </w:r>
            <w:r w:rsidRPr="00FF026A">
              <w:t>обезвреждане на остатъчните след подхранването продукти</w:t>
            </w:r>
            <w:r>
              <w:t xml:space="preserve"> </w:t>
            </w:r>
            <w:r w:rsidRPr="00FF026A">
              <w:t>се извършва в  инсталации, регистрирани по реда на чл. 229 или на чл. 262 от ЗВМД</w:t>
            </w:r>
            <w:r>
              <w:t xml:space="preserve">. Част от обектите за обезвреждане на СЖП се регистрират по реда на чл. 229 от ЗВМД, поради което текстът в тази му част не </w:t>
            </w:r>
            <w:r w:rsidR="00A54EAB">
              <w:t>е заличен</w:t>
            </w:r>
            <w:r>
              <w:t xml:space="preserve">. </w:t>
            </w:r>
          </w:p>
          <w:p w14:paraId="5AC361A2" w14:textId="77777777" w:rsidR="00E70FDE" w:rsidRDefault="00E70FDE" w:rsidP="00E70FDE">
            <w:pPr>
              <w:jc w:val="both"/>
            </w:pPr>
          </w:p>
          <w:p w14:paraId="6B14E20E" w14:textId="77777777" w:rsidR="00587D24" w:rsidRDefault="00587D24" w:rsidP="00E70FDE">
            <w:pPr>
              <w:jc w:val="both"/>
            </w:pPr>
          </w:p>
          <w:p w14:paraId="49B76D8F" w14:textId="77777777" w:rsidR="00587D24" w:rsidRDefault="00587D24" w:rsidP="00E70FDE">
            <w:pPr>
              <w:jc w:val="both"/>
            </w:pPr>
          </w:p>
          <w:p w14:paraId="2F3E792F" w14:textId="77777777" w:rsidR="00587D24" w:rsidRDefault="00587D24" w:rsidP="00E70FDE">
            <w:pPr>
              <w:jc w:val="both"/>
            </w:pPr>
          </w:p>
          <w:p w14:paraId="5EE3CE62" w14:textId="77777777" w:rsidR="00587D24" w:rsidRDefault="00587D24" w:rsidP="00E70FDE">
            <w:pPr>
              <w:jc w:val="both"/>
            </w:pPr>
          </w:p>
          <w:p w14:paraId="6EDCC766" w14:textId="77777777" w:rsidR="00587D24" w:rsidRDefault="00587D24" w:rsidP="00E70FDE">
            <w:pPr>
              <w:jc w:val="both"/>
            </w:pPr>
          </w:p>
          <w:p w14:paraId="275FFD37" w14:textId="77777777" w:rsidR="00587D24" w:rsidRDefault="00587D24" w:rsidP="00E70FDE">
            <w:pPr>
              <w:jc w:val="both"/>
            </w:pPr>
          </w:p>
          <w:p w14:paraId="1BB18922" w14:textId="77777777" w:rsidR="00587D24" w:rsidRDefault="00587D24" w:rsidP="00E70FDE">
            <w:pPr>
              <w:jc w:val="both"/>
            </w:pPr>
          </w:p>
          <w:p w14:paraId="1B99CED6" w14:textId="77777777" w:rsidR="00587D24" w:rsidRDefault="00587D24" w:rsidP="00E70FDE">
            <w:pPr>
              <w:jc w:val="both"/>
            </w:pPr>
          </w:p>
          <w:p w14:paraId="0EC7F2F8" w14:textId="77777777" w:rsidR="00587D24" w:rsidRDefault="00587D24" w:rsidP="00E70FDE">
            <w:pPr>
              <w:jc w:val="both"/>
            </w:pPr>
          </w:p>
          <w:p w14:paraId="2C1C2209" w14:textId="77777777" w:rsidR="00587D24" w:rsidRDefault="00587D24" w:rsidP="00E70FDE">
            <w:pPr>
              <w:jc w:val="both"/>
            </w:pPr>
          </w:p>
          <w:p w14:paraId="4FFC3CD8" w14:textId="77777777" w:rsidR="00587D24" w:rsidRDefault="00587D24" w:rsidP="00E70FDE">
            <w:pPr>
              <w:jc w:val="both"/>
            </w:pPr>
          </w:p>
          <w:p w14:paraId="7A1BDD25" w14:textId="77777777" w:rsidR="00587D24" w:rsidRDefault="00587D24" w:rsidP="00E70FDE">
            <w:pPr>
              <w:jc w:val="both"/>
            </w:pPr>
          </w:p>
          <w:p w14:paraId="04712801" w14:textId="77777777" w:rsidR="00587D24" w:rsidRDefault="00587D24" w:rsidP="00E70FDE">
            <w:pPr>
              <w:jc w:val="both"/>
            </w:pPr>
          </w:p>
          <w:p w14:paraId="3887CE98" w14:textId="77777777" w:rsidR="00587D24" w:rsidRDefault="00587D24" w:rsidP="00E70FDE">
            <w:pPr>
              <w:jc w:val="both"/>
            </w:pPr>
          </w:p>
          <w:p w14:paraId="180AB2B8" w14:textId="77777777" w:rsidR="00587D24" w:rsidRDefault="00587D24" w:rsidP="00E70FDE">
            <w:pPr>
              <w:jc w:val="both"/>
            </w:pPr>
          </w:p>
          <w:p w14:paraId="099D4C8E" w14:textId="77777777" w:rsidR="00587D24" w:rsidRDefault="00587D24" w:rsidP="00E70FDE">
            <w:pPr>
              <w:jc w:val="both"/>
            </w:pPr>
          </w:p>
          <w:p w14:paraId="6517BD88" w14:textId="77777777" w:rsidR="00587D24" w:rsidRDefault="00587D24" w:rsidP="00E70FDE">
            <w:pPr>
              <w:jc w:val="both"/>
            </w:pPr>
          </w:p>
          <w:p w14:paraId="51756FC3" w14:textId="77777777" w:rsidR="00587D24" w:rsidRDefault="00587D24" w:rsidP="00E70FDE">
            <w:pPr>
              <w:jc w:val="both"/>
            </w:pPr>
          </w:p>
          <w:p w14:paraId="2FE3E5A9" w14:textId="77777777" w:rsidR="00587D24" w:rsidRDefault="00587D24" w:rsidP="00E70FDE">
            <w:pPr>
              <w:jc w:val="both"/>
            </w:pPr>
          </w:p>
          <w:p w14:paraId="582BEF43" w14:textId="77777777" w:rsidR="00587D24" w:rsidRDefault="00587D24" w:rsidP="00E70FDE">
            <w:pPr>
              <w:jc w:val="both"/>
            </w:pPr>
          </w:p>
          <w:p w14:paraId="5236FC81" w14:textId="77777777" w:rsidR="00587D24" w:rsidRDefault="00587D24" w:rsidP="00E70FDE">
            <w:pPr>
              <w:jc w:val="both"/>
            </w:pPr>
          </w:p>
          <w:p w14:paraId="6731CE0F" w14:textId="77777777" w:rsidR="00587D24" w:rsidRDefault="00587D24" w:rsidP="00E70FDE">
            <w:pPr>
              <w:jc w:val="both"/>
            </w:pPr>
          </w:p>
          <w:p w14:paraId="2D82D8A3" w14:textId="77777777" w:rsidR="00587D24" w:rsidRDefault="00587D24" w:rsidP="00E70FDE">
            <w:pPr>
              <w:jc w:val="both"/>
            </w:pPr>
          </w:p>
          <w:p w14:paraId="7D404ECA" w14:textId="77777777" w:rsidR="00587D24" w:rsidRDefault="00587D24" w:rsidP="00E70FDE">
            <w:pPr>
              <w:jc w:val="both"/>
            </w:pPr>
          </w:p>
          <w:p w14:paraId="684C6553" w14:textId="77777777" w:rsidR="00587D24" w:rsidRDefault="00587D24" w:rsidP="00E70FDE">
            <w:pPr>
              <w:jc w:val="both"/>
            </w:pPr>
          </w:p>
          <w:p w14:paraId="5CEC6F9A" w14:textId="77777777" w:rsidR="00587D24" w:rsidRDefault="00587D24" w:rsidP="00E70FDE">
            <w:pPr>
              <w:jc w:val="both"/>
            </w:pPr>
          </w:p>
          <w:p w14:paraId="25999B8A" w14:textId="77777777" w:rsidR="00587D24" w:rsidRDefault="00587D24" w:rsidP="00E70FDE">
            <w:pPr>
              <w:jc w:val="both"/>
            </w:pPr>
          </w:p>
          <w:p w14:paraId="01882ABD" w14:textId="77777777" w:rsidR="00587D24" w:rsidRDefault="00587D24" w:rsidP="00E70FDE">
            <w:pPr>
              <w:jc w:val="both"/>
            </w:pPr>
          </w:p>
          <w:p w14:paraId="1F9D45D7" w14:textId="77777777" w:rsidR="00587D24" w:rsidRDefault="00587D24" w:rsidP="00E70FDE">
            <w:pPr>
              <w:jc w:val="both"/>
            </w:pPr>
          </w:p>
          <w:p w14:paraId="1166336A" w14:textId="77777777" w:rsidR="00587D24" w:rsidRDefault="00587D24" w:rsidP="00E70FDE">
            <w:pPr>
              <w:jc w:val="both"/>
            </w:pPr>
          </w:p>
          <w:p w14:paraId="5B221208" w14:textId="77777777" w:rsidR="00587D24" w:rsidRDefault="00587D24" w:rsidP="00E70FDE">
            <w:pPr>
              <w:jc w:val="both"/>
            </w:pPr>
          </w:p>
          <w:p w14:paraId="27D0F22A" w14:textId="77777777" w:rsidR="00587D24" w:rsidRDefault="00587D24" w:rsidP="00E70FDE">
            <w:pPr>
              <w:jc w:val="both"/>
            </w:pPr>
          </w:p>
          <w:p w14:paraId="59BCE077" w14:textId="77777777" w:rsidR="00587D24" w:rsidRDefault="00587D24" w:rsidP="00E70FDE">
            <w:pPr>
              <w:jc w:val="both"/>
            </w:pPr>
          </w:p>
          <w:p w14:paraId="08E98214" w14:textId="77777777" w:rsidR="00587D24" w:rsidRDefault="00587D24" w:rsidP="00E70FDE">
            <w:pPr>
              <w:jc w:val="both"/>
            </w:pPr>
          </w:p>
          <w:p w14:paraId="26AB45EC" w14:textId="77777777" w:rsidR="00587D24" w:rsidRDefault="00587D24" w:rsidP="00E70FDE">
            <w:pPr>
              <w:jc w:val="both"/>
            </w:pPr>
          </w:p>
          <w:p w14:paraId="69753807" w14:textId="77777777" w:rsidR="00587D24" w:rsidRDefault="00587D24" w:rsidP="00E70FDE">
            <w:pPr>
              <w:jc w:val="both"/>
            </w:pPr>
          </w:p>
          <w:p w14:paraId="2157B899" w14:textId="77777777" w:rsidR="00587D24" w:rsidRDefault="00587D24" w:rsidP="00E70FDE">
            <w:pPr>
              <w:jc w:val="both"/>
            </w:pPr>
          </w:p>
          <w:p w14:paraId="7CDFA09D" w14:textId="77777777" w:rsidR="00587D24" w:rsidRDefault="00587D24" w:rsidP="00E70FDE">
            <w:pPr>
              <w:jc w:val="both"/>
            </w:pPr>
          </w:p>
          <w:p w14:paraId="67282BC5" w14:textId="77777777" w:rsidR="00587D24" w:rsidRDefault="00587D24" w:rsidP="00E70FDE">
            <w:pPr>
              <w:jc w:val="both"/>
            </w:pPr>
          </w:p>
          <w:p w14:paraId="000040A7" w14:textId="77777777" w:rsidR="00587D24" w:rsidRDefault="00587D24" w:rsidP="00E70FDE">
            <w:pPr>
              <w:jc w:val="both"/>
            </w:pPr>
          </w:p>
          <w:p w14:paraId="02DD77B6" w14:textId="77777777" w:rsidR="00587D24" w:rsidRDefault="00587D24" w:rsidP="00E70FDE">
            <w:pPr>
              <w:jc w:val="both"/>
            </w:pPr>
          </w:p>
          <w:p w14:paraId="70CFA33A" w14:textId="77777777" w:rsidR="00587D24" w:rsidRDefault="00587D24" w:rsidP="00E70FDE">
            <w:pPr>
              <w:jc w:val="both"/>
            </w:pPr>
          </w:p>
          <w:p w14:paraId="24C1C4FF" w14:textId="77777777" w:rsidR="00587D24" w:rsidRDefault="00587D24" w:rsidP="00E70FDE">
            <w:pPr>
              <w:jc w:val="both"/>
            </w:pPr>
          </w:p>
          <w:p w14:paraId="32BE1DB7" w14:textId="77777777" w:rsidR="00587D24" w:rsidRDefault="00587D24" w:rsidP="00E70FDE">
            <w:pPr>
              <w:jc w:val="both"/>
            </w:pPr>
          </w:p>
          <w:p w14:paraId="46A74729" w14:textId="77777777" w:rsidR="00587D24" w:rsidRDefault="00587D24" w:rsidP="00E70FDE">
            <w:pPr>
              <w:jc w:val="both"/>
            </w:pPr>
          </w:p>
          <w:p w14:paraId="376D8179" w14:textId="77777777" w:rsidR="00587D24" w:rsidRDefault="00587D24" w:rsidP="00E70FDE">
            <w:pPr>
              <w:jc w:val="both"/>
            </w:pPr>
          </w:p>
          <w:p w14:paraId="2BDA30CA" w14:textId="77777777" w:rsidR="00587D24" w:rsidRDefault="00587D24" w:rsidP="00E70FDE">
            <w:pPr>
              <w:jc w:val="both"/>
            </w:pPr>
          </w:p>
          <w:p w14:paraId="334A58B1" w14:textId="77777777" w:rsidR="00587D24" w:rsidRDefault="00587D24" w:rsidP="00E70FDE">
            <w:pPr>
              <w:jc w:val="both"/>
            </w:pPr>
          </w:p>
          <w:p w14:paraId="1F64C0DC" w14:textId="77777777" w:rsidR="00587D24" w:rsidRDefault="00587D24" w:rsidP="00E70FDE">
            <w:pPr>
              <w:jc w:val="both"/>
            </w:pPr>
          </w:p>
          <w:p w14:paraId="0A1837EB" w14:textId="77777777" w:rsidR="00587D24" w:rsidRDefault="00587D24" w:rsidP="00E70FDE">
            <w:pPr>
              <w:jc w:val="both"/>
            </w:pPr>
          </w:p>
          <w:p w14:paraId="71B8676E" w14:textId="77777777" w:rsidR="00587D24" w:rsidRDefault="00587D24" w:rsidP="00E70FDE">
            <w:pPr>
              <w:jc w:val="both"/>
            </w:pPr>
          </w:p>
          <w:p w14:paraId="0805BD25" w14:textId="359C1248" w:rsidR="00454723" w:rsidRDefault="00454723" w:rsidP="00372999">
            <w:pPr>
              <w:jc w:val="both"/>
            </w:pPr>
            <w:r>
              <w:t>По част 3 от становището –</w:t>
            </w:r>
            <w:r w:rsidR="000E6F46">
              <w:t xml:space="preserve"> Не се п</w:t>
            </w:r>
            <w:r>
              <w:t xml:space="preserve">риема. </w:t>
            </w:r>
          </w:p>
          <w:p w14:paraId="01156E99" w14:textId="5569B42F" w:rsidR="003E1000" w:rsidRPr="003E1000" w:rsidRDefault="00A54EAB" w:rsidP="005642BC">
            <w:pPr>
              <w:jc w:val="both"/>
            </w:pPr>
            <w:r w:rsidRPr="00A54EAB">
              <w:t>В случаите, в които кандидатът и/или партньорът ще използва/т собствени транспортни средства, налични към момента на подаване на проектното предложение, удостоверението за регистрация по чл. 246, ал. 1 от ЗВМД ще се изисква да бъде представено на етапа на кандидатстване. Точка 24.16 на раздел 24 от проектът на условия за кандидатстване и Приложение № 2 към условията за изпълнение са изменени, като се прави следното уточнение:  „</w:t>
            </w:r>
            <w:r w:rsidRPr="008C2224">
              <w:rPr>
                <w:i/>
                <w:iCs/>
              </w:rPr>
              <w:t>Документът не се представя на етапа на кандидатстване, в случаите когато кандидатът и/или партньорът предвижда да закупи транспортното/</w:t>
            </w:r>
            <w:proofErr w:type="spellStart"/>
            <w:r w:rsidRPr="008C2224">
              <w:rPr>
                <w:i/>
                <w:iCs/>
              </w:rPr>
              <w:t>ите</w:t>
            </w:r>
            <w:proofErr w:type="spellEnd"/>
            <w:r w:rsidRPr="008C2224">
              <w:rPr>
                <w:i/>
                <w:iCs/>
              </w:rPr>
              <w:t xml:space="preserve"> средство/а с финансиране по проекта, да възложи транспортирането на животинските продукти на изпълнител, определен по реда на ЗОП/Глава четвърта от ЗУСЕФСУ или да наеме транспортното/</w:t>
            </w:r>
            <w:proofErr w:type="spellStart"/>
            <w:r w:rsidRPr="008C2224">
              <w:rPr>
                <w:i/>
                <w:iCs/>
              </w:rPr>
              <w:t>ите</w:t>
            </w:r>
            <w:proofErr w:type="spellEnd"/>
            <w:r w:rsidRPr="008C2224">
              <w:rPr>
                <w:i/>
                <w:iCs/>
              </w:rPr>
              <w:t xml:space="preserve"> средство/а, за да извърши превоза</w:t>
            </w:r>
            <w:r w:rsidRPr="00A54EAB">
              <w:t>.“.</w:t>
            </w:r>
          </w:p>
        </w:tc>
      </w:tr>
      <w:tr w:rsidR="005460F0" w:rsidRPr="003E1000" w14:paraId="24B59C1D" w14:textId="77777777" w:rsidTr="00E879AD">
        <w:trPr>
          <w:trHeight w:val="4246"/>
        </w:trPr>
        <w:tc>
          <w:tcPr>
            <w:tcW w:w="426" w:type="dxa"/>
            <w:shd w:val="clear" w:color="auto" w:fill="auto"/>
          </w:tcPr>
          <w:p w14:paraId="299F26B1" w14:textId="1A5F664D" w:rsidR="005460F0" w:rsidRPr="003E1000" w:rsidRDefault="005460F0" w:rsidP="005642BC">
            <w:pPr>
              <w:jc w:val="center"/>
            </w:pPr>
            <w:r w:rsidRPr="003E1000">
              <w:lastRenderedPageBreak/>
              <w:t>5</w:t>
            </w:r>
            <w:r w:rsidR="00FE14D3" w:rsidRPr="003E1000">
              <w:t>.</w:t>
            </w:r>
          </w:p>
        </w:tc>
        <w:tc>
          <w:tcPr>
            <w:tcW w:w="2551" w:type="dxa"/>
            <w:shd w:val="clear" w:color="auto" w:fill="auto"/>
          </w:tcPr>
          <w:p w14:paraId="599C2C45" w14:textId="522C2461" w:rsidR="005460F0" w:rsidRPr="003E1000" w:rsidRDefault="00FE14D3" w:rsidP="005642BC">
            <w:pPr>
              <w:jc w:val="both"/>
            </w:pPr>
            <w:r w:rsidRPr="003E1000">
              <w:t>stanchev@centralbalkan.bg</w:t>
            </w:r>
          </w:p>
        </w:tc>
        <w:tc>
          <w:tcPr>
            <w:tcW w:w="1433" w:type="dxa"/>
            <w:shd w:val="clear" w:color="auto" w:fill="auto"/>
          </w:tcPr>
          <w:p w14:paraId="575B26FC" w14:textId="34E52592" w:rsidR="005460F0" w:rsidRPr="003E1000" w:rsidRDefault="00FE14D3" w:rsidP="005642BC">
            <w:pPr>
              <w:ind w:hanging="125"/>
              <w:jc w:val="center"/>
            </w:pPr>
            <w:r w:rsidRPr="003E1000">
              <w:t>16.09.2024 г.</w:t>
            </w:r>
          </w:p>
        </w:tc>
        <w:tc>
          <w:tcPr>
            <w:tcW w:w="6500" w:type="dxa"/>
            <w:shd w:val="clear" w:color="auto" w:fill="auto"/>
          </w:tcPr>
          <w:p w14:paraId="438A0AB8" w14:textId="77777777" w:rsidR="005460F0" w:rsidRPr="003E1000" w:rsidRDefault="005460F0" w:rsidP="005460F0">
            <w:pPr>
              <w:jc w:val="both"/>
            </w:pPr>
            <w:r w:rsidRPr="003E1000">
              <w:t>Здравейте,</w:t>
            </w:r>
          </w:p>
          <w:p w14:paraId="21CA1FB2" w14:textId="77777777" w:rsidR="005460F0" w:rsidRPr="003E1000" w:rsidRDefault="005460F0" w:rsidP="005460F0">
            <w:pPr>
              <w:jc w:val="both"/>
            </w:pPr>
            <w:r w:rsidRPr="003E1000">
              <w:t>изпращам ви коментари/въпроси от Дирекция "Национален парк Централен Балкан" по процедура чрез подбор на проектни предложения</w:t>
            </w:r>
          </w:p>
          <w:p w14:paraId="622EA3E3" w14:textId="77777777" w:rsidR="005460F0" w:rsidRPr="003E1000" w:rsidRDefault="005460F0" w:rsidP="005460F0">
            <w:pPr>
              <w:jc w:val="both"/>
            </w:pPr>
            <w:r w:rsidRPr="003E1000">
              <w:t>BG16FFPR002-3.011 „Изпълнение на мярка 70 от Националната рамка за приоритетни действия за НАТУРА 2000“ по приоритет 3 „Биологично разнообразие ”на ПОС 2021-2027 г.</w:t>
            </w:r>
          </w:p>
          <w:p w14:paraId="32522C75" w14:textId="77777777" w:rsidR="005460F0" w:rsidRPr="003E1000" w:rsidRDefault="005460F0" w:rsidP="005460F0">
            <w:pPr>
              <w:jc w:val="both"/>
            </w:pPr>
          </w:p>
          <w:p w14:paraId="15805B0D" w14:textId="77777777" w:rsidR="005460F0" w:rsidRPr="003E1000" w:rsidRDefault="005460F0" w:rsidP="005460F0">
            <w:pPr>
              <w:jc w:val="both"/>
            </w:pPr>
            <w:r w:rsidRPr="003E1000">
              <w:t>1.</w:t>
            </w:r>
            <w:r w:rsidRPr="003E1000">
              <w:tab/>
              <w:t>Към Допустими за финансиране разходи в Условията за кандидатстване и Условията за изпълнение по процедурата да се добавят:</w:t>
            </w:r>
          </w:p>
          <w:p w14:paraId="7831AD54" w14:textId="11AB0554" w:rsidR="005460F0" w:rsidRPr="003E1000" w:rsidRDefault="00E52A56" w:rsidP="005460F0">
            <w:pPr>
              <w:jc w:val="both"/>
            </w:pPr>
            <w:r>
              <w:t>-</w:t>
            </w:r>
            <w:r w:rsidR="005460F0" w:rsidRPr="003E1000">
              <w:tab/>
              <w:t>Разходи за подготовка на проектното предложение;</w:t>
            </w:r>
          </w:p>
          <w:p w14:paraId="24D364C8" w14:textId="148BCD48" w:rsidR="005460F0" w:rsidRDefault="00E52A56" w:rsidP="005460F0">
            <w:pPr>
              <w:jc w:val="both"/>
            </w:pPr>
            <w:r>
              <w:t xml:space="preserve">- </w:t>
            </w:r>
            <w:r w:rsidR="005460F0" w:rsidRPr="003E1000">
              <w:t>Разходи за закупуване, регистрация на МПС/ремарке и оборудването им съгласно изискванията на Закона за ветеринарномедицинската дейност, с цел транспортиране на животински продукти.</w:t>
            </w:r>
          </w:p>
          <w:p w14:paraId="7DD569BA" w14:textId="77777777" w:rsidR="00F06DFF" w:rsidRDefault="00F06DFF" w:rsidP="005460F0">
            <w:pPr>
              <w:jc w:val="both"/>
            </w:pPr>
          </w:p>
          <w:p w14:paraId="3E2BDAEA" w14:textId="77777777" w:rsidR="00F06DFF" w:rsidRDefault="00F06DFF" w:rsidP="005460F0">
            <w:pPr>
              <w:jc w:val="both"/>
            </w:pPr>
          </w:p>
          <w:p w14:paraId="703870EA" w14:textId="77777777" w:rsidR="00F06DFF" w:rsidRDefault="00F06DFF" w:rsidP="005460F0">
            <w:pPr>
              <w:jc w:val="both"/>
            </w:pPr>
          </w:p>
          <w:p w14:paraId="717EEF7D" w14:textId="77777777" w:rsidR="00F06DFF" w:rsidRDefault="00F06DFF" w:rsidP="005460F0">
            <w:pPr>
              <w:jc w:val="both"/>
            </w:pPr>
          </w:p>
          <w:p w14:paraId="4BAFFB11" w14:textId="77777777" w:rsidR="00F06DFF" w:rsidRDefault="00F06DFF" w:rsidP="005460F0">
            <w:pPr>
              <w:jc w:val="both"/>
            </w:pPr>
          </w:p>
          <w:p w14:paraId="5650371E" w14:textId="77777777" w:rsidR="00F06DFF" w:rsidRDefault="00F06DFF" w:rsidP="005460F0">
            <w:pPr>
              <w:jc w:val="both"/>
            </w:pPr>
          </w:p>
          <w:p w14:paraId="0ACBA372" w14:textId="77777777" w:rsidR="00F06DFF" w:rsidRDefault="00F06DFF" w:rsidP="005460F0">
            <w:pPr>
              <w:jc w:val="both"/>
            </w:pPr>
          </w:p>
          <w:p w14:paraId="516BA2A9" w14:textId="77777777" w:rsidR="00F06DFF" w:rsidRDefault="00F06DFF" w:rsidP="005460F0">
            <w:pPr>
              <w:jc w:val="both"/>
            </w:pPr>
          </w:p>
          <w:p w14:paraId="64EF3845" w14:textId="77777777" w:rsidR="00F06DFF" w:rsidRDefault="00F06DFF" w:rsidP="005460F0">
            <w:pPr>
              <w:jc w:val="both"/>
            </w:pPr>
          </w:p>
          <w:p w14:paraId="08D59339" w14:textId="77777777" w:rsidR="00F06DFF" w:rsidRDefault="00F06DFF" w:rsidP="005460F0">
            <w:pPr>
              <w:jc w:val="both"/>
            </w:pPr>
          </w:p>
          <w:p w14:paraId="63A128F6" w14:textId="77777777" w:rsidR="00F06DFF" w:rsidRDefault="00F06DFF" w:rsidP="005460F0">
            <w:pPr>
              <w:jc w:val="both"/>
            </w:pPr>
          </w:p>
          <w:p w14:paraId="6972C505" w14:textId="77777777" w:rsidR="00F06DFF" w:rsidRDefault="00F06DFF" w:rsidP="005460F0">
            <w:pPr>
              <w:jc w:val="both"/>
            </w:pPr>
          </w:p>
          <w:p w14:paraId="76B6110D" w14:textId="77777777" w:rsidR="00F06DFF" w:rsidRDefault="00F06DFF" w:rsidP="005460F0">
            <w:pPr>
              <w:jc w:val="both"/>
            </w:pPr>
          </w:p>
          <w:p w14:paraId="75FF195C" w14:textId="77777777" w:rsidR="00F06DFF" w:rsidRDefault="00F06DFF" w:rsidP="005460F0">
            <w:pPr>
              <w:jc w:val="both"/>
            </w:pPr>
          </w:p>
          <w:p w14:paraId="6D6F9349" w14:textId="77777777" w:rsidR="0003334B" w:rsidRDefault="0003334B" w:rsidP="005460F0">
            <w:pPr>
              <w:jc w:val="both"/>
            </w:pPr>
          </w:p>
          <w:p w14:paraId="191C4EED" w14:textId="77777777" w:rsidR="0003334B" w:rsidRDefault="0003334B" w:rsidP="005460F0">
            <w:pPr>
              <w:jc w:val="both"/>
            </w:pPr>
          </w:p>
          <w:p w14:paraId="77E644D1" w14:textId="77777777" w:rsidR="0003334B" w:rsidRDefault="0003334B" w:rsidP="005460F0">
            <w:pPr>
              <w:jc w:val="both"/>
            </w:pPr>
          </w:p>
          <w:p w14:paraId="2D5F1406" w14:textId="77777777" w:rsidR="00034673" w:rsidRDefault="00034673" w:rsidP="005460F0">
            <w:pPr>
              <w:jc w:val="both"/>
            </w:pPr>
          </w:p>
          <w:p w14:paraId="2C75B9C2" w14:textId="77777777" w:rsidR="00034673" w:rsidRDefault="00034673" w:rsidP="005460F0">
            <w:pPr>
              <w:jc w:val="both"/>
            </w:pPr>
          </w:p>
          <w:p w14:paraId="62E7F1F3" w14:textId="77777777" w:rsidR="00034673" w:rsidRDefault="00034673" w:rsidP="005460F0">
            <w:pPr>
              <w:jc w:val="both"/>
            </w:pPr>
          </w:p>
          <w:p w14:paraId="27FA92A7" w14:textId="77777777" w:rsidR="00720402" w:rsidRDefault="00720402" w:rsidP="005460F0">
            <w:pPr>
              <w:jc w:val="both"/>
            </w:pPr>
          </w:p>
          <w:p w14:paraId="166637B2" w14:textId="77777777" w:rsidR="00720402" w:rsidRDefault="00720402" w:rsidP="005460F0">
            <w:pPr>
              <w:jc w:val="both"/>
            </w:pPr>
          </w:p>
          <w:p w14:paraId="64BF2B1E" w14:textId="77777777" w:rsidR="00720402" w:rsidRDefault="00720402" w:rsidP="005460F0">
            <w:pPr>
              <w:jc w:val="both"/>
            </w:pPr>
          </w:p>
          <w:p w14:paraId="57C503A8" w14:textId="77777777" w:rsidR="00720402" w:rsidRDefault="00720402" w:rsidP="005460F0">
            <w:pPr>
              <w:jc w:val="both"/>
            </w:pPr>
          </w:p>
          <w:p w14:paraId="6ADB6087" w14:textId="77777777" w:rsidR="00720402" w:rsidRDefault="00720402" w:rsidP="005460F0">
            <w:pPr>
              <w:jc w:val="both"/>
            </w:pPr>
          </w:p>
          <w:p w14:paraId="48C02629" w14:textId="77777777" w:rsidR="00720402" w:rsidRDefault="00720402" w:rsidP="005460F0">
            <w:pPr>
              <w:jc w:val="both"/>
            </w:pPr>
          </w:p>
          <w:p w14:paraId="1FF3728B" w14:textId="77777777" w:rsidR="00720402" w:rsidRDefault="00720402" w:rsidP="005460F0">
            <w:pPr>
              <w:jc w:val="both"/>
            </w:pPr>
          </w:p>
          <w:p w14:paraId="5D383E9B" w14:textId="77777777" w:rsidR="00720402" w:rsidRDefault="00720402" w:rsidP="005460F0">
            <w:pPr>
              <w:jc w:val="both"/>
            </w:pPr>
          </w:p>
          <w:p w14:paraId="62D26E60" w14:textId="77777777" w:rsidR="00720402" w:rsidRDefault="00720402" w:rsidP="005460F0">
            <w:pPr>
              <w:jc w:val="both"/>
            </w:pPr>
          </w:p>
          <w:p w14:paraId="0F579927" w14:textId="77777777" w:rsidR="00720402" w:rsidRDefault="00720402" w:rsidP="005460F0">
            <w:pPr>
              <w:jc w:val="both"/>
            </w:pPr>
          </w:p>
          <w:p w14:paraId="2AA025CC" w14:textId="77777777" w:rsidR="00720402" w:rsidRDefault="00720402" w:rsidP="005460F0">
            <w:pPr>
              <w:jc w:val="both"/>
            </w:pPr>
          </w:p>
          <w:p w14:paraId="49ECCBF6" w14:textId="77777777" w:rsidR="00720402" w:rsidRDefault="00720402" w:rsidP="005460F0">
            <w:pPr>
              <w:jc w:val="both"/>
            </w:pPr>
          </w:p>
          <w:p w14:paraId="332E4288" w14:textId="77777777" w:rsidR="00A8756D" w:rsidRDefault="00A8756D" w:rsidP="005460F0">
            <w:pPr>
              <w:jc w:val="both"/>
            </w:pPr>
          </w:p>
          <w:p w14:paraId="2D4B454A" w14:textId="77777777" w:rsidR="00A8756D" w:rsidRDefault="00A8756D" w:rsidP="005460F0">
            <w:pPr>
              <w:jc w:val="both"/>
            </w:pPr>
          </w:p>
          <w:p w14:paraId="1060798B" w14:textId="77777777" w:rsidR="00A8756D" w:rsidRDefault="00A8756D" w:rsidP="005460F0">
            <w:pPr>
              <w:jc w:val="both"/>
            </w:pPr>
          </w:p>
          <w:p w14:paraId="72507D15" w14:textId="77777777" w:rsidR="00A8756D" w:rsidRDefault="00A8756D" w:rsidP="005460F0">
            <w:pPr>
              <w:jc w:val="both"/>
            </w:pPr>
          </w:p>
          <w:p w14:paraId="786C23AC" w14:textId="77777777" w:rsidR="00A8756D" w:rsidRDefault="00A8756D" w:rsidP="005460F0">
            <w:pPr>
              <w:jc w:val="both"/>
            </w:pPr>
          </w:p>
          <w:p w14:paraId="5061D2BA" w14:textId="77777777" w:rsidR="00A8756D" w:rsidRDefault="00A8756D" w:rsidP="005460F0">
            <w:pPr>
              <w:jc w:val="both"/>
            </w:pPr>
          </w:p>
          <w:p w14:paraId="5CCE0A78" w14:textId="300370D1" w:rsidR="005460F0" w:rsidRPr="003E1000" w:rsidRDefault="005460F0" w:rsidP="005460F0">
            <w:pPr>
              <w:jc w:val="both"/>
            </w:pPr>
            <w:r w:rsidRPr="003E1000">
              <w:t>2.</w:t>
            </w:r>
            <w:r w:rsidRPr="003E1000">
              <w:tab/>
              <w:t>В предмета на обявената процедура включва ли се и съществуваща волиера, която е разположена в чертите на площадката за подхранване ?</w:t>
            </w:r>
          </w:p>
          <w:p w14:paraId="6774982D" w14:textId="77777777" w:rsidR="005460F0" w:rsidRPr="003E1000" w:rsidRDefault="005460F0" w:rsidP="005460F0">
            <w:pPr>
              <w:jc w:val="both"/>
            </w:pPr>
            <w:r w:rsidRPr="003E1000">
              <w:t>3.</w:t>
            </w:r>
            <w:r w:rsidRPr="003E1000">
              <w:tab/>
              <w:t>Допустими ли са разходите за закупуване и транспортиране на птици от рехабилитационни центрове, зоопаркове или др. до съществуваща волиера ?</w:t>
            </w:r>
          </w:p>
          <w:p w14:paraId="7EFED67A" w14:textId="77777777" w:rsidR="005460F0" w:rsidRPr="003E1000" w:rsidRDefault="005460F0" w:rsidP="005460F0">
            <w:pPr>
              <w:jc w:val="both"/>
            </w:pPr>
            <w:r w:rsidRPr="003E1000">
              <w:t>4.</w:t>
            </w:r>
            <w:r w:rsidRPr="003E1000">
              <w:tab/>
              <w:t>Допустими ли са разходите свързани с ремонт/рехабилитация на съществуваща волиера, разположена в площадката за подхранване ?</w:t>
            </w:r>
          </w:p>
          <w:p w14:paraId="11770840" w14:textId="77777777" w:rsidR="005460F0" w:rsidRPr="003E1000" w:rsidRDefault="005460F0" w:rsidP="005460F0">
            <w:pPr>
              <w:jc w:val="both"/>
            </w:pPr>
            <w:r w:rsidRPr="003E1000">
              <w:t>5.</w:t>
            </w:r>
            <w:r w:rsidRPr="003E1000">
              <w:tab/>
              <w:t>Допустими ли са дейностите свързани с подобряване достъпа до площадката за подхранване ?</w:t>
            </w:r>
          </w:p>
          <w:p w14:paraId="5EF37C2B" w14:textId="77777777" w:rsidR="005460F0" w:rsidRPr="003E1000" w:rsidRDefault="005460F0" w:rsidP="005460F0">
            <w:pPr>
              <w:jc w:val="both"/>
            </w:pPr>
          </w:p>
        </w:tc>
        <w:tc>
          <w:tcPr>
            <w:tcW w:w="5080" w:type="dxa"/>
            <w:shd w:val="clear" w:color="auto" w:fill="auto"/>
          </w:tcPr>
          <w:p w14:paraId="69CC663B" w14:textId="77777777" w:rsidR="00F73CDC" w:rsidRDefault="00F73CDC" w:rsidP="009C7C49">
            <w:pPr>
              <w:jc w:val="both"/>
            </w:pPr>
          </w:p>
          <w:p w14:paraId="7CB501A3" w14:textId="77777777" w:rsidR="00C52F10" w:rsidRDefault="00C52F10" w:rsidP="00F73CDC">
            <w:pPr>
              <w:jc w:val="both"/>
            </w:pPr>
          </w:p>
          <w:p w14:paraId="4E8DB5C3" w14:textId="77777777" w:rsidR="00C52F10" w:rsidRDefault="00C52F10" w:rsidP="00F73CDC">
            <w:pPr>
              <w:jc w:val="both"/>
            </w:pPr>
          </w:p>
          <w:p w14:paraId="0EA0B027" w14:textId="77777777" w:rsidR="00C52F10" w:rsidRDefault="00C52F10" w:rsidP="00F73CDC">
            <w:pPr>
              <w:jc w:val="both"/>
            </w:pPr>
          </w:p>
          <w:p w14:paraId="22AEF74F" w14:textId="77777777" w:rsidR="00C52F10" w:rsidRDefault="00C52F10" w:rsidP="00F73CDC">
            <w:pPr>
              <w:jc w:val="both"/>
            </w:pPr>
          </w:p>
          <w:p w14:paraId="4C03152D" w14:textId="77777777" w:rsidR="00C52F10" w:rsidRDefault="00C52F10" w:rsidP="00F73CDC">
            <w:pPr>
              <w:jc w:val="both"/>
            </w:pPr>
          </w:p>
          <w:p w14:paraId="0E53A51A" w14:textId="77777777" w:rsidR="00C52F10" w:rsidRDefault="00C52F10" w:rsidP="00F73CDC">
            <w:pPr>
              <w:jc w:val="both"/>
            </w:pPr>
          </w:p>
          <w:p w14:paraId="02DA6DAF" w14:textId="77777777" w:rsidR="00C52F10" w:rsidRDefault="00C52F10" w:rsidP="00F73CDC">
            <w:pPr>
              <w:jc w:val="both"/>
            </w:pPr>
          </w:p>
          <w:p w14:paraId="14A997C2" w14:textId="77777777" w:rsidR="00C52F10" w:rsidRDefault="00C52F10" w:rsidP="00F73CDC">
            <w:pPr>
              <w:jc w:val="both"/>
            </w:pPr>
          </w:p>
          <w:p w14:paraId="50CC15DB" w14:textId="798CDD4D" w:rsidR="00C52F10" w:rsidRDefault="00F06DFF" w:rsidP="00F73CDC">
            <w:pPr>
              <w:jc w:val="both"/>
            </w:pPr>
            <w:r>
              <w:t xml:space="preserve">По т. </w:t>
            </w:r>
            <w:r w:rsidR="00E52A56">
              <w:t>1</w:t>
            </w:r>
            <w:r>
              <w:t xml:space="preserve"> -</w:t>
            </w:r>
            <w:r w:rsidR="00E52A56">
              <w:t xml:space="preserve"> </w:t>
            </w:r>
            <w:r w:rsidR="009C7C49" w:rsidRPr="003E1000">
              <w:t>Приема се</w:t>
            </w:r>
            <w:r>
              <w:t>.</w:t>
            </w:r>
            <w:r w:rsidR="009C7C49" w:rsidRPr="003E1000">
              <w:t xml:space="preserve"> </w:t>
            </w:r>
          </w:p>
          <w:p w14:paraId="7DD6786F" w14:textId="6D8DC086" w:rsidR="00E52A56" w:rsidRDefault="00E52A56" w:rsidP="00E52A56">
            <w:pPr>
              <w:jc w:val="both"/>
              <w:rPr>
                <w:bCs/>
              </w:rPr>
            </w:pPr>
            <w:r>
              <w:t>В проекта на условия за кандидатстване и конкретно в раздел 13</w:t>
            </w:r>
            <w:r w:rsidRPr="00744096">
              <w:t xml:space="preserve"> „Дейности, допустими за финансиране“</w:t>
            </w:r>
            <w:r>
              <w:t>, е</w:t>
            </w:r>
            <w:r w:rsidRPr="00C537BA">
              <w:t xml:space="preserve"> добавена </w:t>
            </w:r>
            <w:r>
              <w:t>нова точка, „</w:t>
            </w:r>
            <w:r w:rsidR="00034673" w:rsidRPr="006B5D19">
              <w:rPr>
                <w:i/>
                <w:iCs/>
              </w:rPr>
              <w:t xml:space="preserve"> т</w:t>
            </w:r>
            <w:r w:rsidR="00034673" w:rsidRPr="00C81F31">
              <w:rPr>
                <w:i/>
                <w:iCs/>
              </w:rPr>
              <w:t xml:space="preserve">. </w:t>
            </w:r>
            <w:r w:rsidR="00034673" w:rsidRPr="00C81F31">
              <w:rPr>
                <w:bCs/>
                <w:i/>
                <w:iCs/>
              </w:rPr>
              <w:t>13.1.</w:t>
            </w:r>
            <w:r w:rsidR="00034673" w:rsidRPr="00C81F31">
              <w:rPr>
                <w:b/>
                <w:i/>
                <w:iCs/>
              </w:rPr>
              <w:t xml:space="preserve"> </w:t>
            </w:r>
            <w:r w:rsidR="00034673" w:rsidRPr="00C81F31">
              <w:rPr>
                <w:i/>
                <w:iCs/>
              </w:rPr>
              <w:t xml:space="preserve"> </w:t>
            </w:r>
            <w:r w:rsidR="00034673" w:rsidRPr="00C81F31">
              <w:rPr>
                <w:bCs/>
                <w:i/>
                <w:iCs/>
              </w:rPr>
              <w:t>Спомагателни дейности</w:t>
            </w:r>
            <w:r w:rsidR="00034673" w:rsidRPr="001368AC">
              <w:rPr>
                <w:bCs/>
                <w:i/>
                <w:iCs/>
              </w:rPr>
              <w:t xml:space="preserve"> - </w:t>
            </w:r>
            <w:r w:rsidR="00034673">
              <w:t xml:space="preserve"> </w:t>
            </w:r>
            <w:r w:rsidR="00034673" w:rsidRPr="00C81F31">
              <w:rPr>
                <w:bCs/>
                <w:i/>
                <w:iCs/>
              </w:rPr>
              <w:t>дейности по изготвяне на проектно предложение, вкл. експертни и технически анализи и проучвания (в това число теренни посещения), необходими за разработването и планирането на проектното предложение. Експертните и технически анализи и проучвания не трябва да са самоцелни, а да осигуряват информация, без която е невъзможно да се подготви проектно предложение.</w:t>
            </w:r>
            <w:r w:rsidR="00034673">
              <w:rPr>
                <w:bCs/>
                <w:i/>
                <w:iCs/>
              </w:rPr>
              <w:t xml:space="preserve"> </w:t>
            </w:r>
            <w:r w:rsidR="00034673">
              <w:t xml:space="preserve"> </w:t>
            </w:r>
            <w:r w:rsidR="00034673" w:rsidRPr="00C81F31">
              <w:rPr>
                <w:bCs/>
                <w:i/>
                <w:iCs/>
              </w:rPr>
              <w:t>Към спомагателните дейности спада и изготвянето на документация и провеждане на изискващи се процедури по реда екологичното законодателство. За целите на настоящата процедура чрез подбор се изисква на етапа на кандидатстване да бъдат издадени и да се представят крайни актове по реда на екологичното законодателство – Решения на компетентен орган от съгласуване по реда на екологичното законодателство за планираните дейности.</w:t>
            </w:r>
            <w:r>
              <w:rPr>
                <w:bCs/>
                <w:i/>
                <w:iCs/>
              </w:rPr>
              <w:t>“</w:t>
            </w:r>
            <w:r w:rsidRPr="001E403D">
              <w:rPr>
                <w:bCs/>
              </w:rPr>
              <w:t>.</w:t>
            </w:r>
            <w:r w:rsidR="002C1D42">
              <w:rPr>
                <w:bCs/>
              </w:rPr>
              <w:t xml:space="preserve"> </w:t>
            </w:r>
            <w:r w:rsidR="0003334B" w:rsidRPr="0003334B">
              <w:rPr>
                <w:bCs/>
              </w:rPr>
              <w:t xml:space="preserve">За тази категория разходи се въвежда и максимален размер на безвъзмездната финансова помощ от 20 000 лева </w:t>
            </w:r>
            <w:r w:rsidR="00034673">
              <w:rPr>
                <w:bCs/>
              </w:rPr>
              <w:t>с</w:t>
            </w:r>
            <w:r w:rsidR="0003334B" w:rsidRPr="0003334B">
              <w:rPr>
                <w:bCs/>
              </w:rPr>
              <w:t xml:space="preserve"> ДДС.</w:t>
            </w:r>
            <w:r w:rsidR="0003334B">
              <w:rPr>
                <w:bCs/>
              </w:rPr>
              <w:t xml:space="preserve"> </w:t>
            </w:r>
            <w:r w:rsidR="002C1D42">
              <w:rPr>
                <w:bCs/>
              </w:rPr>
              <w:t>В раздел 14, т. 14.3 от проекта на условия за кандидатстване, част</w:t>
            </w:r>
            <w:r w:rsidR="00E80A5A">
              <w:rPr>
                <w:bCs/>
              </w:rPr>
              <w:t xml:space="preserve"> </w:t>
            </w:r>
            <w:r w:rsidR="002C1D42" w:rsidRPr="002C1D42">
              <w:rPr>
                <w:bCs/>
              </w:rPr>
              <w:t xml:space="preserve">І. </w:t>
            </w:r>
            <w:r w:rsidR="002C1D42">
              <w:rPr>
                <w:bCs/>
              </w:rPr>
              <w:t>„</w:t>
            </w:r>
            <w:r w:rsidR="002C1D42" w:rsidRPr="002C1D42">
              <w:rPr>
                <w:bCs/>
              </w:rPr>
              <w:t>Разходи за материални активи</w:t>
            </w:r>
            <w:r w:rsidR="002C1D42">
              <w:rPr>
                <w:bCs/>
              </w:rPr>
              <w:t>“</w:t>
            </w:r>
            <w:r w:rsidR="002C1D42" w:rsidRPr="002C1D42">
              <w:rPr>
                <w:bCs/>
              </w:rPr>
              <w:t xml:space="preserve">, </w:t>
            </w:r>
            <w:r w:rsidR="002C1D42">
              <w:rPr>
                <w:bCs/>
              </w:rPr>
              <w:t>като допустими са посочени разходите</w:t>
            </w:r>
            <w:r w:rsidR="002C1D42" w:rsidRPr="002C1D42">
              <w:rPr>
                <w:bCs/>
              </w:rPr>
              <w:t xml:space="preserve"> за закупуване на </w:t>
            </w:r>
            <w:r w:rsidR="002C1D42" w:rsidRPr="002C1D42">
              <w:rPr>
                <w:bCs/>
              </w:rPr>
              <w:lastRenderedPageBreak/>
              <w:t>транспортни средства за превоз на животински продукти за целите на проекта (автомобили и транспортни ремаркета) и оборудване към тях.</w:t>
            </w:r>
            <w:r w:rsidR="00034673">
              <w:rPr>
                <w:bCs/>
              </w:rPr>
              <w:t xml:space="preserve"> Извършено е и допълнение, съгласно което </w:t>
            </w:r>
            <w:r w:rsidR="00034673">
              <w:t xml:space="preserve"> </w:t>
            </w:r>
            <w:r w:rsidR="00034673">
              <w:rPr>
                <w:bCs/>
              </w:rPr>
              <w:t>д</w:t>
            </w:r>
            <w:r w:rsidR="00034673" w:rsidRPr="00034673">
              <w:rPr>
                <w:bCs/>
              </w:rPr>
              <w:t>опустими разходи са и разходите за първоначална регистрация на транспортни средства за превоз на животински продукти за целите на проекта (автомобили и ремаркета).</w:t>
            </w:r>
            <w:r w:rsidR="00A8756D" w:rsidRPr="00A8756D">
              <w:rPr>
                <w:bCs/>
              </w:rPr>
              <w:t xml:space="preserve">В раздел 14, т. 14.2.2. от проекта на условия за кандидатстване се добавя </w:t>
            </w:r>
            <w:r w:rsidR="00356DEA">
              <w:t xml:space="preserve"> </w:t>
            </w:r>
            <w:r w:rsidR="00356DEA" w:rsidRPr="00356DEA">
              <w:rPr>
                <w:bCs/>
              </w:rPr>
              <w:t xml:space="preserve">буква б) </w:t>
            </w:r>
            <w:r w:rsidR="00356DEA">
              <w:rPr>
                <w:bCs/>
              </w:rPr>
              <w:t xml:space="preserve">със </w:t>
            </w:r>
            <w:r w:rsidR="00A8756D" w:rsidRPr="00A8756D">
              <w:rPr>
                <w:bCs/>
              </w:rPr>
              <w:t>следния текст: За закупуване на превозни средства и ремаркета в рамките на допустимите дейности по т. 13.2 максималните разходи са ограничени в размер до 75 000 лв. с ДДС</w:t>
            </w:r>
            <w:r w:rsidR="00A8756D">
              <w:rPr>
                <w:bCs/>
              </w:rPr>
              <w:t>.</w:t>
            </w:r>
          </w:p>
          <w:p w14:paraId="67F82F62" w14:textId="77777777" w:rsidR="00F06DFF" w:rsidRDefault="00F06DFF" w:rsidP="00E52A56">
            <w:pPr>
              <w:jc w:val="both"/>
              <w:rPr>
                <w:bCs/>
              </w:rPr>
            </w:pPr>
          </w:p>
          <w:p w14:paraId="0D282C76" w14:textId="77777777" w:rsidR="00F06DFF" w:rsidRDefault="00F06DFF" w:rsidP="00E52A56">
            <w:pPr>
              <w:jc w:val="both"/>
              <w:rPr>
                <w:bCs/>
              </w:rPr>
            </w:pPr>
          </w:p>
          <w:p w14:paraId="27D73057" w14:textId="567CCF43" w:rsidR="00E52A56" w:rsidRDefault="00F06DFF" w:rsidP="00E52A56">
            <w:pPr>
              <w:jc w:val="both"/>
            </w:pPr>
            <w:r>
              <w:rPr>
                <w:bCs/>
              </w:rPr>
              <w:t>По т. 2 – 5 - Не се приема.</w:t>
            </w:r>
          </w:p>
          <w:p w14:paraId="3DEF69AB" w14:textId="1FBB5D97" w:rsidR="009C7C49" w:rsidRPr="003E1000" w:rsidRDefault="006B3763" w:rsidP="00F06DFF">
            <w:pPr>
              <w:jc w:val="both"/>
            </w:pPr>
            <w:r>
              <w:t>Ц</w:t>
            </w:r>
            <w:r w:rsidRPr="006B3763">
              <w:t xml:space="preserve">елта на процедурата е да се подобри състоянието на защитени видове птици - Черен лешояд (А079 </w:t>
            </w:r>
            <w:proofErr w:type="spellStart"/>
            <w:r w:rsidRPr="006B3763">
              <w:t>Aegypius</w:t>
            </w:r>
            <w:proofErr w:type="spellEnd"/>
            <w:r w:rsidRPr="006B3763">
              <w:t xml:space="preserve"> </w:t>
            </w:r>
            <w:proofErr w:type="spellStart"/>
            <w:r w:rsidRPr="006B3763">
              <w:t>monachus</w:t>
            </w:r>
            <w:proofErr w:type="spellEnd"/>
            <w:r w:rsidRPr="006B3763">
              <w:t xml:space="preserve">), </w:t>
            </w:r>
            <w:proofErr w:type="spellStart"/>
            <w:r w:rsidRPr="006B3763">
              <w:t>Кръстат</w:t>
            </w:r>
            <w:proofErr w:type="spellEnd"/>
            <w:r w:rsidRPr="006B3763">
              <w:t xml:space="preserve"> орел (А404 </w:t>
            </w:r>
            <w:proofErr w:type="spellStart"/>
            <w:r w:rsidRPr="006B3763">
              <w:t>Aquila</w:t>
            </w:r>
            <w:proofErr w:type="spellEnd"/>
            <w:r w:rsidRPr="006B3763">
              <w:t xml:space="preserve"> </w:t>
            </w:r>
            <w:proofErr w:type="spellStart"/>
            <w:r w:rsidRPr="006B3763">
              <w:t>heliaca</w:t>
            </w:r>
            <w:proofErr w:type="spellEnd"/>
            <w:r w:rsidRPr="006B3763">
              <w:t xml:space="preserve">), Белоглав лешояд (А078 </w:t>
            </w:r>
            <w:proofErr w:type="spellStart"/>
            <w:r w:rsidRPr="006B3763">
              <w:t>Gyps</w:t>
            </w:r>
            <w:proofErr w:type="spellEnd"/>
            <w:r w:rsidRPr="006B3763">
              <w:t xml:space="preserve"> </w:t>
            </w:r>
            <w:proofErr w:type="spellStart"/>
            <w:r w:rsidRPr="006B3763">
              <w:t>fulvus</w:t>
            </w:r>
            <w:proofErr w:type="spellEnd"/>
            <w:r w:rsidRPr="006B3763">
              <w:t xml:space="preserve">), Египетски лешояд (А077 </w:t>
            </w:r>
            <w:proofErr w:type="spellStart"/>
            <w:r w:rsidRPr="006B3763">
              <w:t>Neophron</w:t>
            </w:r>
            <w:proofErr w:type="spellEnd"/>
            <w:r w:rsidRPr="006B3763">
              <w:t xml:space="preserve"> </w:t>
            </w:r>
            <w:proofErr w:type="spellStart"/>
            <w:r w:rsidRPr="006B3763">
              <w:t>percnopterus</w:t>
            </w:r>
            <w:proofErr w:type="spellEnd"/>
            <w:r w:rsidRPr="006B3763">
              <w:t xml:space="preserve">), в изпълнение на мярка 70 от Националната рамка за приоритетни действия за мрежата Натура 2000 на България. Така описаните дейности </w:t>
            </w:r>
            <w:r>
              <w:t xml:space="preserve">в т. 2 до </w:t>
            </w:r>
            <w:r w:rsidR="00720402">
              <w:t xml:space="preserve">т. </w:t>
            </w:r>
            <w:r>
              <w:t xml:space="preserve">5 </w:t>
            </w:r>
            <w:r w:rsidRPr="006B3763">
              <w:t>не попадат в обхвата на мярка 70 от НРПД, поради което същите са недопустими за финансиране по процедурата.</w:t>
            </w:r>
          </w:p>
        </w:tc>
      </w:tr>
      <w:tr w:rsidR="00FE14D3" w:rsidRPr="003E1000" w14:paraId="49353C84" w14:textId="77777777" w:rsidTr="004D4EDE">
        <w:trPr>
          <w:trHeight w:val="3818"/>
        </w:trPr>
        <w:tc>
          <w:tcPr>
            <w:tcW w:w="426" w:type="dxa"/>
            <w:shd w:val="clear" w:color="auto" w:fill="auto"/>
          </w:tcPr>
          <w:p w14:paraId="5B27C2D8" w14:textId="4CC44332" w:rsidR="00FE14D3" w:rsidRPr="003E1000" w:rsidRDefault="00FE14D3" w:rsidP="005642BC">
            <w:pPr>
              <w:jc w:val="center"/>
            </w:pPr>
            <w:r w:rsidRPr="003E1000">
              <w:lastRenderedPageBreak/>
              <w:t>6.</w:t>
            </w:r>
          </w:p>
        </w:tc>
        <w:tc>
          <w:tcPr>
            <w:tcW w:w="2551" w:type="dxa"/>
            <w:shd w:val="clear" w:color="auto" w:fill="auto"/>
          </w:tcPr>
          <w:p w14:paraId="3E48E334" w14:textId="496AC0C9" w:rsidR="00FE14D3" w:rsidRPr="003E1000" w:rsidRDefault="00C25D47" w:rsidP="005642BC">
            <w:pPr>
              <w:jc w:val="both"/>
            </w:pPr>
            <w:hyperlink r:id="rId12" w:history="1">
              <w:r w:rsidR="00FE14D3" w:rsidRPr="003E1000">
                <w:rPr>
                  <w:rStyle w:val="Hyperlink"/>
                </w:rPr>
                <w:t>coriolusgmbh@abv.bg</w:t>
              </w:r>
            </w:hyperlink>
          </w:p>
          <w:p w14:paraId="1F6AB2FC" w14:textId="1AAA84C3" w:rsidR="00FE14D3" w:rsidRPr="003E1000" w:rsidRDefault="00FE14D3" w:rsidP="005642BC">
            <w:pPr>
              <w:jc w:val="both"/>
            </w:pPr>
            <w:r w:rsidRPr="003E1000">
              <w:t>Иван Иванов</w:t>
            </w:r>
          </w:p>
        </w:tc>
        <w:tc>
          <w:tcPr>
            <w:tcW w:w="1433" w:type="dxa"/>
            <w:shd w:val="clear" w:color="auto" w:fill="auto"/>
          </w:tcPr>
          <w:p w14:paraId="5B613135" w14:textId="1B0968E9" w:rsidR="00FE14D3" w:rsidRPr="003E1000" w:rsidRDefault="00FE14D3" w:rsidP="005642BC">
            <w:pPr>
              <w:ind w:hanging="125"/>
              <w:jc w:val="center"/>
            </w:pPr>
            <w:r w:rsidRPr="003E1000">
              <w:t>16.09.2024 г.</w:t>
            </w:r>
          </w:p>
        </w:tc>
        <w:tc>
          <w:tcPr>
            <w:tcW w:w="6500" w:type="dxa"/>
            <w:shd w:val="clear" w:color="auto" w:fill="auto"/>
          </w:tcPr>
          <w:p w14:paraId="1EBE29C9" w14:textId="77777777" w:rsidR="00FE14D3" w:rsidRPr="003E1000" w:rsidRDefault="00FE14D3" w:rsidP="00FE14D3">
            <w:pPr>
              <w:jc w:val="both"/>
            </w:pPr>
            <w:r w:rsidRPr="003E1000">
              <w:t>Уважаеми, госпожи и господа,</w:t>
            </w:r>
          </w:p>
          <w:p w14:paraId="0055C762" w14:textId="77777777" w:rsidR="00FE14D3" w:rsidRPr="003E1000" w:rsidRDefault="00FE14D3" w:rsidP="00FE14D3">
            <w:pPr>
              <w:jc w:val="both"/>
            </w:pPr>
          </w:p>
          <w:p w14:paraId="75CEB963" w14:textId="77777777" w:rsidR="00FE14D3" w:rsidRPr="003E1000" w:rsidRDefault="00FE14D3" w:rsidP="00FE14D3">
            <w:pPr>
              <w:jc w:val="both"/>
            </w:pPr>
            <w:r w:rsidRPr="003E1000">
              <w:t>Приложени изпращам следните възражения/предложение във връзка с процедурата:</w:t>
            </w:r>
          </w:p>
          <w:p w14:paraId="16AB136A" w14:textId="77777777" w:rsidR="00FE14D3" w:rsidRPr="003E1000" w:rsidRDefault="00FE14D3" w:rsidP="00FE14D3">
            <w:pPr>
              <w:jc w:val="both"/>
            </w:pPr>
          </w:p>
          <w:p w14:paraId="3C148287" w14:textId="77777777" w:rsidR="00FE14D3" w:rsidRPr="003E1000" w:rsidRDefault="00FE14D3" w:rsidP="00FE14D3">
            <w:pPr>
              <w:jc w:val="both"/>
            </w:pPr>
            <w:r w:rsidRPr="003E1000">
              <w:t>Възражение № 1  Удостоверение за регистрация по чл. 246, ал. 1 от ЗВД</w:t>
            </w:r>
          </w:p>
          <w:p w14:paraId="79E057A5" w14:textId="77777777" w:rsidR="00FE14D3" w:rsidRPr="003E1000" w:rsidRDefault="00FE14D3" w:rsidP="00FE14D3">
            <w:pPr>
              <w:jc w:val="both"/>
            </w:pPr>
            <w:r w:rsidRPr="003E1000">
              <w:t>Удостоверение за регистрация по чл. 246, ал. 1 от ЗВД за транспортното/</w:t>
            </w:r>
            <w:proofErr w:type="spellStart"/>
            <w:r w:rsidRPr="003E1000">
              <w:t>ите</w:t>
            </w:r>
            <w:proofErr w:type="spellEnd"/>
            <w:r w:rsidRPr="003E1000">
              <w:t xml:space="preserve"> средство/а за превоз на животински продукти по проекта е необходимо само в случаите, когато дейността по проекта ще се изпълнява с екип за изпълнение, назначен на трудови договори при Бенефициента.</w:t>
            </w:r>
          </w:p>
          <w:p w14:paraId="2E8F56A5" w14:textId="72021BD4" w:rsidR="00FE14D3" w:rsidRPr="003E1000" w:rsidRDefault="00FE14D3" w:rsidP="00FE14D3">
            <w:pPr>
              <w:jc w:val="both"/>
            </w:pPr>
            <w:r w:rsidRPr="003E1000">
              <w:t xml:space="preserve">В случай че е предвидено възлагане  изпълнението на дейността по подхранване на външен изпълнител по реда на ЗОП или на глава четвърта от Закона за управление на средствата от Европейските фондове при споделено управление (ЗУСЕФСУ), то Бенефициента следва да вмени това изискване на изпълнителя. </w:t>
            </w:r>
          </w:p>
          <w:p w14:paraId="4BFBBB9A" w14:textId="77777777" w:rsidR="00FE14D3" w:rsidRPr="003E1000" w:rsidRDefault="00FE14D3" w:rsidP="00FE14D3">
            <w:pPr>
              <w:jc w:val="both"/>
            </w:pPr>
          </w:p>
          <w:p w14:paraId="112D1DA2" w14:textId="77777777" w:rsidR="00323CFE" w:rsidRDefault="00323CFE" w:rsidP="00FE14D3">
            <w:pPr>
              <w:jc w:val="both"/>
            </w:pPr>
          </w:p>
          <w:p w14:paraId="61035000" w14:textId="77777777" w:rsidR="00323CFE" w:rsidRDefault="00323CFE" w:rsidP="00FE14D3">
            <w:pPr>
              <w:jc w:val="both"/>
            </w:pPr>
          </w:p>
          <w:p w14:paraId="2472B1E2" w14:textId="77777777" w:rsidR="00323CFE" w:rsidRDefault="00323CFE" w:rsidP="00FE14D3">
            <w:pPr>
              <w:jc w:val="both"/>
            </w:pPr>
          </w:p>
          <w:p w14:paraId="418F3FEF" w14:textId="77777777" w:rsidR="00323CFE" w:rsidRDefault="00323CFE" w:rsidP="00FE14D3">
            <w:pPr>
              <w:jc w:val="both"/>
            </w:pPr>
          </w:p>
          <w:p w14:paraId="701A0F4A" w14:textId="77777777" w:rsidR="00323CFE" w:rsidRDefault="00323CFE" w:rsidP="00FE14D3">
            <w:pPr>
              <w:jc w:val="both"/>
            </w:pPr>
          </w:p>
          <w:p w14:paraId="78D47EF6" w14:textId="77777777" w:rsidR="00323CFE" w:rsidRDefault="00323CFE" w:rsidP="00FE14D3">
            <w:pPr>
              <w:jc w:val="both"/>
            </w:pPr>
          </w:p>
          <w:p w14:paraId="5AC409FC" w14:textId="77777777" w:rsidR="0034457D" w:rsidRDefault="0034457D" w:rsidP="00FE14D3">
            <w:pPr>
              <w:jc w:val="both"/>
            </w:pPr>
          </w:p>
          <w:p w14:paraId="386D7E55" w14:textId="77777777" w:rsidR="0034457D" w:rsidRDefault="0034457D" w:rsidP="00FE14D3">
            <w:pPr>
              <w:jc w:val="both"/>
            </w:pPr>
          </w:p>
          <w:p w14:paraId="63C486E3" w14:textId="77777777" w:rsidR="0034457D" w:rsidRDefault="0034457D" w:rsidP="00FE14D3">
            <w:pPr>
              <w:jc w:val="both"/>
            </w:pPr>
          </w:p>
          <w:p w14:paraId="5998981D" w14:textId="77777777" w:rsidR="0034457D" w:rsidRDefault="0034457D" w:rsidP="00FE14D3">
            <w:pPr>
              <w:jc w:val="both"/>
            </w:pPr>
          </w:p>
          <w:p w14:paraId="69C1B488" w14:textId="77777777" w:rsidR="0034457D" w:rsidRDefault="0034457D" w:rsidP="00FE14D3">
            <w:pPr>
              <w:jc w:val="both"/>
            </w:pPr>
          </w:p>
          <w:p w14:paraId="1358DD9D" w14:textId="4E107E14" w:rsidR="00FE14D3" w:rsidRPr="003E1000" w:rsidRDefault="00FE14D3" w:rsidP="00FE14D3">
            <w:pPr>
              <w:jc w:val="both"/>
            </w:pPr>
            <w:r w:rsidRPr="003E1000">
              <w:t>Предложение № 1 Добавяне на разпоредбите на чл.34, ал.2 от ЗУСЕФСУ</w:t>
            </w:r>
          </w:p>
          <w:p w14:paraId="533A7B45" w14:textId="77777777" w:rsidR="00FE14D3" w:rsidRPr="003E1000" w:rsidRDefault="00FE14D3" w:rsidP="00FE14D3">
            <w:pPr>
              <w:jc w:val="both"/>
            </w:pPr>
            <w:r w:rsidRPr="003E1000">
              <w:t>В насоките за кандидатстване в частта “ Ред за оценяване на проектните предложения“ липсват разпоредбите на чл.34, ал.2 от ЗУСЕФСУ, а именно:</w:t>
            </w:r>
          </w:p>
          <w:p w14:paraId="0597D87E" w14:textId="77777777" w:rsidR="00FE14D3" w:rsidRPr="003E1000" w:rsidRDefault="00FE14D3" w:rsidP="00FE14D3">
            <w:pPr>
              <w:jc w:val="both"/>
            </w:pPr>
            <w:r w:rsidRPr="003E1000">
              <w:t xml:space="preserve">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w:t>
            </w:r>
            <w:r w:rsidRPr="003E1000">
              <w:lastRenderedPageBreak/>
              <w:t>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2D5905C2" w14:textId="77777777" w:rsidR="00FE14D3" w:rsidRPr="003E1000" w:rsidRDefault="00FE14D3" w:rsidP="00FE14D3">
            <w:pPr>
              <w:jc w:val="both"/>
            </w:pPr>
          </w:p>
          <w:p w14:paraId="4B3EAEDB" w14:textId="77777777" w:rsidR="00FE14D3" w:rsidRPr="003E1000" w:rsidRDefault="00FE14D3" w:rsidP="00FE14D3">
            <w:pPr>
              <w:jc w:val="both"/>
            </w:pPr>
            <w:r w:rsidRPr="003E1000">
              <w:t>Същите следва да бъдат включени.</w:t>
            </w:r>
          </w:p>
          <w:p w14:paraId="3EC6D70F" w14:textId="77777777" w:rsidR="00FE14D3" w:rsidRPr="003E1000" w:rsidRDefault="00FE14D3" w:rsidP="00FE14D3">
            <w:pPr>
              <w:jc w:val="both"/>
            </w:pPr>
          </w:p>
          <w:p w14:paraId="6D352992" w14:textId="61F68744" w:rsidR="00FE14D3" w:rsidRPr="003E1000" w:rsidRDefault="00FE14D3" w:rsidP="00FE14D3">
            <w:pPr>
              <w:jc w:val="both"/>
            </w:pPr>
            <w:r w:rsidRPr="003E1000">
              <w:t>Предложение № 2 Да се добави възможност за обезпечаване на авансовото плащане с запис на заповед</w:t>
            </w:r>
            <w:r w:rsidR="00400B5D">
              <w:t>.</w:t>
            </w:r>
          </w:p>
          <w:p w14:paraId="2B88BF0D" w14:textId="77777777" w:rsidR="00FE14D3" w:rsidRPr="003E1000" w:rsidRDefault="00FE14D3" w:rsidP="00FE14D3">
            <w:pPr>
              <w:jc w:val="both"/>
            </w:pPr>
            <w:r w:rsidRPr="003E1000">
              <w:t>При обезпечение със запис на заповед, същият следва да бъде „без протест“ и „без разноски“.</w:t>
            </w:r>
          </w:p>
          <w:p w14:paraId="381616B0" w14:textId="77777777" w:rsidR="00FE14D3" w:rsidRPr="003E1000" w:rsidRDefault="00FE14D3" w:rsidP="00FE14D3">
            <w:pPr>
              <w:jc w:val="both"/>
            </w:pPr>
            <w:r w:rsidRPr="003E1000">
              <w:t>Добавянето на възможност за обезпечаване на авансовото плащане с запис на заповед е особено важно за неправителствените организации (НПО), тъй като те често срещат затруднения при достъпа до гаранционни продукти. Основните причини за това са свързани с ограничените финансови ресурси, които НПО-тата притежават, както и с липсата на достатъчно обезпечение, което банките и застрахователните дружества изискват. Освен това, НПО-тата често разчитат на финансиране по проекти и дарения, които не могат да осигурят стабилни финансови потоци, нужни за сключване на гаранционни договори. Това прави записът на заповед по-достъпна и удобна алтернатива за обезпечаване на авансовите плащания</w:t>
            </w:r>
          </w:p>
          <w:p w14:paraId="427123EC" w14:textId="77777777" w:rsidR="00FE14D3" w:rsidRPr="003E1000" w:rsidRDefault="00FE14D3" w:rsidP="00FE14D3">
            <w:pPr>
              <w:jc w:val="both"/>
            </w:pPr>
          </w:p>
          <w:p w14:paraId="097BE13D" w14:textId="77777777" w:rsidR="00FE14D3" w:rsidRPr="003E1000" w:rsidRDefault="00FE14D3" w:rsidP="00FE14D3">
            <w:pPr>
              <w:jc w:val="both"/>
            </w:pPr>
            <w:r w:rsidRPr="003E1000">
              <w:t>С уважение,</w:t>
            </w:r>
          </w:p>
          <w:p w14:paraId="3AA998EB" w14:textId="707CA617" w:rsidR="00FE14D3" w:rsidRPr="003E1000" w:rsidRDefault="00FE14D3" w:rsidP="00FE14D3">
            <w:pPr>
              <w:jc w:val="both"/>
            </w:pPr>
            <w:r w:rsidRPr="003E1000">
              <w:t>Иван Иванов</w:t>
            </w:r>
          </w:p>
        </w:tc>
        <w:tc>
          <w:tcPr>
            <w:tcW w:w="5080" w:type="dxa"/>
            <w:shd w:val="clear" w:color="auto" w:fill="auto"/>
          </w:tcPr>
          <w:p w14:paraId="16BFDC12" w14:textId="77777777" w:rsidR="00FE14D3" w:rsidRDefault="00FE14D3" w:rsidP="005642BC">
            <w:pPr>
              <w:jc w:val="both"/>
            </w:pPr>
          </w:p>
          <w:p w14:paraId="614BD8EE" w14:textId="77777777" w:rsidR="00D04740" w:rsidRPr="00D04740" w:rsidRDefault="00D04740" w:rsidP="00D04740"/>
          <w:p w14:paraId="3D9C41E2" w14:textId="77777777" w:rsidR="00D04740" w:rsidRPr="00D04740" w:rsidRDefault="00D04740" w:rsidP="00D04740"/>
          <w:p w14:paraId="22D1CC50" w14:textId="77777777" w:rsidR="00D04740" w:rsidRPr="00D04740" w:rsidRDefault="00D04740" w:rsidP="00D04740"/>
          <w:p w14:paraId="105164F9" w14:textId="77777777" w:rsidR="00D04740" w:rsidRDefault="00D04740" w:rsidP="00D04740"/>
          <w:p w14:paraId="240CED6D" w14:textId="5A3CEEF9" w:rsidR="00323CFE" w:rsidRDefault="0034457D" w:rsidP="00D04740">
            <w:r>
              <w:t xml:space="preserve">По възражение 1 </w:t>
            </w:r>
            <w:r w:rsidR="000E6F46">
              <w:t>–</w:t>
            </w:r>
            <w:r>
              <w:t xml:space="preserve"> </w:t>
            </w:r>
            <w:r w:rsidR="000E6F46">
              <w:t>Приема се по принцип</w:t>
            </w:r>
            <w:r w:rsidR="00323CFE">
              <w:t>.</w:t>
            </w:r>
          </w:p>
          <w:p w14:paraId="4C4771DA" w14:textId="4EB97384" w:rsidR="00D04740" w:rsidRDefault="000E6F46" w:rsidP="000E6F46">
            <w:pPr>
              <w:jc w:val="both"/>
            </w:pPr>
            <w:r w:rsidRPr="00C537BA">
              <w:t xml:space="preserve">В случаите, в които </w:t>
            </w:r>
            <w:r>
              <w:t>кандидатът и/или партньорът</w:t>
            </w:r>
            <w:r w:rsidRPr="00C537BA">
              <w:t xml:space="preserve"> ще използва</w:t>
            </w:r>
            <w:r>
              <w:t>/т</w:t>
            </w:r>
            <w:r w:rsidRPr="00C537BA">
              <w:t xml:space="preserve"> собствени </w:t>
            </w:r>
            <w:r>
              <w:t>транспортни</w:t>
            </w:r>
            <w:r w:rsidRPr="00C537BA">
              <w:t xml:space="preserve"> средства,</w:t>
            </w:r>
            <w:r>
              <w:t xml:space="preserve"> налични към момента на подаване на проектното предложение,</w:t>
            </w:r>
            <w:r w:rsidRPr="00C537BA">
              <w:t xml:space="preserve"> удостоверени</w:t>
            </w:r>
            <w:r>
              <w:t>ето</w:t>
            </w:r>
            <w:r w:rsidRPr="00C537BA">
              <w:t xml:space="preserve"> за регистрация по чл. 246, ал. 1 от ЗВМД </w:t>
            </w:r>
            <w:r>
              <w:t xml:space="preserve">ще </w:t>
            </w:r>
            <w:r w:rsidRPr="00C537BA">
              <w:t xml:space="preserve">се изисква </w:t>
            </w:r>
            <w:r>
              <w:t>да бъде представено на етапа на кандидатстване. Точка 24.16 на раздел 24 от проектът на условия за кандидатстване и Приложение № 2 към условията за изпълнение са изменени, като се прави следното уточнение:  „</w:t>
            </w:r>
            <w:r w:rsidRPr="00E00451">
              <w:rPr>
                <w:i/>
                <w:iCs/>
              </w:rPr>
              <w:t>Документът не се представя на етапа на кандидатстване, в случаите когато кандидатът и/или партньорът предвижда да закупи транспортното/</w:t>
            </w:r>
            <w:proofErr w:type="spellStart"/>
            <w:r w:rsidRPr="00E00451">
              <w:rPr>
                <w:i/>
                <w:iCs/>
              </w:rPr>
              <w:t>ите</w:t>
            </w:r>
            <w:proofErr w:type="spellEnd"/>
            <w:r w:rsidRPr="00E00451">
              <w:rPr>
                <w:i/>
                <w:iCs/>
              </w:rPr>
              <w:t xml:space="preserve"> средство/а с финансиране по проекта, да възложи транспортирането на животинските продукти на изпълнител, опре-делен по реда на ЗОП/Глава четвърта от ЗУСЕФСУ или да наеме транспортното/</w:t>
            </w:r>
            <w:proofErr w:type="spellStart"/>
            <w:r w:rsidRPr="00E00451">
              <w:rPr>
                <w:i/>
                <w:iCs/>
              </w:rPr>
              <w:t>ите</w:t>
            </w:r>
            <w:proofErr w:type="spellEnd"/>
            <w:r w:rsidRPr="00E00451">
              <w:rPr>
                <w:i/>
                <w:iCs/>
              </w:rPr>
              <w:t xml:space="preserve"> средство/а, за да извърши превоза.</w:t>
            </w:r>
            <w:r>
              <w:rPr>
                <w:i/>
                <w:iCs/>
              </w:rPr>
              <w:t>“.</w:t>
            </w:r>
          </w:p>
          <w:p w14:paraId="1B5BCB13" w14:textId="77777777" w:rsidR="000E6F46" w:rsidRDefault="000E6F46" w:rsidP="000E6F46">
            <w:pPr>
              <w:jc w:val="both"/>
            </w:pPr>
          </w:p>
          <w:p w14:paraId="6CBC55D0" w14:textId="77777777" w:rsidR="000E6F46" w:rsidRDefault="000E6F46" w:rsidP="008C2224">
            <w:pPr>
              <w:jc w:val="both"/>
            </w:pPr>
          </w:p>
          <w:p w14:paraId="67DC3836" w14:textId="77777777" w:rsidR="00CA12CD" w:rsidRDefault="00CA12CD" w:rsidP="00D04740">
            <w:pPr>
              <w:jc w:val="both"/>
            </w:pPr>
          </w:p>
          <w:p w14:paraId="22306924" w14:textId="5871A62F" w:rsidR="00323CFE" w:rsidRDefault="0034457D" w:rsidP="00D04740">
            <w:pPr>
              <w:jc w:val="both"/>
            </w:pPr>
            <w:r>
              <w:t xml:space="preserve">По Предложение № 1 - </w:t>
            </w:r>
            <w:r w:rsidR="00CA12CD">
              <w:t xml:space="preserve">Приема </w:t>
            </w:r>
            <w:r w:rsidR="00D04740">
              <w:t xml:space="preserve">се по принцип. </w:t>
            </w:r>
          </w:p>
          <w:p w14:paraId="670065E6" w14:textId="538AEFA2" w:rsidR="00D04740" w:rsidRDefault="00D04740" w:rsidP="00D04740">
            <w:pPr>
              <w:jc w:val="both"/>
            </w:pPr>
            <w:r>
              <w:t xml:space="preserve">В посоченият раздел не е необходимо изрично включване на разпоредби от </w:t>
            </w:r>
            <w:r w:rsidR="00323CFE">
              <w:t>Закона за управление на средствата от европейските структурни и инвестиционни фондове (</w:t>
            </w:r>
            <w:r>
              <w:t>ЗУСЕФСУ</w:t>
            </w:r>
            <w:r w:rsidR="00323CFE">
              <w:t>)</w:t>
            </w:r>
            <w:r>
              <w:t xml:space="preserve"> и нормативни</w:t>
            </w:r>
            <w:r w:rsidR="00323CFE">
              <w:t>те</w:t>
            </w:r>
            <w:r>
              <w:t xml:space="preserve"> актове по неговото прилагане</w:t>
            </w:r>
            <w:r w:rsidR="00323CFE">
              <w:t>, тъй като</w:t>
            </w:r>
            <w:r>
              <w:t xml:space="preserve"> </w:t>
            </w:r>
            <w:r w:rsidR="00323CFE">
              <w:t>т</w:t>
            </w:r>
            <w:r>
              <w:t xml:space="preserve">ези разпоредби </w:t>
            </w:r>
            <w:r w:rsidR="0034457D">
              <w:t>имат директно приложение</w:t>
            </w:r>
            <w:r>
              <w:t xml:space="preserve">. </w:t>
            </w:r>
          </w:p>
          <w:p w14:paraId="1A841337" w14:textId="77777777" w:rsidR="00D04740" w:rsidRDefault="00D04740" w:rsidP="00D04740"/>
          <w:p w14:paraId="10EBB324" w14:textId="77777777" w:rsidR="00C537BA" w:rsidRPr="00C537BA" w:rsidRDefault="00C537BA" w:rsidP="00C537BA"/>
          <w:p w14:paraId="7AAC0E8C" w14:textId="77777777" w:rsidR="00C537BA" w:rsidRPr="00C537BA" w:rsidRDefault="00C537BA" w:rsidP="00C537BA"/>
          <w:p w14:paraId="48CBFEF1" w14:textId="77777777" w:rsidR="00C537BA" w:rsidRPr="00C537BA" w:rsidRDefault="00C537BA" w:rsidP="00C537BA"/>
          <w:p w14:paraId="05BB9171" w14:textId="77777777" w:rsidR="00C537BA" w:rsidRPr="00C537BA" w:rsidRDefault="00C537BA" w:rsidP="00C537BA"/>
          <w:p w14:paraId="06620747" w14:textId="77777777" w:rsidR="00C537BA" w:rsidRPr="00C537BA" w:rsidRDefault="00C537BA" w:rsidP="00C537BA"/>
          <w:p w14:paraId="02CF7790" w14:textId="77777777" w:rsidR="00C537BA" w:rsidRPr="00C537BA" w:rsidRDefault="00C537BA" w:rsidP="00C537BA"/>
          <w:p w14:paraId="378BFE2D" w14:textId="77777777" w:rsidR="00C537BA" w:rsidRPr="00C537BA" w:rsidRDefault="00C537BA" w:rsidP="00C537BA"/>
          <w:p w14:paraId="2EECCB09" w14:textId="77777777" w:rsidR="00C537BA" w:rsidRPr="00C537BA" w:rsidRDefault="00C537BA" w:rsidP="00C537BA"/>
          <w:p w14:paraId="2A22C782" w14:textId="77777777" w:rsidR="00C537BA" w:rsidRDefault="00C537BA" w:rsidP="00C537BA"/>
          <w:p w14:paraId="2E2DF78C" w14:textId="53FF4891" w:rsidR="0006577D" w:rsidRPr="0083072E" w:rsidRDefault="0034457D" w:rsidP="00D07EE2">
            <w:pPr>
              <w:jc w:val="both"/>
            </w:pPr>
            <w:r w:rsidRPr="0083072E">
              <w:t>П</w:t>
            </w:r>
            <w:r w:rsidR="00D07EE2" w:rsidRPr="0083072E">
              <w:t>о п</w:t>
            </w:r>
            <w:r w:rsidRPr="0083072E">
              <w:t xml:space="preserve">редложение № 2 – </w:t>
            </w:r>
            <w:r w:rsidR="00400B5D" w:rsidRPr="0083072E">
              <w:t xml:space="preserve">Не </w:t>
            </w:r>
            <w:r w:rsidR="0006577D" w:rsidRPr="0083072E">
              <w:t>се приема.</w:t>
            </w:r>
          </w:p>
          <w:p w14:paraId="796816CC" w14:textId="69015BBF" w:rsidR="004D2CE3" w:rsidRDefault="0006577D" w:rsidP="00FC59B8">
            <w:pPr>
              <w:jc w:val="both"/>
            </w:pPr>
            <w:r w:rsidRPr="0083072E">
              <w:t xml:space="preserve">Записът на заповед като вид обезпечение не гарантира в достатъчна степен правата на </w:t>
            </w:r>
            <w:r w:rsidR="004D2CE3" w:rsidRPr="0083072E">
              <w:t xml:space="preserve">Управляващия </w:t>
            </w:r>
            <w:r w:rsidRPr="0083072E">
              <w:t>орган да пристъпи към удовлетворяване на вземанията си</w:t>
            </w:r>
            <w:r w:rsidR="0083072E" w:rsidRPr="00CB25F7">
              <w:t xml:space="preserve">. </w:t>
            </w:r>
            <w:r w:rsidR="0083072E">
              <w:t xml:space="preserve"> Разпоредбите на чл. 41 - 44 от </w:t>
            </w:r>
            <w:r w:rsidR="0083072E" w:rsidRPr="00CB25F7">
              <w:rPr>
                <w:i/>
                <w:iCs/>
              </w:rPr>
              <w:t>Наредба № Н-5 от 29.12.2022 г. за определяне на правилата за извършване на плащания, за верификация и счетоводно отчитане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програмите</w:t>
            </w:r>
            <w:r w:rsidR="00CB25F7">
              <w:rPr>
                <w:i/>
                <w:iCs/>
              </w:rPr>
              <w:t xml:space="preserve"> (</w:t>
            </w:r>
            <w:r w:rsidR="00CB25F7" w:rsidRPr="004F3D85">
              <w:rPr>
                <w:i/>
                <w:iCs/>
              </w:rPr>
              <w:t>Наредба № Н-5</w:t>
            </w:r>
            <w:r w:rsidR="00CB25F7">
              <w:rPr>
                <w:i/>
                <w:iCs/>
              </w:rPr>
              <w:t xml:space="preserve">/2022 </w:t>
            </w:r>
            <w:r w:rsidR="00CB25F7" w:rsidRPr="00CB25F7">
              <w:rPr>
                <w:i/>
                <w:iCs/>
              </w:rPr>
              <w:t>г.)</w:t>
            </w:r>
            <w:r w:rsidR="0083072E" w:rsidRPr="00CB25F7">
              <w:t xml:space="preserve"> </w:t>
            </w:r>
            <w:r w:rsidR="0083072E" w:rsidRPr="0083072E">
              <w:t>регламентират</w:t>
            </w:r>
            <w:r w:rsidR="0083072E">
              <w:t xml:space="preserve"> </w:t>
            </w:r>
            <w:r w:rsidR="004D2CE3">
              <w:t xml:space="preserve">последователното използване на </w:t>
            </w:r>
            <w:r w:rsidR="0083072E">
              <w:t xml:space="preserve">способите за възстановяване на вземания </w:t>
            </w:r>
            <w:r w:rsidR="004D2CE3">
              <w:t>от</w:t>
            </w:r>
            <w:r w:rsidR="0083072E">
              <w:t xml:space="preserve"> Управляващия орган</w:t>
            </w:r>
            <w:r w:rsidR="004D2CE3">
              <w:t>.</w:t>
            </w:r>
            <w:r w:rsidR="0083072E">
              <w:t xml:space="preserve"> Едва след изчерпване на възможностите за възстановяване на вземания чрез тези способи, Управляващият орган може да пристъпи към упражняване на правата си по учредени или издадени от бенефициента обезпечения (вкл. запис на заповед). Съгласно </w:t>
            </w:r>
            <w:r w:rsidR="001A1192" w:rsidRPr="0083072E">
              <w:t xml:space="preserve">чл. 531, ал. 1 </w:t>
            </w:r>
            <w:r w:rsidR="0083072E">
              <w:t>във връзка с ч</w:t>
            </w:r>
            <w:r w:rsidR="0083072E" w:rsidRPr="0083072E">
              <w:t>л. 537</w:t>
            </w:r>
            <w:r w:rsidR="0083072E">
              <w:t xml:space="preserve"> </w:t>
            </w:r>
            <w:r w:rsidR="001A1192" w:rsidRPr="0083072E">
              <w:t>от Търговския закон</w:t>
            </w:r>
            <w:r w:rsidR="0083072E">
              <w:t xml:space="preserve"> (ТЗ)</w:t>
            </w:r>
            <w:r w:rsidR="001A1192" w:rsidRPr="0083072E">
              <w:t xml:space="preserve">, исковете </w:t>
            </w:r>
            <w:r w:rsidR="0083072E" w:rsidRPr="0083072E">
              <w:t xml:space="preserve">по </w:t>
            </w:r>
            <w:r w:rsidR="0083072E">
              <w:t xml:space="preserve">записа на заповед </w:t>
            </w:r>
            <w:r w:rsidR="001A1192" w:rsidRPr="0083072E">
              <w:t>срещу платеца</w:t>
            </w:r>
            <w:r w:rsidR="004D2CE3">
              <w:t xml:space="preserve"> (бенефициента)</w:t>
            </w:r>
            <w:r w:rsidR="001A1192" w:rsidRPr="0083072E">
              <w:t xml:space="preserve"> се погасяват с тригодишна давност, считано от датата на </w:t>
            </w:r>
            <w:r w:rsidR="0083072E">
              <w:t xml:space="preserve">неговия </w:t>
            </w:r>
            <w:r w:rsidR="001A1192" w:rsidRPr="0083072E">
              <w:t xml:space="preserve">падеж. </w:t>
            </w:r>
            <w:r w:rsidR="00CB25F7">
              <w:t>Спазването</w:t>
            </w:r>
            <w:r w:rsidR="00CB25F7" w:rsidRPr="00CB25F7">
              <w:t xml:space="preserve"> на законовия ред за последователно </w:t>
            </w:r>
            <w:r w:rsidR="00CB25F7">
              <w:t>прилагане първо на способите за възстановяване на вземания по чл. 41-44 от</w:t>
            </w:r>
            <w:r w:rsidR="00CB25F7" w:rsidRPr="004F3D85">
              <w:rPr>
                <w:i/>
                <w:iCs/>
              </w:rPr>
              <w:t xml:space="preserve"> </w:t>
            </w:r>
            <w:r w:rsidR="00CB25F7" w:rsidRPr="00CB25F7">
              <w:t>Наредба № Н-5/2022 г.</w:t>
            </w:r>
            <w:r w:rsidR="00534F26">
              <w:t xml:space="preserve">, а едва след това </w:t>
            </w:r>
            <w:r w:rsidR="00534F26">
              <w:lastRenderedPageBreak/>
              <w:t xml:space="preserve">упражняване на правата по записа на заповед, води до </w:t>
            </w:r>
            <w:r w:rsidR="004D2CE3">
              <w:t>невъзможност</w:t>
            </w:r>
            <w:r w:rsidR="00534F26">
              <w:t xml:space="preserve"> Управляващия</w:t>
            </w:r>
            <w:r w:rsidR="004D2CE3">
              <w:t>т</w:t>
            </w:r>
            <w:r w:rsidR="00534F26">
              <w:t xml:space="preserve"> орган </w:t>
            </w:r>
            <w:r w:rsidR="004D2CE3">
              <w:t xml:space="preserve">да  реализира обезпечителните си права по записа на заповед и да получи вземанията си. </w:t>
            </w:r>
          </w:p>
          <w:p w14:paraId="175C40F9" w14:textId="4B7C642B" w:rsidR="00C537BA" w:rsidRPr="00C537BA" w:rsidRDefault="00534F26" w:rsidP="00534F26">
            <w:pPr>
              <w:jc w:val="both"/>
            </w:pPr>
            <w:r>
              <w:t xml:space="preserve">Предвид гореизложеното, с цел спазване на принципа на добро финансово управление и защита на финансовите </w:t>
            </w:r>
            <w:r w:rsidR="009A4587">
              <w:t>интереси</w:t>
            </w:r>
            <w:r>
              <w:t xml:space="preserve"> на Европейския съюз, Управляващият орган възприе практиката да не допуска записът на заповед като вид обезпечение на авансовите плащания по административни договори за предоставяне на безвъзмездна финансова помощ. </w:t>
            </w:r>
          </w:p>
        </w:tc>
      </w:tr>
      <w:tr w:rsidR="001D06FC" w:rsidRPr="003E1000" w14:paraId="495882F4" w14:textId="77777777" w:rsidTr="00E879AD">
        <w:trPr>
          <w:trHeight w:val="4246"/>
        </w:trPr>
        <w:tc>
          <w:tcPr>
            <w:tcW w:w="426" w:type="dxa"/>
            <w:shd w:val="clear" w:color="auto" w:fill="auto"/>
          </w:tcPr>
          <w:p w14:paraId="563EF47B" w14:textId="3CD4050A" w:rsidR="001D06FC" w:rsidRPr="003E1000" w:rsidRDefault="001D06FC" w:rsidP="005642BC">
            <w:pPr>
              <w:jc w:val="center"/>
            </w:pPr>
            <w:r>
              <w:lastRenderedPageBreak/>
              <w:t>7.</w:t>
            </w:r>
          </w:p>
        </w:tc>
        <w:tc>
          <w:tcPr>
            <w:tcW w:w="2551" w:type="dxa"/>
            <w:shd w:val="clear" w:color="auto" w:fill="auto"/>
          </w:tcPr>
          <w:p w14:paraId="4835EE52" w14:textId="4AF3936A" w:rsidR="001D06FC" w:rsidRDefault="00A41EFC" w:rsidP="005642BC">
            <w:pPr>
              <w:jc w:val="both"/>
            </w:pPr>
            <w:r>
              <w:t>Предложение на представител на сдружение „Зелени балкани“, постъпили по време на обсъждането</w:t>
            </w:r>
          </w:p>
        </w:tc>
        <w:tc>
          <w:tcPr>
            <w:tcW w:w="1433" w:type="dxa"/>
            <w:shd w:val="clear" w:color="auto" w:fill="auto"/>
          </w:tcPr>
          <w:p w14:paraId="58049F3F" w14:textId="179D91BD" w:rsidR="001D06FC" w:rsidRPr="003E1000" w:rsidRDefault="00A41EFC" w:rsidP="005642BC">
            <w:pPr>
              <w:ind w:hanging="125"/>
              <w:jc w:val="center"/>
            </w:pPr>
            <w:r>
              <w:t>17.09.2024 г.</w:t>
            </w:r>
          </w:p>
        </w:tc>
        <w:tc>
          <w:tcPr>
            <w:tcW w:w="6500" w:type="dxa"/>
            <w:shd w:val="clear" w:color="auto" w:fill="auto"/>
          </w:tcPr>
          <w:p w14:paraId="0E0D3599" w14:textId="77777777" w:rsidR="001D06FC" w:rsidRDefault="0095230F" w:rsidP="00FE14D3">
            <w:pPr>
              <w:jc w:val="both"/>
            </w:pPr>
            <w:r>
              <w:t>1. Н</w:t>
            </w:r>
            <w:r w:rsidRPr="0095230F">
              <w:t>авсякъде в текста на условията за кандидатстване изрично да се уточни дали кандидатите – юридически лица с нестопанска цел (ЮЛНЦ) следва да представят доказателства за кумулативен размер на оборот за 2021 г., 2022 г. и 2023 г. от 10% или от 20% от стойността на заявената от тях безвъзмездна финансова помощ за всички проекти на отделния кандидат.</w:t>
            </w:r>
          </w:p>
          <w:p w14:paraId="13E1F113" w14:textId="77777777" w:rsidR="0095230F" w:rsidRDefault="0095230F" w:rsidP="00FE14D3">
            <w:pPr>
              <w:jc w:val="both"/>
            </w:pPr>
          </w:p>
          <w:p w14:paraId="7874F490" w14:textId="77777777" w:rsidR="0095230F" w:rsidRDefault="0095230F" w:rsidP="00FE14D3">
            <w:pPr>
              <w:jc w:val="both"/>
            </w:pPr>
          </w:p>
          <w:p w14:paraId="0F9B8A42" w14:textId="77777777" w:rsidR="0095230F" w:rsidRDefault="0095230F" w:rsidP="00FE14D3">
            <w:pPr>
              <w:jc w:val="both"/>
            </w:pPr>
          </w:p>
          <w:p w14:paraId="4666F14E" w14:textId="141805E7" w:rsidR="0095230F" w:rsidRDefault="0095230F" w:rsidP="00FE14D3">
            <w:pPr>
              <w:jc w:val="both"/>
            </w:pPr>
            <w:r>
              <w:t>2.  В</w:t>
            </w:r>
            <w:r w:rsidRPr="0095230F">
              <w:t xml:space="preserve"> текста на условията за кандидатстване да се уточни изрично, че кандидат може да подаде повече от едно проектно предложение, стига всяко проектно предложение на кандидата да се отнася до подхранване на целевите видове птици на </w:t>
            </w:r>
            <w:r w:rsidR="00830486" w:rsidRPr="0095230F">
              <w:t>различн</w:t>
            </w:r>
            <w:r w:rsidR="00830486">
              <w:t>а</w:t>
            </w:r>
            <w:r w:rsidR="00830486" w:rsidRPr="0095230F">
              <w:t xml:space="preserve"> </w:t>
            </w:r>
            <w:r w:rsidRPr="0095230F">
              <w:t>площадка за подхранване.</w:t>
            </w:r>
          </w:p>
          <w:p w14:paraId="2CA471BF" w14:textId="77777777" w:rsidR="0095230F" w:rsidRDefault="0095230F" w:rsidP="00FE14D3">
            <w:pPr>
              <w:jc w:val="both"/>
            </w:pPr>
          </w:p>
          <w:p w14:paraId="62394CAD" w14:textId="77777777" w:rsidR="0095230F" w:rsidRDefault="0095230F" w:rsidP="00FE14D3">
            <w:pPr>
              <w:jc w:val="both"/>
            </w:pPr>
          </w:p>
          <w:p w14:paraId="5AD37EEF" w14:textId="77777777" w:rsidR="0095230F" w:rsidRDefault="0095230F" w:rsidP="00FE14D3">
            <w:pPr>
              <w:jc w:val="both"/>
            </w:pPr>
          </w:p>
          <w:p w14:paraId="2DCA5CE9" w14:textId="77777777" w:rsidR="0095230F" w:rsidRDefault="0095230F" w:rsidP="00FE14D3">
            <w:pPr>
              <w:jc w:val="both"/>
            </w:pPr>
          </w:p>
          <w:p w14:paraId="0E4EEE85" w14:textId="77777777" w:rsidR="0095230F" w:rsidRDefault="0095230F" w:rsidP="00FE14D3">
            <w:pPr>
              <w:jc w:val="both"/>
            </w:pPr>
          </w:p>
          <w:p w14:paraId="603068B6" w14:textId="77777777" w:rsidR="0095230F" w:rsidRDefault="0095230F" w:rsidP="00FE14D3">
            <w:pPr>
              <w:jc w:val="both"/>
            </w:pPr>
          </w:p>
          <w:p w14:paraId="4B2AD104" w14:textId="77777777" w:rsidR="0095230F" w:rsidRDefault="0095230F" w:rsidP="00FE14D3">
            <w:pPr>
              <w:jc w:val="both"/>
            </w:pPr>
          </w:p>
          <w:p w14:paraId="7F1D21B9" w14:textId="77777777" w:rsidR="0095230F" w:rsidRDefault="0095230F" w:rsidP="00FE14D3">
            <w:pPr>
              <w:jc w:val="both"/>
            </w:pPr>
          </w:p>
          <w:p w14:paraId="72C7A9D2" w14:textId="77777777" w:rsidR="0095230F" w:rsidRDefault="0095230F" w:rsidP="00FE14D3">
            <w:pPr>
              <w:jc w:val="both"/>
            </w:pPr>
          </w:p>
          <w:p w14:paraId="2E7840F0" w14:textId="77777777" w:rsidR="0095230F" w:rsidRDefault="0095230F" w:rsidP="00FE14D3">
            <w:pPr>
              <w:jc w:val="both"/>
            </w:pPr>
          </w:p>
          <w:p w14:paraId="3BD3A9BC" w14:textId="77777777" w:rsidR="0095230F" w:rsidRDefault="0095230F" w:rsidP="00FE14D3">
            <w:pPr>
              <w:jc w:val="both"/>
            </w:pPr>
          </w:p>
          <w:p w14:paraId="65C618E2" w14:textId="77777777" w:rsidR="0095230F" w:rsidRDefault="0095230F" w:rsidP="00FE14D3">
            <w:pPr>
              <w:jc w:val="both"/>
            </w:pPr>
          </w:p>
          <w:p w14:paraId="7C492E90" w14:textId="77777777" w:rsidR="0095230F" w:rsidRDefault="0095230F" w:rsidP="00FE14D3">
            <w:pPr>
              <w:jc w:val="both"/>
            </w:pPr>
          </w:p>
          <w:p w14:paraId="16864ED1" w14:textId="77777777" w:rsidR="0095230F" w:rsidRDefault="0095230F" w:rsidP="00FE14D3">
            <w:pPr>
              <w:jc w:val="both"/>
            </w:pPr>
          </w:p>
          <w:p w14:paraId="46055AF8" w14:textId="27875E6B" w:rsidR="0095230F" w:rsidRDefault="0095230F" w:rsidP="00FE14D3">
            <w:pPr>
              <w:jc w:val="both"/>
            </w:pPr>
            <w:r>
              <w:t>3. В</w:t>
            </w:r>
            <w:r w:rsidRPr="0095230F">
              <w:t xml:space="preserve"> условията за изпълнение да се направи уточнение относно броя и честотата на предоставяне на снимков и/или видеоматериал от поставените фотокапани и/или полеви камери, от който е видно, че животинските продукти са разположени на съответната площадка. В допълнение, да се направи уточнение дали е допустимо снимков и/или видеоматериал да се предостави от дата, различна от датата на транспортиране на СЖП до територията на площадката, тъй като при голямо количество животински продукти част от тях биха могли да се съхраняват във фризер и впоследствие да бъдат използвани за следващо подхранване на целевите видове птици.</w:t>
            </w:r>
          </w:p>
          <w:p w14:paraId="7CA1616C" w14:textId="77777777" w:rsidR="0095230F" w:rsidRDefault="0095230F" w:rsidP="00FE14D3">
            <w:pPr>
              <w:jc w:val="both"/>
            </w:pPr>
          </w:p>
          <w:p w14:paraId="29908497" w14:textId="77777777" w:rsidR="0095230F" w:rsidRDefault="0095230F" w:rsidP="00FE14D3">
            <w:pPr>
              <w:jc w:val="both"/>
            </w:pPr>
          </w:p>
          <w:p w14:paraId="074F7FAA" w14:textId="77777777" w:rsidR="0095230F" w:rsidRDefault="0095230F" w:rsidP="00FE14D3">
            <w:pPr>
              <w:jc w:val="both"/>
            </w:pPr>
          </w:p>
          <w:p w14:paraId="51AA8126" w14:textId="77777777" w:rsidR="0095230F" w:rsidRDefault="0095230F" w:rsidP="00FE14D3">
            <w:pPr>
              <w:jc w:val="both"/>
            </w:pPr>
          </w:p>
          <w:p w14:paraId="72D69A22" w14:textId="77777777" w:rsidR="0095230F" w:rsidRDefault="0095230F" w:rsidP="00FE14D3">
            <w:pPr>
              <w:jc w:val="both"/>
            </w:pPr>
          </w:p>
          <w:p w14:paraId="1F75E6EC" w14:textId="77777777" w:rsidR="0095230F" w:rsidRDefault="0095230F" w:rsidP="00FE14D3">
            <w:pPr>
              <w:jc w:val="both"/>
            </w:pPr>
          </w:p>
          <w:p w14:paraId="75EF521B" w14:textId="77777777" w:rsidR="0095230F" w:rsidRDefault="0095230F" w:rsidP="00FE14D3">
            <w:pPr>
              <w:jc w:val="both"/>
            </w:pPr>
          </w:p>
          <w:p w14:paraId="6D726E87" w14:textId="77777777" w:rsidR="0095230F" w:rsidRDefault="0095230F" w:rsidP="00FE14D3">
            <w:pPr>
              <w:jc w:val="both"/>
            </w:pPr>
          </w:p>
          <w:p w14:paraId="5FA01F27" w14:textId="77777777" w:rsidR="0095230F" w:rsidRDefault="0095230F" w:rsidP="00FE14D3">
            <w:pPr>
              <w:jc w:val="both"/>
            </w:pPr>
          </w:p>
          <w:p w14:paraId="50057559" w14:textId="77777777" w:rsidR="007C710B" w:rsidRDefault="007C710B" w:rsidP="00FE14D3">
            <w:pPr>
              <w:jc w:val="both"/>
            </w:pPr>
          </w:p>
          <w:p w14:paraId="24383B64" w14:textId="1964EDDA" w:rsidR="0095230F" w:rsidRDefault="0095230F" w:rsidP="00FE14D3">
            <w:pPr>
              <w:jc w:val="both"/>
            </w:pPr>
            <w:r>
              <w:t>4. В</w:t>
            </w:r>
            <w:r w:rsidRPr="0095230F">
              <w:t xml:space="preserve"> условията за изпълнение да се направи уточнение относно честотата на предоставяне на снимки/видеа, на които е заснета някоя от целевите видове птици при извършване на подхранването и в частност дали такива следва да бъдат предоставяни при всяко подхранване в рамките на проекта</w:t>
            </w:r>
            <w:r>
              <w:t>.</w:t>
            </w:r>
          </w:p>
          <w:p w14:paraId="5D309EE3" w14:textId="77777777" w:rsidR="0095230F" w:rsidRDefault="0095230F" w:rsidP="00FE14D3">
            <w:pPr>
              <w:jc w:val="both"/>
            </w:pPr>
          </w:p>
          <w:p w14:paraId="61865A46" w14:textId="77777777" w:rsidR="0095230F" w:rsidRDefault="0095230F" w:rsidP="00FE14D3">
            <w:pPr>
              <w:jc w:val="both"/>
            </w:pPr>
          </w:p>
          <w:p w14:paraId="557B2A6E" w14:textId="77777777" w:rsidR="0095230F" w:rsidRDefault="0095230F" w:rsidP="00FE14D3">
            <w:pPr>
              <w:jc w:val="both"/>
            </w:pPr>
          </w:p>
          <w:p w14:paraId="34F8B92D" w14:textId="77777777" w:rsidR="0095230F" w:rsidRDefault="0095230F" w:rsidP="00FE14D3">
            <w:pPr>
              <w:jc w:val="both"/>
            </w:pPr>
          </w:p>
          <w:p w14:paraId="15929F4A" w14:textId="77777777" w:rsidR="0095230F" w:rsidRDefault="0095230F" w:rsidP="00FE14D3">
            <w:pPr>
              <w:jc w:val="both"/>
            </w:pPr>
          </w:p>
          <w:p w14:paraId="4C6D8662" w14:textId="77777777" w:rsidR="0095230F" w:rsidRDefault="0095230F" w:rsidP="00FE14D3">
            <w:pPr>
              <w:jc w:val="both"/>
            </w:pPr>
          </w:p>
          <w:p w14:paraId="65D613E3" w14:textId="77777777" w:rsidR="0095230F" w:rsidRDefault="0095230F" w:rsidP="00FE14D3">
            <w:pPr>
              <w:jc w:val="both"/>
            </w:pPr>
          </w:p>
          <w:p w14:paraId="235F1743" w14:textId="77777777" w:rsidR="0095230F" w:rsidRDefault="0095230F" w:rsidP="00FE14D3">
            <w:pPr>
              <w:jc w:val="both"/>
            </w:pPr>
          </w:p>
          <w:p w14:paraId="7731C3CC" w14:textId="77777777" w:rsidR="0095230F" w:rsidRDefault="0095230F" w:rsidP="00FE14D3">
            <w:pPr>
              <w:jc w:val="both"/>
            </w:pPr>
          </w:p>
          <w:p w14:paraId="42E9A511" w14:textId="77777777" w:rsidR="0095230F" w:rsidRDefault="0095230F" w:rsidP="00FE14D3">
            <w:pPr>
              <w:jc w:val="both"/>
            </w:pPr>
          </w:p>
          <w:p w14:paraId="5B9CEB2B" w14:textId="77777777" w:rsidR="0095230F" w:rsidRDefault="0095230F" w:rsidP="00FE14D3">
            <w:pPr>
              <w:jc w:val="both"/>
            </w:pPr>
          </w:p>
          <w:p w14:paraId="6BFBD6C5" w14:textId="77777777" w:rsidR="0095230F" w:rsidRDefault="0095230F" w:rsidP="00FE14D3">
            <w:pPr>
              <w:jc w:val="both"/>
            </w:pPr>
          </w:p>
          <w:p w14:paraId="15F98B95" w14:textId="77777777" w:rsidR="008902EB" w:rsidRDefault="008902EB" w:rsidP="00FE14D3">
            <w:pPr>
              <w:jc w:val="both"/>
            </w:pPr>
          </w:p>
          <w:p w14:paraId="248D425C" w14:textId="2BF5F660" w:rsidR="0095230F" w:rsidRDefault="0095230F" w:rsidP="00FE14D3">
            <w:pPr>
              <w:jc w:val="both"/>
            </w:pPr>
            <w:r>
              <w:t>5.  В</w:t>
            </w:r>
            <w:r w:rsidRPr="0095230F">
              <w:t xml:space="preserve"> условията за кандидатстване да се предвидят изисквания относно количествата животински продукти за едно подхранване и честотата на подхранванията в рамките на проекта.</w:t>
            </w:r>
          </w:p>
          <w:p w14:paraId="782A385F" w14:textId="77777777" w:rsidR="0095230F" w:rsidRDefault="0095230F" w:rsidP="00FE14D3">
            <w:pPr>
              <w:jc w:val="both"/>
            </w:pPr>
          </w:p>
          <w:p w14:paraId="4950DACD" w14:textId="77777777" w:rsidR="0095230F" w:rsidRDefault="0095230F" w:rsidP="00FE14D3">
            <w:pPr>
              <w:jc w:val="both"/>
            </w:pPr>
          </w:p>
          <w:p w14:paraId="569BFE8A" w14:textId="77777777" w:rsidR="0095230F" w:rsidRDefault="0095230F" w:rsidP="00FE14D3">
            <w:pPr>
              <w:jc w:val="both"/>
            </w:pPr>
          </w:p>
          <w:p w14:paraId="1DE63592" w14:textId="77777777" w:rsidR="0095230F" w:rsidRDefault="0095230F" w:rsidP="00FE14D3">
            <w:pPr>
              <w:jc w:val="both"/>
            </w:pPr>
          </w:p>
          <w:p w14:paraId="14A8422F" w14:textId="77777777" w:rsidR="0095230F" w:rsidRDefault="0095230F" w:rsidP="00FE14D3">
            <w:pPr>
              <w:jc w:val="both"/>
            </w:pPr>
          </w:p>
          <w:p w14:paraId="1248BD81" w14:textId="77777777" w:rsidR="0095230F" w:rsidRDefault="0095230F" w:rsidP="00FE14D3">
            <w:pPr>
              <w:jc w:val="both"/>
            </w:pPr>
          </w:p>
          <w:p w14:paraId="4A32F586" w14:textId="77777777" w:rsidR="0095230F" w:rsidRDefault="0095230F" w:rsidP="00FE14D3">
            <w:pPr>
              <w:jc w:val="both"/>
            </w:pPr>
          </w:p>
          <w:p w14:paraId="07AD17B4" w14:textId="77777777" w:rsidR="0095230F" w:rsidRDefault="0095230F" w:rsidP="00FE14D3">
            <w:pPr>
              <w:jc w:val="both"/>
            </w:pPr>
          </w:p>
          <w:p w14:paraId="57DBEBFB" w14:textId="77777777" w:rsidR="0095230F" w:rsidRDefault="0095230F" w:rsidP="00FE14D3">
            <w:pPr>
              <w:jc w:val="both"/>
            </w:pPr>
          </w:p>
          <w:p w14:paraId="28BB8465" w14:textId="77777777" w:rsidR="0095230F" w:rsidRDefault="0095230F" w:rsidP="00FE14D3">
            <w:pPr>
              <w:jc w:val="both"/>
            </w:pPr>
          </w:p>
          <w:p w14:paraId="006E6518" w14:textId="77777777" w:rsidR="0095230F" w:rsidRDefault="0095230F" w:rsidP="00FE14D3">
            <w:pPr>
              <w:jc w:val="both"/>
            </w:pPr>
          </w:p>
          <w:p w14:paraId="13D4083E" w14:textId="77777777" w:rsidR="00A35858" w:rsidRDefault="00A35858" w:rsidP="00FE14D3">
            <w:pPr>
              <w:jc w:val="both"/>
            </w:pPr>
          </w:p>
          <w:p w14:paraId="0EE7C8EF" w14:textId="3F0C988A" w:rsidR="0095230F" w:rsidRDefault="00A35858" w:rsidP="00FE14D3">
            <w:pPr>
              <w:jc w:val="both"/>
            </w:pPr>
            <w:r>
              <w:t>6. В</w:t>
            </w:r>
            <w:r w:rsidRPr="00A35858">
              <w:t xml:space="preserve"> условията за кандидатстване като допустими за финансиране да бъдат определени разходите за поддръжка, застраховка, ремонт и винетки на транспортни средства за превоз на животински продукти</w:t>
            </w:r>
            <w:r w:rsidR="008D5FE3">
              <w:t>.</w:t>
            </w:r>
          </w:p>
          <w:p w14:paraId="62BAE6B5" w14:textId="77777777" w:rsidR="008D5FE3" w:rsidRDefault="008D5FE3" w:rsidP="00FE14D3">
            <w:pPr>
              <w:jc w:val="both"/>
            </w:pPr>
          </w:p>
          <w:p w14:paraId="04A12792" w14:textId="77777777" w:rsidR="008D5FE3" w:rsidRDefault="008D5FE3" w:rsidP="00FE14D3">
            <w:pPr>
              <w:jc w:val="both"/>
            </w:pPr>
          </w:p>
          <w:p w14:paraId="50A43DF9" w14:textId="77777777" w:rsidR="008D5FE3" w:rsidRDefault="008D5FE3" w:rsidP="00FE14D3">
            <w:pPr>
              <w:jc w:val="both"/>
            </w:pPr>
          </w:p>
          <w:p w14:paraId="0695593D" w14:textId="77777777" w:rsidR="008D5FE3" w:rsidRDefault="008D5FE3" w:rsidP="00FE14D3">
            <w:pPr>
              <w:jc w:val="both"/>
            </w:pPr>
          </w:p>
          <w:p w14:paraId="0441230A" w14:textId="77777777" w:rsidR="008D5FE3" w:rsidRDefault="008D5FE3" w:rsidP="00FE14D3">
            <w:pPr>
              <w:jc w:val="both"/>
            </w:pPr>
          </w:p>
          <w:p w14:paraId="1DC7DDAE" w14:textId="77777777" w:rsidR="008D5FE3" w:rsidRDefault="008D5FE3" w:rsidP="00FE14D3">
            <w:pPr>
              <w:jc w:val="both"/>
            </w:pPr>
          </w:p>
          <w:p w14:paraId="7AA5040E" w14:textId="77777777" w:rsidR="008D5FE3" w:rsidRDefault="008D5FE3" w:rsidP="00FE14D3">
            <w:pPr>
              <w:jc w:val="both"/>
            </w:pPr>
          </w:p>
          <w:p w14:paraId="45EE42BD" w14:textId="77777777" w:rsidR="008D5FE3" w:rsidRDefault="008D5FE3" w:rsidP="00FE14D3">
            <w:pPr>
              <w:jc w:val="both"/>
            </w:pPr>
          </w:p>
          <w:p w14:paraId="145FB603" w14:textId="53090253" w:rsidR="008D5FE3" w:rsidRDefault="008D5FE3" w:rsidP="00FE14D3">
            <w:pPr>
              <w:jc w:val="both"/>
            </w:pPr>
            <w:r>
              <w:t>7.  В</w:t>
            </w:r>
            <w:r w:rsidRPr="008D5FE3">
              <w:t xml:space="preserve"> раздел 13 „Дейности, допустими за финансиране“, т. 13.1. от условията за кандидатстване да се направи уточнение дали полевите формуляри и снимковият материал следва да са включени в геобаза данни от проведените дейности на терен или се предоставят отделно.</w:t>
            </w:r>
          </w:p>
          <w:p w14:paraId="29C5340D" w14:textId="77777777" w:rsidR="008D5FE3" w:rsidRDefault="008D5FE3" w:rsidP="00FE14D3">
            <w:pPr>
              <w:jc w:val="both"/>
            </w:pPr>
          </w:p>
          <w:p w14:paraId="4DB73C01" w14:textId="77777777" w:rsidR="008D5FE3" w:rsidRDefault="008D5FE3" w:rsidP="00FE14D3">
            <w:pPr>
              <w:jc w:val="both"/>
            </w:pPr>
          </w:p>
          <w:p w14:paraId="703F12CC" w14:textId="77777777" w:rsidR="008D5FE3" w:rsidRDefault="008D5FE3" w:rsidP="00FE14D3">
            <w:pPr>
              <w:jc w:val="both"/>
            </w:pPr>
          </w:p>
          <w:p w14:paraId="6FFE6B4F" w14:textId="42C77344" w:rsidR="008D5FE3" w:rsidRDefault="008D5FE3" w:rsidP="00FE14D3">
            <w:pPr>
              <w:jc w:val="both"/>
            </w:pPr>
            <w:r>
              <w:t>8.</w:t>
            </w:r>
            <w:r w:rsidR="00EC7295">
              <w:t xml:space="preserve"> В</w:t>
            </w:r>
            <w:r w:rsidR="00EC7295" w:rsidRPr="00EC7295">
              <w:t xml:space="preserve"> раздел 11 „Допустими кандидати“ от условията за кандидатстване „Във връзка с чл. 1 от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00EC7295" w:rsidRPr="00EC7295">
              <w:t>de</w:t>
            </w:r>
            <w:proofErr w:type="spellEnd"/>
            <w:r w:rsidR="00EC7295" w:rsidRPr="00EC7295">
              <w:t xml:space="preserve"> </w:t>
            </w:r>
            <w:proofErr w:type="spellStart"/>
            <w:r w:rsidR="00EC7295" w:rsidRPr="00EC7295">
              <w:t>minimis</w:t>
            </w:r>
            <w:proofErr w:type="spellEnd"/>
            <w:r w:rsidR="00EC7295" w:rsidRPr="00EC7295">
              <w:t xml:space="preserve"> (C/2023/9700, OB, L, 2023/2831, 15.12.2023 г.), не са допустими кандидати физическите и юридическите лица, собственици на животновъдни обекти, регистрирани по чл. 137 от ЗВМД и регистрирани животновъдни обекти – лични стопанства, както и собствениците на обекти, регистрирани по Закона за храните.“ да бъде прецизиран, предвид обстоятелството, че собственикът на животновъден обект може да бъде и собственик на площадка за подхранване на целевите видове птици. </w:t>
            </w:r>
            <w:r>
              <w:t xml:space="preserve"> </w:t>
            </w:r>
          </w:p>
          <w:p w14:paraId="7F9826C9" w14:textId="77777777" w:rsidR="00EC7295" w:rsidRDefault="00EC7295" w:rsidP="00FE14D3">
            <w:pPr>
              <w:jc w:val="both"/>
            </w:pPr>
          </w:p>
          <w:p w14:paraId="3AE38C37" w14:textId="77777777" w:rsidR="00EC7295" w:rsidRDefault="00EC7295" w:rsidP="00FE14D3">
            <w:pPr>
              <w:jc w:val="both"/>
            </w:pPr>
          </w:p>
          <w:p w14:paraId="42B4ABEB" w14:textId="77777777" w:rsidR="00EC7295" w:rsidRDefault="00EC7295" w:rsidP="00FE14D3">
            <w:pPr>
              <w:jc w:val="both"/>
            </w:pPr>
          </w:p>
          <w:p w14:paraId="7402469B" w14:textId="77777777" w:rsidR="00EC7295" w:rsidRDefault="00EC7295" w:rsidP="00FE14D3">
            <w:pPr>
              <w:jc w:val="both"/>
            </w:pPr>
          </w:p>
          <w:p w14:paraId="55AA17EB" w14:textId="77777777" w:rsidR="00EC7295" w:rsidRDefault="00EC7295" w:rsidP="00FE14D3">
            <w:pPr>
              <w:jc w:val="both"/>
            </w:pPr>
          </w:p>
          <w:p w14:paraId="6102B3D9" w14:textId="77777777" w:rsidR="008902EB" w:rsidRDefault="008902EB" w:rsidP="00FE14D3">
            <w:pPr>
              <w:jc w:val="both"/>
            </w:pPr>
          </w:p>
          <w:p w14:paraId="329B938B" w14:textId="2BA7D77D" w:rsidR="002D7AE5" w:rsidRDefault="000E3E02" w:rsidP="00FE14D3">
            <w:pPr>
              <w:jc w:val="both"/>
            </w:pPr>
            <w:r>
              <w:t>9. Като допустими да бъдат определени дейностите по закупуване на фризери за съхранение на странични животински продукти, когато количеството им може да се използва за повече от едно подхранвания.</w:t>
            </w:r>
          </w:p>
          <w:p w14:paraId="3B055F59" w14:textId="77777777" w:rsidR="002D7AE5" w:rsidRDefault="002D7AE5" w:rsidP="00FE14D3">
            <w:pPr>
              <w:jc w:val="both"/>
            </w:pPr>
          </w:p>
          <w:p w14:paraId="041057C8" w14:textId="77777777" w:rsidR="002D7AE5" w:rsidRDefault="002D7AE5" w:rsidP="00FE14D3">
            <w:pPr>
              <w:jc w:val="both"/>
            </w:pPr>
          </w:p>
          <w:p w14:paraId="7A9F6435" w14:textId="77777777" w:rsidR="002D7AE5" w:rsidRDefault="002D7AE5" w:rsidP="00FE14D3">
            <w:pPr>
              <w:jc w:val="both"/>
            </w:pPr>
          </w:p>
          <w:p w14:paraId="1D9C00A1" w14:textId="77777777" w:rsidR="002D7AE5" w:rsidRDefault="002D7AE5" w:rsidP="00FE14D3">
            <w:pPr>
              <w:jc w:val="both"/>
            </w:pPr>
          </w:p>
          <w:p w14:paraId="5D09BDC0" w14:textId="77777777" w:rsidR="002D7AE5" w:rsidRDefault="002D7AE5" w:rsidP="00FE14D3">
            <w:pPr>
              <w:jc w:val="both"/>
            </w:pPr>
          </w:p>
          <w:p w14:paraId="6A15977A" w14:textId="77777777" w:rsidR="002D7AE5" w:rsidRDefault="002D7AE5" w:rsidP="00FE14D3">
            <w:pPr>
              <w:jc w:val="both"/>
            </w:pPr>
          </w:p>
          <w:p w14:paraId="7DE7857F" w14:textId="77777777" w:rsidR="002D7AE5" w:rsidRDefault="002D7AE5" w:rsidP="00FE14D3">
            <w:pPr>
              <w:jc w:val="both"/>
            </w:pPr>
          </w:p>
          <w:p w14:paraId="387DE098" w14:textId="77777777" w:rsidR="002D7AE5" w:rsidRDefault="002D7AE5" w:rsidP="00FE14D3">
            <w:pPr>
              <w:jc w:val="both"/>
            </w:pPr>
          </w:p>
          <w:p w14:paraId="28D69CBD" w14:textId="77777777" w:rsidR="002D7AE5" w:rsidRDefault="002D7AE5" w:rsidP="00FE14D3">
            <w:pPr>
              <w:jc w:val="both"/>
            </w:pPr>
          </w:p>
          <w:p w14:paraId="764491FA" w14:textId="77777777" w:rsidR="002D7AE5" w:rsidRDefault="002D7AE5" w:rsidP="00FE14D3">
            <w:pPr>
              <w:jc w:val="both"/>
            </w:pPr>
          </w:p>
          <w:p w14:paraId="23F86B9E" w14:textId="77777777" w:rsidR="002D7AE5" w:rsidRDefault="002D7AE5" w:rsidP="00FE14D3">
            <w:pPr>
              <w:jc w:val="both"/>
            </w:pPr>
          </w:p>
          <w:p w14:paraId="57DB641B" w14:textId="77777777" w:rsidR="002D7AE5" w:rsidRDefault="002D7AE5" w:rsidP="00FE14D3">
            <w:pPr>
              <w:jc w:val="both"/>
            </w:pPr>
          </w:p>
          <w:p w14:paraId="04872E05" w14:textId="77777777" w:rsidR="002D7AE5" w:rsidRDefault="002D7AE5" w:rsidP="00FE14D3">
            <w:pPr>
              <w:jc w:val="both"/>
            </w:pPr>
          </w:p>
          <w:p w14:paraId="1C9E82FB" w14:textId="77777777" w:rsidR="002D7AE5" w:rsidRDefault="002D7AE5" w:rsidP="00FE14D3">
            <w:pPr>
              <w:jc w:val="both"/>
            </w:pPr>
          </w:p>
          <w:p w14:paraId="703FACA0" w14:textId="77777777" w:rsidR="002D7AE5" w:rsidRDefault="002D7AE5" w:rsidP="00FE14D3">
            <w:pPr>
              <w:jc w:val="both"/>
            </w:pPr>
          </w:p>
          <w:p w14:paraId="6A5C8054" w14:textId="77777777" w:rsidR="002D7AE5" w:rsidRDefault="002D7AE5" w:rsidP="00FE14D3">
            <w:pPr>
              <w:jc w:val="both"/>
            </w:pPr>
          </w:p>
          <w:p w14:paraId="0C850645" w14:textId="77777777" w:rsidR="002D7AE5" w:rsidRDefault="002D7AE5" w:rsidP="00FE14D3">
            <w:pPr>
              <w:jc w:val="both"/>
            </w:pPr>
          </w:p>
          <w:p w14:paraId="2F1C7C20" w14:textId="77777777" w:rsidR="00587794" w:rsidRDefault="00587794" w:rsidP="00FE14D3">
            <w:pPr>
              <w:jc w:val="both"/>
            </w:pPr>
          </w:p>
          <w:p w14:paraId="0DFFD517" w14:textId="77777777" w:rsidR="00587794" w:rsidRDefault="00587794" w:rsidP="00FE14D3">
            <w:pPr>
              <w:jc w:val="both"/>
            </w:pPr>
          </w:p>
          <w:p w14:paraId="0CB24AEE" w14:textId="32D0C41A" w:rsidR="0095230F" w:rsidRDefault="002D7AE5" w:rsidP="00FE14D3">
            <w:pPr>
              <w:jc w:val="both"/>
            </w:pPr>
            <w:r>
              <w:t xml:space="preserve">10. </w:t>
            </w:r>
            <w:r w:rsidR="000E3E02">
              <w:t xml:space="preserve"> </w:t>
            </w:r>
            <w:r>
              <w:t xml:space="preserve"> В</w:t>
            </w:r>
            <w:r w:rsidRPr="002D7AE5">
              <w:t xml:space="preserve"> условията за кандидатстване като допустими за финансиране да бъдат определени разходите за изграждане, реконструкция и ремонт на пътища до съответната площадка.</w:t>
            </w:r>
          </w:p>
          <w:p w14:paraId="445E1D76" w14:textId="79A3A88E" w:rsidR="0095230F" w:rsidRPr="003E1000" w:rsidRDefault="0095230F" w:rsidP="00FE14D3">
            <w:pPr>
              <w:jc w:val="both"/>
            </w:pPr>
          </w:p>
        </w:tc>
        <w:tc>
          <w:tcPr>
            <w:tcW w:w="5080" w:type="dxa"/>
            <w:shd w:val="clear" w:color="auto" w:fill="auto"/>
          </w:tcPr>
          <w:p w14:paraId="2CD77257" w14:textId="07338CC0" w:rsidR="001D06FC" w:rsidRDefault="0095230F" w:rsidP="005642BC">
            <w:pPr>
              <w:jc w:val="both"/>
            </w:pPr>
            <w:r>
              <w:lastRenderedPageBreak/>
              <w:t xml:space="preserve">По т. 1 – </w:t>
            </w:r>
            <w:r w:rsidR="00400B5D">
              <w:t xml:space="preserve">Приема </w:t>
            </w:r>
            <w:r>
              <w:t>се, но не изисква прецизиране на проекта на условия за кандидатстване.</w:t>
            </w:r>
          </w:p>
          <w:p w14:paraId="43E9A4C3" w14:textId="77777777" w:rsidR="0095230F" w:rsidRDefault="0095230F" w:rsidP="005642BC">
            <w:pPr>
              <w:jc w:val="both"/>
            </w:pPr>
            <w:r>
              <w:t>И</w:t>
            </w:r>
            <w:r w:rsidRPr="0095230F">
              <w:t>зискването за допустимост е да се представят доказателства за кумулативен размер на оборота на ЮЛНЦ от 10% от стойността на заявената безвъзмездна финансова помощ, съгласно посоченото в текста на условия за кандидатстване (раздели 11 и 24 от същите).</w:t>
            </w:r>
          </w:p>
          <w:p w14:paraId="62E3A6ED" w14:textId="77777777" w:rsidR="0095230F" w:rsidRPr="0095230F" w:rsidRDefault="0095230F" w:rsidP="0095230F"/>
          <w:p w14:paraId="3D8ABD71" w14:textId="77777777" w:rsidR="0095230F" w:rsidRDefault="0095230F" w:rsidP="0095230F"/>
          <w:p w14:paraId="0E926874" w14:textId="1197A0EE" w:rsidR="0095230F" w:rsidRDefault="0095230F" w:rsidP="0095230F">
            <w:pPr>
              <w:jc w:val="both"/>
            </w:pPr>
            <w:r>
              <w:t xml:space="preserve">По т. 2 – </w:t>
            </w:r>
            <w:r w:rsidR="00400B5D">
              <w:t xml:space="preserve">Приема </w:t>
            </w:r>
            <w:r>
              <w:t>се, но не изисква прецизиране на проекта на условия за кандидатстване.</w:t>
            </w:r>
          </w:p>
          <w:p w14:paraId="199C9D5E" w14:textId="77777777" w:rsidR="0095230F" w:rsidRDefault="0095230F" w:rsidP="0095230F">
            <w:pPr>
              <w:jc w:val="both"/>
            </w:pPr>
            <w:r>
              <w:t>С</w:t>
            </w:r>
            <w:r w:rsidRPr="0095230F">
              <w:t xml:space="preserve">ъгласно раздел 21 от </w:t>
            </w:r>
            <w:r>
              <w:t xml:space="preserve">проекта на </w:t>
            </w:r>
            <w:r w:rsidRPr="0095230F">
              <w:t xml:space="preserve">условия за кандидатстване, един кандидат може да включи в едно проектно предложение само една площадка за подхранване на лешояди. Всеки кандидат може да подаде повече от едно проектно предложение, всяко за различна площадка за подхранване. В този смисъл, не е необходимо отразяване на предложението в текста на условията за кандидатстване, тъй като съгласно предвиденото в същите е допустимо един кандидат да подаде повече от едно проектно предложение, стига всяко проектно предложение на кандидата да се отнася до </w:t>
            </w:r>
            <w:r w:rsidRPr="0095230F">
              <w:lastRenderedPageBreak/>
              <w:t>подхранване на целевите видове птици на различно площадка за подхранване.</w:t>
            </w:r>
          </w:p>
          <w:p w14:paraId="50E8C401" w14:textId="77777777" w:rsidR="0095230F" w:rsidRPr="0095230F" w:rsidRDefault="0095230F" w:rsidP="0095230F"/>
          <w:p w14:paraId="7BE3F6C9" w14:textId="77777777" w:rsidR="0095230F" w:rsidRDefault="0095230F" w:rsidP="0095230F"/>
          <w:p w14:paraId="66CCD0E4" w14:textId="395A6755" w:rsidR="0095230F" w:rsidRDefault="0095230F" w:rsidP="0095230F">
            <w:pPr>
              <w:jc w:val="both"/>
            </w:pPr>
            <w:r>
              <w:t>По т. 3 – Приема се по принцип. С</w:t>
            </w:r>
            <w:r w:rsidRPr="0095230F">
              <w:t>ъгласно раздел ІV.10 на Приложение № 2 към условията за изпълнение</w:t>
            </w:r>
            <w:r>
              <w:t>,</w:t>
            </w:r>
            <w:r w:rsidRPr="0095230F">
              <w:t xml:space="preserve"> снимков и/или видеоматериал се предоставя на Управляващия орган минимум за всяко „зареждане“ на площадката. Така направеното предложение ще бъде отразено в Приложение № 2 към условията за изпълнение по процедурата с цел яснота</w:t>
            </w:r>
            <w:r>
              <w:t xml:space="preserve">, като са добави следния текст: </w:t>
            </w:r>
            <w:r w:rsidR="007C710B">
              <w:t xml:space="preserve"> </w:t>
            </w:r>
            <w:r w:rsidR="007C710B" w:rsidRPr="007C710B">
              <w:rPr>
                <w:bCs/>
                <w:i/>
                <w:iCs/>
                <w:color w:val="000000" w:themeColor="text1"/>
              </w:rPr>
              <w:t xml:space="preserve">При несъвпадане на датата на транспортиране на животинските продукти и датата на извършване на подхранването на целевите видове птици на площадката (напр. при налично голямо количество животински продукти, съхранявани в хладилно съоръжение, които ще се използват за повече от едно подхранвания), бенефициентът описва обстоятелствата, поради които подхранването е извършено на по-късна дата от датата на доставката на животинските продукти. </w:t>
            </w:r>
          </w:p>
          <w:p w14:paraId="370DB5D0" w14:textId="77777777" w:rsidR="0095230F" w:rsidRDefault="0095230F" w:rsidP="0095230F">
            <w:pPr>
              <w:jc w:val="both"/>
            </w:pPr>
            <w:r w:rsidRPr="0095230F">
              <w:t xml:space="preserve"> </w:t>
            </w:r>
          </w:p>
          <w:p w14:paraId="4D4DF1C5" w14:textId="77777777" w:rsidR="007C710B" w:rsidRDefault="007C710B" w:rsidP="0095230F">
            <w:pPr>
              <w:jc w:val="both"/>
            </w:pPr>
          </w:p>
          <w:p w14:paraId="3538A9E0" w14:textId="37121F77" w:rsidR="0095230F" w:rsidRDefault="0095230F" w:rsidP="0095230F">
            <w:pPr>
              <w:jc w:val="both"/>
            </w:pPr>
            <w:r>
              <w:t>По т. 4 – Приема се, но не е необходимо прецизиране на проекта на условия за изпълнение. С</w:t>
            </w:r>
            <w:r w:rsidRPr="0095230F">
              <w:t xml:space="preserve">ъгласно раздел ІV.10 на Приложение № 2 към </w:t>
            </w:r>
            <w:r>
              <w:t xml:space="preserve">проекта на </w:t>
            </w:r>
            <w:r w:rsidRPr="0095230F">
              <w:t xml:space="preserve">условия за изпълнение не се изисква снимки/видеа на целевите птици да се предоставят при всяко отделно подхранване на площадката. Съгласно цитирания раздел, </w:t>
            </w:r>
            <w:r w:rsidRPr="008C2224">
              <w:rPr>
                <w:i/>
                <w:iCs/>
              </w:rPr>
              <w:t>в случай че са налични снимки/видеа, на които е заснета някоя от целевите видове птици, същите се представят в допълнение към задължително изискуемия снимков или видеоматериал</w:t>
            </w:r>
            <w:r w:rsidRPr="0095230F">
              <w:t xml:space="preserve">. В тази връзка не е необходимо прецизиране на текста на раздел </w:t>
            </w:r>
            <w:r w:rsidRPr="0095230F">
              <w:lastRenderedPageBreak/>
              <w:t xml:space="preserve">ІV.10 на Приложение № 2 към условията за изпълнение.  </w:t>
            </w:r>
          </w:p>
          <w:p w14:paraId="12F34CB8" w14:textId="77777777" w:rsidR="0095230F" w:rsidRPr="0095230F" w:rsidRDefault="0095230F" w:rsidP="0095230F"/>
          <w:p w14:paraId="2652A032" w14:textId="77777777" w:rsidR="0095230F" w:rsidRDefault="0095230F" w:rsidP="0095230F"/>
          <w:p w14:paraId="2318DFCA" w14:textId="77777777" w:rsidR="007C710B" w:rsidRDefault="007C710B" w:rsidP="0095230F">
            <w:pPr>
              <w:jc w:val="both"/>
            </w:pPr>
          </w:p>
          <w:p w14:paraId="4900C118" w14:textId="41422F2E" w:rsidR="0095230F" w:rsidRDefault="0095230F" w:rsidP="0095230F">
            <w:pPr>
              <w:jc w:val="both"/>
            </w:pPr>
            <w:r>
              <w:t>По т. 5 - Приема се, но не е необходимо прецизиране на проекта на условия за кандидатстване. С</w:t>
            </w:r>
            <w:r w:rsidRPr="0095230F">
              <w:t xml:space="preserve">ъгласно раздел 21 „Ред за оценяване на проектните предложения“ от условията за кандидатстване (критерий 1 от Оценка на качеството) се извършва оценка дали за всеки от целевите обекти са описани дейностите и дали те съобразяват биологията на вида (подходяща хранителна база, количество) и нормативните изисквания (разрешителни, санитарно-хигиенни норми и др.). Представените данни следва да са съобразени с Плановете за действие за опазване на целевите видове. </w:t>
            </w:r>
          </w:p>
          <w:p w14:paraId="4116475F" w14:textId="77777777" w:rsidR="00A35858" w:rsidRPr="00A35858" w:rsidRDefault="00A35858" w:rsidP="00A35858"/>
          <w:p w14:paraId="7D100308" w14:textId="77777777" w:rsidR="00A35858" w:rsidRDefault="00A35858" w:rsidP="00A35858"/>
          <w:p w14:paraId="5CB1A3E0" w14:textId="0A9A996D" w:rsidR="00A35858" w:rsidRDefault="00A35858" w:rsidP="00655F77">
            <w:pPr>
              <w:jc w:val="both"/>
            </w:pPr>
            <w:r>
              <w:t xml:space="preserve">По т. 6 – Не се приема. </w:t>
            </w:r>
            <w:r w:rsidR="00655F77" w:rsidRPr="00655F77">
              <w:t xml:space="preserve">В </w:t>
            </w:r>
            <w:r w:rsidR="00655F77">
              <w:t xml:space="preserve">раздел 14, т. 14.3, </w:t>
            </w:r>
            <w:r w:rsidR="00655F77" w:rsidRPr="00655F77">
              <w:t xml:space="preserve">част І. „Разходи за </w:t>
            </w:r>
            <w:r w:rsidR="00227B5B">
              <w:t>материални активи</w:t>
            </w:r>
            <w:r w:rsidR="00655F77" w:rsidRPr="00655F77">
              <w:t xml:space="preserve">“, като допустими са посочени </w:t>
            </w:r>
            <w:r w:rsidR="00655F77">
              <w:t xml:space="preserve">единствено </w:t>
            </w:r>
            <w:r w:rsidR="00655F77" w:rsidRPr="00655F77">
              <w:t xml:space="preserve">разходите за гаранционно (сервизно) обслужване на закупените по процедурата транспортни средства за превоз на животински продукти  до приключване на изпълнението на дейностите по проекта. </w:t>
            </w:r>
            <w:r w:rsidR="008D5FE3">
              <w:t xml:space="preserve">Всички останали изброени разходи са текущи и не подлежат на възстановяване по процедурата. </w:t>
            </w:r>
          </w:p>
          <w:p w14:paraId="6BF3E380" w14:textId="77777777" w:rsidR="008D5FE3" w:rsidRPr="008D5FE3" w:rsidRDefault="008D5FE3" w:rsidP="008D5FE3"/>
          <w:p w14:paraId="66B8CA7D" w14:textId="77777777" w:rsidR="008D5FE3" w:rsidRDefault="008D5FE3" w:rsidP="008D5FE3"/>
          <w:p w14:paraId="594E953C" w14:textId="446068E4" w:rsidR="008D5FE3" w:rsidRPr="008C2224" w:rsidRDefault="008D5FE3" w:rsidP="00855ACD">
            <w:pPr>
              <w:jc w:val="both"/>
              <w:rPr>
                <w:i/>
                <w:iCs/>
              </w:rPr>
            </w:pPr>
            <w:r>
              <w:t xml:space="preserve">По т. 7 – </w:t>
            </w:r>
            <w:r w:rsidR="00855ACD">
              <w:t xml:space="preserve">Приема се. Текстът в раздел 13, т. 13.2 от проекта на условия за кандидатстване е прецизиран. </w:t>
            </w:r>
          </w:p>
          <w:p w14:paraId="47759489" w14:textId="77777777" w:rsidR="00855ACD" w:rsidRPr="008C2224" w:rsidRDefault="00855ACD" w:rsidP="00855ACD">
            <w:pPr>
              <w:jc w:val="both"/>
              <w:rPr>
                <w:i/>
                <w:iCs/>
              </w:rPr>
            </w:pPr>
          </w:p>
          <w:p w14:paraId="76500B39" w14:textId="77777777" w:rsidR="00855ACD" w:rsidRDefault="00855ACD" w:rsidP="00855ACD">
            <w:pPr>
              <w:jc w:val="both"/>
            </w:pPr>
          </w:p>
          <w:p w14:paraId="26AC93F0" w14:textId="77777777" w:rsidR="00855ACD" w:rsidRDefault="00855ACD" w:rsidP="00EC7295">
            <w:pPr>
              <w:jc w:val="both"/>
            </w:pPr>
          </w:p>
          <w:p w14:paraId="2E83A3E7" w14:textId="77777777" w:rsidR="00855ACD" w:rsidRDefault="00855ACD" w:rsidP="00EC7295">
            <w:pPr>
              <w:jc w:val="both"/>
            </w:pPr>
          </w:p>
          <w:p w14:paraId="0FA7D297" w14:textId="77777777" w:rsidR="00855ACD" w:rsidRDefault="00855ACD" w:rsidP="00EC7295">
            <w:pPr>
              <w:jc w:val="both"/>
            </w:pPr>
          </w:p>
          <w:p w14:paraId="43C6FBEF" w14:textId="7DE982E1" w:rsidR="00EC7295" w:rsidRDefault="00EC7295" w:rsidP="00EC7295">
            <w:pPr>
              <w:jc w:val="both"/>
              <w:rPr>
                <w:i/>
                <w:iCs/>
              </w:rPr>
            </w:pPr>
            <w:r>
              <w:t xml:space="preserve">По т. 8 – Приема се по принцип. Текстът е прецизиран по следния начин: </w:t>
            </w:r>
            <w:r w:rsidRPr="00EC7295">
              <w:t>„</w:t>
            </w:r>
            <w:r w:rsidRPr="00EC7295">
              <w:rPr>
                <w:i/>
                <w:iCs/>
              </w:rPr>
              <w:t xml:space="preserve">Във връзка с чл. 1 от Регламент (ЕС) 2023/2831 на Комисията от 13 декември 2023 година относно прилагането на членове 107 и 108 от Договора за функционирането на Европейския съюз към помощта </w:t>
            </w:r>
            <w:proofErr w:type="spellStart"/>
            <w:r w:rsidRPr="00EC7295">
              <w:rPr>
                <w:i/>
                <w:iCs/>
              </w:rPr>
              <w:t>de</w:t>
            </w:r>
            <w:proofErr w:type="spellEnd"/>
            <w:r w:rsidRPr="00EC7295">
              <w:rPr>
                <w:i/>
                <w:iCs/>
              </w:rPr>
              <w:t xml:space="preserve"> </w:t>
            </w:r>
            <w:proofErr w:type="spellStart"/>
            <w:r w:rsidRPr="00EC7295">
              <w:rPr>
                <w:i/>
                <w:iCs/>
              </w:rPr>
              <w:t>minimis</w:t>
            </w:r>
            <w:proofErr w:type="spellEnd"/>
            <w:r w:rsidRPr="00EC7295">
              <w:rPr>
                <w:i/>
                <w:iCs/>
              </w:rPr>
              <w:t xml:space="preserve"> (C/2023/9700, OB, L, 2023/2831, 15.12.2023 г.), не са допустими кандидати физическите и юридическите лица</w:t>
            </w:r>
            <w:r w:rsidR="004F38AD">
              <w:rPr>
                <w:i/>
                <w:iCs/>
              </w:rPr>
              <w:t xml:space="preserve"> със стопанска цел</w:t>
            </w:r>
            <w:r w:rsidRPr="00EC7295">
              <w:rPr>
                <w:i/>
                <w:iCs/>
              </w:rPr>
              <w:t xml:space="preserve">, собственици на животновъдни обекти, регистрирани по чл. 137 от ЗВМД и регистрирани животновъдни обекти – лични стопанства, </w:t>
            </w:r>
            <w:r w:rsidRPr="008C2224">
              <w:rPr>
                <w:i/>
                <w:iCs/>
                <w:u w:val="single"/>
              </w:rPr>
              <w:t>когато същите предоставят собствени животински продукти, с които да се извършва подхранването</w:t>
            </w:r>
            <w:r w:rsidRPr="00EC7295">
              <w:rPr>
                <w:i/>
                <w:iCs/>
              </w:rPr>
              <w:t>, както и собствениците на обекти, регистрирани по Закона за храните.</w:t>
            </w:r>
            <w:r>
              <w:rPr>
                <w:i/>
                <w:iCs/>
              </w:rPr>
              <w:t>“.</w:t>
            </w:r>
          </w:p>
          <w:p w14:paraId="17440FD2" w14:textId="77777777" w:rsidR="000E3E02" w:rsidRPr="000E3E02" w:rsidRDefault="000E3E02" w:rsidP="000E3E02"/>
          <w:p w14:paraId="418A03CB" w14:textId="77777777" w:rsidR="000E3E02" w:rsidRDefault="000E3E02" w:rsidP="000E3E02">
            <w:pPr>
              <w:rPr>
                <w:i/>
                <w:iCs/>
              </w:rPr>
            </w:pPr>
          </w:p>
          <w:p w14:paraId="7F40B4C8" w14:textId="77777777" w:rsidR="00587794" w:rsidRDefault="00587794" w:rsidP="00E05DD6">
            <w:pPr>
              <w:jc w:val="both"/>
            </w:pPr>
          </w:p>
          <w:p w14:paraId="35999046" w14:textId="174C6107" w:rsidR="000E3E02" w:rsidRDefault="000E3E02" w:rsidP="00E05DD6">
            <w:pPr>
              <w:jc w:val="both"/>
            </w:pPr>
            <w:r>
              <w:t xml:space="preserve">По т. 9 – Приема се по принцип. </w:t>
            </w:r>
            <w:r w:rsidR="00E05DD6">
              <w:t xml:space="preserve">В раздел </w:t>
            </w:r>
            <w:r w:rsidR="00587794">
              <w:t>13</w:t>
            </w:r>
            <w:r w:rsidR="00E05DD6">
              <w:t xml:space="preserve">, т. </w:t>
            </w:r>
            <w:r w:rsidR="00587794">
              <w:t>13</w:t>
            </w:r>
            <w:r w:rsidR="00E05DD6">
              <w:t>.</w:t>
            </w:r>
            <w:r w:rsidR="00587794">
              <w:t>2</w:t>
            </w:r>
            <w:r w:rsidR="005739A4">
              <w:t xml:space="preserve"> </w:t>
            </w:r>
            <w:r w:rsidR="00E05DD6">
              <w:t xml:space="preserve">от проекта на условия за кандидатстване е посочено, че </w:t>
            </w:r>
            <w:r w:rsidR="00587794">
              <w:t xml:space="preserve">допустима дейност е </w:t>
            </w:r>
            <w:r w:rsidR="00587794" w:rsidRPr="00587794">
              <w:t>закупуване</w:t>
            </w:r>
            <w:r w:rsidR="00587794">
              <w:t>то</w:t>
            </w:r>
            <w:r w:rsidR="00587794" w:rsidRPr="00587794">
              <w:t xml:space="preserve"> на хладилни съоръжения за съхранение на СЖП</w:t>
            </w:r>
            <w:r w:rsidR="00587794">
              <w:t xml:space="preserve">. В раздел 13.4 като недопустима дейност е определена дейността </w:t>
            </w:r>
            <w:r w:rsidR="00587794" w:rsidRPr="00587794">
              <w:t xml:space="preserve">по закупуване на хладилни съоръжения с цел съхранение на СЖП </w:t>
            </w:r>
            <w:r w:rsidR="00587794" w:rsidRPr="008C2224">
              <w:rPr>
                <w:u w:val="single"/>
              </w:rPr>
              <w:t>от кандидати и партньори – собственици на животновъдни обекти, регистрирани по чл. 137 от ЗВМД, или регистрирани животновъдни обекти – лични стопанства</w:t>
            </w:r>
            <w:r w:rsidR="00587794" w:rsidRPr="00587794">
              <w:t>.</w:t>
            </w:r>
            <w:r w:rsidR="00587794">
              <w:t xml:space="preserve"> </w:t>
            </w:r>
            <w:r w:rsidR="00E05DD6">
              <w:t xml:space="preserve">Съответно, този вид разход за всички други категории кандидати и партньори е допустим за финансиране. В допълнение, в раздел 13, т. 13.2 от проекта на условия за кандидатстване е посочено, че </w:t>
            </w:r>
            <w:r w:rsidR="00587794">
              <w:t xml:space="preserve"> к</w:t>
            </w:r>
            <w:r w:rsidR="00587794" w:rsidRPr="00587794">
              <w:t xml:space="preserve">андидатите/партньорите следва да разполагат с необходимите регистрационни документи за </w:t>
            </w:r>
            <w:r w:rsidR="00587794" w:rsidRPr="00587794">
              <w:lastRenderedPageBreak/>
              <w:t>съхранение на СЖП, изискващи се съгласно ЗВМД, когато предвиждат да използват финансирани по процедурата хладилни съоръжения.</w:t>
            </w:r>
          </w:p>
          <w:p w14:paraId="4AAEFE28" w14:textId="77777777" w:rsidR="002D7AE5" w:rsidRPr="002D7AE5" w:rsidRDefault="002D7AE5" w:rsidP="002D7AE5"/>
          <w:p w14:paraId="1536A571" w14:textId="77777777" w:rsidR="002D7AE5" w:rsidRDefault="002D7AE5" w:rsidP="002D7AE5"/>
          <w:p w14:paraId="38504A41" w14:textId="16D0121E" w:rsidR="002D7AE5" w:rsidRDefault="002D7AE5" w:rsidP="002D7AE5">
            <w:r>
              <w:t xml:space="preserve">По т. 10 – </w:t>
            </w:r>
            <w:r w:rsidR="007F391F">
              <w:t>Н</w:t>
            </w:r>
            <w:r>
              <w:t>е се приема.</w:t>
            </w:r>
          </w:p>
          <w:p w14:paraId="699D0F15" w14:textId="7193B1E3" w:rsidR="002D7AE5" w:rsidRPr="002D7AE5" w:rsidRDefault="002D7AE5" w:rsidP="002D7AE5">
            <w:pPr>
              <w:jc w:val="both"/>
            </w:pPr>
            <w:r>
              <w:t>Целта</w:t>
            </w:r>
            <w:r w:rsidRPr="002D7AE5">
              <w:t xml:space="preserve"> на процедурата е да се подобри състоянието на защитени видове птици - Черен лешояд (А079 </w:t>
            </w:r>
            <w:proofErr w:type="spellStart"/>
            <w:r w:rsidRPr="002D7AE5">
              <w:t>Aegypius</w:t>
            </w:r>
            <w:proofErr w:type="spellEnd"/>
            <w:r w:rsidRPr="002D7AE5">
              <w:t xml:space="preserve"> </w:t>
            </w:r>
            <w:proofErr w:type="spellStart"/>
            <w:r w:rsidRPr="002D7AE5">
              <w:t>monachus</w:t>
            </w:r>
            <w:proofErr w:type="spellEnd"/>
            <w:r w:rsidRPr="002D7AE5">
              <w:t xml:space="preserve">), </w:t>
            </w:r>
            <w:proofErr w:type="spellStart"/>
            <w:r w:rsidRPr="002D7AE5">
              <w:t>Кръстат</w:t>
            </w:r>
            <w:proofErr w:type="spellEnd"/>
            <w:r w:rsidRPr="002D7AE5">
              <w:t xml:space="preserve"> орел (А404 </w:t>
            </w:r>
            <w:proofErr w:type="spellStart"/>
            <w:r w:rsidRPr="002D7AE5">
              <w:t>Aquila</w:t>
            </w:r>
            <w:proofErr w:type="spellEnd"/>
            <w:r w:rsidRPr="002D7AE5">
              <w:t xml:space="preserve"> </w:t>
            </w:r>
            <w:proofErr w:type="spellStart"/>
            <w:r w:rsidRPr="002D7AE5">
              <w:t>heliaca</w:t>
            </w:r>
            <w:proofErr w:type="spellEnd"/>
            <w:r w:rsidRPr="002D7AE5">
              <w:t>), Белоглав ле-</w:t>
            </w:r>
            <w:proofErr w:type="spellStart"/>
            <w:r w:rsidRPr="002D7AE5">
              <w:t>шояд</w:t>
            </w:r>
            <w:proofErr w:type="spellEnd"/>
            <w:r w:rsidRPr="002D7AE5">
              <w:t xml:space="preserve"> (А078 </w:t>
            </w:r>
            <w:proofErr w:type="spellStart"/>
            <w:r w:rsidRPr="002D7AE5">
              <w:t>Gyps</w:t>
            </w:r>
            <w:proofErr w:type="spellEnd"/>
            <w:r w:rsidRPr="002D7AE5">
              <w:t xml:space="preserve"> </w:t>
            </w:r>
            <w:proofErr w:type="spellStart"/>
            <w:r w:rsidRPr="002D7AE5">
              <w:t>fulvus</w:t>
            </w:r>
            <w:proofErr w:type="spellEnd"/>
            <w:r w:rsidRPr="002D7AE5">
              <w:t xml:space="preserve">), Египетски лешояд (А077 </w:t>
            </w:r>
            <w:proofErr w:type="spellStart"/>
            <w:r w:rsidRPr="002D7AE5">
              <w:t>Neophron</w:t>
            </w:r>
            <w:proofErr w:type="spellEnd"/>
            <w:r w:rsidRPr="002D7AE5">
              <w:t xml:space="preserve"> </w:t>
            </w:r>
            <w:proofErr w:type="spellStart"/>
            <w:r w:rsidRPr="002D7AE5">
              <w:t>percnopterus</w:t>
            </w:r>
            <w:proofErr w:type="spellEnd"/>
            <w:r w:rsidRPr="002D7AE5">
              <w:t>), в изпълнение на мярка 70 от Националната рамка за приоритетни действия за мрежата Натура 2000 на България. Така описаните дейности не попадат в обхвата на мярка 70 от НРПД, поради което същите са недопустими за финансиране по процедурата.</w:t>
            </w:r>
          </w:p>
        </w:tc>
      </w:tr>
    </w:tbl>
    <w:p w14:paraId="10F0B1ED" w14:textId="77777777" w:rsidR="00796CE2" w:rsidRPr="003E1000" w:rsidRDefault="00796CE2" w:rsidP="00A53A9B">
      <w:pPr>
        <w:jc w:val="both"/>
        <w:rPr>
          <w:rFonts w:ascii="Verdana" w:hAnsi="Verdana" w:cs="Tahoma"/>
        </w:rPr>
      </w:pPr>
    </w:p>
    <w:p w14:paraId="7CE693C8" w14:textId="77777777" w:rsidR="00BD7FA6" w:rsidRPr="003E1000" w:rsidRDefault="00BD7FA6" w:rsidP="00A53A9B">
      <w:pPr>
        <w:jc w:val="both"/>
        <w:rPr>
          <w:rFonts w:ascii="Verdana" w:hAnsi="Verdana" w:cs="Tahoma"/>
        </w:rPr>
      </w:pPr>
    </w:p>
    <w:p w14:paraId="34C052D2" w14:textId="77777777" w:rsidR="00BD7FA6" w:rsidRPr="003E1000" w:rsidRDefault="00BD7FA6" w:rsidP="004E2862">
      <w:pPr>
        <w:ind w:left="567"/>
        <w:jc w:val="both"/>
        <w:rPr>
          <w:rFonts w:ascii="Verdana" w:hAnsi="Verdana" w:cs="Tahoma"/>
        </w:rPr>
      </w:pPr>
    </w:p>
    <w:p w14:paraId="5136232C" w14:textId="77777777" w:rsidR="00DD12A7" w:rsidRPr="003E1000" w:rsidRDefault="00DD12A7" w:rsidP="004012BA">
      <w:pPr>
        <w:ind w:left="9217" w:firstLine="709"/>
        <w:jc w:val="both"/>
      </w:pPr>
    </w:p>
    <w:p w14:paraId="24F02381" w14:textId="3A51400C" w:rsidR="00DD12A7" w:rsidRPr="003E1000" w:rsidRDefault="00BB5233" w:rsidP="00473ADF">
      <w:pPr>
        <w:ind w:left="1418"/>
        <w:jc w:val="both"/>
      </w:pPr>
      <w:r>
        <w:pict w14:anchorId="5A12C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4pt;height:93.6pt">
            <v:imagedata r:id="rId13" o:title=""/>
            <o:lock v:ext="edit" ungrouping="t" rotation="t" cropping="t" verticies="t" text="t" grouping="t"/>
            <o:signatureline v:ext="edit" id="{A7D06777-3BD2-4CB7-B913-D26D6FDACFD5}" provid="{00000000-0000-0000-0000-000000000000}" o:suggestedsigner="Галина Симеонова" o:suggestedsigner2="Ръководител на УО на ПОС 2021-2027 г." issignatureline="t"/>
          </v:shape>
        </w:pict>
      </w:r>
    </w:p>
    <w:sectPr w:rsidR="00DD12A7" w:rsidRPr="003E1000" w:rsidSect="004012BA">
      <w:headerReference w:type="default" r:id="rId14"/>
      <w:footerReference w:type="default" r:id="rId15"/>
      <w:pgSz w:w="16838" w:h="11906" w:orient="landscape"/>
      <w:pgMar w:top="568" w:right="567" w:bottom="284" w:left="56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0C09" w14:textId="77777777" w:rsidR="00A450D3" w:rsidRDefault="00A450D3">
      <w:r>
        <w:separator/>
      </w:r>
    </w:p>
  </w:endnote>
  <w:endnote w:type="continuationSeparator" w:id="0">
    <w:p w14:paraId="4E993A35" w14:textId="77777777" w:rsidR="00A450D3" w:rsidRDefault="00A4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457D" w14:textId="77777777" w:rsidR="00576BFA" w:rsidRPr="00C76DF0" w:rsidRDefault="00576BFA" w:rsidP="00576BFA">
    <w:pPr>
      <w:pStyle w:val="Footer"/>
      <w:pBdr>
        <w:top w:val="single" w:sz="4" w:space="1" w:color="D9D9D9"/>
      </w:pBdr>
      <w:jc w:val="right"/>
      <w:rPr>
        <w:sz w:val="16"/>
        <w:szCs w:val="16"/>
      </w:rPr>
    </w:pPr>
    <w:r w:rsidRPr="00874787">
      <w:rPr>
        <w:sz w:val="16"/>
        <w:szCs w:val="16"/>
      </w:rPr>
      <w:fldChar w:fldCharType="begin"/>
    </w:r>
    <w:r w:rsidRPr="00874787">
      <w:rPr>
        <w:sz w:val="16"/>
        <w:szCs w:val="16"/>
      </w:rPr>
      <w:instrText xml:space="preserve"> PAGE   \* MERGEFORMAT </w:instrText>
    </w:r>
    <w:r w:rsidRPr="00874787">
      <w:rPr>
        <w:sz w:val="16"/>
        <w:szCs w:val="16"/>
      </w:rPr>
      <w:fldChar w:fldCharType="separate"/>
    </w:r>
    <w:r w:rsidR="00E00251">
      <w:rPr>
        <w:noProof/>
        <w:sz w:val="16"/>
        <w:szCs w:val="16"/>
      </w:rPr>
      <w:t>1</w:t>
    </w:r>
    <w:r w:rsidRPr="00874787">
      <w:rPr>
        <w:noProof/>
        <w:sz w:val="16"/>
        <w:szCs w:val="16"/>
      </w:rPr>
      <w:fldChar w:fldCharType="end"/>
    </w:r>
    <w:r w:rsidRPr="00874787">
      <w:rPr>
        <w:sz w:val="16"/>
        <w:szCs w:val="16"/>
      </w:rPr>
      <w:t xml:space="preserve"> | </w:t>
    </w:r>
    <w:r w:rsidR="00C76DF0">
      <w:rPr>
        <w:sz w:val="16"/>
        <w:szCs w:val="16"/>
      </w:rPr>
      <w:t>2</w:t>
    </w:r>
  </w:p>
  <w:p w14:paraId="3485C3B2" w14:textId="77777777" w:rsidR="00F4740D" w:rsidRPr="00576BFA" w:rsidRDefault="00F4740D" w:rsidP="00874787">
    <w:pPr>
      <w:pStyle w:val="Footer"/>
      <w:tabs>
        <w:tab w:val="clear" w:pos="4536"/>
        <w:tab w:val="clear" w:pos="9072"/>
        <w:tab w:val="left" w:pos="10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FB2C" w14:textId="77777777" w:rsidR="00A450D3" w:rsidRDefault="00A450D3">
      <w:r>
        <w:separator/>
      </w:r>
    </w:p>
  </w:footnote>
  <w:footnote w:type="continuationSeparator" w:id="0">
    <w:p w14:paraId="5EE02EF5" w14:textId="77777777" w:rsidR="00A450D3" w:rsidRDefault="00A4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CF4E" w14:textId="77777777" w:rsidR="00921644" w:rsidRDefault="00921644" w:rsidP="00921644">
    <w:pPr>
      <w:pStyle w:val="Header"/>
      <w:tabs>
        <w:tab w:val="clear" w:pos="4536"/>
        <w:tab w:val="clear" w:pos="9072"/>
        <w:tab w:val="left" w:pos="857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CB7"/>
    <w:multiLevelType w:val="multilevel"/>
    <w:tmpl w:val="12F47058"/>
    <w:lvl w:ilvl="0">
      <w:start w:val="3"/>
      <w:numFmt w:val="decimal"/>
      <w:pStyle w:val="style2manual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4DC5"/>
    <w:multiLevelType w:val="multilevel"/>
    <w:tmpl w:val="25AA4316"/>
    <w:lvl w:ilvl="0">
      <w:start w:val="1"/>
      <w:numFmt w:val="decimal"/>
      <w:pStyle w:val="GfAheading1"/>
      <w:lvlText w:val="%1."/>
      <w:lvlJc w:val="left"/>
      <w:pPr>
        <w:tabs>
          <w:tab w:val="num" w:pos="1080"/>
        </w:tabs>
        <w:ind w:left="108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7810177"/>
    <w:multiLevelType w:val="hybridMultilevel"/>
    <w:tmpl w:val="8032A3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56153B3"/>
    <w:multiLevelType w:val="hybridMultilevel"/>
    <w:tmpl w:val="A02E9B8E"/>
    <w:lvl w:ilvl="0" w:tplc="CB2A9806">
      <w:start w:val="1"/>
      <w:numFmt w:val="bullet"/>
      <w:lvlText w:val=""/>
      <w:lvlJc w:val="left"/>
      <w:pPr>
        <w:tabs>
          <w:tab w:val="num" w:pos="720"/>
        </w:tabs>
        <w:ind w:left="720" w:hanging="360"/>
      </w:pPr>
      <w:rPr>
        <w:rFonts w:ascii="Wingdings" w:hAnsi="Wingdings" w:hint="default"/>
      </w:rPr>
    </w:lvl>
    <w:lvl w:ilvl="1" w:tplc="90245E88">
      <w:start w:val="3"/>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86546"/>
    <w:multiLevelType w:val="hybridMultilevel"/>
    <w:tmpl w:val="5E985CCE"/>
    <w:lvl w:ilvl="0" w:tplc="04020011">
      <w:start w:val="1"/>
      <w:numFmt w:val="decimal"/>
      <w:lvlText w:val="%1)"/>
      <w:lvlJc w:val="left"/>
      <w:pPr>
        <w:tabs>
          <w:tab w:val="num" w:pos="360"/>
        </w:tabs>
        <w:ind w:left="360" w:hanging="360"/>
      </w:pPr>
      <w:rPr>
        <w:rFonts w:hint="default"/>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660"/>
        </w:tabs>
        <w:ind w:left="660" w:hanging="660"/>
      </w:pPr>
      <w:rPr>
        <w:rFonts w:ascii="Wingdings" w:eastAsia="Times New Roman" w:hAnsi="Wingdings" w:cs="MS Mincho"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9EE007A"/>
    <w:multiLevelType w:val="hybridMultilevel"/>
    <w:tmpl w:val="F7287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C67634D"/>
    <w:multiLevelType w:val="hybridMultilevel"/>
    <w:tmpl w:val="5556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6089E"/>
    <w:multiLevelType w:val="hybridMultilevel"/>
    <w:tmpl w:val="B57246DA"/>
    <w:lvl w:ilvl="0" w:tplc="CF7C7408">
      <w:start w:val="80"/>
      <w:numFmt w:val="bullet"/>
      <w:lvlText w:val="-"/>
      <w:lvlJc w:val="left"/>
      <w:pPr>
        <w:tabs>
          <w:tab w:val="num" w:pos="720"/>
        </w:tabs>
        <w:ind w:left="720" w:hanging="360"/>
      </w:pPr>
      <w:rPr>
        <w:rFonts w:ascii="Times New Roman" w:eastAsia="Times New Roman" w:hAnsi="Times New Roman" w:cs="Times New Roman" w:hint="default"/>
        <w:b/>
        <w:i w:val="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b/>
        <w:i w:val="0"/>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F5E60"/>
    <w:multiLevelType w:val="hybridMultilevel"/>
    <w:tmpl w:val="179ACFCA"/>
    <w:lvl w:ilvl="0" w:tplc="607035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F3ACD"/>
    <w:multiLevelType w:val="hybridMultilevel"/>
    <w:tmpl w:val="A8C29284"/>
    <w:lvl w:ilvl="0" w:tplc="0FC2CB4C">
      <w:start w:val="4"/>
      <w:numFmt w:val="bullet"/>
      <w:lvlText w:val="-"/>
      <w:lvlJc w:val="left"/>
      <w:pPr>
        <w:ind w:left="720" w:hanging="360"/>
      </w:pPr>
      <w:rPr>
        <w:rFonts w:ascii="Times New Roman" w:eastAsia="HG Mincho Light J"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D48EF"/>
    <w:multiLevelType w:val="hybridMultilevel"/>
    <w:tmpl w:val="179ACFCA"/>
    <w:lvl w:ilvl="0" w:tplc="607035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C2284"/>
    <w:multiLevelType w:val="hybridMultilevel"/>
    <w:tmpl w:val="9846640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4D590997"/>
    <w:multiLevelType w:val="hybridMultilevel"/>
    <w:tmpl w:val="2D84AF82"/>
    <w:lvl w:ilvl="0" w:tplc="0D9C685E">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Wingdings"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Wingdings"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34FEB"/>
    <w:multiLevelType w:val="hybridMultilevel"/>
    <w:tmpl w:val="4C885FCE"/>
    <w:lvl w:ilvl="0" w:tplc="04020001">
      <w:start w:val="1"/>
      <w:numFmt w:val="bullet"/>
      <w:lvlText w:val=""/>
      <w:lvlJc w:val="left"/>
      <w:pPr>
        <w:tabs>
          <w:tab w:val="num" w:pos="915"/>
        </w:tabs>
        <w:ind w:left="915" w:hanging="360"/>
      </w:pPr>
      <w:rPr>
        <w:rFonts w:ascii="Symbol" w:hAnsi="Symbol" w:hint="default"/>
        <w:b/>
        <w:i w:val="0"/>
      </w:rPr>
    </w:lvl>
    <w:lvl w:ilvl="1" w:tplc="04020003" w:tentative="1">
      <w:start w:val="1"/>
      <w:numFmt w:val="bullet"/>
      <w:lvlText w:val="o"/>
      <w:lvlJc w:val="left"/>
      <w:pPr>
        <w:tabs>
          <w:tab w:val="num" w:pos="1635"/>
        </w:tabs>
        <w:ind w:left="1635" w:hanging="360"/>
      </w:pPr>
      <w:rPr>
        <w:rFonts w:ascii="Courier New" w:hAnsi="Courier New" w:cs="Courier New" w:hint="default"/>
      </w:rPr>
    </w:lvl>
    <w:lvl w:ilvl="2" w:tplc="04020005" w:tentative="1">
      <w:start w:val="1"/>
      <w:numFmt w:val="bullet"/>
      <w:lvlText w:val=""/>
      <w:lvlJc w:val="left"/>
      <w:pPr>
        <w:tabs>
          <w:tab w:val="num" w:pos="2355"/>
        </w:tabs>
        <w:ind w:left="2355" w:hanging="360"/>
      </w:pPr>
      <w:rPr>
        <w:rFonts w:ascii="Wingdings" w:hAnsi="Wingdings" w:hint="default"/>
      </w:rPr>
    </w:lvl>
    <w:lvl w:ilvl="3" w:tplc="04020001">
      <w:start w:val="1"/>
      <w:numFmt w:val="bullet"/>
      <w:lvlText w:val=""/>
      <w:lvlJc w:val="left"/>
      <w:pPr>
        <w:tabs>
          <w:tab w:val="num" w:pos="3075"/>
        </w:tabs>
        <w:ind w:left="3075" w:hanging="360"/>
      </w:pPr>
      <w:rPr>
        <w:rFonts w:ascii="Symbol" w:hAnsi="Symbol" w:hint="default"/>
        <w:b/>
        <w:i w:val="0"/>
      </w:rPr>
    </w:lvl>
    <w:lvl w:ilvl="4" w:tplc="04020003" w:tentative="1">
      <w:start w:val="1"/>
      <w:numFmt w:val="bullet"/>
      <w:lvlText w:val="o"/>
      <w:lvlJc w:val="left"/>
      <w:pPr>
        <w:tabs>
          <w:tab w:val="num" w:pos="3795"/>
        </w:tabs>
        <w:ind w:left="3795" w:hanging="360"/>
      </w:pPr>
      <w:rPr>
        <w:rFonts w:ascii="Courier New" w:hAnsi="Courier New" w:cs="Courier New" w:hint="default"/>
      </w:rPr>
    </w:lvl>
    <w:lvl w:ilvl="5" w:tplc="04020005" w:tentative="1">
      <w:start w:val="1"/>
      <w:numFmt w:val="bullet"/>
      <w:lvlText w:val=""/>
      <w:lvlJc w:val="left"/>
      <w:pPr>
        <w:tabs>
          <w:tab w:val="num" w:pos="4515"/>
        </w:tabs>
        <w:ind w:left="4515" w:hanging="360"/>
      </w:pPr>
      <w:rPr>
        <w:rFonts w:ascii="Wingdings" w:hAnsi="Wingdings" w:hint="default"/>
      </w:rPr>
    </w:lvl>
    <w:lvl w:ilvl="6" w:tplc="04020001" w:tentative="1">
      <w:start w:val="1"/>
      <w:numFmt w:val="bullet"/>
      <w:lvlText w:val=""/>
      <w:lvlJc w:val="left"/>
      <w:pPr>
        <w:tabs>
          <w:tab w:val="num" w:pos="5235"/>
        </w:tabs>
        <w:ind w:left="5235" w:hanging="360"/>
      </w:pPr>
      <w:rPr>
        <w:rFonts w:ascii="Symbol" w:hAnsi="Symbol" w:hint="default"/>
      </w:rPr>
    </w:lvl>
    <w:lvl w:ilvl="7" w:tplc="04020003" w:tentative="1">
      <w:start w:val="1"/>
      <w:numFmt w:val="bullet"/>
      <w:lvlText w:val="o"/>
      <w:lvlJc w:val="left"/>
      <w:pPr>
        <w:tabs>
          <w:tab w:val="num" w:pos="5955"/>
        </w:tabs>
        <w:ind w:left="5955" w:hanging="360"/>
      </w:pPr>
      <w:rPr>
        <w:rFonts w:ascii="Courier New" w:hAnsi="Courier New" w:cs="Courier New" w:hint="default"/>
      </w:rPr>
    </w:lvl>
    <w:lvl w:ilvl="8" w:tplc="04020005" w:tentative="1">
      <w:start w:val="1"/>
      <w:numFmt w:val="bullet"/>
      <w:lvlText w:val=""/>
      <w:lvlJc w:val="left"/>
      <w:pPr>
        <w:tabs>
          <w:tab w:val="num" w:pos="6675"/>
        </w:tabs>
        <w:ind w:left="6675" w:hanging="360"/>
      </w:pPr>
      <w:rPr>
        <w:rFonts w:ascii="Wingdings" w:hAnsi="Wingdings" w:hint="default"/>
      </w:rPr>
    </w:lvl>
  </w:abstractNum>
  <w:abstractNum w:abstractNumId="14" w15:restartNumberingAfterBreak="0">
    <w:nsid w:val="52B230A0"/>
    <w:multiLevelType w:val="hybridMultilevel"/>
    <w:tmpl w:val="E4EA8D02"/>
    <w:lvl w:ilvl="0" w:tplc="0402000F">
      <w:start w:val="6"/>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422CA"/>
    <w:multiLevelType w:val="hybridMultilevel"/>
    <w:tmpl w:val="205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02032"/>
    <w:multiLevelType w:val="hybridMultilevel"/>
    <w:tmpl w:val="16C8771E"/>
    <w:lvl w:ilvl="0" w:tplc="0402000F">
      <w:start w:val="1"/>
      <w:numFmt w:val="decimal"/>
      <w:lvlText w:val="%1."/>
      <w:lvlJc w:val="left"/>
      <w:pPr>
        <w:tabs>
          <w:tab w:val="num" w:pos="720"/>
        </w:tabs>
        <w:ind w:left="720" w:hanging="360"/>
      </w:pPr>
      <w:rPr>
        <w:rFonts w:hint="default"/>
      </w:rPr>
    </w:lvl>
    <w:lvl w:ilvl="1" w:tplc="04020019">
      <w:start w:val="1"/>
      <w:numFmt w:val="bullet"/>
      <w:lvlText w:val="o"/>
      <w:lvlJc w:val="left"/>
      <w:pPr>
        <w:tabs>
          <w:tab w:val="num" w:pos="1440"/>
        </w:tabs>
        <w:ind w:left="1440" w:hanging="360"/>
      </w:pPr>
      <w:rPr>
        <w:rFonts w:ascii="Courier New" w:hAnsi="Courier New" w:cs="Wingdings" w:hint="default"/>
      </w:rPr>
    </w:lvl>
    <w:lvl w:ilvl="2" w:tplc="0402001B">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Wingdings"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Wingdings"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8A7A35"/>
    <w:multiLevelType w:val="hybridMultilevel"/>
    <w:tmpl w:val="5556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11193"/>
    <w:multiLevelType w:val="hybridMultilevel"/>
    <w:tmpl w:val="7F9ADE04"/>
    <w:lvl w:ilvl="0" w:tplc="7EF87EA8">
      <w:start w:val="4"/>
      <w:numFmt w:val="bullet"/>
      <w:lvlText w:val="-"/>
      <w:lvlJc w:val="left"/>
      <w:pPr>
        <w:ind w:left="720" w:hanging="360"/>
      </w:pPr>
      <w:rPr>
        <w:rFonts w:ascii="Times New Roman" w:eastAsia="HG Mincho Light J"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C7A88"/>
    <w:multiLevelType w:val="hybridMultilevel"/>
    <w:tmpl w:val="179ACFCA"/>
    <w:lvl w:ilvl="0" w:tplc="607035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55195"/>
    <w:multiLevelType w:val="hybridMultilevel"/>
    <w:tmpl w:val="D548BE58"/>
    <w:lvl w:ilvl="0" w:tplc="04020009">
      <w:start w:val="1"/>
      <w:numFmt w:val="bullet"/>
      <w:pStyle w:val="ListBullet2"/>
      <w:lvlText w:val=""/>
      <w:lvlJc w:val="left"/>
      <w:pPr>
        <w:tabs>
          <w:tab w:val="num" w:pos="1003"/>
        </w:tabs>
        <w:ind w:left="1003" w:hanging="283"/>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323752268">
    <w:abstractNumId w:val="12"/>
  </w:num>
  <w:num w:numId="2" w16cid:durableId="1297832138">
    <w:abstractNumId w:val="15"/>
  </w:num>
  <w:num w:numId="3" w16cid:durableId="405690345">
    <w:abstractNumId w:val="16"/>
  </w:num>
  <w:num w:numId="4" w16cid:durableId="1448701439">
    <w:abstractNumId w:val="4"/>
  </w:num>
  <w:num w:numId="5" w16cid:durableId="768696911">
    <w:abstractNumId w:val="3"/>
  </w:num>
  <w:num w:numId="6" w16cid:durableId="1071586754">
    <w:abstractNumId w:val="1"/>
  </w:num>
  <w:num w:numId="7" w16cid:durableId="1340503874">
    <w:abstractNumId w:val="11"/>
  </w:num>
  <w:num w:numId="8" w16cid:durableId="1722754272">
    <w:abstractNumId w:val="20"/>
  </w:num>
  <w:num w:numId="9" w16cid:durableId="1678534333">
    <w:abstractNumId w:val="7"/>
  </w:num>
  <w:num w:numId="10" w16cid:durableId="531116455">
    <w:abstractNumId w:val="13"/>
  </w:num>
  <w:num w:numId="11" w16cid:durableId="124276721">
    <w:abstractNumId w:val="14"/>
  </w:num>
  <w:num w:numId="12" w16cid:durableId="650523334">
    <w:abstractNumId w:val="0"/>
  </w:num>
  <w:num w:numId="13" w16cid:durableId="243799794">
    <w:abstractNumId w:val="17"/>
  </w:num>
  <w:num w:numId="14" w16cid:durableId="2126774386">
    <w:abstractNumId w:val="6"/>
  </w:num>
  <w:num w:numId="15" w16cid:durableId="853226086">
    <w:abstractNumId w:val="10"/>
  </w:num>
  <w:num w:numId="16" w16cid:durableId="914585292">
    <w:abstractNumId w:val="19"/>
  </w:num>
  <w:num w:numId="17" w16cid:durableId="1289551947">
    <w:abstractNumId w:val="8"/>
  </w:num>
  <w:num w:numId="18" w16cid:durableId="1683358767">
    <w:abstractNumId w:val="18"/>
  </w:num>
  <w:num w:numId="19" w16cid:durableId="744381105">
    <w:abstractNumId w:val="9"/>
  </w:num>
  <w:num w:numId="20" w16cid:durableId="1802260448">
    <w:abstractNumId w:val="5"/>
  </w:num>
  <w:num w:numId="21" w16cid:durableId="2117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C2"/>
    <w:rsid w:val="000003EC"/>
    <w:rsid w:val="00002B22"/>
    <w:rsid w:val="0000402A"/>
    <w:rsid w:val="00005DB6"/>
    <w:rsid w:val="000075B0"/>
    <w:rsid w:val="00012665"/>
    <w:rsid w:val="000136D6"/>
    <w:rsid w:val="00013A3C"/>
    <w:rsid w:val="000144CD"/>
    <w:rsid w:val="00017F11"/>
    <w:rsid w:val="000216F3"/>
    <w:rsid w:val="0003334B"/>
    <w:rsid w:val="00034673"/>
    <w:rsid w:val="000367ED"/>
    <w:rsid w:val="00041472"/>
    <w:rsid w:val="000426CE"/>
    <w:rsid w:val="0004322D"/>
    <w:rsid w:val="00043E8F"/>
    <w:rsid w:val="00045D8F"/>
    <w:rsid w:val="000472C3"/>
    <w:rsid w:val="0005254B"/>
    <w:rsid w:val="000536CF"/>
    <w:rsid w:val="00063706"/>
    <w:rsid w:val="0006415A"/>
    <w:rsid w:val="00064E85"/>
    <w:rsid w:val="0006577D"/>
    <w:rsid w:val="0006613A"/>
    <w:rsid w:val="00067DE9"/>
    <w:rsid w:val="00072DB1"/>
    <w:rsid w:val="0008378F"/>
    <w:rsid w:val="000862D7"/>
    <w:rsid w:val="000969EE"/>
    <w:rsid w:val="0009751E"/>
    <w:rsid w:val="000A01E6"/>
    <w:rsid w:val="000A3D32"/>
    <w:rsid w:val="000A4F6C"/>
    <w:rsid w:val="000A50E8"/>
    <w:rsid w:val="000A7497"/>
    <w:rsid w:val="000B1E03"/>
    <w:rsid w:val="000C1A6A"/>
    <w:rsid w:val="000C6778"/>
    <w:rsid w:val="000D41B9"/>
    <w:rsid w:val="000D52AE"/>
    <w:rsid w:val="000E009D"/>
    <w:rsid w:val="000E3E02"/>
    <w:rsid w:val="000E6F46"/>
    <w:rsid w:val="000F0FA5"/>
    <w:rsid w:val="000F5452"/>
    <w:rsid w:val="00100B67"/>
    <w:rsid w:val="00112269"/>
    <w:rsid w:val="00112B2B"/>
    <w:rsid w:val="001161DC"/>
    <w:rsid w:val="001249AF"/>
    <w:rsid w:val="001302DD"/>
    <w:rsid w:val="00133E64"/>
    <w:rsid w:val="00134E24"/>
    <w:rsid w:val="00135675"/>
    <w:rsid w:val="001368AC"/>
    <w:rsid w:val="00137403"/>
    <w:rsid w:val="0013771B"/>
    <w:rsid w:val="00140548"/>
    <w:rsid w:val="0014653B"/>
    <w:rsid w:val="00152543"/>
    <w:rsid w:val="0015692D"/>
    <w:rsid w:val="00160F33"/>
    <w:rsid w:val="00161B04"/>
    <w:rsid w:val="001629C9"/>
    <w:rsid w:val="00162A12"/>
    <w:rsid w:val="0016327A"/>
    <w:rsid w:val="00164592"/>
    <w:rsid w:val="00171FD6"/>
    <w:rsid w:val="0017293A"/>
    <w:rsid w:val="0017321D"/>
    <w:rsid w:val="001767EE"/>
    <w:rsid w:val="001771E4"/>
    <w:rsid w:val="00177467"/>
    <w:rsid w:val="00180BED"/>
    <w:rsid w:val="00181151"/>
    <w:rsid w:val="00181B7E"/>
    <w:rsid w:val="001821D6"/>
    <w:rsid w:val="00187DF8"/>
    <w:rsid w:val="00194659"/>
    <w:rsid w:val="0019551A"/>
    <w:rsid w:val="001961DC"/>
    <w:rsid w:val="00196405"/>
    <w:rsid w:val="00197136"/>
    <w:rsid w:val="0019750E"/>
    <w:rsid w:val="001A1192"/>
    <w:rsid w:val="001A36D6"/>
    <w:rsid w:val="001A7C98"/>
    <w:rsid w:val="001B2F92"/>
    <w:rsid w:val="001B3040"/>
    <w:rsid w:val="001B4011"/>
    <w:rsid w:val="001B4E81"/>
    <w:rsid w:val="001C2DD0"/>
    <w:rsid w:val="001C354A"/>
    <w:rsid w:val="001C42B7"/>
    <w:rsid w:val="001C43C1"/>
    <w:rsid w:val="001C62C9"/>
    <w:rsid w:val="001C62E3"/>
    <w:rsid w:val="001D0339"/>
    <w:rsid w:val="001D06FC"/>
    <w:rsid w:val="001D12B8"/>
    <w:rsid w:val="001D3AB0"/>
    <w:rsid w:val="001D3B95"/>
    <w:rsid w:val="001D4C5E"/>
    <w:rsid w:val="001D5258"/>
    <w:rsid w:val="001D55FF"/>
    <w:rsid w:val="001D79F7"/>
    <w:rsid w:val="001E0E90"/>
    <w:rsid w:val="001E403D"/>
    <w:rsid w:val="001E4C30"/>
    <w:rsid w:val="001E5070"/>
    <w:rsid w:val="001E55F3"/>
    <w:rsid w:val="001E7152"/>
    <w:rsid w:val="001F116D"/>
    <w:rsid w:val="001F4DDD"/>
    <w:rsid w:val="00200C47"/>
    <w:rsid w:val="00200DD0"/>
    <w:rsid w:val="0020163C"/>
    <w:rsid w:val="00201DA5"/>
    <w:rsid w:val="00202752"/>
    <w:rsid w:val="0020621E"/>
    <w:rsid w:val="00210931"/>
    <w:rsid w:val="002138A1"/>
    <w:rsid w:val="002164A9"/>
    <w:rsid w:val="0022347B"/>
    <w:rsid w:val="0022706C"/>
    <w:rsid w:val="002271CA"/>
    <w:rsid w:val="0022724C"/>
    <w:rsid w:val="00227B5B"/>
    <w:rsid w:val="00230989"/>
    <w:rsid w:val="002337CB"/>
    <w:rsid w:val="00234569"/>
    <w:rsid w:val="002361CD"/>
    <w:rsid w:val="0023736D"/>
    <w:rsid w:val="002442B0"/>
    <w:rsid w:val="002454A8"/>
    <w:rsid w:val="00246607"/>
    <w:rsid w:val="00246C7E"/>
    <w:rsid w:val="0024739B"/>
    <w:rsid w:val="002511B0"/>
    <w:rsid w:val="002536E0"/>
    <w:rsid w:val="00255A24"/>
    <w:rsid w:val="00257727"/>
    <w:rsid w:val="00257FFC"/>
    <w:rsid w:val="00263B6C"/>
    <w:rsid w:val="0026460A"/>
    <w:rsid w:val="00267B0E"/>
    <w:rsid w:val="00270D0A"/>
    <w:rsid w:val="002714AF"/>
    <w:rsid w:val="00271716"/>
    <w:rsid w:val="00280DA5"/>
    <w:rsid w:val="002907ED"/>
    <w:rsid w:val="0029229D"/>
    <w:rsid w:val="00292503"/>
    <w:rsid w:val="002928E7"/>
    <w:rsid w:val="002958CF"/>
    <w:rsid w:val="00297A79"/>
    <w:rsid w:val="002A40C9"/>
    <w:rsid w:val="002A454E"/>
    <w:rsid w:val="002A6929"/>
    <w:rsid w:val="002A719C"/>
    <w:rsid w:val="002B1900"/>
    <w:rsid w:val="002B72CD"/>
    <w:rsid w:val="002B7853"/>
    <w:rsid w:val="002B7A1D"/>
    <w:rsid w:val="002C1D42"/>
    <w:rsid w:val="002C4815"/>
    <w:rsid w:val="002C6A33"/>
    <w:rsid w:val="002C6EB5"/>
    <w:rsid w:val="002C6EC2"/>
    <w:rsid w:val="002C7E9D"/>
    <w:rsid w:val="002D1BCB"/>
    <w:rsid w:val="002D342A"/>
    <w:rsid w:val="002D7AE5"/>
    <w:rsid w:val="002E2AD6"/>
    <w:rsid w:val="002E5F13"/>
    <w:rsid w:val="002F0E42"/>
    <w:rsid w:val="002F7FD2"/>
    <w:rsid w:val="003004D2"/>
    <w:rsid w:val="00323CFE"/>
    <w:rsid w:val="00325AF2"/>
    <w:rsid w:val="00327F2B"/>
    <w:rsid w:val="00333464"/>
    <w:rsid w:val="00334FA0"/>
    <w:rsid w:val="0033532D"/>
    <w:rsid w:val="00337BA8"/>
    <w:rsid w:val="00343F36"/>
    <w:rsid w:val="0034457D"/>
    <w:rsid w:val="00344B2C"/>
    <w:rsid w:val="00351C5F"/>
    <w:rsid w:val="00353D47"/>
    <w:rsid w:val="003551C6"/>
    <w:rsid w:val="00356DEA"/>
    <w:rsid w:val="00361250"/>
    <w:rsid w:val="00366601"/>
    <w:rsid w:val="00370ADD"/>
    <w:rsid w:val="00370AE2"/>
    <w:rsid w:val="00370BB4"/>
    <w:rsid w:val="00370F4C"/>
    <w:rsid w:val="00372999"/>
    <w:rsid w:val="003762F4"/>
    <w:rsid w:val="00382217"/>
    <w:rsid w:val="00383E4E"/>
    <w:rsid w:val="00384EC7"/>
    <w:rsid w:val="003862D9"/>
    <w:rsid w:val="003922F8"/>
    <w:rsid w:val="003926BF"/>
    <w:rsid w:val="00392B54"/>
    <w:rsid w:val="00393120"/>
    <w:rsid w:val="00394352"/>
    <w:rsid w:val="00394A18"/>
    <w:rsid w:val="00394E62"/>
    <w:rsid w:val="00396472"/>
    <w:rsid w:val="003A4CA3"/>
    <w:rsid w:val="003A5EF4"/>
    <w:rsid w:val="003A6211"/>
    <w:rsid w:val="003A6485"/>
    <w:rsid w:val="003A768E"/>
    <w:rsid w:val="003B16A6"/>
    <w:rsid w:val="003B2DEA"/>
    <w:rsid w:val="003B3E69"/>
    <w:rsid w:val="003B4994"/>
    <w:rsid w:val="003B5A8B"/>
    <w:rsid w:val="003C0BAC"/>
    <w:rsid w:val="003C4287"/>
    <w:rsid w:val="003C6BFC"/>
    <w:rsid w:val="003C7709"/>
    <w:rsid w:val="003D080A"/>
    <w:rsid w:val="003D1CE1"/>
    <w:rsid w:val="003D338E"/>
    <w:rsid w:val="003E0C7C"/>
    <w:rsid w:val="003E1000"/>
    <w:rsid w:val="003E3F39"/>
    <w:rsid w:val="003E67F4"/>
    <w:rsid w:val="003E6F68"/>
    <w:rsid w:val="003F0760"/>
    <w:rsid w:val="003F0D8E"/>
    <w:rsid w:val="003F233C"/>
    <w:rsid w:val="003F26F9"/>
    <w:rsid w:val="00400B5D"/>
    <w:rsid w:val="004012BA"/>
    <w:rsid w:val="0040220D"/>
    <w:rsid w:val="0040225F"/>
    <w:rsid w:val="00405565"/>
    <w:rsid w:val="00405C94"/>
    <w:rsid w:val="00406911"/>
    <w:rsid w:val="0040733C"/>
    <w:rsid w:val="0041052C"/>
    <w:rsid w:val="00411FDA"/>
    <w:rsid w:val="00412AD5"/>
    <w:rsid w:val="004145C4"/>
    <w:rsid w:val="00414F10"/>
    <w:rsid w:val="00417E90"/>
    <w:rsid w:val="00431341"/>
    <w:rsid w:val="00431505"/>
    <w:rsid w:val="004343CD"/>
    <w:rsid w:val="00436167"/>
    <w:rsid w:val="00441677"/>
    <w:rsid w:val="00443D87"/>
    <w:rsid w:val="004508E3"/>
    <w:rsid w:val="00452B14"/>
    <w:rsid w:val="00453311"/>
    <w:rsid w:val="00453355"/>
    <w:rsid w:val="004542FF"/>
    <w:rsid w:val="00454723"/>
    <w:rsid w:val="00460B07"/>
    <w:rsid w:val="00462B80"/>
    <w:rsid w:val="00463089"/>
    <w:rsid w:val="004645FC"/>
    <w:rsid w:val="004673F6"/>
    <w:rsid w:val="00471F35"/>
    <w:rsid w:val="00473ADF"/>
    <w:rsid w:val="0047492C"/>
    <w:rsid w:val="00475076"/>
    <w:rsid w:val="004764BC"/>
    <w:rsid w:val="00476742"/>
    <w:rsid w:val="00476CB9"/>
    <w:rsid w:val="00477883"/>
    <w:rsid w:val="0047796C"/>
    <w:rsid w:val="00483BA1"/>
    <w:rsid w:val="00485F7A"/>
    <w:rsid w:val="00486011"/>
    <w:rsid w:val="004866D6"/>
    <w:rsid w:val="004921A8"/>
    <w:rsid w:val="00494B55"/>
    <w:rsid w:val="00494BEC"/>
    <w:rsid w:val="00496161"/>
    <w:rsid w:val="00496E57"/>
    <w:rsid w:val="0049748D"/>
    <w:rsid w:val="004A001B"/>
    <w:rsid w:val="004A0EB1"/>
    <w:rsid w:val="004A7F39"/>
    <w:rsid w:val="004B13CD"/>
    <w:rsid w:val="004B1E89"/>
    <w:rsid w:val="004B4915"/>
    <w:rsid w:val="004B51DD"/>
    <w:rsid w:val="004B580A"/>
    <w:rsid w:val="004B5FEC"/>
    <w:rsid w:val="004C2492"/>
    <w:rsid w:val="004C3653"/>
    <w:rsid w:val="004C3A6C"/>
    <w:rsid w:val="004C5BBD"/>
    <w:rsid w:val="004C67F1"/>
    <w:rsid w:val="004D2CE3"/>
    <w:rsid w:val="004D4EDE"/>
    <w:rsid w:val="004E2862"/>
    <w:rsid w:val="004E5101"/>
    <w:rsid w:val="004E5551"/>
    <w:rsid w:val="004E7E5B"/>
    <w:rsid w:val="004F0A7B"/>
    <w:rsid w:val="004F13B4"/>
    <w:rsid w:val="004F286C"/>
    <w:rsid w:val="004F38AD"/>
    <w:rsid w:val="00501E46"/>
    <w:rsid w:val="00501F3F"/>
    <w:rsid w:val="0050285D"/>
    <w:rsid w:val="00505169"/>
    <w:rsid w:val="005060FD"/>
    <w:rsid w:val="0051175E"/>
    <w:rsid w:val="00511810"/>
    <w:rsid w:val="005122D4"/>
    <w:rsid w:val="00513E0D"/>
    <w:rsid w:val="005142A6"/>
    <w:rsid w:val="0052243D"/>
    <w:rsid w:val="005231C8"/>
    <w:rsid w:val="00524E33"/>
    <w:rsid w:val="00525583"/>
    <w:rsid w:val="00534E33"/>
    <w:rsid w:val="00534F26"/>
    <w:rsid w:val="00536287"/>
    <w:rsid w:val="005401B0"/>
    <w:rsid w:val="00542024"/>
    <w:rsid w:val="0054380D"/>
    <w:rsid w:val="005460F0"/>
    <w:rsid w:val="005466CF"/>
    <w:rsid w:val="0055260D"/>
    <w:rsid w:val="005526D3"/>
    <w:rsid w:val="005552A4"/>
    <w:rsid w:val="00560CBF"/>
    <w:rsid w:val="00561E4C"/>
    <w:rsid w:val="005626BA"/>
    <w:rsid w:val="005642BC"/>
    <w:rsid w:val="005662BB"/>
    <w:rsid w:val="005672E4"/>
    <w:rsid w:val="00571A5F"/>
    <w:rsid w:val="00572DB9"/>
    <w:rsid w:val="00573312"/>
    <w:rsid w:val="005739A4"/>
    <w:rsid w:val="00576BFA"/>
    <w:rsid w:val="005828BB"/>
    <w:rsid w:val="00585284"/>
    <w:rsid w:val="00587794"/>
    <w:rsid w:val="00587D24"/>
    <w:rsid w:val="00592DCF"/>
    <w:rsid w:val="00593998"/>
    <w:rsid w:val="005A1326"/>
    <w:rsid w:val="005B13FA"/>
    <w:rsid w:val="005B3167"/>
    <w:rsid w:val="005C3417"/>
    <w:rsid w:val="005C4711"/>
    <w:rsid w:val="005C4733"/>
    <w:rsid w:val="005C6D94"/>
    <w:rsid w:val="005C7575"/>
    <w:rsid w:val="005D156F"/>
    <w:rsid w:val="005D33E9"/>
    <w:rsid w:val="005D5913"/>
    <w:rsid w:val="005D5D05"/>
    <w:rsid w:val="005D6F83"/>
    <w:rsid w:val="005E10AB"/>
    <w:rsid w:val="005E7373"/>
    <w:rsid w:val="005F0842"/>
    <w:rsid w:val="005F12E4"/>
    <w:rsid w:val="005F214A"/>
    <w:rsid w:val="005F3D30"/>
    <w:rsid w:val="005F5D8A"/>
    <w:rsid w:val="006028EA"/>
    <w:rsid w:val="00603DFA"/>
    <w:rsid w:val="00614F4A"/>
    <w:rsid w:val="006155B9"/>
    <w:rsid w:val="006160F6"/>
    <w:rsid w:val="00616B2E"/>
    <w:rsid w:val="00621CA6"/>
    <w:rsid w:val="0062493D"/>
    <w:rsid w:val="00626493"/>
    <w:rsid w:val="00630857"/>
    <w:rsid w:val="00632585"/>
    <w:rsid w:val="00636599"/>
    <w:rsid w:val="00653421"/>
    <w:rsid w:val="00655F77"/>
    <w:rsid w:val="00656737"/>
    <w:rsid w:val="00657D0A"/>
    <w:rsid w:val="00661D0E"/>
    <w:rsid w:val="00663AC7"/>
    <w:rsid w:val="00666371"/>
    <w:rsid w:val="00667332"/>
    <w:rsid w:val="00672F2F"/>
    <w:rsid w:val="006750CA"/>
    <w:rsid w:val="00677534"/>
    <w:rsid w:val="006777B9"/>
    <w:rsid w:val="00677E7B"/>
    <w:rsid w:val="00680C38"/>
    <w:rsid w:val="006815DA"/>
    <w:rsid w:val="00681805"/>
    <w:rsid w:val="00681ED8"/>
    <w:rsid w:val="00684C7C"/>
    <w:rsid w:val="00685A79"/>
    <w:rsid w:val="0069032E"/>
    <w:rsid w:val="00695FBA"/>
    <w:rsid w:val="006961BB"/>
    <w:rsid w:val="00696407"/>
    <w:rsid w:val="00696447"/>
    <w:rsid w:val="006A120D"/>
    <w:rsid w:val="006A1B26"/>
    <w:rsid w:val="006A1F2F"/>
    <w:rsid w:val="006A6690"/>
    <w:rsid w:val="006B20C5"/>
    <w:rsid w:val="006B2D76"/>
    <w:rsid w:val="006B3763"/>
    <w:rsid w:val="006B54D9"/>
    <w:rsid w:val="006C3D95"/>
    <w:rsid w:val="006D1586"/>
    <w:rsid w:val="006D1691"/>
    <w:rsid w:val="006D60E1"/>
    <w:rsid w:val="006E0FF6"/>
    <w:rsid w:val="006E1462"/>
    <w:rsid w:val="006E2142"/>
    <w:rsid w:val="006E39F0"/>
    <w:rsid w:val="006F033D"/>
    <w:rsid w:val="006F6A00"/>
    <w:rsid w:val="00702034"/>
    <w:rsid w:val="00705670"/>
    <w:rsid w:val="00707668"/>
    <w:rsid w:val="0072030D"/>
    <w:rsid w:val="00720402"/>
    <w:rsid w:val="007229B9"/>
    <w:rsid w:val="00724FDD"/>
    <w:rsid w:val="00725533"/>
    <w:rsid w:val="00726A86"/>
    <w:rsid w:val="00726B7B"/>
    <w:rsid w:val="00726D23"/>
    <w:rsid w:val="0073260A"/>
    <w:rsid w:val="0073440C"/>
    <w:rsid w:val="007356FF"/>
    <w:rsid w:val="00743EBF"/>
    <w:rsid w:val="00744096"/>
    <w:rsid w:val="00750DED"/>
    <w:rsid w:val="007525A0"/>
    <w:rsid w:val="00760142"/>
    <w:rsid w:val="00763BE2"/>
    <w:rsid w:val="007651E7"/>
    <w:rsid w:val="00770266"/>
    <w:rsid w:val="007707EF"/>
    <w:rsid w:val="00770BF3"/>
    <w:rsid w:val="0077264B"/>
    <w:rsid w:val="00780350"/>
    <w:rsid w:val="00786B8E"/>
    <w:rsid w:val="00787431"/>
    <w:rsid w:val="00790C7A"/>
    <w:rsid w:val="00791071"/>
    <w:rsid w:val="0079327A"/>
    <w:rsid w:val="0079374F"/>
    <w:rsid w:val="00796CE2"/>
    <w:rsid w:val="007A1D88"/>
    <w:rsid w:val="007A357E"/>
    <w:rsid w:val="007A62BF"/>
    <w:rsid w:val="007B2057"/>
    <w:rsid w:val="007B7AB8"/>
    <w:rsid w:val="007C0AAE"/>
    <w:rsid w:val="007C11B4"/>
    <w:rsid w:val="007C6250"/>
    <w:rsid w:val="007C710B"/>
    <w:rsid w:val="007D132A"/>
    <w:rsid w:val="007D6B15"/>
    <w:rsid w:val="007E0AFB"/>
    <w:rsid w:val="007E0B23"/>
    <w:rsid w:val="007E1624"/>
    <w:rsid w:val="007F35C3"/>
    <w:rsid w:val="007F391F"/>
    <w:rsid w:val="007F7647"/>
    <w:rsid w:val="00803B47"/>
    <w:rsid w:val="008043FD"/>
    <w:rsid w:val="00804AFC"/>
    <w:rsid w:val="00805278"/>
    <w:rsid w:val="00807CDA"/>
    <w:rsid w:val="008171E4"/>
    <w:rsid w:val="00821048"/>
    <w:rsid w:val="00825169"/>
    <w:rsid w:val="00830486"/>
    <w:rsid w:val="0083072E"/>
    <w:rsid w:val="00831541"/>
    <w:rsid w:val="00833479"/>
    <w:rsid w:val="00835206"/>
    <w:rsid w:val="00842064"/>
    <w:rsid w:val="00842962"/>
    <w:rsid w:val="00842B5C"/>
    <w:rsid w:val="0084702E"/>
    <w:rsid w:val="00851F4F"/>
    <w:rsid w:val="00852CE9"/>
    <w:rsid w:val="00853A07"/>
    <w:rsid w:val="008546E7"/>
    <w:rsid w:val="00854774"/>
    <w:rsid w:val="00855ACD"/>
    <w:rsid w:val="00861691"/>
    <w:rsid w:val="008623D4"/>
    <w:rsid w:val="0086380F"/>
    <w:rsid w:val="00864DC7"/>
    <w:rsid w:val="00872B68"/>
    <w:rsid w:val="008746C3"/>
    <w:rsid w:val="00874787"/>
    <w:rsid w:val="00877530"/>
    <w:rsid w:val="0088182E"/>
    <w:rsid w:val="00881A6A"/>
    <w:rsid w:val="0088461B"/>
    <w:rsid w:val="00884A24"/>
    <w:rsid w:val="00887331"/>
    <w:rsid w:val="00887561"/>
    <w:rsid w:val="008902EB"/>
    <w:rsid w:val="008927FE"/>
    <w:rsid w:val="00892B41"/>
    <w:rsid w:val="0089395F"/>
    <w:rsid w:val="00894C54"/>
    <w:rsid w:val="0089710B"/>
    <w:rsid w:val="008A435B"/>
    <w:rsid w:val="008A7643"/>
    <w:rsid w:val="008B46FC"/>
    <w:rsid w:val="008B7EC8"/>
    <w:rsid w:val="008C2224"/>
    <w:rsid w:val="008C3020"/>
    <w:rsid w:val="008C507A"/>
    <w:rsid w:val="008C5C97"/>
    <w:rsid w:val="008D43A4"/>
    <w:rsid w:val="008D5D8F"/>
    <w:rsid w:val="008D5FE3"/>
    <w:rsid w:val="008D6783"/>
    <w:rsid w:val="008D7029"/>
    <w:rsid w:val="008D7D66"/>
    <w:rsid w:val="008E023C"/>
    <w:rsid w:val="008E5E9A"/>
    <w:rsid w:val="008E5ED9"/>
    <w:rsid w:val="009022D9"/>
    <w:rsid w:val="00906D65"/>
    <w:rsid w:val="009079D8"/>
    <w:rsid w:val="00911684"/>
    <w:rsid w:val="00911E6C"/>
    <w:rsid w:val="00912F98"/>
    <w:rsid w:val="009178F3"/>
    <w:rsid w:val="00921644"/>
    <w:rsid w:val="00924E8D"/>
    <w:rsid w:val="009278C9"/>
    <w:rsid w:val="009332DF"/>
    <w:rsid w:val="00933CD9"/>
    <w:rsid w:val="00940359"/>
    <w:rsid w:val="00941379"/>
    <w:rsid w:val="009474BC"/>
    <w:rsid w:val="00947C84"/>
    <w:rsid w:val="0095230F"/>
    <w:rsid w:val="00955675"/>
    <w:rsid w:val="00957ED5"/>
    <w:rsid w:val="00960DBA"/>
    <w:rsid w:val="009624F8"/>
    <w:rsid w:val="0096443B"/>
    <w:rsid w:val="00964644"/>
    <w:rsid w:val="00966776"/>
    <w:rsid w:val="00966FA3"/>
    <w:rsid w:val="0096742E"/>
    <w:rsid w:val="00967EF1"/>
    <w:rsid w:val="00970145"/>
    <w:rsid w:val="00982B5D"/>
    <w:rsid w:val="00982D3C"/>
    <w:rsid w:val="009835EB"/>
    <w:rsid w:val="00984821"/>
    <w:rsid w:val="009A0053"/>
    <w:rsid w:val="009A091B"/>
    <w:rsid w:val="009A0B0D"/>
    <w:rsid w:val="009A4587"/>
    <w:rsid w:val="009A788B"/>
    <w:rsid w:val="009C4A5A"/>
    <w:rsid w:val="009C7C49"/>
    <w:rsid w:val="009D2FCA"/>
    <w:rsid w:val="009D4358"/>
    <w:rsid w:val="009D5959"/>
    <w:rsid w:val="009D7540"/>
    <w:rsid w:val="009E0181"/>
    <w:rsid w:val="009E02E6"/>
    <w:rsid w:val="009E4C13"/>
    <w:rsid w:val="009E7874"/>
    <w:rsid w:val="009F0361"/>
    <w:rsid w:val="009F2462"/>
    <w:rsid w:val="009F40EA"/>
    <w:rsid w:val="009F59EB"/>
    <w:rsid w:val="009F7EED"/>
    <w:rsid w:val="00A0320A"/>
    <w:rsid w:val="00A03341"/>
    <w:rsid w:val="00A04887"/>
    <w:rsid w:val="00A057C7"/>
    <w:rsid w:val="00A05EEC"/>
    <w:rsid w:val="00A0757A"/>
    <w:rsid w:val="00A111FF"/>
    <w:rsid w:val="00A116B0"/>
    <w:rsid w:val="00A12CB3"/>
    <w:rsid w:val="00A140AC"/>
    <w:rsid w:val="00A1484D"/>
    <w:rsid w:val="00A17692"/>
    <w:rsid w:val="00A2333A"/>
    <w:rsid w:val="00A268BE"/>
    <w:rsid w:val="00A31284"/>
    <w:rsid w:val="00A335E4"/>
    <w:rsid w:val="00A33D2A"/>
    <w:rsid w:val="00A35858"/>
    <w:rsid w:val="00A35C73"/>
    <w:rsid w:val="00A365B3"/>
    <w:rsid w:val="00A37EE9"/>
    <w:rsid w:val="00A40FD7"/>
    <w:rsid w:val="00A41EFC"/>
    <w:rsid w:val="00A4221D"/>
    <w:rsid w:val="00A450D3"/>
    <w:rsid w:val="00A53A9B"/>
    <w:rsid w:val="00A54EAB"/>
    <w:rsid w:val="00A61BE0"/>
    <w:rsid w:val="00A61D39"/>
    <w:rsid w:val="00A65EF1"/>
    <w:rsid w:val="00A67B4C"/>
    <w:rsid w:val="00A7140B"/>
    <w:rsid w:val="00A72FCB"/>
    <w:rsid w:val="00A76429"/>
    <w:rsid w:val="00A85C97"/>
    <w:rsid w:val="00A8756D"/>
    <w:rsid w:val="00A87E0B"/>
    <w:rsid w:val="00AA0781"/>
    <w:rsid w:val="00AA52AE"/>
    <w:rsid w:val="00AA5D7C"/>
    <w:rsid w:val="00AB2F07"/>
    <w:rsid w:val="00AB322A"/>
    <w:rsid w:val="00AB4692"/>
    <w:rsid w:val="00AB5931"/>
    <w:rsid w:val="00AB7EA0"/>
    <w:rsid w:val="00AC250E"/>
    <w:rsid w:val="00AC51CE"/>
    <w:rsid w:val="00AC7B2B"/>
    <w:rsid w:val="00AD08B6"/>
    <w:rsid w:val="00AD38C1"/>
    <w:rsid w:val="00AE407E"/>
    <w:rsid w:val="00AE43AF"/>
    <w:rsid w:val="00AE467E"/>
    <w:rsid w:val="00AF00BB"/>
    <w:rsid w:val="00AF112B"/>
    <w:rsid w:val="00AF3225"/>
    <w:rsid w:val="00AF438A"/>
    <w:rsid w:val="00AF561C"/>
    <w:rsid w:val="00AF6F1C"/>
    <w:rsid w:val="00AF7FF3"/>
    <w:rsid w:val="00B00DD4"/>
    <w:rsid w:val="00B04340"/>
    <w:rsid w:val="00B056E5"/>
    <w:rsid w:val="00B05DFC"/>
    <w:rsid w:val="00B065F7"/>
    <w:rsid w:val="00B0796E"/>
    <w:rsid w:val="00B10160"/>
    <w:rsid w:val="00B12690"/>
    <w:rsid w:val="00B17CAB"/>
    <w:rsid w:val="00B20E3A"/>
    <w:rsid w:val="00B22313"/>
    <w:rsid w:val="00B2644B"/>
    <w:rsid w:val="00B32D6D"/>
    <w:rsid w:val="00B3327A"/>
    <w:rsid w:val="00B346AF"/>
    <w:rsid w:val="00B3525D"/>
    <w:rsid w:val="00B40661"/>
    <w:rsid w:val="00B41016"/>
    <w:rsid w:val="00B4441C"/>
    <w:rsid w:val="00B577EC"/>
    <w:rsid w:val="00B57B46"/>
    <w:rsid w:val="00B617F0"/>
    <w:rsid w:val="00B61D2E"/>
    <w:rsid w:val="00B62900"/>
    <w:rsid w:val="00B6434F"/>
    <w:rsid w:val="00B651C7"/>
    <w:rsid w:val="00B66C7D"/>
    <w:rsid w:val="00B70635"/>
    <w:rsid w:val="00B70CEB"/>
    <w:rsid w:val="00B733C2"/>
    <w:rsid w:val="00B7467B"/>
    <w:rsid w:val="00B746EC"/>
    <w:rsid w:val="00B747D1"/>
    <w:rsid w:val="00B76F69"/>
    <w:rsid w:val="00B815AF"/>
    <w:rsid w:val="00B83397"/>
    <w:rsid w:val="00B836E8"/>
    <w:rsid w:val="00B84D20"/>
    <w:rsid w:val="00B90E8D"/>
    <w:rsid w:val="00B9165F"/>
    <w:rsid w:val="00B92933"/>
    <w:rsid w:val="00B937EC"/>
    <w:rsid w:val="00B9689A"/>
    <w:rsid w:val="00B975F9"/>
    <w:rsid w:val="00B9765A"/>
    <w:rsid w:val="00BA4C95"/>
    <w:rsid w:val="00BA576D"/>
    <w:rsid w:val="00BA5828"/>
    <w:rsid w:val="00BB454A"/>
    <w:rsid w:val="00BB480D"/>
    <w:rsid w:val="00BB4D20"/>
    <w:rsid w:val="00BB5233"/>
    <w:rsid w:val="00BC27CE"/>
    <w:rsid w:val="00BC6B48"/>
    <w:rsid w:val="00BC6D3E"/>
    <w:rsid w:val="00BC7D9C"/>
    <w:rsid w:val="00BD1846"/>
    <w:rsid w:val="00BD228A"/>
    <w:rsid w:val="00BD332B"/>
    <w:rsid w:val="00BD7FA6"/>
    <w:rsid w:val="00BE2E9E"/>
    <w:rsid w:val="00BF4A4A"/>
    <w:rsid w:val="00C00008"/>
    <w:rsid w:val="00C02B1C"/>
    <w:rsid w:val="00C06651"/>
    <w:rsid w:val="00C11CAF"/>
    <w:rsid w:val="00C21CE9"/>
    <w:rsid w:val="00C24F0B"/>
    <w:rsid w:val="00C25D47"/>
    <w:rsid w:val="00C261E1"/>
    <w:rsid w:val="00C26F32"/>
    <w:rsid w:val="00C27FD7"/>
    <w:rsid w:val="00C3177A"/>
    <w:rsid w:val="00C3387D"/>
    <w:rsid w:val="00C36628"/>
    <w:rsid w:val="00C36EB0"/>
    <w:rsid w:val="00C45B04"/>
    <w:rsid w:val="00C46715"/>
    <w:rsid w:val="00C50C99"/>
    <w:rsid w:val="00C52603"/>
    <w:rsid w:val="00C52F10"/>
    <w:rsid w:val="00C537BA"/>
    <w:rsid w:val="00C53E63"/>
    <w:rsid w:val="00C64A1C"/>
    <w:rsid w:val="00C65CA2"/>
    <w:rsid w:val="00C6754F"/>
    <w:rsid w:val="00C71326"/>
    <w:rsid w:val="00C7514B"/>
    <w:rsid w:val="00C758C1"/>
    <w:rsid w:val="00C75EFE"/>
    <w:rsid w:val="00C76879"/>
    <w:rsid w:val="00C76DF0"/>
    <w:rsid w:val="00C77B62"/>
    <w:rsid w:val="00C81DBB"/>
    <w:rsid w:val="00C81F31"/>
    <w:rsid w:val="00C958A4"/>
    <w:rsid w:val="00C96B47"/>
    <w:rsid w:val="00CA12CD"/>
    <w:rsid w:val="00CA209E"/>
    <w:rsid w:val="00CA327E"/>
    <w:rsid w:val="00CA374E"/>
    <w:rsid w:val="00CB25F7"/>
    <w:rsid w:val="00CB418A"/>
    <w:rsid w:val="00CB418F"/>
    <w:rsid w:val="00CB510D"/>
    <w:rsid w:val="00CB6F89"/>
    <w:rsid w:val="00CB72A8"/>
    <w:rsid w:val="00CB7544"/>
    <w:rsid w:val="00CC52B0"/>
    <w:rsid w:val="00CC7398"/>
    <w:rsid w:val="00CD360D"/>
    <w:rsid w:val="00CD7E2D"/>
    <w:rsid w:val="00CE125D"/>
    <w:rsid w:val="00CE2E80"/>
    <w:rsid w:val="00CE45DA"/>
    <w:rsid w:val="00CE50B7"/>
    <w:rsid w:val="00CE7785"/>
    <w:rsid w:val="00CF33C2"/>
    <w:rsid w:val="00CF6542"/>
    <w:rsid w:val="00D010D5"/>
    <w:rsid w:val="00D032A7"/>
    <w:rsid w:val="00D04740"/>
    <w:rsid w:val="00D06DA6"/>
    <w:rsid w:val="00D07EE2"/>
    <w:rsid w:val="00D141CC"/>
    <w:rsid w:val="00D17263"/>
    <w:rsid w:val="00D21C30"/>
    <w:rsid w:val="00D2290C"/>
    <w:rsid w:val="00D234FE"/>
    <w:rsid w:val="00D36F6F"/>
    <w:rsid w:val="00D40651"/>
    <w:rsid w:val="00D41A6A"/>
    <w:rsid w:val="00D42AF6"/>
    <w:rsid w:val="00D4352A"/>
    <w:rsid w:val="00D4447D"/>
    <w:rsid w:val="00D45643"/>
    <w:rsid w:val="00D4662E"/>
    <w:rsid w:val="00D46D06"/>
    <w:rsid w:val="00D47474"/>
    <w:rsid w:val="00D535CD"/>
    <w:rsid w:val="00D54152"/>
    <w:rsid w:val="00D56E44"/>
    <w:rsid w:val="00D60417"/>
    <w:rsid w:val="00D62DE2"/>
    <w:rsid w:val="00D66CDB"/>
    <w:rsid w:val="00D6702E"/>
    <w:rsid w:val="00D70579"/>
    <w:rsid w:val="00D70DDA"/>
    <w:rsid w:val="00D748AF"/>
    <w:rsid w:val="00D75F93"/>
    <w:rsid w:val="00D76D52"/>
    <w:rsid w:val="00D81812"/>
    <w:rsid w:val="00D840CF"/>
    <w:rsid w:val="00D8488F"/>
    <w:rsid w:val="00D90FDB"/>
    <w:rsid w:val="00DA0192"/>
    <w:rsid w:val="00DA05B5"/>
    <w:rsid w:val="00DA0746"/>
    <w:rsid w:val="00DA3806"/>
    <w:rsid w:val="00DA6C73"/>
    <w:rsid w:val="00DB0B81"/>
    <w:rsid w:val="00DB12C3"/>
    <w:rsid w:val="00DB19E9"/>
    <w:rsid w:val="00DB388A"/>
    <w:rsid w:val="00DC231F"/>
    <w:rsid w:val="00DD12A7"/>
    <w:rsid w:val="00DD2AAE"/>
    <w:rsid w:val="00DD7FDA"/>
    <w:rsid w:val="00DE2B40"/>
    <w:rsid w:val="00DE34C1"/>
    <w:rsid w:val="00DE5492"/>
    <w:rsid w:val="00DF1187"/>
    <w:rsid w:val="00DF567F"/>
    <w:rsid w:val="00DF59A0"/>
    <w:rsid w:val="00DF6072"/>
    <w:rsid w:val="00DF71A5"/>
    <w:rsid w:val="00E00251"/>
    <w:rsid w:val="00E00451"/>
    <w:rsid w:val="00E052FE"/>
    <w:rsid w:val="00E05DD6"/>
    <w:rsid w:val="00E07D40"/>
    <w:rsid w:val="00E10A71"/>
    <w:rsid w:val="00E10C62"/>
    <w:rsid w:val="00E123A2"/>
    <w:rsid w:val="00E12FC7"/>
    <w:rsid w:val="00E1683C"/>
    <w:rsid w:val="00E16B2C"/>
    <w:rsid w:val="00E2302D"/>
    <w:rsid w:val="00E27A6D"/>
    <w:rsid w:val="00E34385"/>
    <w:rsid w:val="00E34F09"/>
    <w:rsid w:val="00E41AB4"/>
    <w:rsid w:val="00E41AC1"/>
    <w:rsid w:val="00E440C6"/>
    <w:rsid w:val="00E46F52"/>
    <w:rsid w:val="00E47CB3"/>
    <w:rsid w:val="00E5070D"/>
    <w:rsid w:val="00E51D89"/>
    <w:rsid w:val="00E52A56"/>
    <w:rsid w:val="00E53EE7"/>
    <w:rsid w:val="00E55BDD"/>
    <w:rsid w:val="00E64965"/>
    <w:rsid w:val="00E6686C"/>
    <w:rsid w:val="00E70FDE"/>
    <w:rsid w:val="00E721E9"/>
    <w:rsid w:val="00E757CA"/>
    <w:rsid w:val="00E80A5A"/>
    <w:rsid w:val="00E80C74"/>
    <w:rsid w:val="00E8486A"/>
    <w:rsid w:val="00E857AA"/>
    <w:rsid w:val="00E879AD"/>
    <w:rsid w:val="00E90035"/>
    <w:rsid w:val="00E92C52"/>
    <w:rsid w:val="00E93E33"/>
    <w:rsid w:val="00EA0DBD"/>
    <w:rsid w:val="00EA1E28"/>
    <w:rsid w:val="00EA33C8"/>
    <w:rsid w:val="00EA4263"/>
    <w:rsid w:val="00EA5125"/>
    <w:rsid w:val="00EA5D24"/>
    <w:rsid w:val="00EA6BC2"/>
    <w:rsid w:val="00EB19FE"/>
    <w:rsid w:val="00EB348E"/>
    <w:rsid w:val="00EB35C8"/>
    <w:rsid w:val="00EB6261"/>
    <w:rsid w:val="00EB74A1"/>
    <w:rsid w:val="00EB7A97"/>
    <w:rsid w:val="00EC0A35"/>
    <w:rsid w:val="00EC1404"/>
    <w:rsid w:val="00EC2703"/>
    <w:rsid w:val="00EC7295"/>
    <w:rsid w:val="00ED3F34"/>
    <w:rsid w:val="00ED3F7E"/>
    <w:rsid w:val="00ED7921"/>
    <w:rsid w:val="00ED7FD9"/>
    <w:rsid w:val="00EE07F8"/>
    <w:rsid w:val="00EE5A2C"/>
    <w:rsid w:val="00EF08EE"/>
    <w:rsid w:val="00EF17B1"/>
    <w:rsid w:val="00EF1DD8"/>
    <w:rsid w:val="00EF26BB"/>
    <w:rsid w:val="00F0067A"/>
    <w:rsid w:val="00F006BA"/>
    <w:rsid w:val="00F0188E"/>
    <w:rsid w:val="00F06DFF"/>
    <w:rsid w:val="00F13059"/>
    <w:rsid w:val="00F145E6"/>
    <w:rsid w:val="00F237AC"/>
    <w:rsid w:val="00F418D5"/>
    <w:rsid w:val="00F436D7"/>
    <w:rsid w:val="00F46D9B"/>
    <w:rsid w:val="00F4740D"/>
    <w:rsid w:val="00F50E78"/>
    <w:rsid w:val="00F51B4A"/>
    <w:rsid w:val="00F6020D"/>
    <w:rsid w:val="00F61885"/>
    <w:rsid w:val="00F70C7E"/>
    <w:rsid w:val="00F73CDC"/>
    <w:rsid w:val="00F76DAF"/>
    <w:rsid w:val="00F76EF5"/>
    <w:rsid w:val="00F80949"/>
    <w:rsid w:val="00F83790"/>
    <w:rsid w:val="00F97B45"/>
    <w:rsid w:val="00FA02E1"/>
    <w:rsid w:val="00FA544A"/>
    <w:rsid w:val="00FA6D58"/>
    <w:rsid w:val="00FB38EC"/>
    <w:rsid w:val="00FB3951"/>
    <w:rsid w:val="00FB6AC6"/>
    <w:rsid w:val="00FC29B6"/>
    <w:rsid w:val="00FC3665"/>
    <w:rsid w:val="00FC3F10"/>
    <w:rsid w:val="00FC424F"/>
    <w:rsid w:val="00FC59B8"/>
    <w:rsid w:val="00FC6014"/>
    <w:rsid w:val="00FC61DB"/>
    <w:rsid w:val="00FD1C2D"/>
    <w:rsid w:val="00FD3472"/>
    <w:rsid w:val="00FD56A5"/>
    <w:rsid w:val="00FD5CC7"/>
    <w:rsid w:val="00FE14D3"/>
    <w:rsid w:val="00FF026A"/>
    <w:rsid w:val="00FF176E"/>
    <w:rsid w:val="00FF1FBE"/>
    <w:rsid w:val="00FF6491"/>
    <w:rsid w:val="00FF6F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3F68F6"/>
  <w15:chartTrackingRefBased/>
  <w15:docId w15:val="{ABB28E2B-F81F-4250-822E-E4385F73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151"/>
    <w:rPr>
      <w:sz w:val="24"/>
      <w:szCs w:val="24"/>
    </w:rPr>
  </w:style>
  <w:style w:type="paragraph" w:styleId="Heading2">
    <w:name w:val="heading 2"/>
    <w:basedOn w:val="Normal"/>
    <w:next w:val="Normal"/>
    <w:qFormat/>
    <w:rsid w:val="00366601"/>
    <w:pPr>
      <w:keepNext/>
      <w:spacing w:before="240" w:after="60"/>
      <w:outlineLvl w:val="1"/>
    </w:pPr>
    <w:rPr>
      <w:b/>
      <w:snapToGrid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C6EC2"/>
    <w:rPr>
      <w:sz w:val="16"/>
      <w:szCs w:val="16"/>
    </w:rPr>
  </w:style>
  <w:style w:type="paragraph" w:styleId="CommentText">
    <w:name w:val="annotation text"/>
    <w:basedOn w:val="Normal"/>
    <w:semiHidden/>
    <w:rsid w:val="002C6EC2"/>
    <w:rPr>
      <w:snapToGrid w:val="0"/>
      <w:sz w:val="20"/>
      <w:szCs w:val="20"/>
      <w:lang w:val="en-GB" w:eastAsia="en-US"/>
    </w:rPr>
  </w:style>
  <w:style w:type="paragraph" w:styleId="BalloonText">
    <w:name w:val="Balloon Text"/>
    <w:basedOn w:val="Normal"/>
    <w:semiHidden/>
    <w:rsid w:val="002C6EC2"/>
    <w:rPr>
      <w:rFonts w:ascii="Tahoma" w:hAnsi="Tahoma" w:cs="Tahoma"/>
      <w:sz w:val="16"/>
      <w:szCs w:val="16"/>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C6EC2"/>
    <w:pPr>
      <w:widowControl w:val="0"/>
      <w:tabs>
        <w:tab w:val="left" w:pos="-720"/>
      </w:tabs>
      <w:suppressAutoHyphens/>
      <w:jc w:val="both"/>
    </w:pPr>
    <w:rPr>
      <w:snapToGrid w:val="0"/>
      <w:spacing w:val="-2"/>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2C6EC2"/>
    <w:rPr>
      <w:snapToGrid w:val="0"/>
      <w:spacing w:val="-2"/>
      <w:lang w:val="en-GB" w:eastAsia="en-US" w:bidi="ar-SA"/>
    </w:rPr>
  </w:style>
  <w:style w:type="character" w:styleId="FootnoteReference">
    <w:name w:val="footnote reference"/>
    <w:aliases w:val="Footnote symbol"/>
    <w:uiPriority w:val="99"/>
    <w:semiHidden/>
    <w:rsid w:val="00571A5F"/>
    <w:rPr>
      <w:rFonts w:ascii="Times New Roman" w:hAnsi="Times New Roman"/>
      <w:noProof w:val="0"/>
      <w:sz w:val="27"/>
      <w:vertAlign w:val="superscript"/>
      <w:lang w:val="en-US"/>
    </w:rPr>
  </w:style>
  <w:style w:type="paragraph" w:customStyle="1" w:styleId="GfAheading1">
    <w:name w:val="GfA heading 1"/>
    <w:basedOn w:val="Normal"/>
    <w:rsid w:val="00436167"/>
    <w:pPr>
      <w:numPr>
        <w:numId w:val="6"/>
      </w:numPr>
    </w:pPr>
    <w:rPr>
      <w:b/>
      <w:snapToGrid w:val="0"/>
      <w:lang w:eastAsia="en-US"/>
    </w:rPr>
  </w:style>
  <w:style w:type="paragraph" w:customStyle="1" w:styleId="CharChar">
    <w:name w:val="Char Char"/>
    <w:basedOn w:val="Normal"/>
    <w:rsid w:val="004C5BBD"/>
    <w:pPr>
      <w:tabs>
        <w:tab w:val="left" w:pos="709"/>
      </w:tabs>
    </w:pPr>
    <w:rPr>
      <w:rFonts w:ascii="Tahoma" w:hAnsi="Tahoma"/>
      <w:lang w:val="pl-PL" w:eastAsia="pl-PL"/>
    </w:rPr>
  </w:style>
  <w:style w:type="paragraph" w:customStyle="1" w:styleId="CharCharCharCharChar">
    <w:name w:val="Char Char Char Char Знак Char"/>
    <w:basedOn w:val="Normal"/>
    <w:rsid w:val="00486011"/>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786B8E"/>
    <w:pPr>
      <w:tabs>
        <w:tab w:val="left" w:pos="709"/>
      </w:tabs>
    </w:pPr>
    <w:rPr>
      <w:rFonts w:ascii="Tahoma" w:hAnsi="Tahoma"/>
      <w:lang w:val="pl-PL" w:eastAsia="pl-PL"/>
    </w:rPr>
  </w:style>
  <w:style w:type="paragraph" w:customStyle="1" w:styleId="Char">
    <w:name w:val="Char"/>
    <w:basedOn w:val="Normal"/>
    <w:semiHidden/>
    <w:rsid w:val="00DD2AAE"/>
    <w:pPr>
      <w:tabs>
        <w:tab w:val="left" w:pos="709"/>
      </w:tabs>
    </w:pPr>
    <w:rPr>
      <w:rFonts w:ascii="Tahoma" w:hAnsi="Tahoma"/>
      <w:lang w:val="pl-PL" w:eastAsia="pl-PL"/>
    </w:rPr>
  </w:style>
  <w:style w:type="character" w:styleId="Hyperlink">
    <w:name w:val="Hyperlink"/>
    <w:rsid w:val="00DD2AAE"/>
    <w:rPr>
      <w:color w:val="0000FF"/>
      <w:u w:val="single"/>
    </w:rPr>
  </w:style>
  <w:style w:type="paragraph" w:styleId="BodyText">
    <w:name w:val="Body Text"/>
    <w:basedOn w:val="Normal"/>
    <w:rsid w:val="00DD2AAE"/>
    <w:pPr>
      <w:spacing w:after="120"/>
    </w:pPr>
    <w:rPr>
      <w:lang w:val="en-GB" w:eastAsia="en-US"/>
    </w:rPr>
  </w:style>
  <w:style w:type="paragraph" w:styleId="ListBullet2">
    <w:name w:val="List Bullet 2"/>
    <w:basedOn w:val="Normal"/>
    <w:rsid w:val="00DD2AAE"/>
    <w:pPr>
      <w:numPr>
        <w:numId w:val="8"/>
      </w:numPr>
    </w:pPr>
    <w:rPr>
      <w:snapToGrid w:val="0"/>
      <w:szCs w:val="20"/>
      <w:lang w:val="en-GB" w:eastAsia="en-US"/>
    </w:rPr>
  </w:style>
  <w:style w:type="paragraph" w:styleId="Header">
    <w:name w:val="header"/>
    <w:basedOn w:val="Normal"/>
    <w:link w:val="HeaderChar"/>
    <w:uiPriority w:val="99"/>
    <w:rsid w:val="00560CBF"/>
    <w:pPr>
      <w:tabs>
        <w:tab w:val="center" w:pos="4536"/>
        <w:tab w:val="right" w:pos="9072"/>
      </w:tabs>
    </w:pPr>
  </w:style>
  <w:style w:type="paragraph" w:styleId="Footer">
    <w:name w:val="footer"/>
    <w:basedOn w:val="Normal"/>
    <w:link w:val="FooterChar"/>
    <w:uiPriority w:val="99"/>
    <w:rsid w:val="00560CBF"/>
    <w:pPr>
      <w:tabs>
        <w:tab w:val="center" w:pos="4536"/>
        <w:tab w:val="right" w:pos="9072"/>
      </w:tabs>
    </w:pPr>
  </w:style>
  <w:style w:type="paragraph" w:customStyle="1" w:styleId="CharChar4Char1">
    <w:name w:val="Char Char4 Char1"/>
    <w:basedOn w:val="Normal"/>
    <w:rsid w:val="00560CBF"/>
    <w:pPr>
      <w:tabs>
        <w:tab w:val="left" w:pos="709"/>
      </w:tabs>
    </w:pPr>
    <w:rPr>
      <w:rFonts w:ascii="Tahoma" w:hAnsi="Tahoma"/>
      <w:lang w:val="pl-PL" w:eastAsia="pl-PL"/>
    </w:rPr>
  </w:style>
  <w:style w:type="paragraph" w:customStyle="1" w:styleId="Index">
    <w:name w:val="Index"/>
    <w:basedOn w:val="Normal"/>
    <w:rsid w:val="00560CBF"/>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560CBF"/>
    <w:pPr>
      <w:widowControl w:val="0"/>
      <w:suppressLineNumbers/>
      <w:suppressAutoHyphens/>
    </w:pPr>
    <w:rPr>
      <w:rFonts w:eastAsia="HG Mincho Light J"/>
      <w:color w:val="000000"/>
      <w:szCs w:val="20"/>
      <w:lang w:val="en-US" w:eastAsia="bg-BG"/>
    </w:rPr>
  </w:style>
  <w:style w:type="paragraph" w:customStyle="1" w:styleId="style2manualCharCharCharCharChar">
    <w:name w:val="style 2 manual Char Char Char Char Char Знак Знак"/>
    <w:basedOn w:val="Normal"/>
    <w:rsid w:val="00230989"/>
    <w:pPr>
      <w:numPr>
        <w:numId w:val="12"/>
      </w:numPr>
      <w:tabs>
        <w:tab w:val="left" w:pos="709"/>
      </w:tabs>
    </w:pPr>
    <w:rPr>
      <w:b/>
      <w:lang w:val="pl-PL" w:eastAsia="pl-PL"/>
    </w:rPr>
  </w:style>
  <w:style w:type="character" w:styleId="PageNumber">
    <w:name w:val="page number"/>
    <w:rsid w:val="002E5F13"/>
    <w:rPr>
      <w:b/>
      <w:sz w:val="24"/>
      <w:szCs w:val="24"/>
      <w:lang w:val="pl-PL" w:eastAsia="pl-PL" w:bidi="ar-SA"/>
    </w:rPr>
  </w:style>
  <w:style w:type="paragraph" w:styleId="ListParagraph">
    <w:name w:val="List Paragraph"/>
    <w:basedOn w:val="Normal"/>
    <w:qFormat/>
    <w:rsid w:val="00452B14"/>
    <w:pPr>
      <w:ind w:left="708"/>
    </w:pPr>
    <w:rPr>
      <w:lang w:val="de-DE" w:eastAsia="de-DE"/>
    </w:rPr>
  </w:style>
  <w:style w:type="paragraph" w:styleId="BodyText2">
    <w:name w:val="Body Text 2"/>
    <w:basedOn w:val="Normal"/>
    <w:link w:val="BodyText2Char"/>
    <w:rsid w:val="00906D65"/>
    <w:pPr>
      <w:spacing w:after="120" w:line="480" w:lineRule="auto"/>
    </w:pPr>
  </w:style>
  <w:style w:type="character" w:customStyle="1" w:styleId="BodyText2Char">
    <w:name w:val="Body Text 2 Char"/>
    <w:link w:val="BodyText2"/>
    <w:rsid w:val="00906D65"/>
    <w:rPr>
      <w:sz w:val="24"/>
      <w:szCs w:val="24"/>
      <w:lang w:val="bg-BG" w:eastAsia="bg-BG"/>
    </w:rPr>
  </w:style>
  <w:style w:type="paragraph" w:styleId="NormalWeb">
    <w:name w:val="Normal (Web)"/>
    <w:basedOn w:val="Normal"/>
    <w:unhideWhenUsed/>
    <w:rsid w:val="00906D65"/>
    <w:pPr>
      <w:spacing w:before="100" w:beforeAutospacing="1" w:after="100" w:afterAutospacing="1"/>
    </w:pPr>
  </w:style>
  <w:style w:type="character" w:customStyle="1" w:styleId="FooterChar">
    <w:name w:val="Footer Char"/>
    <w:link w:val="Footer"/>
    <w:uiPriority w:val="99"/>
    <w:rsid w:val="00576BFA"/>
    <w:rPr>
      <w:sz w:val="24"/>
      <w:szCs w:val="24"/>
      <w:lang w:val="bg-BG" w:eastAsia="bg-BG"/>
    </w:rPr>
  </w:style>
  <w:style w:type="character" w:styleId="FollowedHyperlink">
    <w:name w:val="FollowedHyperlink"/>
    <w:rsid w:val="00B76F69"/>
    <w:rPr>
      <w:color w:val="800080"/>
      <w:u w:val="single"/>
    </w:rPr>
  </w:style>
  <w:style w:type="character" w:customStyle="1" w:styleId="HeaderChar">
    <w:name w:val="Header Char"/>
    <w:link w:val="Header"/>
    <w:uiPriority w:val="99"/>
    <w:rsid w:val="00334FA0"/>
    <w:rPr>
      <w:sz w:val="24"/>
      <w:szCs w:val="24"/>
      <w:lang w:val="bg-BG" w:eastAsia="bg-BG"/>
    </w:rPr>
  </w:style>
  <w:style w:type="character" w:styleId="UnresolvedMention">
    <w:name w:val="Unresolved Mention"/>
    <w:uiPriority w:val="99"/>
    <w:semiHidden/>
    <w:unhideWhenUsed/>
    <w:rsid w:val="00DA05B5"/>
    <w:rPr>
      <w:color w:val="605E5C"/>
      <w:shd w:val="clear" w:color="auto" w:fill="E1DFDD"/>
    </w:rPr>
  </w:style>
  <w:style w:type="paragraph" w:styleId="Revision">
    <w:name w:val="Revision"/>
    <w:hidden/>
    <w:uiPriority w:val="99"/>
    <w:semiHidden/>
    <w:rsid w:val="000641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18907">
      <w:bodyDiv w:val="1"/>
      <w:marLeft w:val="0"/>
      <w:marRight w:val="0"/>
      <w:marTop w:val="0"/>
      <w:marBottom w:val="0"/>
      <w:divBdr>
        <w:top w:val="none" w:sz="0" w:space="0" w:color="auto"/>
        <w:left w:val="none" w:sz="0" w:space="0" w:color="auto"/>
        <w:bottom w:val="none" w:sz="0" w:space="0" w:color="auto"/>
        <w:right w:val="none" w:sz="0" w:space="0" w:color="auto"/>
      </w:divBdr>
      <w:divsChild>
        <w:div w:id="89742758">
          <w:marLeft w:val="0"/>
          <w:marRight w:val="0"/>
          <w:marTop w:val="0"/>
          <w:marBottom w:val="0"/>
          <w:divBdr>
            <w:top w:val="none" w:sz="0" w:space="0" w:color="auto"/>
            <w:left w:val="none" w:sz="0" w:space="0" w:color="auto"/>
            <w:bottom w:val="none" w:sz="0" w:space="0" w:color="auto"/>
            <w:right w:val="none" w:sz="0" w:space="0" w:color="auto"/>
          </w:divBdr>
        </w:div>
        <w:div w:id="89856543">
          <w:marLeft w:val="0"/>
          <w:marRight w:val="0"/>
          <w:marTop w:val="0"/>
          <w:marBottom w:val="0"/>
          <w:divBdr>
            <w:top w:val="none" w:sz="0" w:space="0" w:color="auto"/>
            <w:left w:val="none" w:sz="0" w:space="0" w:color="auto"/>
            <w:bottom w:val="none" w:sz="0" w:space="0" w:color="auto"/>
            <w:right w:val="none" w:sz="0" w:space="0" w:color="auto"/>
          </w:divBdr>
        </w:div>
        <w:div w:id="119811854">
          <w:marLeft w:val="0"/>
          <w:marRight w:val="0"/>
          <w:marTop w:val="0"/>
          <w:marBottom w:val="0"/>
          <w:divBdr>
            <w:top w:val="none" w:sz="0" w:space="0" w:color="auto"/>
            <w:left w:val="none" w:sz="0" w:space="0" w:color="auto"/>
            <w:bottom w:val="none" w:sz="0" w:space="0" w:color="auto"/>
            <w:right w:val="none" w:sz="0" w:space="0" w:color="auto"/>
          </w:divBdr>
        </w:div>
        <w:div w:id="290324922">
          <w:marLeft w:val="0"/>
          <w:marRight w:val="0"/>
          <w:marTop w:val="0"/>
          <w:marBottom w:val="0"/>
          <w:divBdr>
            <w:top w:val="none" w:sz="0" w:space="0" w:color="auto"/>
            <w:left w:val="none" w:sz="0" w:space="0" w:color="auto"/>
            <w:bottom w:val="none" w:sz="0" w:space="0" w:color="auto"/>
            <w:right w:val="none" w:sz="0" w:space="0" w:color="auto"/>
          </w:divBdr>
        </w:div>
        <w:div w:id="362249350">
          <w:marLeft w:val="0"/>
          <w:marRight w:val="0"/>
          <w:marTop w:val="0"/>
          <w:marBottom w:val="0"/>
          <w:divBdr>
            <w:top w:val="none" w:sz="0" w:space="0" w:color="auto"/>
            <w:left w:val="none" w:sz="0" w:space="0" w:color="auto"/>
            <w:bottom w:val="none" w:sz="0" w:space="0" w:color="auto"/>
            <w:right w:val="none" w:sz="0" w:space="0" w:color="auto"/>
          </w:divBdr>
        </w:div>
        <w:div w:id="418213576">
          <w:marLeft w:val="0"/>
          <w:marRight w:val="0"/>
          <w:marTop w:val="0"/>
          <w:marBottom w:val="0"/>
          <w:divBdr>
            <w:top w:val="none" w:sz="0" w:space="0" w:color="auto"/>
            <w:left w:val="none" w:sz="0" w:space="0" w:color="auto"/>
            <w:bottom w:val="none" w:sz="0" w:space="0" w:color="auto"/>
            <w:right w:val="none" w:sz="0" w:space="0" w:color="auto"/>
          </w:divBdr>
        </w:div>
        <w:div w:id="724181769">
          <w:marLeft w:val="0"/>
          <w:marRight w:val="0"/>
          <w:marTop w:val="0"/>
          <w:marBottom w:val="0"/>
          <w:divBdr>
            <w:top w:val="none" w:sz="0" w:space="0" w:color="auto"/>
            <w:left w:val="none" w:sz="0" w:space="0" w:color="auto"/>
            <w:bottom w:val="none" w:sz="0" w:space="0" w:color="auto"/>
            <w:right w:val="none" w:sz="0" w:space="0" w:color="auto"/>
          </w:divBdr>
        </w:div>
        <w:div w:id="1004168945">
          <w:marLeft w:val="0"/>
          <w:marRight w:val="0"/>
          <w:marTop w:val="0"/>
          <w:marBottom w:val="0"/>
          <w:divBdr>
            <w:top w:val="none" w:sz="0" w:space="0" w:color="auto"/>
            <w:left w:val="none" w:sz="0" w:space="0" w:color="auto"/>
            <w:bottom w:val="none" w:sz="0" w:space="0" w:color="auto"/>
            <w:right w:val="none" w:sz="0" w:space="0" w:color="auto"/>
          </w:divBdr>
        </w:div>
        <w:div w:id="1047489206">
          <w:marLeft w:val="0"/>
          <w:marRight w:val="0"/>
          <w:marTop w:val="0"/>
          <w:marBottom w:val="0"/>
          <w:divBdr>
            <w:top w:val="none" w:sz="0" w:space="0" w:color="auto"/>
            <w:left w:val="none" w:sz="0" w:space="0" w:color="auto"/>
            <w:bottom w:val="none" w:sz="0" w:space="0" w:color="auto"/>
            <w:right w:val="none" w:sz="0" w:space="0" w:color="auto"/>
          </w:divBdr>
        </w:div>
        <w:div w:id="1146236921">
          <w:marLeft w:val="0"/>
          <w:marRight w:val="0"/>
          <w:marTop w:val="0"/>
          <w:marBottom w:val="0"/>
          <w:divBdr>
            <w:top w:val="none" w:sz="0" w:space="0" w:color="auto"/>
            <w:left w:val="none" w:sz="0" w:space="0" w:color="auto"/>
            <w:bottom w:val="none" w:sz="0" w:space="0" w:color="auto"/>
            <w:right w:val="none" w:sz="0" w:space="0" w:color="auto"/>
          </w:divBdr>
        </w:div>
        <w:div w:id="1361777722">
          <w:marLeft w:val="0"/>
          <w:marRight w:val="0"/>
          <w:marTop w:val="0"/>
          <w:marBottom w:val="0"/>
          <w:divBdr>
            <w:top w:val="none" w:sz="0" w:space="0" w:color="auto"/>
            <w:left w:val="none" w:sz="0" w:space="0" w:color="auto"/>
            <w:bottom w:val="none" w:sz="0" w:space="0" w:color="auto"/>
            <w:right w:val="none" w:sz="0" w:space="0" w:color="auto"/>
          </w:divBdr>
        </w:div>
        <w:div w:id="1367751358">
          <w:marLeft w:val="0"/>
          <w:marRight w:val="0"/>
          <w:marTop w:val="0"/>
          <w:marBottom w:val="0"/>
          <w:divBdr>
            <w:top w:val="none" w:sz="0" w:space="0" w:color="auto"/>
            <w:left w:val="none" w:sz="0" w:space="0" w:color="auto"/>
            <w:bottom w:val="none" w:sz="0" w:space="0" w:color="auto"/>
            <w:right w:val="none" w:sz="0" w:space="0" w:color="auto"/>
          </w:divBdr>
        </w:div>
        <w:div w:id="1496451620">
          <w:marLeft w:val="0"/>
          <w:marRight w:val="0"/>
          <w:marTop w:val="0"/>
          <w:marBottom w:val="0"/>
          <w:divBdr>
            <w:top w:val="none" w:sz="0" w:space="0" w:color="auto"/>
            <w:left w:val="none" w:sz="0" w:space="0" w:color="auto"/>
            <w:bottom w:val="none" w:sz="0" w:space="0" w:color="auto"/>
            <w:right w:val="none" w:sz="0" w:space="0" w:color="auto"/>
          </w:divBdr>
        </w:div>
        <w:div w:id="1600790685">
          <w:marLeft w:val="0"/>
          <w:marRight w:val="0"/>
          <w:marTop w:val="0"/>
          <w:marBottom w:val="0"/>
          <w:divBdr>
            <w:top w:val="none" w:sz="0" w:space="0" w:color="auto"/>
            <w:left w:val="none" w:sz="0" w:space="0" w:color="auto"/>
            <w:bottom w:val="none" w:sz="0" w:space="0" w:color="auto"/>
            <w:right w:val="none" w:sz="0" w:space="0" w:color="auto"/>
          </w:divBdr>
        </w:div>
        <w:div w:id="1654487560">
          <w:marLeft w:val="0"/>
          <w:marRight w:val="0"/>
          <w:marTop w:val="0"/>
          <w:marBottom w:val="0"/>
          <w:divBdr>
            <w:top w:val="none" w:sz="0" w:space="0" w:color="auto"/>
            <w:left w:val="none" w:sz="0" w:space="0" w:color="auto"/>
            <w:bottom w:val="none" w:sz="0" w:space="0" w:color="auto"/>
            <w:right w:val="none" w:sz="0" w:space="0" w:color="auto"/>
          </w:divBdr>
        </w:div>
      </w:divsChild>
    </w:div>
    <w:div w:id="1010990803">
      <w:bodyDiv w:val="1"/>
      <w:marLeft w:val="0"/>
      <w:marRight w:val="0"/>
      <w:marTop w:val="0"/>
      <w:marBottom w:val="0"/>
      <w:divBdr>
        <w:top w:val="none" w:sz="0" w:space="0" w:color="auto"/>
        <w:left w:val="none" w:sz="0" w:space="0" w:color="auto"/>
        <w:bottom w:val="none" w:sz="0" w:space="0" w:color="auto"/>
        <w:right w:val="none" w:sz="0" w:space="0" w:color="auto"/>
      </w:divBdr>
    </w:div>
    <w:div w:id="1014115502">
      <w:bodyDiv w:val="1"/>
      <w:marLeft w:val="0"/>
      <w:marRight w:val="0"/>
      <w:marTop w:val="0"/>
      <w:marBottom w:val="0"/>
      <w:divBdr>
        <w:top w:val="none" w:sz="0" w:space="0" w:color="auto"/>
        <w:left w:val="none" w:sz="0" w:space="0" w:color="auto"/>
        <w:bottom w:val="none" w:sz="0" w:space="0" w:color="auto"/>
        <w:right w:val="none" w:sz="0" w:space="0" w:color="auto"/>
      </w:divBdr>
      <w:divsChild>
        <w:div w:id="546649510">
          <w:marLeft w:val="0"/>
          <w:marRight w:val="0"/>
          <w:marTop w:val="0"/>
          <w:marBottom w:val="0"/>
          <w:divBdr>
            <w:top w:val="none" w:sz="0" w:space="0" w:color="auto"/>
            <w:left w:val="none" w:sz="0" w:space="0" w:color="auto"/>
            <w:bottom w:val="none" w:sz="0" w:space="0" w:color="auto"/>
            <w:right w:val="none" w:sz="0" w:space="0" w:color="auto"/>
          </w:divBdr>
        </w:div>
        <w:div w:id="771245306">
          <w:marLeft w:val="0"/>
          <w:marRight w:val="0"/>
          <w:marTop w:val="0"/>
          <w:marBottom w:val="0"/>
          <w:divBdr>
            <w:top w:val="none" w:sz="0" w:space="0" w:color="auto"/>
            <w:left w:val="none" w:sz="0" w:space="0" w:color="auto"/>
            <w:bottom w:val="none" w:sz="0" w:space="0" w:color="auto"/>
            <w:right w:val="none" w:sz="0" w:space="0" w:color="auto"/>
          </w:divBdr>
        </w:div>
        <w:div w:id="984552881">
          <w:marLeft w:val="0"/>
          <w:marRight w:val="0"/>
          <w:marTop w:val="0"/>
          <w:marBottom w:val="0"/>
          <w:divBdr>
            <w:top w:val="none" w:sz="0" w:space="0" w:color="auto"/>
            <w:left w:val="none" w:sz="0" w:space="0" w:color="auto"/>
            <w:bottom w:val="none" w:sz="0" w:space="0" w:color="auto"/>
            <w:right w:val="none" w:sz="0" w:space="0" w:color="auto"/>
          </w:divBdr>
        </w:div>
        <w:div w:id="1001273392">
          <w:marLeft w:val="0"/>
          <w:marRight w:val="0"/>
          <w:marTop w:val="0"/>
          <w:marBottom w:val="0"/>
          <w:divBdr>
            <w:top w:val="none" w:sz="0" w:space="0" w:color="auto"/>
            <w:left w:val="none" w:sz="0" w:space="0" w:color="auto"/>
            <w:bottom w:val="none" w:sz="0" w:space="0" w:color="auto"/>
            <w:right w:val="none" w:sz="0" w:space="0" w:color="auto"/>
          </w:divBdr>
        </w:div>
      </w:divsChild>
    </w:div>
    <w:div w:id="1148008800">
      <w:bodyDiv w:val="1"/>
      <w:marLeft w:val="0"/>
      <w:marRight w:val="0"/>
      <w:marTop w:val="0"/>
      <w:marBottom w:val="0"/>
      <w:divBdr>
        <w:top w:val="none" w:sz="0" w:space="0" w:color="auto"/>
        <w:left w:val="none" w:sz="0" w:space="0" w:color="auto"/>
        <w:bottom w:val="none" w:sz="0" w:space="0" w:color="auto"/>
        <w:right w:val="none" w:sz="0" w:space="0" w:color="auto"/>
      </w:divBdr>
    </w:div>
    <w:div w:id="198994288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iolusgmbh@abv.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psinite_kamani@abv.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ratchanskybalkan@abv.b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735B-3A52-4A27-BDB8-ED8A9338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20</Pages>
  <Words>6473</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Текст в НК</vt:lpstr>
    </vt:vector>
  </TitlesOfParts>
  <Company>MEE</Company>
  <LinksUpToDate>false</LinksUpToDate>
  <CharactersWithSpaces>44199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в НК</dc:title>
  <dc:subject/>
  <dc:creator>ME</dc:creator>
  <cp:keywords/>
  <cp:lastModifiedBy>OPOS BG31</cp:lastModifiedBy>
  <cp:revision>161</cp:revision>
  <cp:lastPrinted>2024-09-17T06:40:00Z</cp:lastPrinted>
  <dcterms:created xsi:type="dcterms:W3CDTF">2024-09-18T13:51:00Z</dcterms:created>
  <dcterms:modified xsi:type="dcterms:W3CDTF">2024-09-26T14:13:00Z</dcterms:modified>
</cp:coreProperties>
</file>