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1A3D9" w14:textId="77777777" w:rsidR="00922043" w:rsidRPr="00781A4B" w:rsidRDefault="00922043" w:rsidP="00922043">
      <w:pPr>
        <w:jc w:val="right"/>
        <w:rPr>
          <w:b/>
          <w:i/>
          <w:lang w:val="bg-BG"/>
        </w:rPr>
      </w:pPr>
      <w:r w:rsidRPr="00781A4B">
        <w:rPr>
          <w:b/>
          <w:i/>
          <w:lang w:val="bg-BG"/>
        </w:rPr>
        <w:t>Образец 3</w:t>
      </w:r>
    </w:p>
    <w:p w14:paraId="4FF7BCEF" w14:textId="77777777" w:rsidR="00922043" w:rsidRPr="00E92625" w:rsidRDefault="00922043" w:rsidP="00922043">
      <w:pPr>
        <w:jc w:val="both"/>
        <w:rPr>
          <w:b/>
          <w:lang w:val="bg-BG"/>
        </w:rPr>
      </w:pPr>
    </w:p>
    <w:p w14:paraId="6E17F576" w14:textId="77777777" w:rsidR="00922043" w:rsidRPr="00E92625" w:rsidRDefault="00922043" w:rsidP="00922043">
      <w:pPr>
        <w:jc w:val="center"/>
        <w:rPr>
          <w:b/>
          <w:lang w:val="bg-BG"/>
        </w:rPr>
      </w:pPr>
      <w:r w:rsidRPr="00E92625">
        <w:rPr>
          <w:b/>
          <w:lang w:val="bg-BG"/>
        </w:rPr>
        <w:t>ДЕКЛАРАЦИЯ</w:t>
      </w:r>
      <w:r w:rsidRPr="00781A4B">
        <w:t xml:space="preserve"> </w:t>
      </w:r>
    </w:p>
    <w:p w14:paraId="2830AB80" w14:textId="77777777" w:rsidR="00922043" w:rsidRPr="00E92625" w:rsidRDefault="00922043" w:rsidP="00922043">
      <w:pPr>
        <w:jc w:val="both"/>
        <w:rPr>
          <w:lang w:val="bg-BG"/>
        </w:rPr>
      </w:pPr>
    </w:p>
    <w:p w14:paraId="6E301C3F" w14:textId="77777777" w:rsidR="00922043" w:rsidRPr="00E92625" w:rsidRDefault="00922043" w:rsidP="00922043">
      <w:pPr>
        <w:jc w:val="both"/>
        <w:rPr>
          <w:lang w:val="bg-BG"/>
        </w:rPr>
      </w:pPr>
    </w:p>
    <w:p w14:paraId="46B8996B" w14:textId="77777777" w:rsidR="00922043" w:rsidRDefault="00922043" w:rsidP="00922043">
      <w:pPr>
        <w:jc w:val="both"/>
        <w:rPr>
          <w:lang w:val="en-US"/>
        </w:rPr>
      </w:pPr>
      <w:r w:rsidRPr="00E92625">
        <w:rPr>
          <w:lang w:val="bg-BG"/>
        </w:rPr>
        <w:t>Аз, долуподписаният</w:t>
      </w:r>
      <w:r>
        <w:rPr>
          <w:lang w:val="bg-BG"/>
        </w:rPr>
        <w:t>/-ата</w:t>
      </w:r>
      <w:r w:rsidRPr="00E92625">
        <w:rPr>
          <w:lang w:val="bg-BG"/>
        </w:rPr>
        <w:t xml:space="preserve"> ............................................................</w:t>
      </w:r>
      <w:r w:rsidRPr="00E92625">
        <w:rPr>
          <w:lang w:val="en-US"/>
        </w:rPr>
        <w:t>..............................................</w:t>
      </w:r>
    </w:p>
    <w:p w14:paraId="32E27384" w14:textId="77777777" w:rsidR="00922043" w:rsidRPr="001D5675" w:rsidRDefault="00922043" w:rsidP="00922043">
      <w:pPr>
        <w:jc w:val="center"/>
        <w:rPr>
          <w:i/>
          <w:lang w:val="bg-BG"/>
        </w:rPr>
      </w:pPr>
      <w:r w:rsidRPr="00DB4CB7">
        <w:rPr>
          <w:i/>
          <w:lang w:val="bg-BG"/>
        </w:rPr>
        <w:t>(имена по документ за самоличност)</w:t>
      </w:r>
    </w:p>
    <w:p w14:paraId="34765A08" w14:textId="36B75743" w:rsidR="00922043" w:rsidRPr="00E92625" w:rsidRDefault="001A36EA" w:rsidP="00922043">
      <w:pPr>
        <w:jc w:val="both"/>
        <w:rPr>
          <w:lang w:val="bg-BG"/>
        </w:rPr>
      </w:pPr>
      <w:r>
        <w:rPr>
          <w:lang w:val="bg-BG"/>
        </w:rPr>
        <w:t>с</w:t>
      </w:r>
      <w:r w:rsidR="00922043" w:rsidRPr="00E92625">
        <w:rPr>
          <w:lang w:val="bg-BG"/>
        </w:rPr>
        <w:t>лужител в</w:t>
      </w:r>
      <w:r w:rsidR="00922043" w:rsidRPr="00E92625">
        <w:rPr>
          <w:lang w:val="en-US"/>
        </w:rPr>
        <w:t xml:space="preserve"> </w:t>
      </w:r>
      <w:r w:rsidR="00922043" w:rsidRPr="00E92625">
        <w:rPr>
          <w:lang w:val="bg-BG"/>
        </w:rPr>
        <w:t>..................................................................................................</w:t>
      </w:r>
      <w:r w:rsidR="00094355">
        <w:rPr>
          <w:lang w:val="bg-BG"/>
        </w:rPr>
        <w:t>.</w:t>
      </w:r>
      <w:r w:rsidR="00922043" w:rsidRPr="00E92625">
        <w:rPr>
          <w:lang w:val="bg-BG"/>
        </w:rPr>
        <w:t>.</w:t>
      </w:r>
      <w:r w:rsidR="00922043">
        <w:rPr>
          <w:lang w:val="bg-BG"/>
        </w:rPr>
        <w:t>...............................</w:t>
      </w:r>
    </w:p>
    <w:p w14:paraId="3B68BEE5" w14:textId="77777777" w:rsidR="00922043" w:rsidRPr="001D5675" w:rsidRDefault="00922043" w:rsidP="00922043">
      <w:pPr>
        <w:jc w:val="center"/>
        <w:rPr>
          <w:i/>
          <w:lang w:val="bg-BG"/>
        </w:rPr>
      </w:pPr>
      <w:r w:rsidRPr="001D5675">
        <w:rPr>
          <w:i/>
          <w:lang w:val="bg-BG"/>
        </w:rPr>
        <w:t>(организация, дирекция, отдел, сектор)</w:t>
      </w:r>
    </w:p>
    <w:p w14:paraId="3C7036CD" w14:textId="3F979EE4" w:rsidR="00922043" w:rsidRPr="00E92625" w:rsidRDefault="004F63C8" w:rsidP="00922043">
      <w:pPr>
        <w:jc w:val="both"/>
        <w:rPr>
          <w:lang w:val="en-US"/>
        </w:rPr>
      </w:pPr>
      <w:r>
        <w:rPr>
          <w:lang w:val="bg-BG"/>
        </w:rPr>
        <w:t>н</w:t>
      </w:r>
      <w:r w:rsidR="00922043">
        <w:rPr>
          <w:lang w:val="bg-BG"/>
        </w:rPr>
        <w:t>а д</w:t>
      </w:r>
      <w:r w:rsidR="00922043" w:rsidRPr="00E92625">
        <w:rPr>
          <w:lang w:val="bg-BG"/>
        </w:rPr>
        <w:t>лъжност</w:t>
      </w:r>
      <w:r w:rsidR="00922043" w:rsidRPr="00E92625">
        <w:rPr>
          <w:lang w:val="en-US"/>
        </w:rPr>
        <w:t xml:space="preserve"> </w:t>
      </w:r>
      <w:r w:rsidR="00922043" w:rsidRPr="00E92625">
        <w:rPr>
          <w:lang w:val="bg-BG"/>
        </w:rPr>
        <w:t>....................................................</w:t>
      </w:r>
      <w:r w:rsidR="00922043" w:rsidRPr="00E92625">
        <w:rPr>
          <w:lang w:val="en-US"/>
        </w:rPr>
        <w:t>..........</w:t>
      </w:r>
      <w:r w:rsidR="00922043" w:rsidRPr="00E92625">
        <w:rPr>
          <w:lang w:val="bg-BG"/>
        </w:rPr>
        <w:t>...</w:t>
      </w:r>
      <w:r w:rsidR="00922043">
        <w:rPr>
          <w:lang w:val="bg-BG"/>
        </w:rPr>
        <w:t>.</w:t>
      </w:r>
      <w:r w:rsidR="00922043" w:rsidRPr="00E92625">
        <w:rPr>
          <w:lang w:val="bg-BG"/>
        </w:rPr>
        <w:t>......</w:t>
      </w:r>
      <w:r w:rsidR="00922043" w:rsidRPr="00E92625">
        <w:rPr>
          <w:lang w:val="en-US"/>
        </w:rPr>
        <w:t>............................</w:t>
      </w:r>
      <w:r w:rsidR="00094355">
        <w:rPr>
          <w:lang w:val="bg-BG"/>
        </w:rPr>
        <w:t>.</w:t>
      </w:r>
      <w:r w:rsidR="00922043" w:rsidRPr="00E92625">
        <w:rPr>
          <w:lang w:val="en-US"/>
        </w:rPr>
        <w:t>............................</w:t>
      </w:r>
    </w:p>
    <w:p w14:paraId="37F3279F" w14:textId="11C4A26B" w:rsidR="00922043" w:rsidRDefault="00922043" w:rsidP="00922043">
      <w:pPr>
        <w:jc w:val="both"/>
        <w:rPr>
          <w:lang w:val="bg-BG"/>
        </w:rPr>
      </w:pPr>
      <w:r>
        <w:rPr>
          <w:lang w:val="en-US"/>
        </w:rPr>
        <w:t>в</w:t>
      </w:r>
      <w:r>
        <w:rPr>
          <w:lang w:val="bg-BG"/>
        </w:rPr>
        <w:t>ъв връзка с изпълнението на проект №……………………. с наименование „………………</w:t>
      </w:r>
      <w:r w:rsidR="00094355">
        <w:rPr>
          <w:lang w:val="bg-BG"/>
        </w:rPr>
        <w:t>…………….</w:t>
      </w:r>
      <w:r>
        <w:rPr>
          <w:lang w:val="bg-BG"/>
        </w:rPr>
        <w:t xml:space="preserve">….“, финансиран </w:t>
      </w:r>
      <w:proofErr w:type="spellStart"/>
      <w:r w:rsidRPr="008849C0">
        <w:t>по</w:t>
      </w:r>
      <w:proofErr w:type="spellEnd"/>
      <w:r w:rsidRPr="008849C0">
        <w:t xml:space="preserve"> </w:t>
      </w:r>
      <w:r w:rsidRPr="00DB4CB7">
        <w:rPr>
          <w:lang w:val="bg-BG"/>
        </w:rPr>
        <w:t>П</w:t>
      </w:r>
      <w:proofErr w:type="spellStart"/>
      <w:r w:rsidRPr="00DB4CB7">
        <w:t>рограма</w:t>
      </w:r>
      <w:proofErr w:type="spellEnd"/>
      <w:r w:rsidRPr="00DB4CB7">
        <w:t xml:space="preserve"> „</w:t>
      </w:r>
      <w:proofErr w:type="spellStart"/>
      <w:r w:rsidRPr="00DB4CB7">
        <w:t>Околна</w:t>
      </w:r>
      <w:proofErr w:type="spellEnd"/>
      <w:r w:rsidRPr="00DB4CB7">
        <w:t xml:space="preserve"> </w:t>
      </w:r>
      <w:proofErr w:type="spellStart"/>
      <w:r w:rsidRPr="00DB4CB7">
        <w:t>среда</w:t>
      </w:r>
      <w:proofErr w:type="spellEnd"/>
      <w:r w:rsidRPr="00DB4CB7">
        <w:rPr>
          <w:lang w:val="bg-BG"/>
        </w:rPr>
        <w:t>“</w:t>
      </w:r>
      <w:r w:rsidRPr="00DB4CB7">
        <w:t xml:space="preserve"> 20</w:t>
      </w:r>
      <w:r w:rsidRPr="00DB4CB7">
        <w:rPr>
          <w:lang w:val="bg-BG"/>
        </w:rPr>
        <w:t>21</w:t>
      </w:r>
      <w:r w:rsidRPr="00DB4CB7">
        <w:t xml:space="preserve"> – 202</w:t>
      </w:r>
      <w:r w:rsidRPr="00DB4CB7">
        <w:rPr>
          <w:lang w:val="bg-BG"/>
        </w:rPr>
        <w:t>7</w:t>
      </w:r>
      <w:r w:rsidRPr="00DB4CB7">
        <w:t xml:space="preserve"> г.</w:t>
      </w:r>
      <w:r w:rsidRPr="00DB4CB7">
        <w:rPr>
          <w:lang w:val="bg-BG"/>
        </w:rPr>
        <w:t>,</w:t>
      </w:r>
    </w:p>
    <w:p w14:paraId="0643CDBD" w14:textId="77777777" w:rsidR="00922043" w:rsidRPr="00E92625" w:rsidRDefault="00922043" w:rsidP="00922043">
      <w:pPr>
        <w:jc w:val="both"/>
        <w:rPr>
          <w:lang w:val="bg-BG"/>
        </w:rPr>
      </w:pPr>
    </w:p>
    <w:p w14:paraId="7238905E" w14:textId="77777777" w:rsidR="00922043" w:rsidRPr="00F73BE7" w:rsidRDefault="00922043" w:rsidP="00922043">
      <w:pPr>
        <w:jc w:val="both"/>
        <w:rPr>
          <w:b/>
          <w:lang w:val="bg-BG"/>
        </w:rPr>
      </w:pPr>
      <w:r w:rsidRPr="00F73BE7">
        <w:rPr>
          <w:b/>
          <w:lang w:val="bg-BG"/>
        </w:rPr>
        <w:t>декларирам, че:</w:t>
      </w:r>
    </w:p>
    <w:p w14:paraId="7F0755A3" w14:textId="77777777" w:rsidR="00922043" w:rsidRPr="00E92625" w:rsidRDefault="00922043" w:rsidP="00922043">
      <w:pPr>
        <w:jc w:val="both"/>
        <w:rPr>
          <w:lang w:val="bg-BG"/>
        </w:rPr>
      </w:pPr>
    </w:p>
    <w:p w14:paraId="576D5935" w14:textId="77777777" w:rsidR="00922043" w:rsidRPr="00CD5FD3" w:rsidRDefault="00922043" w:rsidP="00922043">
      <w:pPr>
        <w:numPr>
          <w:ilvl w:val="0"/>
          <w:numId w:val="4"/>
        </w:numPr>
        <w:jc w:val="both"/>
        <w:rPr>
          <w:lang w:val="bg-BG" w:eastAsia="fr-FR"/>
        </w:rPr>
      </w:pPr>
      <w:r w:rsidRPr="00CD5FD3">
        <w:rPr>
          <w:lang w:val="bg-BG" w:eastAsia="fr-FR"/>
        </w:rPr>
        <w:t xml:space="preserve">Запознат/а съм с определението за </w:t>
      </w:r>
      <w:r w:rsidRPr="00CD5FD3">
        <w:rPr>
          <w:b/>
          <w:lang w:val="bg-BG" w:eastAsia="fr-FR"/>
        </w:rPr>
        <w:t>нередност,</w:t>
      </w:r>
      <w:r w:rsidRPr="00CD5FD3">
        <w:rPr>
          <w:lang w:val="bg-BG" w:eastAsia="fr-FR"/>
        </w:rPr>
        <w:t xml:space="preserve"> съгласно член 2</w:t>
      </w:r>
      <w:r w:rsidRPr="00CD5FD3">
        <w:rPr>
          <w:lang w:val="ru-RU" w:eastAsia="fr-FR"/>
        </w:rPr>
        <w:t xml:space="preserve"> </w:t>
      </w:r>
      <w:r w:rsidRPr="00CD5FD3">
        <w:rPr>
          <w:lang w:val="bg-BG" w:eastAsia="fr-FR"/>
        </w:rPr>
        <w:t xml:space="preserve">пар.31 от Регламент (ЕС) 2021/1060, а именно: </w:t>
      </w:r>
    </w:p>
    <w:p w14:paraId="19041DFF" w14:textId="77777777" w:rsidR="00922043" w:rsidRPr="00CD5FD3" w:rsidRDefault="00922043" w:rsidP="00922043">
      <w:pPr>
        <w:spacing w:before="120"/>
        <w:ind w:left="720"/>
        <w:jc w:val="both"/>
        <w:rPr>
          <w:lang w:val="bg-BG" w:eastAsia="fr-FR"/>
        </w:rPr>
      </w:pPr>
      <w:r w:rsidRPr="00CD5FD3">
        <w:rPr>
          <w:lang w:val="bg-BG" w:eastAsia="fr-FR"/>
        </w:rPr>
        <w:t xml:space="preserve">„Нередност“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4DFF8E03" w14:textId="77777777" w:rsidR="00922043" w:rsidRPr="00CD5FD3" w:rsidRDefault="00922043" w:rsidP="00922043">
      <w:pPr>
        <w:numPr>
          <w:ilvl w:val="0"/>
          <w:numId w:val="4"/>
        </w:numPr>
        <w:spacing w:before="120"/>
        <w:ind w:left="714" w:hanging="357"/>
        <w:jc w:val="both"/>
        <w:rPr>
          <w:lang w:val="bg-BG" w:eastAsia="fr-FR"/>
        </w:rPr>
      </w:pPr>
      <w:r w:rsidRPr="00CD5FD3">
        <w:rPr>
          <w:lang w:val="bg-BG" w:eastAsia="fr-FR"/>
        </w:rPr>
        <w:t xml:space="preserve">Запознат/а съм с определението за </w:t>
      </w:r>
      <w:r w:rsidRPr="00CD5FD3">
        <w:rPr>
          <w:b/>
          <w:lang w:val="bg-BG" w:eastAsia="fr-FR"/>
        </w:rPr>
        <w:t>измама</w:t>
      </w:r>
      <w:r w:rsidRPr="00CD5FD3">
        <w:rPr>
          <w:lang w:val="bg-BG" w:eastAsia="fr-FR"/>
        </w:rPr>
        <w:t xml:space="preserve">, съгласно чл. 3,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CD5FD3">
        <w:rPr>
          <w:lang w:val="bg-BG" w:eastAsia="fr-FR"/>
        </w:rPr>
        <w:t>наказателноправен</w:t>
      </w:r>
      <w:proofErr w:type="spellEnd"/>
      <w:r w:rsidRPr="00CD5FD3">
        <w:rPr>
          <w:lang w:val="bg-BG" w:eastAsia="fr-FR"/>
        </w:rPr>
        <w:t xml:space="preserve"> ред, а именно: </w:t>
      </w:r>
    </w:p>
    <w:p w14:paraId="5FF7E2C7" w14:textId="77777777" w:rsidR="00922043" w:rsidRPr="00CD5FD3" w:rsidRDefault="00922043" w:rsidP="00922043">
      <w:pPr>
        <w:ind w:left="720"/>
        <w:jc w:val="both"/>
        <w:rPr>
          <w:lang w:val="bg-BG" w:eastAsia="fr-FR"/>
        </w:rPr>
      </w:pPr>
      <w:r w:rsidRPr="00CD5FD3">
        <w:rPr>
          <w:lang w:val="bg-BG" w:eastAsia="fr-FR"/>
        </w:rPr>
        <w:t>Под измама, засягаща финансовите интереси на Съюза, се счита следното:</w:t>
      </w:r>
    </w:p>
    <w:p w14:paraId="43C3D664" w14:textId="77777777" w:rsidR="00922043" w:rsidRPr="00CD5FD3" w:rsidRDefault="00922043" w:rsidP="00922043">
      <w:pPr>
        <w:spacing w:before="120"/>
        <w:ind w:left="851"/>
        <w:jc w:val="both"/>
        <w:rPr>
          <w:lang w:val="bg-BG" w:eastAsia="fr-FR"/>
        </w:rPr>
      </w:pPr>
      <w:r w:rsidRPr="00CD5FD3">
        <w:rPr>
          <w:lang w:val="bg-BG" w:eastAsia="fr-FR"/>
        </w:rPr>
        <w:t>а) по отношение на разходите, несвързани с възлагането на обществени поръчки — всяко действие или бездействие, което се отнася до:</w:t>
      </w:r>
    </w:p>
    <w:p w14:paraId="4B049BF6"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0ADFF9D9"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w:t>
      </w:r>
      <w:proofErr w:type="spellStart"/>
      <w:r w:rsidRPr="00CD5FD3">
        <w:rPr>
          <w:lang w:val="bg-BG" w:eastAsia="fr-FR"/>
        </w:rPr>
        <w:t>неоповестяването</w:t>
      </w:r>
      <w:proofErr w:type="spellEnd"/>
      <w:r w:rsidRPr="00CD5FD3">
        <w:rPr>
          <w:lang w:val="bg-BG" w:eastAsia="fr-FR"/>
        </w:rPr>
        <w:t xml:space="preserve"> на информация в нарушение на конкретно задължение, което води до същия резултат; или</w:t>
      </w:r>
    </w:p>
    <w:p w14:paraId="4D80A644"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неправилното използване на такива средства или активи за цели, различни от тези, за които те са били първоначално предоставени;</w:t>
      </w:r>
    </w:p>
    <w:p w14:paraId="5B774D87" w14:textId="77777777" w:rsidR="00922043" w:rsidRPr="00CD5FD3" w:rsidRDefault="00922043" w:rsidP="00922043">
      <w:pPr>
        <w:spacing w:before="120"/>
        <w:ind w:left="851"/>
        <w:jc w:val="both"/>
        <w:rPr>
          <w:lang w:val="bg-BG" w:eastAsia="fr-FR"/>
        </w:rPr>
      </w:pPr>
      <w:r w:rsidRPr="00CD5FD3">
        <w:rPr>
          <w:lang w:val="bg-BG" w:eastAsia="fr-FR"/>
        </w:rPr>
        <w:t>б)</w:t>
      </w:r>
      <w:r>
        <w:rPr>
          <w:lang w:val="bg-BG" w:eastAsia="fr-FR"/>
        </w:rPr>
        <w:t xml:space="preserve"> </w:t>
      </w:r>
      <w:r w:rsidRPr="00CD5FD3">
        <w:rPr>
          <w:lang w:val="bg-BG" w:eastAsia="fr-FR"/>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AE6112F"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използването или представянето на фалшиви, неверни или непълни декларации или документи, в резултат на което се присвояват или </w:t>
      </w:r>
      <w:r w:rsidRPr="00CD5FD3">
        <w:rPr>
          <w:lang w:val="bg-BG" w:eastAsia="fr-FR"/>
        </w:rPr>
        <w:lastRenderedPageBreak/>
        <w:t>неправомерно се задържат средства или активи от бюджета на Съюза или бюджетите, управлявани от Съюза или от негово име;</w:t>
      </w:r>
    </w:p>
    <w:p w14:paraId="372DE315"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w:t>
      </w:r>
      <w:proofErr w:type="spellStart"/>
      <w:r w:rsidRPr="00CD5FD3">
        <w:rPr>
          <w:lang w:val="bg-BG" w:eastAsia="fr-FR"/>
        </w:rPr>
        <w:t>неоповестяването</w:t>
      </w:r>
      <w:proofErr w:type="spellEnd"/>
      <w:r w:rsidRPr="00CD5FD3">
        <w:rPr>
          <w:lang w:val="bg-BG" w:eastAsia="fr-FR"/>
        </w:rPr>
        <w:t xml:space="preserve"> на информация в нарушение на конкретно задължение, което води до същия резултат; или</w:t>
      </w:r>
    </w:p>
    <w:p w14:paraId="766D8081"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61E7D9EF" w14:textId="77777777" w:rsidR="00922043" w:rsidRPr="00CD5FD3" w:rsidRDefault="00922043" w:rsidP="00922043">
      <w:pPr>
        <w:spacing w:before="120"/>
        <w:ind w:left="851"/>
        <w:jc w:val="both"/>
        <w:rPr>
          <w:lang w:val="bg-BG" w:eastAsia="fr-FR"/>
        </w:rPr>
      </w:pPr>
      <w:r w:rsidRPr="00CD5FD3">
        <w:rPr>
          <w:lang w:val="bg-BG" w:eastAsia="fr-FR"/>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16A09672"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29B8471E"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w:t>
      </w:r>
      <w:proofErr w:type="spellStart"/>
      <w:r w:rsidRPr="00CD5FD3">
        <w:rPr>
          <w:lang w:val="bg-BG" w:eastAsia="fr-FR"/>
        </w:rPr>
        <w:t>неоповестяването</w:t>
      </w:r>
      <w:proofErr w:type="spellEnd"/>
      <w:r w:rsidRPr="00CD5FD3">
        <w:rPr>
          <w:lang w:val="bg-BG" w:eastAsia="fr-FR"/>
        </w:rPr>
        <w:t xml:space="preserve"> на информация в нарушение на конкретно задължение, което води до същия резултат; или</w:t>
      </w:r>
    </w:p>
    <w:p w14:paraId="1D8D0A1D"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неправилното използване на законно предоставени ползи, което води до същия резултат;</w:t>
      </w:r>
    </w:p>
    <w:p w14:paraId="46C9C790" w14:textId="77777777" w:rsidR="00922043" w:rsidRPr="00CD5FD3" w:rsidRDefault="00922043" w:rsidP="00922043">
      <w:pPr>
        <w:spacing w:before="120"/>
        <w:ind w:left="851"/>
        <w:jc w:val="both"/>
        <w:rPr>
          <w:lang w:val="bg-BG" w:eastAsia="fr-FR"/>
        </w:rPr>
      </w:pPr>
      <w:r w:rsidRPr="00CD5FD3">
        <w:rPr>
          <w:lang w:val="bg-BG" w:eastAsia="fr-FR"/>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45F9AEA9"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16AE70F3"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w:t>
      </w:r>
      <w:proofErr w:type="spellStart"/>
      <w:r w:rsidRPr="00CD5FD3">
        <w:rPr>
          <w:lang w:val="bg-BG" w:eastAsia="fr-FR"/>
        </w:rPr>
        <w:t>неоповестяването</w:t>
      </w:r>
      <w:proofErr w:type="spellEnd"/>
      <w:r w:rsidRPr="00CD5FD3">
        <w:rPr>
          <w:lang w:val="bg-BG" w:eastAsia="fr-FR"/>
        </w:rPr>
        <w:t xml:space="preserve"> на свързана с ДДС информация в нарушение на конкретно задължение, което води до същия резултат; или</w:t>
      </w:r>
    </w:p>
    <w:p w14:paraId="3D2FCECD" w14:textId="77777777" w:rsidR="00922043" w:rsidRPr="00CD5FD3" w:rsidRDefault="00922043" w:rsidP="00922043">
      <w:pPr>
        <w:spacing w:before="120"/>
        <w:ind w:left="1440"/>
        <w:jc w:val="both"/>
        <w:rPr>
          <w:lang w:val="bg-BG" w:eastAsia="fr-FR"/>
        </w:rPr>
      </w:pPr>
      <w:r w:rsidRPr="00CD5FD3">
        <w:rPr>
          <w:lang w:val="en-US" w:eastAsia="fr-FR"/>
        </w:rPr>
        <w:t>-</w:t>
      </w:r>
      <w:r w:rsidRPr="00CD5FD3">
        <w:rPr>
          <w:lang w:val="bg-BG" w:eastAsia="fr-FR"/>
        </w:rPr>
        <w:t xml:space="preserve">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6E1D74F9" w14:textId="77777777" w:rsidR="00922043" w:rsidRPr="00CD5FD3" w:rsidRDefault="00922043" w:rsidP="00922043">
      <w:pPr>
        <w:numPr>
          <w:ilvl w:val="0"/>
          <w:numId w:val="4"/>
        </w:numPr>
        <w:spacing w:before="120"/>
        <w:ind w:left="714" w:hanging="357"/>
        <w:jc w:val="both"/>
        <w:rPr>
          <w:lang w:val="bg-BG" w:eastAsia="fr-FR"/>
        </w:rPr>
      </w:pPr>
      <w:r w:rsidRPr="00CD5FD3">
        <w:rPr>
          <w:lang w:val="bg-BG" w:eastAsia="fr-FR"/>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7B1D60E0" w14:textId="0E33C67B" w:rsidR="00922043" w:rsidRPr="007141C4" w:rsidRDefault="00922043" w:rsidP="00922043">
      <w:pPr>
        <w:numPr>
          <w:ilvl w:val="0"/>
          <w:numId w:val="4"/>
        </w:numPr>
        <w:spacing w:before="120"/>
        <w:ind w:left="714" w:hanging="357"/>
        <w:jc w:val="both"/>
        <w:rPr>
          <w:lang w:val="bg-BG" w:eastAsia="fr-FR"/>
        </w:rPr>
      </w:pPr>
      <w:r w:rsidRPr="00CD5FD3">
        <w:rPr>
          <w:lang w:val="bg-BG" w:eastAsia="fr-FR"/>
        </w:rPr>
        <w:t xml:space="preserve">Запознат/а съм, че съгласно одобрената Процедура за администриране на нередности в рамките на </w:t>
      </w:r>
      <w:r w:rsidRPr="008849C0">
        <w:rPr>
          <w:lang w:val="bg-BG" w:eastAsia="fr-FR"/>
        </w:rPr>
        <w:t>Програма „Околна среда“ 2021 – 202</w:t>
      </w:r>
      <w:r w:rsidRPr="008849C0">
        <w:rPr>
          <w:lang w:val="en-US" w:eastAsia="fr-FR"/>
        </w:rPr>
        <w:t>7</w:t>
      </w:r>
      <w:r w:rsidRPr="008849C0">
        <w:rPr>
          <w:lang w:val="bg-BG" w:eastAsia="fr-FR"/>
        </w:rPr>
        <w:t xml:space="preserve"> г.,</w:t>
      </w:r>
      <w:r w:rsidRPr="00CD5FD3">
        <w:rPr>
          <w:lang w:val="bg-BG" w:eastAsia="fr-FR"/>
        </w:rPr>
        <w:t xml:space="preserve"> следва да подавам сигнали за наличие на нередности или подозрение за измами</w:t>
      </w:r>
      <w:r w:rsidRPr="00CD5FD3">
        <w:rPr>
          <w:b/>
          <w:bCs/>
          <w:lang w:val="bg-BG" w:eastAsia="fr-FR"/>
        </w:rPr>
        <w:t xml:space="preserve"> </w:t>
      </w:r>
      <w:r w:rsidRPr="007141C4">
        <w:rPr>
          <w:lang w:val="bg-BG" w:eastAsia="fr-FR"/>
        </w:rPr>
        <w:t xml:space="preserve">на Управляващия орган </w:t>
      </w:r>
      <w:r w:rsidR="00BA037B" w:rsidRPr="007141C4">
        <w:rPr>
          <w:lang w:val="bg-BG" w:eastAsia="fr-FR"/>
        </w:rPr>
        <w:t>на</w:t>
      </w:r>
      <w:r w:rsidRPr="007141C4">
        <w:rPr>
          <w:lang w:val="bg-BG" w:eastAsia="fr-FR"/>
        </w:rPr>
        <w:t xml:space="preserve"> ПОС;</w:t>
      </w:r>
    </w:p>
    <w:p w14:paraId="311A6B49" w14:textId="57C4D231" w:rsidR="00922043" w:rsidRPr="00CD5FD3" w:rsidRDefault="00922043" w:rsidP="00922043">
      <w:pPr>
        <w:numPr>
          <w:ilvl w:val="0"/>
          <w:numId w:val="4"/>
        </w:numPr>
        <w:spacing w:before="240"/>
        <w:ind w:left="714" w:hanging="357"/>
        <w:jc w:val="both"/>
        <w:rPr>
          <w:lang w:val="bg-BG" w:eastAsia="fr-FR"/>
        </w:rPr>
      </w:pPr>
      <w:r w:rsidRPr="00CD5FD3">
        <w:rPr>
          <w:lang w:val="bg-BG" w:eastAsia="fr-FR"/>
        </w:rPr>
        <w:t xml:space="preserve">Запознат/а съм, че при наличие или съмнение за връзка на някое от лицата, на които следва </w:t>
      </w:r>
      <w:r w:rsidRPr="007D1115">
        <w:rPr>
          <w:lang w:val="bg-BG" w:eastAsia="fr-FR"/>
        </w:rPr>
        <w:t xml:space="preserve">да се подават сигналите за нередности, </w:t>
      </w:r>
      <w:r w:rsidRPr="00CD5FD3">
        <w:rPr>
          <w:lang w:val="bg-BG" w:eastAsia="fr-FR"/>
        </w:rPr>
        <w:t xml:space="preserve">информацията се подава директно до един или няколко от следните органи: </w:t>
      </w:r>
    </w:p>
    <w:p w14:paraId="5D929760" w14:textId="77777777" w:rsidR="00922043" w:rsidRPr="005F6E47" w:rsidRDefault="00922043" w:rsidP="00922043">
      <w:pPr>
        <w:numPr>
          <w:ilvl w:val="1"/>
          <w:numId w:val="4"/>
        </w:numPr>
        <w:spacing w:before="120"/>
        <w:jc w:val="both"/>
        <w:rPr>
          <w:lang w:val="bg-BG" w:eastAsia="fr-FR"/>
        </w:rPr>
      </w:pPr>
      <w:r w:rsidRPr="005F6E47">
        <w:rPr>
          <w:lang w:val="bg-BG" w:eastAsia="fr-FR"/>
        </w:rPr>
        <w:t xml:space="preserve">Ръководителя на Управляващия орган на Програма „Околна среда“ 2021 – 2027 г.; </w:t>
      </w:r>
    </w:p>
    <w:p w14:paraId="5BC61F21" w14:textId="77777777" w:rsidR="00922043" w:rsidRPr="00CD5FD3" w:rsidRDefault="00922043" w:rsidP="00922043">
      <w:pPr>
        <w:numPr>
          <w:ilvl w:val="1"/>
          <w:numId w:val="4"/>
        </w:numPr>
        <w:spacing w:before="120"/>
        <w:jc w:val="both"/>
        <w:rPr>
          <w:lang w:val="bg-BG" w:eastAsia="fr-FR"/>
        </w:rPr>
      </w:pPr>
      <w:r w:rsidRPr="00CD5FD3">
        <w:rPr>
          <w:lang w:val="bg-BG" w:eastAsia="fr-FR"/>
        </w:rPr>
        <w:t xml:space="preserve">Ресорния заместник-министър или ръководител на ведомството; </w:t>
      </w:r>
    </w:p>
    <w:p w14:paraId="5AA52C59" w14:textId="77777777" w:rsidR="00922043" w:rsidRPr="00CD5FD3" w:rsidRDefault="00922043" w:rsidP="00922043">
      <w:pPr>
        <w:numPr>
          <w:ilvl w:val="1"/>
          <w:numId w:val="4"/>
        </w:numPr>
        <w:spacing w:before="120"/>
        <w:jc w:val="both"/>
        <w:rPr>
          <w:lang w:val="bg-BG" w:eastAsia="fr-FR"/>
        </w:rPr>
      </w:pPr>
      <w:r w:rsidRPr="00CD5FD3">
        <w:rPr>
          <w:lang w:val="bg-B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0DA339BD" w14:textId="77777777" w:rsidR="00922043" w:rsidRPr="00CD5FD3" w:rsidRDefault="00922043" w:rsidP="00922043">
      <w:pPr>
        <w:numPr>
          <w:ilvl w:val="1"/>
          <w:numId w:val="4"/>
        </w:numPr>
        <w:spacing w:before="120"/>
        <w:jc w:val="both"/>
        <w:rPr>
          <w:lang w:val="bg-BG" w:eastAsia="fr-FR"/>
        </w:rPr>
      </w:pPr>
      <w:r w:rsidRPr="00CD5FD3">
        <w:rPr>
          <w:lang w:val="bg-BG" w:eastAsia="fr-FR"/>
        </w:rPr>
        <w:lastRenderedPageBreak/>
        <w:t>Европейската служба за борба с измамите към Европейската комисия (ОЛАФ).</w:t>
      </w:r>
    </w:p>
    <w:p w14:paraId="49EAAE3F" w14:textId="77777777" w:rsidR="00922043" w:rsidRPr="00CD5FD3" w:rsidRDefault="00922043" w:rsidP="00922043">
      <w:pPr>
        <w:numPr>
          <w:ilvl w:val="0"/>
          <w:numId w:val="4"/>
        </w:numPr>
        <w:spacing w:before="240"/>
        <w:jc w:val="both"/>
        <w:rPr>
          <w:lang w:val="bg-BG" w:eastAsia="fr-FR"/>
        </w:rPr>
      </w:pPr>
      <w:r w:rsidRPr="00CD5FD3">
        <w:rPr>
          <w:lang w:val="bg-BG" w:eastAsia="fr-FR"/>
        </w:rPr>
        <w:t xml:space="preserve">Запознат/а съм с </w:t>
      </w:r>
      <w:r w:rsidRPr="00424C02">
        <w:rPr>
          <w:highlight w:val="yellow"/>
          <w:lang w:val="bg-BG" w:eastAsia="fr-FR"/>
        </w:rPr>
        <w:t xml:space="preserve">Наредба за администриране на нередности по </w:t>
      </w:r>
      <w:proofErr w:type="spellStart"/>
      <w:r w:rsidRPr="00424C02">
        <w:rPr>
          <w:highlight w:val="yellow"/>
          <w:lang w:val="bg-BG" w:eastAsia="fr-FR"/>
        </w:rPr>
        <w:t>Eвропейските</w:t>
      </w:r>
      <w:proofErr w:type="spellEnd"/>
      <w:r w:rsidRPr="00424C02">
        <w:rPr>
          <w:highlight w:val="yellow"/>
          <w:lang w:val="bg-BG" w:eastAsia="fr-FR"/>
        </w:rPr>
        <w:t xml:space="preserve"> фондове при споделено управление</w:t>
      </w:r>
      <w:r w:rsidRPr="00CD5FD3">
        <w:rPr>
          <w:lang w:val="bg-BG" w:eastAsia="fr-FR"/>
        </w:rPr>
        <w:t>.</w:t>
      </w:r>
    </w:p>
    <w:p w14:paraId="4B2B95A1" w14:textId="77777777" w:rsidR="00922043" w:rsidRPr="00E92625" w:rsidRDefault="00922043" w:rsidP="00922043">
      <w:pPr>
        <w:jc w:val="both"/>
        <w:rPr>
          <w:lang w:val="bg-BG"/>
        </w:rPr>
      </w:pPr>
    </w:p>
    <w:p w14:paraId="62182D29" w14:textId="77777777" w:rsidR="00922043" w:rsidRDefault="00922043" w:rsidP="00922043">
      <w:pPr>
        <w:jc w:val="both"/>
        <w:rPr>
          <w:lang w:val="en-US" w:eastAsia="fr-FR"/>
        </w:rPr>
      </w:pPr>
    </w:p>
    <w:p w14:paraId="54895868" w14:textId="77777777" w:rsidR="00922043" w:rsidRDefault="00922043" w:rsidP="00922043">
      <w:pPr>
        <w:jc w:val="both"/>
        <w:rPr>
          <w:lang w:val="en-US" w:eastAsia="fr-FR"/>
        </w:rPr>
      </w:pPr>
    </w:p>
    <w:p w14:paraId="341177CE" w14:textId="77777777" w:rsidR="00922043" w:rsidRPr="00E92625" w:rsidRDefault="00922043" w:rsidP="00922043">
      <w:pPr>
        <w:jc w:val="both"/>
        <w:rPr>
          <w:lang w:val="en-US" w:eastAsia="fr-FR"/>
        </w:rPr>
      </w:pPr>
    </w:p>
    <w:p w14:paraId="1D2DF480" w14:textId="77777777" w:rsidR="00922043" w:rsidRPr="00E92625" w:rsidRDefault="00922043" w:rsidP="00922043">
      <w:pPr>
        <w:jc w:val="both"/>
        <w:rPr>
          <w:lang w:val="bg-BG"/>
        </w:rPr>
      </w:pPr>
    </w:p>
    <w:p w14:paraId="0709A41A" w14:textId="77777777" w:rsidR="00922043" w:rsidRPr="00E92625" w:rsidRDefault="00922043" w:rsidP="00922043">
      <w:pPr>
        <w:jc w:val="both"/>
        <w:rPr>
          <w:lang w:val="bg-BG"/>
        </w:rPr>
      </w:pPr>
      <w:r w:rsidRPr="00E92625">
        <w:rPr>
          <w:lang w:val="bg-BG"/>
        </w:rPr>
        <w:t>Дата: ………………</w:t>
      </w:r>
      <w:r w:rsidRPr="00E92625">
        <w:rPr>
          <w:lang w:val="en-US"/>
        </w:rPr>
        <w:t>..</w:t>
      </w:r>
      <w:r w:rsidRPr="00E92625">
        <w:rPr>
          <w:lang w:val="bg-BG"/>
        </w:rPr>
        <w:tab/>
      </w:r>
      <w:r w:rsidRPr="00E92625">
        <w:rPr>
          <w:lang w:val="bg-BG"/>
        </w:rPr>
        <w:tab/>
      </w:r>
      <w:r w:rsidRPr="00E92625">
        <w:rPr>
          <w:lang w:val="bg-BG"/>
        </w:rPr>
        <w:tab/>
      </w:r>
      <w:r w:rsidRPr="00E92625">
        <w:rPr>
          <w:lang w:val="bg-BG"/>
        </w:rPr>
        <w:tab/>
      </w:r>
      <w:r w:rsidRPr="00E92625">
        <w:rPr>
          <w:lang w:val="bg-BG"/>
        </w:rPr>
        <w:tab/>
        <w:t xml:space="preserve">        Декларатор: ………………..</w:t>
      </w:r>
    </w:p>
    <w:p w14:paraId="17E92582" w14:textId="77777777" w:rsidR="00922043" w:rsidRPr="00E92625" w:rsidRDefault="00922043" w:rsidP="00922043">
      <w:pPr>
        <w:jc w:val="both"/>
        <w:rPr>
          <w:sz w:val="10"/>
          <w:szCs w:val="10"/>
          <w:lang w:val="bg-BG"/>
        </w:rPr>
      </w:pPr>
    </w:p>
    <w:p w14:paraId="66509835" w14:textId="77777777" w:rsidR="00922043" w:rsidRPr="001446D6" w:rsidRDefault="00922043" w:rsidP="00922043">
      <w:pPr>
        <w:ind w:left="7080" w:firstLine="708"/>
        <w:jc w:val="both"/>
        <w:rPr>
          <w:i/>
        </w:rPr>
      </w:pPr>
      <w:r w:rsidRPr="001446D6">
        <w:rPr>
          <w:i/>
          <w:lang w:val="bg-BG"/>
        </w:rPr>
        <w:t>(подпис)</w:t>
      </w:r>
    </w:p>
    <w:p w14:paraId="78CE3C60" w14:textId="77777777" w:rsidR="00922043" w:rsidRDefault="00922043" w:rsidP="0013046C">
      <w:pPr>
        <w:jc w:val="right"/>
        <w:rPr>
          <w:b/>
          <w:i/>
          <w:lang w:val="bg-BG"/>
        </w:rPr>
      </w:pPr>
    </w:p>
    <w:p w14:paraId="665DD375" w14:textId="77777777" w:rsidR="00922043" w:rsidRDefault="00922043" w:rsidP="0013046C">
      <w:pPr>
        <w:jc w:val="right"/>
        <w:rPr>
          <w:b/>
          <w:i/>
          <w:lang w:val="bg-BG"/>
        </w:rPr>
      </w:pPr>
    </w:p>
    <w:p w14:paraId="0B8B4AD7" w14:textId="77777777" w:rsidR="00922043" w:rsidRDefault="00922043" w:rsidP="0013046C">
      <w:pPr>
        <w:jc w:val="right"/>
        <w:rPr>
          <w:b/>
          <w:i/>
          <w:lang w:val="bg-BG"/>
        </w:rPr>
      </w:pPr>
    </w:p>
    <w:p w14:paraId="40B785EA" w14:textId="77777777" w:rsidR="00922043" w:rsidRDefault="00922043" w:rsidP="0013046C">
      <w:pPr>
        <w:jc w:val="right"/>
        <w:rPr>
          <w:b/>
          <w:i/>
          <w:lang w:val="bg-BG"/>
        </w:rPr>
      </w:pPr>
    </w:p>
    <w:p w14:paraId="20044C3B" w14:textId="77777777" w:rsidR="00922043" w:rsidRDefault="00922043" w:rsidP="0013046C">
      <w:pPr>
        <w:jc w:val="right"/>
        <w:rPr>
          <w:b/>
          <w:i/>
          <w:lang w:val="bg-BG"/>
        </w:rPr>
      </w:pPr>
    </w:p>
    <w:p w14:paraId="77644626" w14:textId="02810D95" w:rsidR="004A6FC4" w:rsidRPr="001446D6" w:rsidRDefault="004A6FC4" w:rsidP="00922043">
      <w:pPr>
        <w:jc w:val="both"/>
        <w:rPr>
          <w:i/>
        </w:rPr>
      </w:pPr>
    </w:p>
    <w:sectPr w:rsidR="004A6FC4" w:rsidRPr="001446D6" w:rsidSect="00620C6A">
      <w:headerReference w:type="default" r:id="rId8"/>
      <w:headerReference w:type="first" r:id="rId9"/>
      <w:pgSz w:w="11906" w:h="16838" w:code="9"/>
      <w:pgMar w:top="851" w:right="1418" w:bottom="851" w:left="1418" w:header="68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9D0DF" w14:textId="77777777" w:rsidR="00504015" w:rsidRDefault="00504015">
      <w:r>
        <w:separator/>
      </w:r>
    </w:p>
  </w:endnote>
  <w:endnote w:type="continuationSeparator" w:id="0">
    <w:p w14:paraId="4DBF0E01" w14:textId="77777777" w:rsidR="00504015" w:rsidRDefault="0050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barU">
    <w:altName w:val="Courier New"/>
    <w:charset w:val="00"/>
    <w:family w:val="auto"/>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BDC30" w14:textId="77777777" w:rsidR="00504015" w:rsidRDefault="00504015">
      <w:r>
        <w:separator/>
      </w:r>
    </w:p>
  </w:footnote>
  <w:footnote w:type="continuationSeparator" w:id="0">
    <w:p w14:paraId="71C92812" w14:textId="77777777" w:rsidR="00504015" w:rsidRDefault="00504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F12E7B" w14:paraId="15AD2B67" w14:textId="77777777" w:rsidTr="00F87750">
      <w:trPr>
        <w:trHeight w:val="851"/>
      </w:trPr>
      <w:tc>
        <w:tcPr>
          <w:tcW w:w="10490" w:type="dxa"/>
          <w:tcBorders>
            <w:left w:val="nil"/>
            <w:bottom w:val="double" w:sz="4" w:space="0" w:color="99CC00"/>
            <w:right w:val="nil"/>
          </w:tcBorders>
          <w:vAlign w:val="bottom"/>
        </w:tcPr>
        <w:p w14:paraId="09B8E81C" w14:textId="77777777" w:rsidR="00F12E7B" w:rsidRDefault="00F12E7B" w:rsidP="00F12E7B">
          <w:pPr>
            <w:pStyle w:val="Header"/>
            <w:rPr>
              <w:noProof/>
              <w:lang w:val="bg-BG" w:eastAsia="bg-BG"/>
            </w:rPr>
          </w:pPr>
        </w:p>
      </w:tc>
    </w:tr>
    <w:tr w:rsidR="00F12E7B" w14:paraId="161A897E" w14:textId="77777777" w:rsidTr="00F87750">
      <w:trPr>
        <w:trHeight w:val="50"/>
      </w:trPr>
      <w:tc>
        <w:tcPr>
          <w:tcW w:w="10490" w:type="dxa"/>
          <w:tcBorders>
            <w:top w:val="double" w:sz="4" w:space="0" w:color="99CC00"/>
            <w:left w:val="nil"/>
            <w:bottom w:val="nil"/>
            <w:right w:val="nil"/>
          </w:tcBorders>
        </w:tcPr>
        <w:p w14:paraId="2F66CEDC" w14:textId="77777777" w:rsidR="00F12E7B" w:rsidRDefault="00F12E7B" w:rsidP="00F12E7B">
          <w:pPr>
            <w:pStyle w:val="Header"/>
            <w:rPr>
              <w:noProof/>
              <w:lang w:val="bg-BG" w:eastAsia="bg-BG"/>
            </w:rPr>
          </w:pPr>
        </w:p>
      </w:tc>
    </w:tr>
  </w:tbl>
  <w:p w14:paraId="131969C3" w14:textId="4EB6A756" w:rsidR="00F12E7B" w:rsidRPr="00F0299D" w:rsidRDefault="00F12E7B" w:rsidP="00F0299D">
    <w:pPr>
      <w:pStyle w:val="Header"/>
      <w:tabs>
        <w:tab w:val="clear" w:pos="4536"/>
        <w:tab w:val="clear" w:pos="9072"/>
        <w:tab w:val="left" w:pos="6105"/>
      </w:tabs>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2438"/>
      <w:gridCol w:w="5784"/>
      <w:gridCol w:w="2268"/>
    </w:tblGrid>
    <w:tr w:rsidR="002D6ED7" w14:paraId="5FA3FCE0" w14:textId="77777777" w:rsidTr="00E57299">
      <w:trPr>
        <w:trHeight w:val="2552"/>
      </w:trPr>
      <w:tc>
        <w:tcPr>
          <w:tcW w:w="2438" w:type="dxa"/>
          <w:tcBorders>
            <w:left w:val="nil"/>
            <w:bottom w:val="double" w:sz="4" w:space="0" w:color="99CC00"/>
            <w:right w:val="nil"/>
          </w:tcBorders>
          <w:vAlign w:val="bottom"/>
        </w:tcPr>
        <w:p w14:paraId="6D26551B" w14:textId="77777777" w:rsidR="002D6ED7" w:rsidRDefault="002D6ED7" w:rsidP="002D6ED7">
          <w:pPr>
            <w:pStyle w:val="Header"/>
          </w:pPr>
          <w:r>
            <w:rPr>
              <w:noProof/>
              <w:lang w:val="bg-BG" w:eastAsia="bg-BG"/>
            </w:rPr>
            <w:drawing>
              <wp:inline distT="0" distB="0" distL="0" distR="0" wp14:anchorId="3129193C" wp14:editId="10B9CFF1">
                <wp:extent cx="819150" cy="8363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075" cy="839381"/>
                        </a:xfrm>
                        <a:prstGeom prst="rect">
                          <a:avLst/>
                        </a:prstGeom>
                        <a:noFill/>
                      </pic:spPr>
                    </pic:pic>
                  </a:graphicData>
                </a:graphic>
              </wp:inline>
            </w:drawing>
          </w:r>
        </w:p>
        <w:p w14:paraId="729BDE2C" w14:textId="77777777" w:rsidR="002D6ED7" w:rsidRDefault="002D6ED7" w:rsidP="002D6ED7">
          <w:pPr>
            <w:pStyle w:val="Header"/>
            <w:rPr>
              <w:noProof/>
              <w:lang w:eastAsia="bg-BG"/>
            </w:rPr>
          </w:pPr>
        </w:p>
      </w:tc>
      <w:tc>
        <w:tcPr>
          <w:tcW w:w="5784" w:type="dxa"/>
          <w:tcBorders>
            <w:left w:val="nil"/>
            <w:bottom w:val="double" w:sz="4" w:space="0" w:color="99CC00"/>
            <w:right w:val="nil"/>
          </w:tcBorders>
          <w:vAlign w:val="center"/>
        </w:tcPr>
        <w:p w14:paraId="60A73771" w14:textId="77777777" w:rsidR="002D6ED7" w:rsidRDefault="002D6ED7" w:rsidP="002D6ED7">
          <w:pPr>
            <w:pStyle w:val="Header"/>
            <w:jc w:val="center"/>
            <w:rPr>
              <w:rFonts w:ascii="Arial Narrow" w:hAnsi="Arial Narrow" w:cs="Tahoma"/>
              <w:b/>
              <w:noProof/>
              <w:color w:val="808080"/>
              <w:spacing w:val="80"/>
              <w:lang w:eastAsia="bg-BG"/>
            </w:rPr>
          </w:pPr>
          <w:r>
            <w:rPr>
              <w:rFonts w:ascii="Arial Narrow" w:hAnsi="Arial Narrow" w:cs="Tahoma"/>
              <w:b/>
              <w:noProof/>
              <w:color w:val="808080"/>
              <w:spacing w:val="80"/>
              <w:lang w:eastAsia="bg-BG"/>
            </w:rPr>
            <w:t>ПРОГРАМА</w:t>
          </w:r>
        </w:p>
        <w:p w14:paraId="0A06D4D4" w14:textId="77777777" w:rsidR="002D6ED7" w:rsidRDefault="002D6ED7" w:rsidP="002D6ED7">
          <w:pPr>
            <w:pStyle w:val="Header"/>
            <w:jc w:val="center"/>
            <w:rPr>
              <w:noProof/>
              <w:lang w:eastAsia="bg-BG"/>
            </w:rPr>
          </w:pPr>
          <w:r>
            <w:rPr>
              <w:rFonts w:ascii="Arial Narrow" w:hAnsi="Arial Narrow" w:cs="Tahoma"/>
              <w:b/>
              <w:noProof/>
              <w:color w:val="808080"/>
              <w:spacing w:val="80"/>
              <w:lang w:eastAsia="bg-BG"/>
            </w:rPr>
            <w:t>„ОКОЛНА СРЕД</w:t>
          </w:r>
          <w:r>
            <w:rPr>
              <w:rFonts w:ascii="Arial Narrow" w:hAnsi="Arial Narrow" w:cs="Tahoma"/>
              <w:b/>
              <w:noProof/>
              <w:color w:val="808080"/>
              <w:spacing w:val="80"/>
              <w:lang w:val="bg-BG" w:eastAsia="bg-BG"/>
            </w:rPr>
            <w:t>А“</w:t>
          </w:r>
          <w:r>
            <w:rPr>
              <w:rFonts w:ascii="Arial Narrow" w:hAnsi="Arial Narrow" w:cs="Tahoma"/>
              <w:b/>
              <w:noProof/>
              <w:color w:val="808080"/>
              <w:spacing w:val="80"/>
              <w:lang w:eastAsia="bg-BG"/>
            </w:rPr>
            <w:t xml:space="preserve"> 20</w:t>
          </w:r>
          <w:r>
            <w:rPr>
              <w:rFonts w:ascii="Arial Narrow" w:hAnsi="Arial Narrow" w:cs="Tahoma"/>
              <w:b/>
              <w:noProof/>
              <w:color w:val="808080"/>
              <w:spacing w:val="80"/>
              <w:lang w:val="ru-RU" w:eastAsia="bg-BG"/>
            </w:rPr>
            <w:t>21</w:t>
          </w:r>
          <w:r>
            <w:rPr>
              <w:rFonts w:ascii="Arial Narrow" w:hAnsi="Arial Narrow" w:cs="Tahoma"/>
              <w:b/>
              <w:noProof/>
              <w:color w:val="808080"/>
              <w:spacing w:val="80"/>
              <w:lang w:eastAsia="bg-BG"/>
            </w:rPr>
            <w:t xml:space="preserve"> – 20</w:t>
          </w:r>
          <w:r>
            <w:rPr>
              <w:rFonts w:ascii="Arial Narrow" w:hAnsi="Arial Narrow" w:cs="Tahoma"/>
              <w:b/>
              <w:noProof/>
              <w:color w:val="808080"/>
              <w:spacing w:val="80"/>
              <w:lang w:val="ru-RU" w:eastAsia="bg-BG"/>
            </w:rPr>
            <w:t>27</w:t>
          </w:r>
          <w:r>
            <w:rPr>
              <w:rFonts w:ascii="Arial Narrow" w:hAnsi="Arial Narrow" w:cs="Tahoma"/>
              <w:b/>
              <w:noProof/>
              <w:color w:val="808080"/>
              <w:spacing w:val="80"/>
              <w:lang w:eastAsia="bg-BG"/>
            </w:rPr>
            <w:t xml:space="preserve"> г.</w:t>
          </w:r>
        </w:p>
      </w:tc>
      <w:tc>
        <w:tcPr>
          <w:tcW w:w="2268" w:type="dxa"/>
          <w:tcBorders>
            <w:left w:val="nil"/>
            <w:bottom w:val="double" w:sz="4" w:space="0" w:color="99CC00"/>
            <w:right w:val="nil"/>
          </w:tcBorders>
          <w:vAlign w:val="bottom"/>
        </w:tcPr>
        <w:p w14:paraId="431F7646" w14:textId="77777777" w:rsidR="002D6ED7" w:rsidRDefault="002D6ED7" w:rsidP="002D6ED7">
          <w:pPr>
            <w:pStyle w:val="Header"/>
            <w:jc w:val="right"/>
            <w:rPr>
              <w:noProof/>
              <w:lang w:eastAsia="bg-BG"/>
            </w:rPr>
          </w:pPr>
          <w:r>
            <w:rPr>
              <w:noProof/>
              <w:lang w:val="bg-BG" w:eastAsia="bg-BG"/>
            </w:rPr>
            <w:drawing>
              <wp:inline distT="0" distB="0" distL="0" distR="0" wp14:anchorId="436B0C6B" wp14:editId="7CC843BA">
                <wp:extent cx="1009650" cy="8077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807720"/>
                        </a:xfrm>
                        <a:prstGeom prst="rect">
                          <a:avLst/>
                        </a:prstGeom>
                        <a:noFill/>
                      </pic:spPr>
                    </pic:pic>
                  </a:graphicData>
                </a:graphic>
              </wp:inline>
            </w:drawing>
          </w:r>
        </w:p>
        <w:p w14:paraId="29092A2E" w14:textId="77777777" w:rsidR="002D6ED7" w:rsidRPr="003F00F0" w:rsidRDefault="002D6ED7" w:rsidP="002D6ED7">
          <w:pPr>
            <w:pStyle w:val="Header"/>
            <w:rPr>
              <w:noProof/>
              <w:lang w:eastAsia="bg-BG"/>
            </w:rPr>
          </w:pPr>
        </w:p>
      </w:tc>
    </w:tr>
  </w:tbl>
  <w:p w14:paraId="40D1B7BE" w14:textId="77777777" w:rsidR="00F12E7B" w:rsidRPr="00D36CDF" w:rsidRDefault="00F12E7B" w:rsidP="00F12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EBE31AB"/>
    <w:multiLevelType w:val="hybridMultilevel"/>
    <w:tmpl w:val="304EA7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00E25"/>
    <w:multiLevelType w:val="hybridMultilevel"/>
    <w:tmpl w:val="8D2E8814"/>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num w:numId="1" w16cid:durableId="1817869129">
    <w:abstractNumId w:val="1"/>
  </w:num>
  <w:num w:numId="2" w16cid:durableId="1530026072">
    <w:abstractNumId w:val="2"/>
  </w:num>
  <w:num w:numId="3" w16cid:durableId="126824255">
    <w:abstractNumId w:val="0"/>
  </w:num>
  <w:num w:numId="4" w16cid:durableId="94175993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6" w:nlCheck="1" w:checkStyle="1"/>
  <w:activeWritingStyle w:appName="MSWord" w:lang="en-US" w:vendorID="64" w:dllVersion="6" w:nlCheck="1" w:checkStyle="1"/>
  <w:activeWritingStyle w:appName="MSWord" w:lang="ru-RU"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F"/>
    <w:rsid w:val="00014365"/>
    <w:rsid w:val="000171EA"/>
    <w:rsid w:val="000440AE"/>
    <w:rsid w:val="000441F9"/>
    <w:rsid w:val="00054064"/>
    <w:rsid w:val="00094355"/>
    <w:rsid w:val="000B2C4F"/>
    <w:rsid w:val="000C4908"/>
    <w:rsid w:val="0013046C"/>
    <w:rsid w:val="00142D11"/>
    <w:rsid w:val="001446D6"/>
    <w:rsid w:val="00176B08"/>
    <w:rsid w:val="00183D43"/>
    <w:rsid w:val="001A00A0"/>
    <w:rsid w:val="001A36EA"/>
    <w:rsid w:val="001D5675"/>
    <w:rsid w:val="001E22C5"/>
    <w:rsid w:val="00221F38"/>
    <w:rsid w:val="00230AF6"/>
    <w:rsid w:val="00232600"/>
    <w:rsid w:val="002425BC"/>
    <w:rsid w:val="00247063"/>
    <w:rsid w:val="002A7A21"/>
    <w:rsid w:val="002B1A80"/>
    <w:rsid w:val="002B2EA6"/>
    <w:rsid w:val="002D6ED7"/>
    <w:rsid w:val="002E67FC"/>
    <w:rsid w:val="002F5163"/>
    <w:rsid w:val="00306573"/>
    <w:rsid w:val="0032145A"/>
    <w:rsid w:val="00342530"/>
    <w:rsid w:val="00344346"/>
    <w:rsid w:val="003A63E5"/>
    <w:rsid w:val="003E3767"/>
    <w:rsid w:val="00424C02"/>
    <w:rsid w:val="004338E5"/>
    <w:rsid w:val="00482081"/>
    <w:rsid w:val="004A0BD4"/>
    <w:rsid w:val="004A6FC4"/>
    <w:rsid w:val="004F63C8"/>
    <w:rsid w:val="00504015"/>
    <w:rsid w:val="00562022"/>
    <w:rsid w:val="00593304"/>
    <w:rsid w:val="005962FB"/>
    <w:rsid w:val="005B47BB"/>
    <w:rsid w:val="005B7F41"/>
    <w:rsid w:val="005D179E"/>
    <w:rsid w:val="005E2400"/>
    <w:rsid w:val="005E5E2C"/>
    <w:rsid w:val="005E6E92"/>
    <w:rsid w:val="005F2126"/>
    <w:rsid w:val="00620C6A"/>
    <w:rsid w:val="006758F5"/>
    <w:rsid w:val="0068183E"/>
    <w:rsid w:val="00683531"/>
    <w:rsid w:val="006A3CEE"/>
    <w:rsid w:val="006E0E92"/>
    <w:rsid w:val="00703FB7"/>
    <w:rsid w:val="007141C4"/>
    <w:rsid w:val="00725FC4"/>
    <w:rsid w:val="007275CF"/>
    <w:rsid w:val="00746287"/>
    <w:rsid w:val="00775E21"/>
    <w:rsid w:val="00781A4B"/>
    <w:rsid w:val="007A6825"/>
    <w:rsid w:val="007B263F"/>
    <w:rsid w:val="007D1115"/>
    <w:rsid w:val="00821A35"/>
    <w:rsid w:val="00822916"/>
    <w:rsid w:val="00866FD9"/>
    <w:rsid w:val="008C165E"/>
    <w:rsid w:val="008C3FA7"/>
    <w:rsid w:val="008C7EB7"/>
    <w:rsid w:val="00912C46"/>
    <w:rsid w:val="00912E01"/>
    <w:rsid w:val="00922043"/>
    <w:rsid w:val="0093101B"/>
    <w:rsid w:val="00945A38"/>
    <w:rsid w:val="009475D4"/>
    <w:rsid w:val="00960B66"/>
    <w:rsid w:val="00984573"/>
    <w:rsid w:val="00984DCA"/>
    <w:rsid w:val="009F6F80"/>
    <w:rsid w:val="00A1028F"/>
    <w:rsid w:val="00A152A7"/>
    <w:rsid w:val="00A21682"/>
    <w:rsid w:val="00A248FC"/>
    <w:rsid w:val="00A528E6"/>
    <w:rsid w:val="00AC0003"/>
    <w:rsid w:val="00AD7515"/>
    <w:rsid w:val="00AF306E"/>
    <w:rsid w:val="00B22675"/>
    <w:rsid w:val="00B24657"/>
    <w:rsid w:val="00B42FE8"/>
    <w:rsid w:val="00B44485"/>
    <w:rsid w:val="00BA037B"/>
    <w:rsid w:val="00BD5CB8"/>
    <w:rsid w:val="00BE06AB"/>
    <w:rsid w:val="00C007DC"/>
    <w:rsid w:val="00C15A1B"/>
    <w:rsid w:val="00C1658F"/>
    <w:rsid w:val="00C228E5"/>
    <w:rsid w:val="00C51DD7"/>
    <w:rsid w:val="00C9698A"/>
    <w:rsid w:val="00C97796"/>
    <w:rsid w:val="00CB082C"/>
    <w:rsid w:val="00CC7DCA"/>
    <w:rsid w:val="00CD5FD3"/>
    <w:rsid w:val="00CF01A8"/>
    <w:rsid w:val="00D24223"/>
    <w:rsid w:val="00D27557"/>
    <w:rsid w:val="00D27B2D"/>
    <w:rsid w:val="00D4048E"/>
    <w:rsid w:val="00D65C65"/>
    <w:rsid w:val="00D93DA5"/>
    <w:rsid w:val="00DA6ADF"/>
    <w:rsid w:val="00DB4CB7"/>
    <w:rsid w:val="00DE73B8"/>
    <w:rsid w:val="00DF552C"/>
    <w:rsid w:val="00E46C0C"/>
    <w:rsid w:val="00E55DC5"/>
    <w:rsid w:val="00E92625"/>
    <w:rsid w:val="00F0299D"/>
    <w:rsid w:val="00F12E7B"/>
    <w:rsid w:val="00F33DB5"/>
    <w:rsid w:val="00F37A4D"/>
    <w:rsid w:val="00F40AED"/>
    <w:rsid w:val="00F73BE7"/>
    <w:rsid w:val="00F84EB4"/>
    <w:rsid w:val="00F871EB"/>
    <w:rsid w:val="00F87750"/>
    <w:rsid w:val="00FA7CFB"/>
    <w:rsid w:val="00FB7375"/>
    <w:rsid w:val="00FE4629"/>
    <w:rsid w:val="00FE6A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5717C"/>
  <w15:chartTrackingRefBased/>
  <w15:docId w15:val="{571A970C-060A-40D1-9291-C43AD49E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28F"/>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1028F"/>
    <w:pPr>
      <w:jc w:val="both"/>
    </w:pPr>
    <w:rPr>
      <w:sz w:val="18"/>
      <w:szCs w:val="20"/>
      <w:lang w:val="bg-BG"/>
    </w:rPr>
  </w:style>
  <w:style w:type="paragraph" w:styleId="Header">
    <w:name w:val="header"/>
    <w:basedOn w:val="Normal"/>
    <w:link w:val="HeaderChar"/>
    <w:rsid w:val="00A528E6"/>
    <w:pPr>
      <w:tabs>
        <w:tab w:val="center" w:pos="4536"/>
        <w:tab w:val="right" w:pos="9072"/>
      </w:tabs>
    </w:pPr>
  </w:style>
  <w:style w:type="paragraph" w:styleId="Footer">
    <w:name w:val="footer"/>
    <w:basedOn w:val="Normal"/>
    <w:rsid w:val="00A528E6"/>
    <w:pPr>
      <w:tabs>
        <w:tab w:val="center" w:pos="4536"/>
        <w:tab w:val="right" w:pos="9072"/>
      </w:tabs>
    </w:pPr>
  </w:style>
  <w:style w:type="paragraph" w:customStyle="1" w:styleId="a">
    <w:basedOn w:val="Normal"/>
    <w:rsid w:val="00D27557"/>
    <w:pPr>
      <w:tabs>
        <w:tab w:val="left" w:pos="709"/>
      </w:tabs>
    </w:pPr>
    <w:rPr>
      <w:rFonts w:ascii="Tahoma" w:hAnsi="Tahoma"/>
      <w:lang w:val="pl-PL" w:eastAsia="pl-PL"/>
    </w:rPr>
  </w:style>
  <w:style w:type="character" w:customStyle="1" w:styleId="HeaderChar">
    <w:name w:val="Header Char"/>
    <w:link w:val="Header"/>
    <w:rsid w:val="008C7EB7"/>
    <w:rPr>
      <w:sz w:val="24"/>
      <w:szCs w:val="24"/>
      <w:lang w:val="en-GB"/>
    </w:rPr>
  </w:style>
  <w:style w:type="paragraph" w:styleId="FootnoteText">
    <w:name w:val="footnote text"/>
    <w:aliases w:val="Footnote Text Char1, Car Car Char, Car Car"/>
    <w:basedOn w:val="Normal"/>
    <w:link w:val="FootnoteTextChar"/>
    <w:rsid w:val="00221F38"/>
    <w:rPr>
      <w:sz w:val="20"/>
      <w:szCs w:val="20"/>
      <w:lang w:eastAsia="hr-HR"/>
    </w:rPr>
  </w:style>
  <w:style w:type="character" w:customStyle="1" w:styleId="FootnoteTextChar">
    <w:name w:val="Footnote Text Char"/>
    <w:aliases w:val="Footnote Text Char1 Char, Car Car Char Char, Car Car Char1"/>
    <w:link w:val="FootnoteText"/>
    <w:rsid w:val="00221F38"/>
    <w:rPr>
      <w:lang w:val="en-GB" w:eastAsia="hr-HR"/>
    </w:rPr>
  </w:style>
  <w:style w:type="character" w:styleId="FootnoteReference">
    <w:name w:val="footnote reference"/>
    <w:rsid w:val="00221F38"/>
    <w:rPr>
      <w:vertAlign w:val="superscript"/>
    </w:rPr>
  </w:style>
  <w:style w:type="paragraph" w:customStyle="1" w:styleId="Default">
    <w:name w:val="Default"/>
    <w:rsid w:val="00221F38"/>
    <w:pPr>
      <w:autoSpaceDE w:val="0"/>
      <w:autoSpaceDN w:val="0"/>
      <w:adjustRightInd w:val="0"/>
    </w:pPr>
    <w:rPr>
      <w:rFonts w:ascii="Arial" w:hAnsi="Arial" w:cs="Arial"/>
      <w:color w:val="000000"/>
      <w:sz w:val="24"/>
      <w:szCs w:val="24"/>
      <w:lang w:val="en-GB" w:eastAsia="en-GB"/>
    </w:rPr>
  </w:style>
  <w:style w:type="paragraph" w:styleId="EndnoteText">
    <w:name w:val="endnote text"/>
    <w:basedOn w:val="Normal"/>
    <w:link w:val="EndnoteTextChar"/>
    <w:unhideWhenUsed/>
    <w:rsid w:val="00142D11"/>
    <w:rPr>
      <w:rFonts w:ascii="HebarU" w:hAnsi="HebarU"/>
      <w:sz w:val="20"/>
      <w:szCs w:val="20"/>
      <w:lang w:eastAsia="bg-BG"/>
    </w:rPr>
  </w:style>
  <w:style w:type="character" w:customStyle="1" w:styleId="EndnoteTextChar">
    <w:name w:val="Endnote Text Char"/>
    <w:link w:val="EndnoteText"/>
    <w:rsid w:val="00142D11"/>
    <w:rPr>
      <w:rFonts w:ascii="HebarU" w:hAnsi="HebarU"/>
      <w:lang w:val="en-GB"/>
    </w:rPr>
  </w:style>
  <w:style w:type="character" w:styleId="EndnoteReference">
    <w:name w:val="endnote reference"/>
    <w:unhideWhenUsed/>
    <w:rsid w:val="00142D11"/>
    <w:rPr>
      <w:vertAlign w:val="superscript"/>
    </w:rPr>
  </w:style>
  <w:style w:type="paragraph" w:styleId="NormalWeb">
    <w:name w:val="Normal (Web)"/>
    <w:basedOn w:val="Normal"/>
    <w:rsid w:val="00142D11"/>
    <w:pPr>
      <w:spacing w:before="100" w:beforeAutospacing="1" w:after="100" w:afterAutospacing="1"/>
    </w:pPr>
    <w:rPr>
      <w:lang w:val="bg-BG" w:eastAsia="bg-BG"/>
    </w:rPr>
  </w:style>
  <w:style w:type="character" w:styleId="CommentReference">
    <w:name w:val="annotation reference"/>
    <w:rsid w:val="003E3767"/>
    <w:rPr>
      <w:sz w:val="16"/>
      <w:szCs w:val="16"/>
    </w:rPr>
  </w:style>
  <w:style w:type="paragraph" w:styleId="CommentText">
    <w:name w:val="annotation text"/>
    <w:basedOn w:val="Normal"/>
    <w:link w:val="CommentTextChar"/>
    <w:uiPriority w:val="99"/>
    <w:rsid w:val="003E3767"/>
    <w:rPr>
      <w:sz w:val="20"/>
      <w:szCs w:val="20"/>
      <w:lang w:eastAsia="fr-FR"/>
    </w:rPr>
  </w:style>
  <w:style w:type="character" w:customStyle="1" w:styleId="CommentTextChar">
    <w:name w:val="Comment Text Char"/>
    <w:link w:val="CommentText"/>
    <w:uiPriority w:val="99"/>
    <w:rsid w:val="003E3767"/>
    <w:rPr>
      <w:lang w:val="en-GB" w:eastAsia="fr-FR"/>
    </w:rPr>
  </w:style>
  <w:style w:type="character" w:styleId="Hyperlink">
    <w:name w:val="Hyperlink"/>
    <w:uiPriority w:val="99"/>
    <w:unhideWhenUsed/>
    <w:rsid w:val="003E3767"/>
    <w:rPr>
      <w:color w:val="0563C1"/>
      <w:u w:val="single"/>
    </w:rPr>
  </w:style>
  <w:style w:type="paragraph" w:styleId="BalloonText">
    <w:name w:val="Balloon Text"/>
    <w:basedOn w:val="Normal"/>
    <w:link w:val="BalloonTextChar"/>
    <w:rsid w:val="003E3767"/>
    <w:rPr>
      <w:rFonts w:ascii="Segoe UI" w:hAnsi="Segoe UI" w:cs="Segoe UI"/>
      <w:sz w:val="18"/>
      <w:szCs w:val="18"/>
    </w:rPr>
  </w:style>
  <w:style w:type="character" w:customStyle="1" w:styleId="BalloonTextChar">
    <w:name w:val="Balloon Text Char"/>
    <w:link w:val="BalloonText"/>
    <w:rsid w:val="003E3767"/>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64646">
      <w:bodyDiv w:val="1"/>
      <w:marLeft w:val="0"/>
      <w:marRight w:val="0"/>
      <w:marTop w:val="0"/>
      <w:marBottom w:val="0"/>
      <w:divBdr>
        <w:top w:val="none" w:sz="0" w:space="0" w:color="auto"/>
        <w:left w:val="none" w:sz="0" w:space="0" w:color="auto"/>
        <w:bottom w:val="none" w:sz="0" w:space="0" w:color="auto"/>
        <w:right w:val="none" w:sz="0" w:space="0" w:color="auto"/>
      </w:divBdr>
    </w:div>
    <w:div w:id="1140613501">
      <w:bodyDiv w:val="1"/>
      <w:marLeft w:val="0"/>
      <w:marRight w:val="0"/>
      <w:marTop w:val="0"/>
      <w:marBottom w:val="0"/>
      <w:divBdr>
        <w:top w:val="none" w:sz="0" w:space="0" w:color="auto"/>
        <w:left w:val="none" w:sz="0" w:space="0" w:color="auto"/>
        <w:bottom w:val="none" w:sz="0" w:space="0" w:color="auto"/>
        <w:right w:val="none" w:sz="0" w:space="0" w:color="auto"/>
      </w:divBdr>
    </w:div>
    <w:div w:id="118497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8829C-B406-4321-888F-0198D156F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Искане за промяна</vt:lpstr>
    </vt:vector>
  </TitlesOfParts>
  <Company/>
  <LinksUpToDate>false</LinksUpToDate>
  <CharactersWithSpaces>5290</CharactersWithSpaces>
  <SharedDoc>false</SharedDoc>
  <HLinks>
    <vt:vector size="6" baseType="variant">
      <vt:variant>
        <vt:i4>6422625</vt:i4>
      </vt:variant>
      <vt:variant>
        <vt:i4>0</vt:i4>
      </vt:variant>
      <vt:variant>
        <vt:i4>0</vt:i4>
      </vt:variant>
      <vt:variant>
        <vt:i4>5</vt:i4>
      </vt:variant>
      <vt:variant>
        <vt:lpwstr>https://eur-lex.europa.eu/legal-content/BG/TXT/?uri=CELEX%3A41995A1127%2803%29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Искане за промяна</dc:title>
  <dc:subject/>
  <dc:creator>RTsvetanova</dc:creator>
  <cp:keywords/>
  <cp:lastModifiedBy>OPOS</cp:lastModifiedBy>
  <cp:revision>21</cp:revision>
  <cp:lastPrinted>2011-10-11T08:19:00Z</cp:lastPrinted>
  <dcterms:created xsi:type="dcterms:W3CDTF">2023-02-10T12:43:00Z</dcterms:created>
  <dcterms:modified xsi:type="dcterms:W3CDTF">2023-03-01T14:07:00Z</dcterms:modified>
</cp:coreProperties>
</file>