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D7B8E" w14:textId="77777777" w:rsidR="00BF6A3F" w:rsidRPr="00C403BD" w:rsidRDefault="00BF6A3F" w:rsidP="00BF6A3F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2159E1BC" w14:textId="77777777" w:rsidR="00BF6A3F" w:rsidRPr="00283F5D" w:rsidRDefault="00BF6A3F" w:rsidP="00BF6A3F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1035B966" w14:textId="77777777" w:rsidR="00BF6A3F" w:rsidRPr="00FA65D0" w:rsidRDefault="00BF6A3F" w:rsidP="00BF6A3F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-1592770399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78163832" w14:textId="77777777" w:rsidR="00BF6A3F" w:rsidRPr="00FA65D0" w:rsidRDefault="00BF6A3F" w:rsidP="00BF6A3F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0776D492" w14:textId="77777777" w:rsidR="00BF6A3F" w:rsidRPr="00FA65D0" w:rsidRDefault="00BF6A3F" w:rsidP="00BF6A3F">
          <w:pPr>
            <w:jc w:val="both"/>
            <w:rPr>
              <w:b w:val="0"/>
              <w:lang w:val="bg-BG"/>
            </w:rPr>
          </w:pPr>
        </w:p>
        <w:p w14:paraId="74C5A8FF" w14:textId="77777777" w:rsidR="00BF6A3F" w:rsidRDefault="00BF6A3F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8405099" w:history="1">
            <w:r w:rsidRPr="00D578FA">
              <w:rPr>
                <w:rStyle w:val="Hyperlink"/>
                <w:noProof/>
              </w:rPr>
              <w:t>I. ВАЖНИ УКАЗАНИЯ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_Toc138405099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F1352C" w14:textId="77777777" w:rsidR="00BF6A3F" w:rsidRDefault="003E1995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0" w:history="1">
            <w:r w:rsidR="00BF6A3F" w:rsidRPr="00D578FA">
              <w:rPr>
                <w:rStyle w:val="Hyperlink"/>
                <w:noProof/>
              </w:rPr>
              <w:t>II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АВАНСОВО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991C09D" w14:textId="77777777" w:rsidR="00BF6A3F" w:rsidRDefault="003E1995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1" w:history="1">
            <w:r w:rsidR="00BF6A3F" w:rsidRPr="00D578FA">
              <w:rPr>
                <w:rStyle w:val="Hyperlink"/>
                <w:noProof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970287" w14:textId="77777777" w:rsidR="00BF6A3F" w:rsidRDefault="003E1995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2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 ДОКУМЕНТИ КЪМ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748D76D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.1. Отчитане дейността на екип за  /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4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07D3709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4" w:history="1">
            <w:r w:rsidR="00BF6A3F" w:rsidRPr="00D578FA">
              <w:rPr>
                <w:rStyle w:val="Hyperlink"/>
                <w:noProof/>
              </w:rPr>
              <w:t xml:space="preserve">IV.2. Отчитане на </w:t>
            </w:r>
            <w:r w:rsidR="00BF6A3F" w:rsidRPr="00D578FA">
              <w:rPr>
                <w:rStyle w:val="Hyperlink"/>
                <w:noProof/>
                <w:lang w:val="bg-BG"/>
              </w:rPr>
              <w:t>пътувания и командировки в изпълнение на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6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5EB4FDDA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5" w:history="1">
            <w:r w:rsidR="00BF6A3F" w:rsidRPr="00D578FA">
              <w:rPr>
                <w:rStyle w:val="Hyperlink"/>
                <w:noProof/>
              </w:rPr>
              <w:t xml:space="preserve">IV.3.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7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07B8D21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6" w:history="1">
            <w:r w:rsidR="00BF6A3F" w:rsidRPr="00D578FA">
              <w:rPr>
                <w:rStyle w:val="Hyperlink"/>
                <w:noProof/>
              </w:rPr>
              <w:t xml:space="preserve">IV.4.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необходими за удостоверяване на извършени доставки,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8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7EE216BB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7" w:history="1">
            <w:r w:rsidR="00BF6A3F" w:rsidRPr="00D578FA">
              <w:rPr>
                <w:rStyle w:val="Hyperlink"/>
                <w:noProof/>
              </w:rPr>
              <w:t xml:space="preserve">IV.5. Документи, необходими за удостоверяване на </w:t>
            </w:r>
            <w:r w:rsidR="00BF6A3F" w:rsidRPr="00D578FA">
              <w:rPr>
                <w:rStyle w:val="Hyperlink"/>
                <w:noProof/>
                <w:lang w:val="bg-BG"/>
              </w:rPr>
              <w:t xml:space="preserve">извършени </w:t>
            </w:r>
            <w:r w:rsidR="00BF6A3F" w:rsidRPr="00D578FA">
              <w:rPr>
                <w:rStyle w:val="Hyperlink"/>
                <w:noProof/>
              </w:rPr>
              <w:t>услуги, вкл. и при възлагания по реда на чл. 20, ал.5 от ЗОП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28F0BC7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8" w:history="1">
            <w:r w:rsidR="00BF6A3F" w:rsidRPr="00D578FA">
              <w:rPr>
                <w:rStyle w:val="Hyperlink"/>
                <w:noProof/>
              </w:rPr>
              <w:t xml:space="preserve">IV.6.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дейностите за  видимост, прозрачност и комуникация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9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4C3B746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09" w:history="1">
            <w:r w:rsidR="00BF6A3F" w:rsidRPr="00D578FA">
              <w:rPr>
                <w:rStyle w:val="Hyperlink"/>
                <w:noProof/>
              </w:rPr>
              <w:t>IV.7. Документи, удостоверяващи отчетения напредък по индикаторите по проекта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_Toc138405109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635AB412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0" w:history="1">
            <w:r w:rsidR="00BF6A3F" w:rsidRPr="00D578FA">
              <w:rPr>
                <w:rStyle w:val="Hyperlink"/>
                <w:noProof/>
              </w:rPr>
              <w:t xml:space="preserve">IV.8. </w:t>
            </w:r>
            <w:r w:rsidR="00BF6A3F" w:rsidRPr="00D578FA">
              <w:rPr>
                <w:rStyle w:val="Hyperlink"/>
                <w:noProof/>
                <w:lang w:val="bg-BG"/>
              </w:rPr>
              <w:t>Отчитане на непреки разходи, за които се предоставя финансиране под формата на единна ставка, съгласно чл. 55, ал. 1 т. 4 на ЗУСЕФСУ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_Toc138405110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10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9BB06DC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1" w:history="1">
            <w:r w:rsidR="00BF6A3F" w:rsidRPr="00D578FA">
              <w:rPr>
                <w:rStyle w:val="Hyperlink"/>
                <w:noProof/>
              </w:rPr>
              <w:t xml:space="preserve">IV.9. </w:t>
            </w:r>
            <w:r w:rsidR="00BF6A3F" w:rsidRPr="00D578FA">
              <w:rPr>
                <w:rStyle w:val="Hyperlink"/>
                <w:noProof/>
                <w:lang w:val="bg-BG"/>
              </w:rPr>
              <w:t>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_Toc138405111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2E41E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2" w:history="1">
            <w:r w:rsidR="00BF6A3F" w:rsidRPr="00D578FA">
              <w:rPr>
                <w:rStyle w:val="Hyperlink"/>
                <w:noProof/>
              </w:rPr>
              <w:t>IV.10. Други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_Toc138405112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14F5FD3C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3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 Документи, които се представят в компонент „Финансов отчет“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_Toc138405113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3C00B253" w14:textId="77777777" w:rsidR="00BF6A3F" w:rsidRDefault="003E1995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4" w:history="1">
            <w:r w:rsidR="00BF6A3F" w:rsidRPr="00D578FA">
              <w:rPr>
                <w:rStyle w:val="Hyperlink"/>
                <w:noProof/>
              </w:rPr>
              <w:t>IV</w:t>
            </w:r>
            <w:r w:rsidR="00BF6A3F" w:rsidRPr="00D578FA">
              <w:rPr>
                <w:rStyle w:val="Hyperlink"/>
                <w:noProof/>
                <w:lang w:val="bg-BG"/>
              </w:rPr>
              <w:t>.11.1. Разходооправдателни документи (РОД)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_Toc138405114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11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1C5F798" w14:textId="77777777" w:rsidR="00BF6A3F" w:rsidRDefault="003E1995" w:rsidP="00BF6A3F">
          <w:pPr>
            <w:pStyle w:val="TOC3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5" w:history="1">
            <w:r w:rsidR="00BF6A3F" w:rsidRPr="00D578FA">
              <w:rPr>
                <w:rStyle w:val="Hyperlink"/>
                <w:noProof/>
              </w:rPr>
              <w:t>IV.11.2. Документи, удостоверяващи извършените плащания по отчетените РОД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_Toc138405115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2B822BD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6" w:history="1">
            <w:r w:rsidR="00BF6A3F" w:rsidRPr="00D578FA">
              <w:rPr>
                <w:rStyle w:val="Hyperlink"/>
                <w:noProof/>
              </w:rPr>
              <w:t xml:space="preserve">IV.12.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в компонент „Искане за</w:t>
            </w:r>
            <w:r w:rsidR="00BF6A3F" w:rsidRPr="00D578FA">
              <w:rPr>
                <w:rStyle w:val="Hyperlink"/>
                <w:noProof/>
              </w:rPr>
              <w:t xml:space="preserve"> </w:t>
            </w:r>
            <w:r w:rsidR="00BF6A3F" w:rsidRPr="00D578FA">
              <w:rPr>
                <w:rStyle w:val="Hyperlink"/>
                <w:noProof/>
                <w:lang w:val="bg-BG"/>
              </w:rPr>
              <w:t>плащане“ към пакета с отчетни документи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_Toc138405116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12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D198010" w14:textId="77777777" w:rsidR="00BF6A3F" w:rsidRDefault="003E1995" w:rsidP="00BF6A3F">
          <w:pPr>
            <w:pStyle w:val="TOC1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7" w:history="1">
            <w:r w:rsidR="00BF6A3F" w:rsidRPr="00D578FA">
              <w:rPr>
                <w:rStyle w:val="Hyperlink"/>
                <w:noProof/>
                <w:lang w:val="bg-BG"/>
              </w:rPr>
              <w:t>V. РАЗХОДИ ЗА ДДС, ДОПУСТИМИ ЗА ВЪЗСТАНОВЯВАНЕ ПО АДБФП/ ЗБФП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_Toc138405117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2652904C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8" w:history="1">
            <w:r w:rsidR="00BF6A3F" w:rsidRPr="00D578FA">
              <w:rPr>
                <w:rStyle w:val="Hyperlink"/>
                <w:noProof/>
              </w:rPr>
              <w:t xml:space="preserve">V.1. </w:t>
            </w:r>
            <w:r w:rsidR="00BF6A3F" w:rsidRPr="00D578FA">
              <w:rPr>
                <w:rStyle w:val="Hyperlink"/>
                <w:noProof/>
                <w:lang w:val="bg-BG"/>
              </w:rPr>
              <w:t>Документи, които се представят при</w:t>
            </w:r>
            <w:r w:rsidR="00BF6A3F" w:rsidRPr="00D578FA">
              <w:rPr>
                <w:rStyle w:val="Hyperlink"/>
                <w:noProof/>
              </w:rPr>
              <w:t xml:space="preserve"> подаване на първо искане за плащане и в случай на настъпили промени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_Toc138405118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48768D13" w14:textId="77777777" w:rsidR="00BF6A3F" w:rsidRDefault="003E1995" w:rsidP="00BF6A3F">
          <w:pPr>
            <w:pStyle w:val="TOC2"/>
            <w:rPr>
              <w:rFonts w:asciiTheme="minorHAnsi" w:eastAsiaTheme="minorEastAsia" w:hAnsiTheme="minorHAnsi" w:cstheme="minorBidi"/>
              <w:noProof/>
              <w:lang w:val="bg-BG" w:eastAsia="bg-BG"/>
            </w:rPr>
          </w:pPr>
          <w:hyperlink w:anchor="_Toc138405119" w:history="1">
            <w:r w:rsidR="00BF6A3F" w:rsidRPr="00D578FA">
              <w:rPr>
                <w:rStyle w:val="Hyperlink"/>
                <w:noProof/>
                <w:lang w:val="bg-BG"/>
              </w:rPr>
              <w:t>V.2. Документи, които се представят при подаване на междинно/ окончателно искане за плащане</w:t>
            </w:r>
            <w:r w:rsidR="00BF6A3F">
              <w:rPr>
                <w:noProof/>
                <w:webHidden/>
              </w:rPr>
              <w:tab/>
            </w:r>
            <w:r w:rsidR="00BF6A3F">
              <w:rPr>
                <w:noProof/>
                <w:webHidden/>
              </w:rPr>
              <w:fldChar w:fldCharType="begin"/>
            </w:r>
            <w:r w:rsidR="00BF6A3F">
              <w:rPr>
                <w:noProof/>
                <w:webHidden/>
              </w:rPr>
              <w:instrText xml:space="preserve"> PAGEREF _Toc138405119 \h </w:instrText>
            </w:r>
            <w:r w:rsidR="00BF6A3F">
              <w:rPr>
                <w:noProof/>
                <w:webHidden/>
              </w:rPr>
            </w:r>
            <w:r w:rsidR="00BF6A3F">
              <w:rPr>
                <w:noProof/>
                <w:webHidden/>
              </w:rPr>
              <w:fldChar w:fldCharType="separate"/>
            </w:r>
            <w:r w:rsidR="00BF6A3F">
              <w:rPr>
                <w:noProof/>
                <w:webHidden/>
              </w:rPr>
              <w:t>13</w:t>
            </w:r>
            <w:r w:rsidR="00BF6A3F">
              <w:rPr>
                <w:noProof/>
                <w:webHidden/>
              </w:rPr>
              <w:fldChar w:fldCharType="end"/>
            </w:r>
          </w:hyperlink>
        </w:p>
        <w:p w14:paraId="070EE71A" w14:textId="77777777" w:rsidR="00BF6A3F" w:rsidRPr="0012158C" w:rsidRDefault="00BF6A3F" w:rsidP="00BF6A3F">
          <w:pPr>
            <w:pStyle w:val="TOC1"/>
            <w:sectPr w:rsidR="00BF6A3F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AF7538" w14:paraId="484B45D5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61C471B6" w14:textId="77777777" w:rsidR="00BF6A3F" w:rsidRPr="00AF7538" w:rsidRDefault="00BF6A3F" w:rsidP="00F17E46">
            <w:pPr>
              <w:pStyle w:val="Heading1"/>
            </w:pPr>
            <w:bookmarkStart w:id="0" w:name="_Toc138405099"/>
            <w:r w:rsidRPr="00AF7538">
              <w:lastRenderedPageBreak/>
              <w:t>I. ВАЖНИ УКАЗАНИЯ</w:t>
            </w:r>
            <w:bookmarkEnd w:id="0"/>
          </w:p>
        </w:tc>
      </w:tr>
      <w:tr w:rsidR="00BF6A3F" w:rsidRPr="003E1995" w14:paraId="2391A719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AC2D9BE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70280DEF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4BAB87B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0E81E43A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281D44C3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05E3AF74" w14:textId="77777777" w:rsidR="00BF6A3F" w:rsidRPr="00713C73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0ACEBAFA" w14:textId="77777777" w:rsidR="00BF6A3F" w:rsidRPr="006754BA" w:rsidRDefault="00BF6A3F" w:rsidP="00F17E46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37E7C763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</w:p>
          <w:p w14:paraId="51D8EE24" w14:textId="77777777" w:rsidR="00BF6A3F" w:rsidRPr="00713C73" w:rsidRDefault="00BF6A3F" w:rsidP="00F17E46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A34B85E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  <w:tr w:rsidR="00BF6A3F" w:rsidRPr="003E1995" w14:paraId="75ED4286" w14:textId="77777777" w:rsidTr="00F17E46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25C41F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FF3C584" w14:textId="77777777" w:rsidR="00BF6A3F" w:rsidRPr="006754BA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</w:tr>
    </w:tbl>
    <w:p w14:paraId="2A1E0C56" w14:textId="77777777" w:rsidR="00BF6A3F" w:rsidRPr="006754BA" w:rsidRDefault="00BF6A3F" w:rsidP="00BF6A3F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F6A3F" w:rsidRPr="003E1995" w14:paraId="7ECDD902" w14:textId="77777777" w:rsidTr="00F17E46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5DCC0A3E" w14:textId="77777777" w:rsidR="00BF6A3F" w:rsidRPr="00AF7538" w:rsidRDefault="00BF6A3F" w:rsidP="00F17E46">
            <w:pPr>
              <w:pStyle w:val="Heading1"/>
              <w:rPr>
                <w:lang w:val="bg-BG"/>
              </w:rPr>
            </w:pPr>
            <w:bookmarkStart w:id="1" w:name="_Toc138405100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77B1E5E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F6A3F" w:rsidRPr="00AF7538" w14:paraId="37550E69" w14:textId="77777777" w:rsidTr="00F17E46">
        <w:trPr>
          <w:trHeight w:val="2804"/>
          <w:jc w:val="center"/>
        </w:trPr>
        <w:tc>
          <w:tcPr>
            <w:tcW w:w="11340" w:type="dxa"/>
          </w:tcPr>
          <w:p w14:paraId="3A0B18F0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</w:p>
          <w:p w14:paraId="56C888B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63223BB" w14:textId="77777777" w:rsidR="00BF6A3F" w:rsidRPr="00AF7538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C91A6CF" w14:textId="77777777" w:rsidR="00BF6A3F" w:rsidRPr="004A60AB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AB91FEC" w14:textId="77777777" w:rsidR="00BF6A3F" w:rsidRPr="006754BA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 </w:t>
            </w:r>
          </w:p>
          <w:p w14:paraId="5B0AA0EF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41CCE8DC" w14:textId="77777777" w:rsidR="00BF6A3F" w:rsidRPr="009B1267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6D0E194F" w14:textId="77777777" w:rsidR="00BF6A3F" w:rsidRPr="001E5A60" w:rsidRDefault="00BF6A3F" w:rsidP="00F17E46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50EDE049" w14:textId="77777777" w:rsidR="00BF6A3F" w:rsidRPr="007254B7" w:rsidRDefault="00BF6A3F" w:rsidP="00F17E46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50C242A2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47833331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</w:p>
          <w:p w14:paraId="0F4FBFB0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01797119" w14:textId="77777777" w:rsidR="00BF6A3F" w:rsidRPr="00391CB8" w:rsidRDefault="00BF6A3F" w:rsidP="00F17E46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2AF47B5D" w14:textId="77777777" w:rsidR="00BF6A3F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002D69DE" w14:textId="77777777" w:rsidR="00BF6A3F" w:rsidRPr="00D53D34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</w:p>
          <w:p w14:paraId="694328C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50802230" w14:textId="77777777" w:rsidR="00BF6A3F" w:rsidRPr="00AF7538" w:rsidRDefault="00BF6A3F" w:rsidP="00F17E46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5EAC6B5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179EFBFE" w14:textId="77777777" w:rsidR="00BF6A3F" w:rsidRPr="00703517" w:rsidRDefault="00BF6A3F" w:rsidP="00F17E46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4935FDC3" w14:textId="77777777" w:rsidR="00BF6A3F" w:rsidRPr="00AF7538" w:rsidRDefault="00BF6A3F" w:rsidP="00F17E46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5516B38D" w14:textId="77777777" w:rsidR="00BF6A3F" w:rsidRPr="00AF7538" w:rsidRDefault="00BF6A3F" w:rsidP="00BF6A3F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3CB1C01" w14:textId="77777777" w:rsidTr="00F17E46">
        <w:trPr>
          <w:jc w:val="center"/>
        </w:trPr>
        <w:tc>
          <w:tcPr>
            <w:tcW w:w="11340" w:type="dxa"/>
            <w:shd w:val="clear" w:color="auto" w:fill="A8D08D"/>
          </w:tcPr>
          <w:p w14:paraId="62F30728" w14:textId="77777777" w:rsidR="00BF6A3F" w:rsidRPr="00AF7538" w:rsidRDefault="00BF6A3F" w:rsidP="00F17E46">
            <w:pPr>
              <w:ind w:left="0"/>
              <w:jc w:val="both"/>
            </w:pPr>
            <w:bookmarkStart w:id="2" w:name="_Toc138405101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2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</w:t>
            </w:r>
            <w:r>
              <w:rPr>
                <w:b w:val="0"/>
                <w:lang w:val="bg-BG"/>
              </w:rPr>
              <w:t xml:space="preserve"> </w:t>
            </w:r>
          </w:p>
        </w:tc>
        <w:tc>
          <w:tcPr>
            <w:tcW w:w="1701" w:type="dxa"/>
            <w:shd w:val="clear" w:color="auto" w:fill="A8D08D"/>
          </w:tcPr>
          <w:p w14:paraId="206668B1" w14:textId="77777777" w:rsidR="00BF6A3F" w:rsidRPr="00AF7538" w:rsidRDefault="00BF6A3F" w:rsidP="00F17E46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F6A3F" w:rsidRPr="003E1995" w14:paraId="5281DCD3" w14:textId="77777777" w:rsidTr="00F17E46">
        <w:trPr>
          <w:jc w:val="center"/>
        </w:trPr>
        <w:tc>
          <w:tcPr>
            <w:tcW w:w="11340" w:type="dxa"/>
          </w:tcPr>
          <w:p w14:paraId="71FE13B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3B46A2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1FE263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4B11262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6BF2A16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5625EAF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7B2FE30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78CE3AB8" w14:textId="77777777" w:rsidR="00BF6A3F" w:rsidRPr="000612ED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1AAFA96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6002479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F6A3F" w:rsidRPr="003E1995" w14:paraId="47DB2FEA" w14:textId="77777777" w:rsidTr="00F17E46">
        <w:trPr>
          <w:jc w:val="center"/>
        </w:trPr>
        <w:tc>
          <w:tcPr>
            <w:tcW w:w="11340" w:type="dxa"/>
          </w:tcPr>
          <w:p w14:paraId="5B016A7C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605EFD1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3720910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7769B24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CE9591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0F0B6E3F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49124C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F3CC17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28D767B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6AB1F399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C9FD19" w14:textId="77777777" w:rsidR="00BF6A3F" w:rsidRPr="006754BA" w:rsidRDefault="00BF6A3F" w:rsidP="00BF6A3F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F6A3F" w:rsidRPr="003E1995" w14:paraId="15FCEE59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65FF80CC" w14:textId="77777777" w:rsidR="00BF6A3F" w:rsidRPr="00AF7538" w:rsidRDefault="00BF6A3F" w:rsidP="00F17E46">
            <w:pPr>
              <w:pStyle w:val="Heading1"/>
              <w:rPr>
                <w:lang w:val="bg-BG"/>
              </w:rPr>
            </w:pPr>
            <w:bookmarkStart w:id="3" w:name="_Toc138405102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3"/>
          </w:p>
        </w:tc>
      </w:tr>
      <w:tr w:rsidR="00BF6A3F" w:rsidRPr="003E1995" w14:paraId="65B6722B" w14:textId="77777777" w:rsidTr="00F17E46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235096D0" w14:textId="77777777" w:rsidR="00BF6A3F" w:rsidRPr="00030680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2346B5D6" w14:textId="77777777" w:rsidR="00BF6A3F" w:rsidRPr="006754BA" w:rsidRDefault="00BF6A3F" w:rsidP="00BF6A3F">
      <w:pPr>
        <w:ind w:left="0"/>
        <w:rPr>
          <w:b w:val="0"/>
          <w:lang w:val="bg-BG"/>
        </w:rPr>
      </w:pPr>
    </w:p>
    <w:p w14:paraId="6ABAA0E4" w14:textId="77777777" w:rsidR="00BF6A3F" w:rsidRPr="006754BA" w:rsidRDefault="00BF6A3F" w:rsidP="00BF6A3F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7AF522E0" w14:textId="77777777" w:rsidTr="00F17E46">
        <w:trPr>
          <w:trHeight w:val="274"/>
          <w:jc w:val="center"/>
        </w:trPr>
        <w:tc>
          <w:tcPr>
            <w:tcW w:w="11340" w:type="dxa"/>
            <w:shd w:val="clear" w:color="auto" w:fill="C5E0B3"/>
          </w:tcPr>
          <w:p w14:paraId="14BB35FB" w14:textId="77777777" w:rsidR="00BF6A3F" w:rsidRPr="006754BA" w:rsidRDefault="00BF6A3F" w:rsidP="00F17E46">
            <w:pPr>
              <w:pStyle w:val="Heading2"/>
              <w:rPr>
                <w:lang w:val="bg-BG"/>
              </w:rPr>
            </w:pPr>
            <w:bookmarkStart w:id="4" w:name="_Toc138405103"/>
            <w:r w:rsidRPr="00AF7538">
              <w:t>IV</w:t>
            </w:r>
            <w:r w:rsidRPr="006754BA">
              <w:rPr>
                <w:lang w:val="bg-BG"/>
              </w:rPr>
              <w:t>.1. Отчитане дейността на екип за изпълнение на проекта</w:t>
            </w:r>
            <w:bookmarkEnd w:id="4"/>
          </w:p>
        </w:tc>
        <w:tc>
          <w:tcPr>
            <w:tcW w:w="1701" w:type="dxa"/>
            <w:shd w:val="clear" w:color="auto" w:fill="C5E0B3"/>
          </w:tcPr>
          <w:p w14:paraId="6D1287EB" w14:textId="77777777" w:rsidR="00BF6A3F" w:rsidRPr="006754BA" w:rsidRDefault="00BF6A3F" w:rsidP="00F17E46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F6A3F" w:rsidRPr="00AF7538" w14:paraId="67D8EE47" w14:textId="77777777" w:rsidTr="00F17E46">
        <w:trPr>
          <w:trHeight w:val="70"/>
          <w:jc w:val="center"/>
        </w:trPr>
        <w:tc>
          <w:tcPr>
            <w:tcW w:w="11340" w:type="dxa"/>
          </w:tcPr>
          <w:p w14:paraId="2947E9C8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сформирането на екип </w:t>
            </w:r>
            <w:r>
              <w:rPr>
                <w:lang w:val="bg-BG"/>
              </w:rPr>
              <w:t xml:space="preserve"> </w:t>
            </w:r>
            <w:r w:rsidRPr="00AF7538">
              <w:rPr>
                <w:lang w:val="bg-BG"/>
              </w:rPr>
              <w:t>/ изпълнение на проекта, както и възлагане на задълженията на съответните лица</w:t>
            </w:r>
          </w:p>
          <w:p w14:paraId="46E0619E" w14:textId="77777777" w:rsidR="00BF6A3F" w:rsidRPr="00B62EF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</w:t>
            </w:r>
            <w:r>
              <w:rPr>
                <w:b w:val="0"/>
                <w:lang w:val="bg-BG"/>
              </w:rPr>
              <w:t xml:space="preserve"> </w:t>
            </w:r>
            <w:r w:rsidRPr="00B62EF8">
              <w:rPr>
                <w:b w:val="0"/>
                <w:lang w:val="bg-BG"/>
              </w:rPr>
              <w:t xml:space="preserve">/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290DBA93" w14:textId="77777777" w:rsidR="00BF6A3F" w:rsidRPr="005C3A0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lastRenderedPageBreak/>
              <w:t xml:space="preserve">- Документи, чрез които е възложено на съответния служител да извършва дейности по </w:t>
            </w:r>
            <w:r>
              <w:rPr>
                <w:b w:val="0"/>
                <w:lang w:val="bg-BG"/>
              </w:rPr>
              <w:t xml:space="preserve"> </w:t>
            </w:r>
            <w:r w:rsidRPr="005C3A0B">
              <w:rPr>
                <w:b w:val="0"/>
                <w:lang w:val="bg-BG"/>
              </w:rPr>
              <w:t>/ изпълнение, съгласно ПМС №</w:t>
            </w:r>
            <w:r>
              <w:rPr>
                <w:b w:val="0"/>
                <w:lang w:val="bg-BG"/>
              </w:rPr>
              <w:t xml:space="preserve"> 86</w:t>
            </w:r>
            <w:r w:rsidRPr="005C3A0B">
              <w:rPr>
                <w:b w:val="0"/>
                <w:lang w:val="bg-BG"/>
              </w:rPr>
              <w:t>/</w:t>
            </w:r>
            <w:r>
              <w:rPr>
                <w:b w:val="0"/>
                <w:lang w:val="bg-BG"/>
              </w:rPr>
              <w:t>01.06.2023</w:t>
            </w:r>
            <w:r w:rsidRPr="005C3A0B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 </w:t>
            </w:r>
          </w:p>
          <w:p w14:paraId="0EBB5A85" w14:textId="77777777" w:rsidR="00BF6A3F" w:rsidRPr="007254B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448C4DDF" w14:textId="504500B5" w:rsidR="00BF6A3F" w:rsidRPr="00B968F9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</w:t>
            </w:r>
            <w:r w:rsidR="0067394B">
              <w:rPr>
                <w:b w:val="0"/>
                <w:lang w:val="bg-BG"/>
              </w:rPr>
              <w:t>4</w:t>
            </w:r>
            <w:r w:rsidRPr="00B968F9">
              <w:rPr>
                <w:b w:val="0"/>
                <w:lang w:val="bg-BG"/>
              </w:rPr>
              <w:t>/ 20</w:t>
            </w:r>
            <w:r w:rsidR="0067394B">
              <w:rPr>
                <w:b w:val="0"/>
                <w:lang w:val="bg-BG"/>
              </w:rPr>
              <w:t>24</w:t>
            </w:r>
            <w:r w:rsidRPr="00B968F9">
              <w:rPr>
                <w:b w:val="0"/>
                <w:lang w:val="bg-BG"/>
              </w:rPr>
              <w:t xml:space="preserve"> - представят се в Раздел „Договор“/ секция 2. 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55944EA2" w14:textId="77777777" w:rsidR="00BF6A3F" w:rsidRPr="007254B7" w:rsidRDefault="00BF6A3F" w:rsidP="00F17E46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359988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</w:tc>
        <w:tc>
          <w:tcPr>
            <w:tcW w:w="1701" w:type="dxa"/>
          </w:tcPr>
          <w:p w14:paraId="5E25B68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726AE29C" w14:textId="77777777" w:rsidTr="00F17E46">
        <w:trPr>
          <w:trHeight w:val="276"/>
          <w:jc w:val="center"/>
        </w:trPr>
        <w:tc>
          <w:tcPr>
            <w:tcW w:w="11340" w:type="dxa"/>
          </w:tcPr>
          <w:p w14:paraId="0839F655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отчетената и приета работа на членовете на екипа за изпълнение на проекта</w:t>
            </w:r>
            <w:r>
              <w:rPr>
                <w:lang w:val="bg-BG"/>
              </w:rPr>
              <w:t xml:space="preserve"> </w:t>
            </w:r>
          </w:p>
          <w:p w14:paraId="32ABDAD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членове на екипа за изпълнение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05F85523" w14:textId="77777777" w:rsidR="00BF6A3F" w:rsidRPr="00AF7538" w:rsidRDefault="00BF6A3F" w:rsidP="00F17E46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За членовете на екипа за </w:t>
            </w:r>
            <w:r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, които са служители на бенефициенти от централната и териториалната администрации, следва да бъдат въведени д</w:t>
            </w:r>
            <w:r>
              <w:rPr>
                <w:b w:val="0"/>
                <w:lang w:val="bg-BG"/>
              </w:rPr>
              <w:t xml:space="preserve">анни на месечна база в </w:t>
            </w:r>
            <w:r w:rsidRPr="009F7DF8">
              <w:rPr>
                <w:b w:val="0"/>
                <w:lang w:val="bg-BG"/>
              </w:rPr>
              <w:t>ИСУН</w:t>
            </w:r>
            <w:r>
              <w:rPr>
                <w:b w:val="0"/>
                <w:lang w:val="bg-BG"/>
              </w:rPr>
              <w:t xml:space="preserve"> (</w:t>
            </w:r>
            <w:r w:rsidRPr="00FE0C3D">
              <w:rPr>
                <w:b w:val="0"/>
                <w:lang w:val="bg-BG"/>
              </w:rPr>
              <w:t>в пакет отчетни документи тип „Искане за плащане, технически отчет, финансов отчет“, в компонент „ Технически отчет“, секция „7. Екип“)</w:t>
            </w:r>
            <w:r>
              <w:rPr>
                <w:b w:val="0"/>
                <w:lang w:val="bg-BG"/>
              </w:rPr>
              <w:t>.</w:t>
            </w:r>
          </w:p>
          <w:p w14:paraId="22E6D51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членовете на екип за изпълнение на проекта, които са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</w:tcPr>
          <w:p w14:paraId="0C88AD3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1DE7BA74" w14:textId="77777777" w:rsidTr="00F17E46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098478A1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 - извършените разходи за възнаграждения, данъци и осигуровки за членовете на екипа за изпълнение на проекта за съответния отчетен период</w:t>
            </w:r>
          </w:p>
          <w:p w14:paraId="3A14790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 w:rsidRPr="00AF7538">
              <w:rPr>
                <w:b w:val="0"/>
                <w:lang w:val="bg-BG"/>
              </w:rPr>
              <w:t>;</w:t>
            </w:r>
          </w:p>
          <w:p w14:paraId="3E72DDE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>
              <w:rPr>
                <w:b w:val="0"/>
                <w:lang w:val="bg-BG"/>
              </w:rPr>
              <w:t>;</w:t>
            </w:r>
          </w:p>
          <w:p w14:paraId="57B7A5C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3B5FD2B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6623368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6FF0C6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02F7DE3F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A15CA5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31012376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  <w:p w14:paraId="13BA2F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68CF2F95" w14:textId="77777777" w:rsidR="00BF6A3F" w:rsidRPr="00BD3622" w:rsidRDefault="00BF6A3F" w:rsidP="00F17E46">
            <w:pPr>
              <w:ind w:left="0"/>
              <w:jc w:val="both"/>
              <w:rPr>
                <w:lang w:val="bg-BG"/>
              </w:rPr>
            </w:pPr>
            <w:r w:rsidRPr="00BD3622">
              <w:rPr>
                <w:lang w:val="bg-BG"/>
              </w:rPr>
              <w:lastRenderedPageBreak/>
              <w:t xml:space="preserve">Документи, удостоверяващи отчетената и приета работа на членовете на екипа за </w:t>
            </w:r>
            <w:r>
              <w:rPr>
                <w:lang w:val="bg-BG"/>
              </w:rPr>
              <w:t xml:space="preserve"> изпълнение</w:t>
            </w:r>
            <w:r w:rsidRPr="00BD3622">
              <w:rPr>
                <w:lang w:val="bg-BG"/>
              </w:rPr>
              <w:t xml:space="preserve"> на проекта</w:t>
            </w:r>
          </w:p>
          <w:p w14:paraId="6F6155F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042B178F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ru-RU"/>
              </w:rPr>
            </w:pPr>
            <w:r w:rsidRPr="00BD3622">
              <w:rPr>
                <w:b w:val="0"/>
                <w:lang w:val="bg-BG"/>
              </w:rPr>
              <w:t xml:space="preserve">1. В случаите по чл. 55, ал. 1, т. 1 </w:t>
            </w:r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 xml:space="preserve"> (възлагането на дейността е изцяло на външен за бенефициента</w:t>
            </w:r>
            <w:r w:rsidRPr="00BD3622">
              <w:rPr>
                <w:b w:val="0"/>
                <w:lang w:val="ru-RU"/>
              </w:rPr>
              <w:t xml:space="preserve"> изпълнител):</w:t>
            </w:r>
          </w:p>
          <w:p w14:paraId="04337922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>Прилагат се документи съгласно т. IV.5. Документи, необходими за удостоверяване на извършени услуги;</w:t>
            </w:r>
          </w:p>
          <w:p w14:paraId="45BAB8F6" w14:textId="77777777" w:rsidR="00BF6A3F" w:rsidRPr="00BD3622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2. В случаите по чл. 55, ал. 1, т. </w:t>
            </w:r>
            <w:r w:rsidRPr="00BD3622">
              <w:rPr>
                <w:b w:val="0"/>
                <w:lang w:val="ru-RU"/>
              </w:rPr>
              <w:t xml:space="preserve">4 </w:t>
            </w:r>
            <w:r w:rsidRPr="00BD3622">
              <w:rPr>
                <w:b w:val="0"/>
                <w:lang w:val="bg-BG"/>
              </w:rPr>
              <w:t>от  З</w:t>
            </w:r>
            <w:r>
              <w:rPr>
                <w:b w:val="0"/>
                <w:lang w:val="bg-BG"/>
              </w:rPr>
              <w:t xml:space="preserve"> ЗУСЕФСУ</w:t>
            </w:r>
            <w:r w:rsidRPr="00BD3622">
              <w:rPr>
                <w:b w:val="0"/>
                <w:lang w:val="bg-BG"/>
              </w:rPr>
              <w:t>:</w:t>
            </w:r>
          </w:p>
          <w:p w14:paraId="27568445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BD3622">
              <w:rPr>
                <w:b w:val="0"/>
                <w:lang w:val="bg-BG"/>
              </w:rPr>
              <w:t xml:space="preserve">Прилагат се документи съгласно IV.8. Отчитане на непреки разходи, за които се предоставя финансиране под формата на единна ставка, съгласно чл. 55, ал. 1 т. 4 на </w:t>
            </w:r>
            <w:r>
              <w:rPr>
                <w:b w:val="0"/>
                <w:lang w:val="bg-BG"/>
              </w:rPr>
              <w:t xml:space="preserve"> ЗУСЕФСУ</w:t>
            </w:r>
            <w:r w:rsidRPr="006754BA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D1D08CF" w14:textId="77777777" w:rsidR="00BF6A3F" w:rsidRPr="00AF7538" w:rsidRDefault="00BF6A3F" w:rsidP="00F17E46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5DE8B208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4302B81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AF7538" w14:paraId="12CAA8FC" w14:textId="77777777" w:rsidTr="00F17E46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5A5D4CBB" w14:textId="77777777" w:rsidR="00BF6A3F" w:rsidRPr="00AF7538" w:rsidRDefault="00BF6A3F" w:rsidP="00F17E46">
            <w:pPr>
              <w:pStyle w:val="Heading2"/>
            </w:pPr>
            <w:bookmarkStart w:id="5" w:name="_Toc138405104"/>
            <w:r w:rsidRPr="00AF7538">
              <w:t xml:space="preserve">IV.2. Отчитане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5"/>
          </w:p>
        </w:tc>
        <w:tc>
          <w:tcPr>
            <w:tcW w:w="1701" w:type="dxa"/>
            <w:shd w:val="clear" w:color="auto" w:fill="C5E0B3"/>
          </w:tcPr>
          <w:p w14:paraId="48557DDF" w14:textId="77777777" w:rsidR="00BF6A3F" w:rsidRPr="00AF7538" w:rsidRDefault="00BF6A3F" w:rsidP="00F17E46">
            <w:pPr>
              <w:ind w:left="0"/>
              <w:jc w:val="center"/>
            </w:pPr>
            <w:r>
              <w:t xml:space="preserve">Място на представяне в </w:t>
            </w:r>
            <w:r w:rsidRPr="00E7435D">
              <w:t>ИСУН</w:t>
            </w:r>
          </w:p>
        </w:tc>
      </w:tr>
      <w:tr w:rsidR="00BF6A3F" w:rsidRPr="00AF7538" w14:paraId="383EAE29" w14:textId="77777777" w:rsidTr="00F17E46">
        <w:trPr>
          <w:trHeight w:val="557"/>
          <w:jc w:val="center"/>
        </w:trPr>
        <w:tc>
          <w:tcPr>
            <w:tcW w:w="11340" w:type="dxa"/>
          </w:tcPr>
          <w:p w14:paraId="03C17E4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1161C2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384293A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6D2844B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  <w:p w14:paraId="3CE002E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78DC5891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00E54A5F" w14:textId="77777777" w:rsidTr="00F17E46">
        <w:trPr>
          <w:trHeight w:val="70"/>
          <w:jc w:val="center"/>
        </w:trPr>
        <w:tc>
          <w:tcPr>
            <w:tcW w:w="11340" w:type="dxa"/>
          </w:tcPr>
          <w:p w14:paraId="57AC1B8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00AA0D6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16D1C539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0887DF26" w14:textId="77777777" w:rsidR="00BF6A3F" w:rsidRPr="00902073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5F885FB3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0DCC42A4" w14:textId="77777777" w:rsidR="00BF6A3F" w:rsidRPr="00D30BDE" w:rsidRDefault="00BF6A3F" w:rsidP="00F17E46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702538E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5F0435D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F92E0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00C92AA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4075C3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7762D49B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2583440F" w14:textId="77777777" w:rsidR="00BF6A3F" w:rsidRDefault="00BF6A3F" w:rsidP="00BF6A3F">
      <w:pPr>
        <w:ind w:left="0"/>
        <w:jc w:val="both"/>
        <w:rPr>
          <w:b w:val="0"/>
        </w:rPr>
      </w:pPr>
    </w:p>
    <w:p w14:paraId="37D6BB4E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5233DD61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3DC8098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6" w:name="_Toc138405105"/>
            <w:r w:rsidRPr="00AF7538">
              <w:lastRenderedPageBreak/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6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D3E1836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73DFAB53" w14:textId="77777777" w:rsidTr="00F17E46">
        <w:trPr>
          <w:jc w:val="center"/>
        </w:trPr>
        <w:tc>
          <w:tcPr>
            <w:tcW w:w="11340" w:type="dxa"/>
          </w:tcPr>
          <w:p w14:paraId="2AC0C58E" w14:textId="77777777" w:rsidR="00BF6A3F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067A0F8" w14:textId="77777777" w:rsidR="00BF6A3F" w:rsidRPr="00DE7C4E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62970F6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5836BCEE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46FAE07C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наверижване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2182CFB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32674AB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, за всяка актувана позиция от Таблица с наверижване на стойностите;</w:t>
            </w:r>
          </w:p>
          <w:p w14:paraId="3FAA20E7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7CBD1043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7C25CC14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511311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Заменителни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. Заменителната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заменителна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638AADE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5A3F54D5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4AA6534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69D4E9AF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2815CF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67BA64DD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74BC58D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78A9E34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2882436A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2860FAC6" w14:textId="77777777" w:rsidR="00BF6A3F" w:rsidRPr="00DE7C4E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2B81396D" w14:textId="77777777" w:rsidR="00BF6A3F" w:rsidRPr="000F32E7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lastRenderedPageBreak/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1784C69E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BC461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(excel), като информацията в тях е абсолютно идентична с информацията в крайния документ.</w:t>
            </w:r>
          </w:p>
          <w:p w14:paraId="17E9F855" w14:textId="77777777" w:rsidR="00BF6A3F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05E88117" w14:textId="77777777" w:rsidR="00BF6A3F" w:rsidRPr="00AF7538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43AD0946" w14:textId="77777777" w:rsidR="00BF6A3F" w:rsidRPr="00DF0964" w:rsidRDefault="00BF6A3F" w:rsidP="00F17E46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F0964">
              <w:rPr>
                <w:b w:val="0"/>
                <w:i/>
                <w:iCs/>
                <w:lang w:val="bg-BG"/>
              </w:rPr>
              <w:t>(</w:t>
            </w:r>
            <w:r>
              <w:rPr>
                <w:b w:val="0"/>
                <w:i/>
                <w:iCs/>
                <w:lang w:val="bg-BG"/>
              </w:rPr>
              <w:t xml:space="preserve"> </w:t>
            </w:r>
            <w:r w:rsidRPr="005228B2">
              <w:rPr>
                <w:b w:val="0"/>
                <w:i/>
                <w:iCs/>
                <w:lang w:val="bg-BG"/>
              </w:rPr>
              <w:t>съгласно чл. 15, т. 3 от ПМС № 86/01.06.2023  г.</w:t>
            </w:r>
            <w:r w:rsidRPr="00DF0964">
              <w:rPr>
                <w:b w:val="0"/>
                <w:i/>
                <w:iCs/>
                <w:lang w:val="bg-BG"/>
              </w:rPr>
              <w:t>)</w:t>
            </w:r>
          </w:p>
          <w:p w14:paraId="6049ABED" w14:textId="77777777" w:rsidR="00BF6A3F" w:rsidRPr="004123E4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непридвидимостта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055599B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Заменителни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3FF6A333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F6A3F" w:rsidRPr="00AF7538" w14:paraId="6E7F76FE" w14:textId="77777777" w:rsidTr="00F17E46">
        <w:trPr>
          <w:jc w:val="center"/>
        </w:trPr>
        <w:tc>
          <w:tcPr>
            <w:tcW w:w="11340" w:type="dxa"/>
          </w:tcPr>
          <w:p w14:paraId="66BC7A26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67A6EC54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9C53B45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2B04DF91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750189B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108C6B9D" w14:textId="77777777" w:rsidTr="00F17E46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70D8C6B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7" w:name="_Toc138405106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r w:rsidRPr="00E26CA4">
              <w:rPr>
                <w:lang w:val="bg-BG"/>
              </w:rPr>
              <w:t>, вкл. и при възлагания по реда на чл. 20, ал.5 от ЗОП</w:t>
            </w:r>
            <w:bookmarkEnd w:id="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DD0DB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F6A3F" w:rsidRPr="00AF7538" w14:paraId="492BEC54" w14:textId="77777777" w:rsidTr="00F17E46">
        <w:trPr>
          <w:jc w:val="center"/>
        </w:trPr>
        <w:tc>
          <w:tcPr>
            <w:tcW w:w="11340" w:type="dxa"/>
          </w:tcPr>
          <w:p w14:paraId="76092559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57EAB3D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6201A67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5B9331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82AC3F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1BAC1294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3516E6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5604B5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0DBDE5F7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 xml:space="preserve"> Технически отчет</w:t>
            </w:r>
          </w:p>
        </w:tc>
      </w:tr>
      <w:tr w:rsidR="00BF6A3F" w:rsidRPr="00AF7538" w14:paraId="3B8FF6EA" w14:textId="77777777" w:rsidTr="00F17E46">
        <w:trPr>
          <w:jc w:val="center"/>
        </w:trPr>
        <w:tc>
          <w:tcPr>
            <w:tcW w:w="11340" w:type="dxa"/>
          </w:tcPr>
          <w:p w14:paraId="351623D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2D68BF7A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одорудването,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268667CA" w14:textId="77777777" w:rsidR="00BF6A3F" w:rsidRPr="00E06911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0D487A44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308739ED" w14:textId="77777777" w:rsidR="00BF6A3F" w:rsidRPr="006754BA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  <w:p w14:paraId="4EC60DEA" w14:textId="77777777" w:rsidR="00BF6A3F" w:rsidRPr="00E06911" w:rsidRDefault="00BF6A3F" w:rsidP="00F17E46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1F10BB8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FF6E4A3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1DAE1CB4" w14:textId="77777777" w:rsidR="00BF6A3F" w:rsidRPr="00AF7538" w:rsidDel="008E380B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F6A3F" w:rsidRPr="00AF7538" w14:paraId="5DB708E8" w14:textId="77777777" w:rsidTr="00F17E46">
        <w:trPr>
          <w:jc w:val="center"/>
        </w:trPr>
        <w:tc>
          <w:tcPr>
            <w:tcW w:w="11340" w:type="dxa"/>
          </w:tcPr>
          <w:p w14:paraId="1D003A7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2CCF9756" w14:textId="77777777" w:rsidR="00BF6A3F" w:rsidRPr="008E24CD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32ED893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1DD900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332F6CF9" w14:textId="77777777" w:rsidTr="00F17E46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EA93DD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8" w:name="_Toc138405107"/>
            <w:r w:rsidRPr="00AF7538">
              <w:t xml:space="preserve">IV.5. Документи, необходими за удостоверяване на </w:t>
            </w:r>
            <w:r w:rsidRPr="00AF7538">
              <w:rPr>
                <w:lang w:val="bg-BG"/>
              </w:rPr>
              <w:t xml:space="preserve">извършени </w:t>
            </w:r>
            <w:r w:rsidRPr="00AF7538">
              <w:t>услуги</w:t>
            </w:r>
            <w:r w:rsidRPr="000E58EA">
              <w:t xml:space="preserve">, </w:t>
            </w:r>
            <w:r w:rsidRPr="00E11C8A">
              <w:t>вкл. и при възлагания по реда на чл. 20, ал.5 от ЗОП</w:t>
            </w:r>
            <w:bookmarkEnd w:id="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13757C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F6A3F" w:rsidRPr="00AF7538" w14:paraId="6E3BA329" w14:textId="77777777" w:rsidTr="00F17E46">
        <w:trPr>
          <w:trHeight w:val="416"/>
          <w:jc w:val="center"/>
        </w:trPr>
        <w:tc>
          <w:tcPr>
            <w:tcW w:w="11340" w:type="dxa"/>
          </w:tcPr>
          <w:p w14:paraId="3D7453B7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32BC635B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003C65AA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2814E8CD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4533C33C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6DD5B6F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3AD8868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1FADEBCC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F6A3F" w:rsidRPr="00AF7538" w14:paraId="7C548093" w14:textId="77777777" w:rsidTr="00F17E46">
        <w:trPr>
          <w:trHeight w:val="416"/>
          <w:jc w:val="center"/>
        </w:trPr>
        <w:tc>
          <w:tcPr>
            <w:tcW w:w="11340" w:type="dxa"/>
          </w:tcPr>
          <w:p w14:paraId="00EF42A0" w14:textId="77777777" w:rsidR="00BF6A3F" w:rsidRPr="00AF7538" w:rsidRDefault="00BF6A3F" w:rsidP="00F17E46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75DBA8CC" w14:textId="77777777" w:rsidR="00BF6A3F" w:rsidRPr="00AF7538" w:rsidRDefault="00BF6A3F" w:rsidP="00F17E46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6E78E8E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F6A3F" w:rsidRPr="00AF7538" w14:paraId="7C0FEB5C" w14:textId="77777777" w:rsidTr="00F17E46">
        <w:trPr>
          <w:trHeight w:val="416"/>
          <w:jc w:val="center"/>
        </w:trPr>
        <w:tc>
          <w:tcPr>
            <w:tcW w:w="11340" w:type="dxa"/>
          </w:tcPr>
          <w:p w14:paraId="50D580EF" w14:textId="77777777" w:rsidR="00BF6A3F" w:rsidRPr="008F60E1" w:rsidRDefault="00BF6A3F" w:rsidP="00F17E46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29C042A4" w14:textId="77777777" w:rsidR="00BF6A3F" w:rsidRPr="008F60E1" w:rsidRDefault="00BF6A3F" w:rsidP="00F17E46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FC9640B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9C521CF" w14:textId="77777777" w:rsidR="00BF6A3F" w:rsidRDefault="00BF6A3F" w:rsidP="00BF6A3F">
      <w:pPr>
        <w:ind w:left="0"/>
        <w:jc w:val="both"/>
        <w:rPr>
          <w:b w:val="0"/>
        </w:rPr>
      </w:pPr>
    </w:p>
    <w:p w14:paraId="6AAEBF90" w14:textId="77777777" w:rsidR="00BF6A3F" w:rsidRDefault="00BF6A3F" w:rsidP="00BF6A3F">
      <w:pPr>
        <w:ind w:left="0"/>
        <w:jc w:val="both"/>
        <w:rPr>
          <w:b w:val="0"/>
        </w:rPr>
      </w:pPr>
    </w:p>
    <w:p w14:paraId="4CF7EE73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331E48A5" w14:textId="77777777" w:rsidTr="00F17E46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5E838446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9" w:name="_Toc138405108"/>
            <w:r w:rsidRPr="00AF7538">
              <w:lastRenderedPageBreak/>
              <w:t xml:space="preserve">IV.6. </w:t>
            </w:r>
            <w:r w:rsidRPr="00AF7538">
              <w:rPr>
                <w:lang w:val="bg-BG"/>
              </w:rPr>
              <w:t xml:space="preserve">Отчитане на дейностите за </w:t>
            </w:r>
            <w:r>
              <w:rPr>
                <w:lang w:val="bg-BG"/>
              </w:rPr>
              <w:t xml:space="preserve"> видимост, прозрачност и </w:t>
            </w:r>
            <w:r w:rsidRPr="00AF7538">
              <w:rPr>
                <w:lang w:val="bg-BG"/>
              </w:rPr>
              <w:t>комуникация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76764ABE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1479CA64" w14:textId="77777777" w:rsidTr="00F17E46">
        <w:trPr>
          <w:trHeight w:val="77"/>
          <w:jc w:val="center"/>
        </w:trPr>
        <w:tc>
          <w:tcPr>
            <w:tcW w:w="11340" w:type="dxa"/>
          </w:tcPr>
          <w:p w14:paraId="2BD5B1E4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писма, приемо-предавателни протоколи и др.</w:t>
            </w:r>
          </w:p>
          <w:p w14:paraId="40164A6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32310B57" w14:textId="77777777" w:rsidR="00BF6A3F" w:rsidRPr="0034453B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1E8CCBBE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1A710846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572D8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1F56230A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7C1E9342" w14:textId="77777777" w:rsidTr="00F17E46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68AFFC3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10" w:name="_Toc138405109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0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D82C078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F6A3F" w:rsidRPr="00AF7538" w14:paraId="077AC2FD" w14:textId="77777777" w:rsidTr="00F17E46">
        <w:trPr>
          <w:trHeight w:val="404"/>
          <w:jc w:val="center"/>
        </w:trPr>
        <w:tc>
          <w:tcPr>
            <w:tcW w:w="11340" w:type="dxa"/>
          </w:tcPr>
          <w:p w14:paraId="3C0438B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0901D547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265FA8C3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3ED9FB82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4B928CA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502BE2F9" w14:textId="77777777" w:rsidR="00BF6A3F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3EAF5CA6" w14:textId="77777777" w:rsidR="00BF6A3F" w:rsidRPr="006D549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68821F40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62F5B702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B970FAC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316C0D" w:rsidRPr="003E1995" w14:paraId="7908B873" w14:textId="77777777" w:rsidTr="00A41D53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3961DEF" w14:textId="77777777" w:rsidR="00316C0D" w:rsidRPr="00AF7538" w:rsidRDefault="00316C0D" w:rsidP="00A41D53">
            <w:pPr>
              <w:pStyle w:val="Heading2"/>
              <w:rPr>
                <w:lang w:val="bg-BG"/>
              </w:rPr>
            </w:pPr>
            <w:bookmarkStart w:id="11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1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1071DA3" w14:textId="77777777" w:rsidR="00316C0D" w:rsidRPr="00AF7538" w:rsidRDefault="00316C0D" w:rsidP="00A41D53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316C0D" w:rsidRPr="00AF7538" w14:paraId="2A8A6BE0" w14:textId="77777777" w:rsidTr="00A41D53">
        <w:trPr>
          <w:trHeight w:val="77"/>
        </w:trPr>
        <w:tc>
          <w:tcPr>
            <w:tcW w:w="11335" w:type="dxa"/>
          </w:tcPr>
          <w:p w14:paraId="5E99037E" w14:textId="77777777" w:rsidR="00316C0D" w:rsidRPr="006754BA" w:rsidRDefault="00316C0D" w:rsidP="00A41D53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F27F262" w14:textId="77777777" w:rsidR="00316C0D" w:rsidRPr="00B9029D" w:rsidRDefault="00316C0D" w:rsidP="00A41D53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316C0D" w:rsidRPr="00AF7538" w14:paraId="47AF0E6C" w14:textId="77777777" w:rsidTr="00A41D53">
        <w:trPr>
          <w:trHeight w:val="77"/>
        </w:trPr>
        <w:tc>
          <w:tcPr>
            <w:tcW w:w="11335" w:type="dxa"/>
          </w:tcPr>
          <w:p w14:paraId="1B5934C9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484AD6A4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</w:p>
          <w:p w14:paraId="7A192053" w14:textId="77777777" w:rsidR="00316C0D" w:rsidRDefault="00316C0D" w:rsidP="00A41D53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42EFC6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815833858" r:id="rId11"/>
              </w:object>
            </w:r>
          </w:p>
          <w:p w14:paraId="30FA0CAF" w14:textId="77777777" w:rsidR="00316C0D" w:rsidRPr="00694045" w:rsidRDefault="00316C0D" w:rsidP="00A41D53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03C56B39" w14:textId="77777777" w:rsidR="00316C0D" w:rsidRPr="00AF7538" w:rsidRDefault="00316C0D" w:rsidP="00A41D53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11BDA9C5" w14:textId="77777777" w:rsidR="00BF6A3F" w:rsidRPr="00AF7538" w:rsidRDefault="00BF6A3F" w:rsidP="00BF6A3F">
      <w:pPr>
        <w:ind w:left="0"/>
        <w:jc w:val="both"/>
        <w:rPr>
          <w:b w:val="0"/>
        </w:rPr>
      </w:pPr>
    </w:p>
    <w:p w14:paraId="34269D38" w14:textId="77777777" w:rsidR="00BF6A3F" w:rsidRPr="00AF7538" w:rsidRDefault="00BF6A3F" w:rsidP="00BF6A3F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F6A3F" w:rsidRPr="003E1995" w14:paraId="29307796" w14:textId="77777777" w:rsidTr="00F17E46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486A3F17" w14:textId="77777777" w:rsidR="00BF6A3F" w:rsidRPr="00AF7538" w:rsidRDefault="00BF6A3F" w:rsidP="00F17E46">
            <w:pPr>
              <w:pStyle w:val="Heading2"/>
              <w:rPr>
                <w:lang w:val="bg-BG"/>
              </w:rPr>
            </w:pPr>
            <w:bookmarkStart w:id="12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2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F0335B7" w14:textId="77777777" w:rsidR="00BF6A3F" w:rsidRPr="00AF7538" w:rsidRDefault="00BF6A3F" w:rsidP="00F17E46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F6A3F" w:rsidRPr="00AF7538" w14:paraId="1AB41B28" w14:textId="77777777" w:rsidTr="00F17E46">
        <w:trPr>
          <w:trHeight w:val="557"/>
          <w:jc w:val="center"/>
        </w:trPr>
        <w:tc>
          <w:tcPr>
            <w:tcW w:w="11340" w:type="dxa"/>
          </w:tcPr>
          <w:p w14:paraId="4368819F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1B417938" w14:textId="77777777" w:rsidR="00BF6A3F" w:rsidRPr="00AF7538" w:rsidRDefault="00BF6A3F" w:rsidP="00F17E46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9D4259F" w14:textId="77777777" w:rsidR="00BF6A3F" w:rsidRPr="00AF7538" w:rsidRDefault="00BF6A3F" w:rsidP="00F17E46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B8EADFA" w14:textId="77777777" w:rsidR="00F667BB" w:rsidRPr="00AF7538" w:rsidRDefault="00F667BB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2E031A" w:rsidRPr="003E1995" w14:paraId="0965A026" w14:textId="77777777" w:rsidTr="00163853">
        <w:trPr>
          <w:trHeight w:val="559"/>
        </w:trPr>
        <w:tc>
          <w:tcPr>
            <w:tcW w:w="11340" w:type="dxa"/>
            <w:shd w:val="clear" w:color="auto" w:fill="C5E0B3"/>
          </w:tcPr>
          <w:p w14:paraId="12CADB27" w14:textId="51C3B616" w:rsidR="002E031A" w:rsidRPr="00ED3879" w:rsidRDefault="00D933CB" w:rsidP="00E61448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3" w:name="_Toc48567360"/>
            <w:r w:rsidRPr="00B66E30">
              <w:rPr>
                <w:rStyle w:val="Heading2Char"/>
                <w:b/>
              </w:rPr>
              <w:t xml:space="preserve">IV.10. </w:t>
            </w:r>
            <w:r w:rsidR="002E031A" w:rsidRPr="00B66E30">
              <w:rPr>
                <w:rStyle w:val="Heading2Char"/>
                <w:b/>
              </w:rPr>
              <w:t>Други документи</w:t>
            </w:r>
            <w:bookmarkEnd w:id="13"/>
            <w:r w:rsidR="002E031A" w:rsidRPr="00B66E30">
              <w:t>, посочени в АДБФП/ ЗБФП, включително в Условията за изпълнение към тях</w:t>
            </w:r>
          </w:p>
          <w:p w14:paraId="1B61FEA7" w14:textId="77777777" w:rsidR="005A3ED9" w:rsidRDefault="005A3ED9" w:rsidP="00E61448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19132ACA" w14:textId="5FA84A94" w:rsidR="00CA078D" w:rsidRPr="00CA078D" w:rsidRDefault="00CA078D" w:rsidP="00CA078D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*shp (ESRI shape file),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0F5D522A" w14:textId="50E8F27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0A25D361" w14:textId="13AAD338" w:rsidR="00CA078D" w:rsidRPr="00CA078D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5368C79C" w14:textId="0141664D" w:rsidR="005A3ED9" w:rsidRDefault="00CA078D" w:rsidP="00DC1F73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="00DC1F73"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 w:rsidR="005A3ED9">
              <w:rPr>
                <w:b w:val="0"/>
                <w:bCs/>
                <w:lang w:val="bg-BG"/>
              </w:rPr>
              <w:t>.</w:t>
            </w:r>
          </w:p>
          <w:p w14:paraId="50269E30" w14:textId="00E218F0" w:rsidR="003E1995" w:rsidRPr="005A3ED9" w:rsidRDefault="003E1995" w:rsidP="003E1995">
            <w:pPr>
              <w:pStyle w:val="ListParagraph"/>
              <w:numPr>
                <w:ilvl w:val="0"/>
                <w:numId w:val="10"/>
              </w:numPr>
              <w:jc w:val="both"/>
              <w:rPr>
                <w:b w:val="0"/>
                <w:bCs/>
                <w:lang w:val="bg-BG"/>
              </w:rPr>
            </w:pPr>
            <w:r>
              <w:rPr>
                <w:b w:val="0"/>
                <w:bCs/>
                <w:lang w:val="bg-BG"/>
              </w:rPr>
              <w:t xml:space="preserve">Анализ извършен от </w:t>
            </w:r>
            <w:r w:rsidRPr="003E1995">
              <w:rPr>
                <w:b w:val="0"/>
                <w:bCs/>
                <w:lang w:val="bg-BG"/>
              </w:rPr>
              <w:t>фитоценолог</w:t>
            </w:r>
            <w:r w:rsidRPr="003E1995">
              <w:rPr>
                <w:lang w:val="bg-BG"/>
              </w:rPr>
              <w:t xml:space="preserve"> </w:t>
            </w:r>
            <w:r w:rsidRPr="003E1995">
              <w:rPr>
                <w:b w:val="0"/>
                <w:bCs/>
                <w:lang w:val="bg-BG"/>
              </w:rPr>
              <w:t xml:space="preserve">с експертиза по </w:t>
            </w:r>
            <w:r>
              <w:rPr>
                <w:b w:val="0"/>
                <w:bCs/>
                <w:lang w:val="bg-BG"/>
              </w:rPr>
              <w:t xml:space="preserve">целевите по процедурата </w:t>
            </w:r>
            <w:r w:rsidRPr="003E1995">
              <w:rPr>
                <w:b w:val="0"/>
                <w:bCs/>
                <w:lang w:val="bg-BG"/>
              </w:rPr>
              <w:t>природни местообитания</w:t>
            </w:r>
            <w:r>
              <w:rPr>
                <w:b w:val="0"/>
                <w:bCs/>
                <w:lang w:val="bg-BG"/>
              </w:rPr>
              <w:t xml:space="preserve">. </w:t>
            </w:r>
          </w:p>
          <w:p w14:paraId="73BBFC86" w14:textId="77802699" w:rsidR="005A3ED9" w:rsidRPr="00DC1F73" w:rsidRDefault="005A3ED9" w:rsidP="00DC1F73">
            <w:pPr>
              <w:pStyle w:val="ListParagraph"/>
              <w:numPr>
                <w:ilvl w:val="0"/>
                <w:numId w:val="10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 xml:space="preserve"> от специалист в областта на опазване на биологичното разнообразие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при приключване на дейностите по проекта</w:t>
            </w:r>
            <w:r w:rsidR="00ED3879" w:rsidRPr="00DC1F73">
              <w:rPr>
                <w:b w:val="0"/>
                <w:bCs/>
                <w:color w:val="000000" w:themeColor="text1"/>
                <w:lang w:val="bg-BG"/>
              </w:rPr>
              <w:t>,</w:t>
            </w:r>
            <w:r w:rsidRPr="00DC1F73">
              <w:rPr>
                <w:b w:val="0"/>
                <w:bCs/>
                <w:color w:val="000000" w:themeColor="text1"/>
                <w:lang w:val="bg-BG"/>
              </w:rPr>
              <w:t xml:space="preserve"> удостоверяващо постигнатото подобрение на природозащитното състояние на природното местообитание/ природните местообитания</w:t>
            </w:r>
          </w:p>
        </w:tc>
        <w:tc>
          <w:tcPr>
            <w:tcW w:w="1701" w:type="dxa"/>
          </w:tcPr>
          <w:p w14:paraId="0DD39772" w14:textId="60656F33" w:rsidR="002E031A" w:rsidRPr="00AF7538" w:rsidRDefault="00AE1DB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Представят се к</w:t>
            </w:r>
            <w:r w:rsidR="002E031A" w:rsidRPr="00AF7538">
              <w:rPr>
                <w:b w:val="0"/>
                <w:lang w:val="bg-BG"/>
              </w:rPr>
              <w:t>ъм компонента</w:t>
            </w:r>
            <w:r w:rsidR="00D13675" w:rsidRPr="00AF7538">
              <w:rPr>
                <w:b w:val="0"/>
                <w:lang w:val="bg-BG"/>
              </w:rPr>
              <w:t xml:space="preserve"> към ПОД</w:t>
            </w:r>
            <w:r w:rsidR="002E031A" w:rsidRPr="00AF7538">
              <w:rPr>
                <w:b w:val="0"/>
                <w:lang w:val="bg-BG"/>
              </w:rPr>
              <w:t>, за който се отнасят</w:t>
            </w:r>
          </w:p>
        </w:tc>
      </w:tr>
    </w:tbl>
    <w:p w14:paraId="28823CE0" w14:textId="27662B4D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p w14:paraId="1597FF38" w14:textId="77777777" w:rsidR="00E6444A" w:rsidRPr="006754BA" w:rsidRDefault="00E6444A" w:rsidP="00AF7538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3E1995" w14:paraId="157D035F" w14:textId="77777777" w:rsidTr="00F4406A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1C4C6F8" w14:textId="1C67DB5C" w:rsidR="00A807C4" w:rsidRPr="00AF7538" w:rsidRDefault="00A807C4" w:rsidP="00AF7538">
            <w:pPr>
              <w:pStyle w:val="Heading2"/>
              <w:rPr>
                <w:lang w:val="bg-BG"/>
              </w:rPr>
            </w:pPr>
            <w:bookmarkStart w:id="14" w:name="_IV.11._Документи,_които"/>
            <w:bookmarkStart w:id="15" w:name="_Toc48567361"/>
            <w:bookmarkEnd w:id="14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80CE74" w14:textId="213428D8" w:rsidR="00A807C4" w:rsidRPr="00AF7538" w:rsidRDefault="00085E43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E6444A" w:rsidRPr="00AF7538" w14:paraId="0658AE46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27B462F1" w14:textId="5F6CFCE4" w:rsidR="00E6444A" w:rsidRPr="006754BA" w:rsidRDefault="00E6444A" w:rsidP="00985FCA">
            <w:pPr>
              <w:pStyle w:val="Heading3"/>
              <w:shd w:val="clear" w:color="auto" w:fill="EAF1DD" w:themeFill="accent3" w:themeFillTint="33"/>
              <w:jc w:val="both"/>
              <w:rPr>
                <w:lang w:val="bg-BG"/>
              </w:rPr>
            </w:pPr>
            <w:bookmarkStart w:id="16" w:name="_Toc48567362"/>
            <w:r w:rsidRPr="00AF7538">
              <w:t>IV</w:t>
            </w:r>
            <w:r w:rsidRPr="006754BA">
              <w:rPr>
                <w:lang w:val="bg-BG"/>
              </w:rPr>
              <w:t xml:space="preserve">.11.1. </w:t>
            </w:r>
            <w:r w:rsidR="00531247" w:rsidRPr="006754BA">
              <w:rPr>
                <w:lang w:val="bg-BG"/>
              </w:rPr>
              <w:t>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16"/>
          </w:p>
          <w:p w14:paraId="4E448613" w14:textId="408A5EFC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 w:rsidR="00085E43">
              <w:rPr>
                <w:b w:val="0"/>
                <w:lang w:val="bg-BG"/>
              </w:rPr>
              <w:t xml:space="preserve">те реквизити по </w:t>
            </w:r>
            <w:r w:rsidR="00085E43" w:rsidRPr="006D5498">
              <w:rPr>
                <w:b w:val="0"/>
                <w:lang w:val="bg-BG"/>
              </w:rPr>
              <w:t>ПОС 2021 – 2027</w:t>
            </w:r>
            <w:r w:rsidR="00305C14" w:rsidRPr="006D5498">
              <w:rPr>
                <w:b w:val="0"/>
                <w:lang w:val="bg-BG"/>
              </w:rPr>
              <w:t xml:space="preserve"> г</w:t>
            </w:r>
            <w:r w:rsidRPr="00AF7538">
              <w:rPr>
                <w:b w:val="0"/>
                <w:lang w:val="bg-BG"/>
              </w:rPr>
              <w:t xml:space="preserve">, както и подробна информация за извършената услуга/ доставка/ строителство - брой, единична стойност, обща </w:t>
            </w:r>
            <w:r w:rsidRPr="00AF7538">
              <w:rPr>
                <w:b w:val="0"/>
                <w:lang w:val="bg-BG"/>
              </w:rPr>
              <w:lastRenderedPageBreak/>
              <w:t>стойност, за оборудване - и сериен номер</w:t>
            </w:r>
            <w:r w:rsidR="00676D0C"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 w:rsidR="00676D0C">
              <w:rPr>
                <w:b w:val="0"/>
                <w:lang w:val="bg-BG"/>
              </w:rPr>
              <w:t>;</w:t>
            </w:r>
          </w:p>
          <w:p w14:paraId="35D86E87" w14:textId="79622509" w:rsidR="00E6444A" w:rsidRPr="00676D0C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 w:rsidR="00676D0C">
              <w:rPr>
                <w:b w:val="0"/>
                <w:lang w:val="bg-BG"/>
              </w:rPr>
              <w:t>/Рекапитулации;</w:t>
            </w:r>
          </w:p>
          <w:p w14:paraId="4B1512E6" w14:textId="585F435A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 w:rsidR="00676D0C">
              <w:rPr>
                <w:b w:val="0"/>
                <w:lang w:val="bg-BG"/>
              </w:rPr>
              <w:t>;</w:t>
            </w:r>
          </w:p>
          <w:p w14:paraId="0282E3F1" w14:textId="59A7C83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 w:rsidR="00676D0C">
              <w:rPr>
                <w:b w:val="0"/>
                <w:lang w:val="bg-BG"/>
              </w:rPr>
              <w:t>;</w:t>
            </w:r>
          </w:p>
          <w:p w14:paraId="726F349E" w14:textId="7FBB3EC3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 w:rsidR="00676D0C">
              <w:rPr>
                <w:b w:val="0"/>
                <w:lang w:val="bg-BG"/>
              </w:rPr>
              <w:t xml:space="preserve"> (</w:t>
            </w:r>
            <w:r w:rsidR="00676D0C" w:rsidRPr="00676D0C">
              <w:rPr>
                <w:b w:val="0"/>
                <w:lang w:val="bg-BG"/>
              </w:rPr>
              <w:t>Фискал</w:t>
            </w:r>
            <w:r w:rsidR="00676D0C">
              <w:rPr>
                <w:b w:val="0"/>
                <w:lang w:val="bg-BG"/>
              </w:rPr>
              <w:t>ни</w:t>
            </w:r>
            <w:r w:rsidR="00676D0C" w:rsidRPr="00676D0C">
              <w:rPr>
                <w:b w:val="0"/>
                <w:lang w:val="bg-BG"/>
              </w:rPr>
              <w:t xml:space="preserve"> </w:t>
            </w:r>
            <w:r w:rsidR="0019076F" w:rsidRPr="00676D0C">
              <w:rPr>
                <w:b w:val="0"/>
                <w:lang w:val="bg-BG"/>
              </w:rPr>
              <w:t>бон</w:t>
            </w:r>
            <w:r w:rsidR="0019076F">
              <w:rPr>
                <w:b w:val="0"/>
                <w:lang w:val="bg-BG"/>
              </w:rPr>
              <w:t>ове</w:t>
            </w:r>
            <w:r w:rsidR="00676D0C">
              <w:rPr>
                <w:b w:val="0"/>
                <w:lang w:val="bg-BG"/>
              </w:rPr>
              <w:t>);</w:t>
            </w:r>
          </w:p>
          <w:p w14:paraId="2F4287B7" w14:textId="05BC3385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 w:rsidR="00676D0C">
              <w:rPr>
                <w:b w:val="0"/>
                <w:lang w:val="bg-BG"/>
              </w:rPr>
              <w:t>;</w:t>
            </w:r>
          </w:p>
          <w:p w14:paraId="265D3AB1" w14:textId="20112F77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 w:rsidR="00676D0C">
              <w:rPr>
                <w:b w:val="0"/>
                <w:lang w:val="bg-BG"/>
              </w:rPr>
              <w:t>.</w:t>
            </w:r>
          </w:p>
          <w:p w14:paraId="065888EB" w14:textId="3EE73CAB" w:rsidR="000C7843" w:rsidRPr="00AF7538" w:rsidRDefault="000C7843" w:rsidP="00AF7538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09400548" w14:textId="1788B921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1.</w:t>
            </w:r>
            <w:r w:rsidR="00E6444A" w:rsidRPr="00AF7538">
              <w:rPr>
                <w:b w:val="0"/>
                <w:lang w:val="bg-BG"/>
              </w:rPr>
              <w:t xml:space="preserve">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 w:rsidR="00676D0C">
              <w:rPr>
                <w:b w:val="0"/>
                <w:lang w:val="bg-BG"/>
              </w:rPr>
              <w:t>в</w:t>
            </w:r>
            <w:r w:rsidR="00E6444A"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2FBD9F35" w14:textId="5809C62E" w:rsidR="00E6444A" w:rsidRPr="00115CE4" w:rsidRDefault="000C7843" w:rsidP="00AF7538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 xml:space="preserve"> При </w:t>
            </w:r>
            <w:r w:rsidR="002E2BA2" w:rsidRPr="00115CE4">
              <w:rPr>
                <w:rFonts w:eastAsiaTheme="minorHAnsi"/>
                <w:sz w:val="22"/>
                <w:szCs w:val="22"/>
                <w:lang w:val="bg-BG"/>
              </w:rPr>
              <w:t xml:space="preserve">представяне на </w:t>
            </w:r>
            <w:r w:rsidR="00E6444A" w:rsidRPr="00115CE4">
              <w:rPr>
                <w:rFonts w:eastAsiaTheme="minorHAnsi"/>
                <w:sz w:val="22"/>
                <w:szCs w:val="22"/>
                <w:lang w:val="bg-BG"/>
              </w:rPr>
              <w:t>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2224CA7B" w14:textId="5C190902" w:rsidR="00E6444A" w:rsidRPr="00C36A99" w:rsidRDefault="000C7843" w:rsidP="00AF7538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</w:t>
            </w:r>
            <w:r w:rsidR="00E6444A" w:rsidRPr="00C36A99">
              <w:rPr>
                <w:b w:val="0"/>
                <w:u w:val="single"/>
                <w:lang w:val="bg-BG"/>
              </w:rPr>
              <w:t xml:space="preserve"> Всички РОД, отчитани по проекта, следва да съдърж</w:t>
            </w:r>
            <w:r w:rsidR="00085E43"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="00085E43" w:rsidRPr="00E43128">
              <w:rPr>
                <w:b w:val="0"/>
                <w:u w:val="single"/>
                <w:lang w:val="bg-BG"/>
              </w:rPr>
              <w:t>ПОС 2021 – 2027</w:t>
            </w:r>
            <w:r w:rsidR="00676D0C" w:rsidRPr="00E43128">
              <w:rPr>
                <w:b w:val="0"/>
                <w:u w:val="single"/>
                <w:lang w:val="bg-BG"/>
              </w:rPr>
              <w:t xml:space="preserve"> г</w:t>
            </w:r>
            <w:r w:rsidR="00E6444A" w:rsidRPr="00E43128">
              <w:rPr>
                <w:b w:val="0"/>
                <w:u w:val="single"/>
                <w:lang w:val="bg-BG"/>
              </w:rPr>
              <w:t>.</w:t>
            </w:r>
          </w:p>
          <w:p w14:paraId="448F5241" w14:textId="636137C0" w:rsidR="00E6444A" w:rsidRPr="00AF7538" w:rsidRDefault="000C78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4.</w:t>
            </w:r>
            <w:r w:rsidR="00E6444A" w:rsidRPr="00AF7538">
              <w:rPr>
                <w:b w:val="0"/>
                <w:lang w:val="bg-BG"/>
              </w:rPr>
              <w:t xml:space="preserve"> </w:t>
            </w:r>
            <w:r w:rsidR="00791F23">
              <w:rPr>
                <w:b w:val="0"/>
                <w:lang w:val="bg-BG"/>
              </w:rPr>
              <w:t>При отчитане на разходи с</w:t>
            </w:r>
            <w:r w:rsidR="00E6444A"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 w:rsidR="00676D0C">
              <w:rPr>
                <w:b w:val="0"/>
                <w:lang w:val="bg-BG"/>
              </w:rPr>
              <w:t xml:space="preserve">сметки за изплатени суми, </w:t>
            </w:r>
            <w:r w:rsidR="00E6444A"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 w:rsidR="00085E43">
              <w:rPr>
                <w:b w:val="0"/>
                <w:lang w:val="bg-BG"/>
              </w:rPr>
              <w:t xml:space="preserve">във финансовия отчет в </w:t>
            </w:r>
            <w:r w:rsidR="00085E43" w:rsidRPr="00E43128">
              <w:rPr>
                <w:b w:val="0"/>
                <w:lang w:val="bg-BG"/>
              </w:rPr>
              <w:t>ИСУН</w:t>
            </w:r>
            <w:r w:rsidR="00E6444A" w:rsidRPr="00AF7538">
              <w:rPr>
                <w:b w:val="0"/>
                <w:lang w:val="bg-BG"/>
              </w:rPr>
              <w:t>.</w:t>
            </w:r>
          </w:p>
          <w:p w14:paraId="074076B9" w14:textId="77C03EE6" w:rsidR="00E6444A" w:rsidRPr="00AF7538" w:rsidRDefault="008D25F4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</w:t>
            </w:r>
            <w:r w:rsidR="00F95DAF" w:rsidRPr="00A8504E">
              <w:rPr>
                <w:b w:val="0"/>
                <w:lang w:val="bg-BG"/>
              </w:rPr>
              <w:t xml:space="preserve">в компонент „Искане за плащане“ се представят и </w:t>
            </w:r>
            <w:r w:rsidRPr="00A8504E">
              <w:rPr>
                <w:b w:val="0"/>
                <w:lang w:val="bg-BG"/>
              </w:rPr>
              <w:t xml:space="preserve">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311B2E38" w14:textId="5E51E80F" w:rsidR="008D25F4" w:rsidRPr="00AF7538" w:rsidRDefault="008D25F4" w:rsidP="00AF7538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7AC8D9CE" w14:textId="24565379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E6444A" w:rsidRPr="00AF7538" w14:paraId="10FD8935" w14:textId="77777777" w:rsidTr="006D2B72">
        <w:trPr>
          <w:jc w:val="center"/>
        </w:trPr>
        <w:tc>
          <w:tcPr>
            <w:tcW w:w="11340" w:type="dxa"/>
            <w:shd w:val="clear" w:color="auto" w:fill="auto"/>
          </w:tcPr>
          <w:p w14:paraId="356C6858" w14:textId="60317C0B" w:rsidR="00E6444A" w:rsidRPr="00AF7538" w:rsidRDefault="00E6444A" w:rsidP="00985FCA">
            <w:pPr>
              <w:pStyle w:val="Heading3"/>
              <w:shd w:val="clear" w:color="auto" w:fill="EAF1DD" w:themeFill="accent3" w:themeFillTint="33"/>
              <w:jc w:val="both"/>
              <w:rPr>
                <w:rStyle w:val="Heading2Char"/>
                <w:b/>
              </w:rPr>
            </w:pPr>
            <w:bookmarkStart w:id="17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17"/>
          </w:p>
          <w:p w14:paraId="2F1808C1" w14:textId="3CCD2DE1" w:rsidR="00264E9E" w:rsidRPr="00AF7538" w:rsidRDefault="00264E9E" w:rsidP="00AF7538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 w:rsidR="00085E43">
              <w:rPr>
                <w:b w:val="0"/>
              </w:rPr>
              <w:t xml:space="preserve">ъв финансовия отчет в </w:t>
            </w:r>
            <w:r w:rsidR="00085E43"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>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 w:rsidR="00676D0C"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1AEBBB7B" w14:textId="4659A012" w:rsidR="00E6444A" w:rsidRPr="00AF7538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 w:rsidR="00676D0C"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</w:t>
            </w:r>
            <w:r w:rsidR="00676D0C" w:rsidRPr="00AF7538">
              <w:rPr>
                <w:b w:val="0"/>
                <w:lang w:val="bg-BG"/>
              </w:rPr>
              <w:t>ви</w:t>
            </w:r>
            <w:r w:rsidR="00676D0C">
              <w:rPr>
                <w:b w:val="0"/>
                <w:lang w:val="bg-BG"/>
              </w:rPr>
              <w:t>дни</w:t>
            </w:r>
            <w:r w:rsidR="00676D0C" w:rsidRPr="00AF7538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данните за разходите, отчетени по проекта</w:t>
            </w:r>
            <w:r w:rsidR="002021AD">
              <w:rPr>
                <w:b w:val="0"/>
                <w:lang w:val="bg-BG"/>
              </w:rPr>
              <w:t>;</w:t>
            </w:r>
          </w:p>
          <w:p w14:paraId="06127C2C" w14:textId="77777777" w:rsidR="00ED7771" w:rsidRDefault="00676D0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 xml:space="preserve">- Касови бележки (Фискални </w:t>
            </w:r>
            <w:r w:rsidR="00902073" w:rsidRPr="00676D0C">
              <w:rPr>
                <w:b w:val="0"/>
                <w:lang w:val="bg-BG"/>
              </w:rPr>
              <w:t>бонове</w:t>
            </w:r>
            <w:r w:rsidRPr="00676D0C">
              <w:rPr>
                <w:b w:val="0"/>
                <w:lang w:val="bg-BG"/>
              </w:rPr>
              <w:t>);</w:t>
            </w:r>
          </w:p>
          <w:p w14:paraId="76F82413" w14:textId="3EAA6CFC" w:rsidR="00ED7771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 w:rsidRPr="00676D0C">
              <w:rPr>
                <w:b w:val="0"/>
                <w:lang w:val="bg-BG"/>
              </w:rPr>
              <w:t>Разходни касови ордери;</w:t>
            </w:r>
          </w:p>
          <w:p w14:paraId="6379B038" w14:textId="0102ED73" w:rsidR="00E6444A" w:rsidRPr="00AF7538" w:rsidRDefault="00ED7771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Б</w:t>
            </w:r>
            <w:r w:rsidR="00E6444A" w:rsidRPr="00AF7538">
              <w:rPr>
                <w:b w:val="0"/>
                <w:lang w:val="bg-BG"/>
              </w:rPr>
              <w:t>анкови бордера</w:t>
            </w:r>
            <w:r w:rsidR="00676D0C">
              <w:rPr>
                <w:b w:val="0"/>
                <w:lang w:val="bg-BG"/>
              </w:rPr>
              <w:t>;</w:t>
            </w:r>
          </w:p>
          <w:p w14:paraId="7D6743F6" w14:textId="1C509E05" w:rsidR="00E6444A" w:rsidRPr="00504D5D" w:rsidRDefault="00E6444A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676D0C"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 w:rsidR="00676D0C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7DA729DA" w14:textId="6B1228C5" w:rsidR="00E6444A" w:rsidRPr="00AF7538" w:rsidRDefault="00E6444A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BC05809" w14:textId="77777777" w:rsidR="004B1495" w:rsidRPr="00AF7538" w:rsidRDefault="004B1495" w:rsidP="00AF7538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A807C4" w:rsidRPr="003E1995" w14:paraId="4F2EE027" w14:textId="77777777" w:rsidTr="00F4406A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B7DDC4B" w14:textId="1E46139C" w:rsidR="00A807C4" w:rsidRPr="00AF7538" w:rsidRDefault="00A807C4" w:rsidP="00AF7538">
            <w:pPr>
              <w:pStyle w:val="Heading2"/>
              <w:rPr>
                <w:lang w:val="bg-BG"/>
              </w:rPr>
            </w:pPr>
            <w:bookmarkStart w:id="18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18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4D73592" w14:textId="22754E9C" w:rsidR="00A807C4" w:rsidRPr="00AF7538" w:rsidRDefault="005627DE" w:rsidP="00AF7538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AA57DD" w:rsidRPr="00AF7538" w14:paraId="1BA95B4A" w14:textId="2747AFBC" w:rsidTr="006D2B72">
        <w:trPr>
          <w:trHeight w:val="70"/>
        </w:trPr>
        <w:tc>
          <w:tcPr>
            <w:tcW w:w="11340" w:type="dxa"/>
          </w:tcPr>
          <w:p w14:paraId="2723EB9A" w14:textId="670E7FA0" w:rsidR="00114B1C" w:rsidRPr="0099245C" w:rsidRDefault="00D933CB" w:rsidP="0099245C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</w:t>
            </w:r>
            <w:r w:rsidR="00AA57DD" w:rsidRPr="0099245C">
              <w:rPr>
                <w:bCs/>
                <w:lang w:val="bg-BG"/>
              </w:rPr>
              <w:t>1. Документи по образец</w:t>
            </w:r>
          </w:p>
          <w:p w14:paraId="4A38727A" w14:textId="64E1F206" w:rsidR="00AA57DD" w:rsidRDefault="00AA57DD" w:rsidP="00AF7538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</w:t>
            </w:r>
            <w:r w:rsidR="00263B82" w:rsidRPr="00AF7538">
              <w:rPr>
                <w:b w:val="0"/>
                <w:i/>
                <w:color w:val="000000" w:themeColor="text1"/>
                <w:lang w:val="bg-BG"/>
              </w:rPr>
              <w:t xml:space="preserve">Образец </w:t>
            </w:r>
            <w:r w:rsidR="003810FB"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7C24C5A1" w14:textId="28122AB2" w:rsidR="00E500FB" w:rsidRPr="00E500FB" w:rsidRDefault="00B75532" w:rsidP="00114B1C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CFE1CF2" w14:textId="75DA3FD3" w:rsidR="00AA57DD" w:rsidRPr="00AF7538" w:rsidRDefault="00B75532" w:rsidP="00B75532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</w:t>
            </w:r>
            <w:r w:rsidR="00562AE2">
              <w:rPr>
                <w:b w:val="0"/>
                <w:lang w:val="bg-BG"/>
              </w:rPr>
              <w:t xml:space="preserve"> </w:t>
            </w:r>
            <w:r w:rsidR="00562AE2" w:rsidRPr="001221DD">
              <w:rPr>
                <w:b w:val="0"/>
                <w:i/>
                <w:iCs/>
                <w:lang w:val="bg-BG"/>
              </w:rPr>
              <w:t>(</w:t>
            </w:r>
            <w:r w:rsidR="00562AE2"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="000A371B" w:rsidRPr="006754BA">
              <w:rPr>
                <w:b w:val="0"/>
                <w:i/>
                <w:iCs/>
                <w:lang w:val="bg-BG"/>
              </w:rPr>
              <w:t>6</w:t>
            </w:r>
            <w:r w:rsidR="00562AE2" w:rsidRPr="001F294D">
              <w:rPr>
                <w:b w:val="0"/>
                <w:i/>
                <w:iCs/>
                <w:lang w:val="bg-BG"/>
              </w:rPr>
              <w:t>)</w:t>
            </w:r>
            <w:r w:rsidR="00562AE2"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="00562AE2" w:rsidRPr="001221DD">
              <w:rPr>
                <w:b w:val="0"/>
                <w:lang w:val="bg-BG"/>
              </w:rPr>
              <w:t>подава се с всяко искане за плащане</w:t>
            </w:r>
            <w:r w:rsidR="00562AE2"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6DC1456E" w14:textId="45319BFD" w:rsidR="00AA57DD" w:rsidRPr="006A23C0" w:rsidRDefault="00AA57DD" w:rsidP="006A23C0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lastRenderedPageBreak/>
              <w:t>Искане за плащане</w:t>
            </w:r>
          </w:p>
          <w:p w14:paraId="042D9654" w14:textId="73A62829" w:rsidR="00AA57DD" w:rsidRPr="00AF7538" w:rsidRDefault="00AA57DD" w:rsidP="00AF7538">
            <w:pPr>
              <w:ind w:left="0"/>
            </w:pPr>
          </w:p>
        </w:tc>
      </w:tr>
      <w:tr w:rsidR="00AA57DD" w:rsidRPr="00AF7538" w14:paraId="06A03397" w14:textId="2890221D" w:rsidTr="006D2B72">
        <w:trPr>
          <w:trHeight w:val="3823"/>
        </w:trPr>
        <w:tc>
          <w:tcPr>
            <w:tcW w:w="11340" w:type="dxa"/>
          </w:tcPr>
          <w:p w14:paraId="0FA24565" w14:textId="66112DBE" w:rsidR="00AA57DD" w:rsidRPr="00AF7538" w:rsidRDefault="00D933CB" w:rsidP="006C5078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</w:t>
            </w:r>
            <w:r w:rsidR="00AA57DD"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2. Счетоводни документи и документи, доказващи, че разходите са отразени в счетоводната система на бенефициента,</w:t>
            </w:r>
            <w:r w:rsidR="00AA57DD"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="00AA57DD"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F4CEBF6" w14:textId="5BBF14CF" w:rsidR="00AA57DD" w:rsidRPr="007254B7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 w:rsidR="00115CE4"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25052605" w14:textId="77777777" w:rsidR="00AA57DD" w:rsidRPr="00AF7538" w:rsidRDefault="00AA57DD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519045A3" w14:textId="36B56EE5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="00AA57DD"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26CC646B" w14:textId="768C6309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0A352D6C" w14:textId="326C31F0" w:rsidR="00AA57DD" w:rsidRPr="00AF7538" w:rsidRDefault="0096042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="00AA57DD"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45025C6A" w14:textId="147323ED" w:rsidR="00E61448" w:rsidRPr="00E61448" w:rsidRDefault="00AA57DD" w:rsidP="00AF7538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 w:rsidR="00E61448"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798794" w14:textId="6E667F9E" w:rsidR="00AA57DD" w:rsidRPr="00AF7538" w:rsidRDefault="00AA57DD" w:rsidP="00AF7538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3ED2210" w14:textId="77777777" w:rsidR="00545F36" w:rsidRPr="00AF7538" w:rsidRDefault="00545F36" w:rsidP="00AF7538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A807C4" w:rsidRPr="00AF7538" w14:paraId="0D37E4EB" w14:textId="77777777" w:rsidTr="002B4AAD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4ECBED73" w14:textId="440B7C48" w:rsidR="00A807C4" w:rsidRPr="00AF7538" w:rsidRDefault="00A97F44" w:rsidP="00A97F44">
            <w:pPr>
              <w:pStyle w:val="Heading1"/>
            </w:pPr>
            <w:bookmarkStart w:id="19" w:name="_IV._ДДС,_ДОПУСТИМ"/>
            <w:bookmarkStart w:id="20" w:name="_Toc48567365"/>
            <w:bookmarkEnd w:id="19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0"/>
          </w:p>
        </w:tc>
        <w:tc>
          <w:tcPr>
            <w:tcW w:w="1701" w:type="dxa"/>
            <w:shd w:val="clear" w:color="auto" w:fill="A8D08D"/>
          </w:tcPr>
          <w:p w14:paraId="71FCE05B" w14:textId="40E4F6D3" w:rsidR="00A807C4" w:rsidRPr="00AF7538" w:rsidRDefault="00F91D53" w:rsidP="00AF7538">
            <w:pPr>
              <w:ind w:left="0"/>
              <w:jc w:val="center"/>
            </w:pPr>
            <w:r>
              <w:t xml:space="preserve">Място на представяне в </w:t>
            </w:r>
            <w:r w:rsidRPr="00E43128">
              <w:t>ИСУН</w:t>
            </w:r>
          </w:p>
        </w:tc>
      </w:tr>
      <w:tr w:rsidR="00EA4D19" w:rsidRPr="00AF7538" w14:paraId="1F52BE19" w14:textId="77777777" w:rsidTr="00163853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6FB6C2A8" w14:textId="3DFD0D84" w:rsidR="00545F36" w:rsidRDefault="00A321A9" w:rsidP="00AF7538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="00EA4D19"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="00EA4D19" w:rsidRPr="00AF7538">
              <w:rPr>
                <w:b w:val="0"/>
                <w:lang w:val="bg-BG"/>
              </w:rPr>
              <w:t>следните документи:</w:t>
            </w:r>
          </w:p>
          <w:p w14:paraId="17AB73AA" w14:textId="77777777" w:rsidR="00E61E84" w:rsidRDefault="00E61E84" w:rsidP="00AF7538">
            <w:pPr>
              <w:ind w:left="0"/>
              <w:jc w:val="both"/>
              <w:rPr>
                <w:b w:val="0"/>
                <w:lang w:val="bg-BG"/>
              </w:rPr>
            </w:pPr>
          </w:p>
          <w:p w14:paraId="0A41F4A3" w14:textId="0195ED21" w:rsidR="000F52FF" w:rsidRPr="00AF7538" w:rsidRDefault="000F52FF" w:rsidP="00AF7538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A6176C" w:rsidRPr="00AF7538" w14:paraId="0686626E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3C9F9F1" w14:textId="029511F9" w:rsidR="00A6176C" w:rsidRPr="00AF7538" w:rsidRDefault="00A6176C" w:rsidP="00AF7538">
            <w:pPr>
              <w:pStyle w:val="Heading2"/>
              <w:rPr>
                <w:lang w:val="bg-BG"/>
              </w:rPr>
            </w:pPr>
            <w:bookmarkStart w:id="21" w:name="_V.1._Документи,_които"/>
            <w:bookmarkStart w:id="22" w:name="_Toc48567366"/>
            <w:bookmarkEnd w:id="21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 w:rsidR="009D4786"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2"/>
          </w:p>
        </w:tc>
      </w:tr>
      <w:tr w:rsidR="00A6176C" w:rsidRPr="003E1995" w14:paraId="258FBF1D" w14:textId="77777777" w:rsidTr="00163853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217F8BA8" w14:textId="0682216B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 w:rsidR="003810FB"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FE67F96" w14:textId="538DD1AE" w:rsidR="00A6176C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CB6DD1B" w14:textId="02B1DDCD" w:rsidR="00773C43" w:rsidRPr="00AF7538" w:rsidRDefault="00773C43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02B3D2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7A34F9D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320291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E4D4653" w14:textId="1B54EE21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  <w:tr w:rsidR="00A6176C" w:rsidRPr="003E1995" w14:paraId="123EFB07" w14:textId="77777777" w:rsidTr="00163853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369F2443" w14:textId="10175F4A" w:rsidR="00A6176C" w:rsidRPr="00E61448" w:rsidRDefault="00A6176C" w:rsidP="00E61448">
            <w:pPr>
              <w:ind w:left="0"/>
              <w:jc w:val="both"/>
              <w:rPr>
                <w:b w:val="0"/>
                <w:lang w:val="bg-BG"/>
              </w:rPr>
            </w:pPr>
            <w:bookmarkStart w:id="23" w:name="_V.2._Документи,_които"/>
            <w:bookmarkStart w:id="24" w:name="_Toc48567367"/>
            <w:bookmarkEnd w:id="23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</w:t>
            </w:r>
            <w:r w:rsidR="00E61448" w:rsidRPr="00E61448">
              <w:rPr>
                <w:rStyle w:val="Heading2Char"/>
                <w:b/>
                <w:lang w:val="bg-BG"/>
              </w:rPr>
              <w:t>подаване на междинно/ окончателно</w:t>
            </w:r>
            <w:r w:rsidRPr="00E61448">
              <w:rPr>
                <w:rStyle w:val="Heading2Char"/>
                <w:b/>
                <w:lang w:val="bg-BG"/>
              </w:rPr>
              <w:t xml:space="preserve"> </w:t>
            </w:r>
            <w:r w:rsidR="00E61448"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4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A6176C" w:rsidRPr="003E1995" w14:paraId="24E05564" w14:textId="77777777" w:rsidTr="006D2B72">
        <w:trPr>
          <w:trHeight w:val="70"/>
          <w:jc w:val="center"/>
        </w:trPr>
        <w:tc>
          <w:tcPr>
            <w:tcW w:w="11340" w:type="dxa"/>
          </w:tcPr>
          <w:p w14:paraId="11A06DE7" w14:textId="77777777" w:rsidR="00291B7E" w:rsidRPr="00AF7538" w:rsidRDefault="00291B7E" w:rsidP="00291B7E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18CBB6F2" w14:textId="15472378" w:rsidR="00A6176C" w:rsidRPr="00AF7538" w:rsidRDefault="00A6176C" w:rsidP="00AF7538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</w:t>
            </w:r>
            <w:r w:rsidR="00263B82" w:rsidRPr="00AF7538">
              <w:rPr>
                <w:b w:val="0"/>
                <w:i/>
                <w:lang w:val="bg-BG"/>
              </w:rPr>
              <w:t xml:space="preserve">Образец </w:t>
            </w:r>
            <w:r w:rsidR="00263B82"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="00F33EB0"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 w:rsidR="00B8098C">
              <w:rPr>
                <w:b w:val="0"/>
                <w:lang w:val="bg-BG"/>
              </w:rPr>
              <w:t xml:space="preserve">ъзстановим (допустим разход по </w:t>
            </w:r>
            <w:r w:rsidR="00B8098C" w:rsidRPr="00BC63A0">
              <w:rPr>
                <w:b w:val="0"/>
                <w:lang w:val="bg-BG"/>
              </w:rPr>
              <w:t>ПОС 2021-2027</w:t>
            </w:r>
            <w:r w:rsidRPr="00BC63A0">
              <w:rPr>
                <w:b w:val="0"/>
                <w:lang w:val="bg-BG"/>
              </w:rPr>
              <w:t xml:space="preserve"> г.).</w:t>
            </w:r>
          </w:p>
          <w:p w14:paraId="7ED4E54A" w14:textId="06D84D4B" w:rsidR="00A6176C" w:rsidRPr="00AF7538" w:rsidRDefault="00A6176C" w:rsidP="00B6526C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 w:rsidR="00B6526C" w:rsidRPr="00DF0964">
              <w:rPr>
                <w:lang w:val="bg-BG"/>
              </w:rPr>
              <w:t xml:space="preserve"> </w:t>
            </w:r>
            <w:r w:rsidR="00B6526C" w:rsidRPr="00B6526C">
              <w:rPr>
                <w:b w:val="0"/>
                <w:lang w:val="bg-BG"/>
              </w:rPr>
              <w:t xml:space="preserve"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</w:t>
            </w:r>
            <w:r w:rsidR="00B6526C" w:rsidRPr="00B6526C">
              <w:rPr>
                <w:b w:val="0"/>
                <w:lang w:val="bg-BG"/>
              </w:rPr>
              <w:lastRenderedPageBreak/>
              <w:t>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554E5D2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Междинно/</w:t>
            </w:r>
          </w:p>
          <w:p w14:paraId="35017F9C" w14:textId="77777777" w:rsidR="00A6176C" w:rsidRPr="00AF7538" w:rsidRDefault="00A6176C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486D519A" w14:textId="5606E402" w:rsidR="00A6176C" w:rsidRPr="00AF7538" w:rsidRDefault="000A3D74" w:rsidP="00AF7538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искане </w:t>
            </w:r>
            <w:r w:rsidR="00A6176C" w:rsidRPr="00AF7538">
              <w:rPr>
                <w:b w:val="0"/>
                <w:lang w:val="bg-BG"/>
              </w:rPr>
              <w:t>за плащане</w:t>
            </w:r>
          </w:p>
        </w:tc>
      </w:tr>
    </w:tbl>
    <w:p w14:paraId="16A370D0" w14:textId="0344D379" w:rsidR="00FD4A87" w:rsidRPr="006754BA" w:rsidRDefault="00FD4A87" w:rsidP="00AF7538">
      <w:pPr>
        <w:ind w:left="0"/>
        <w:jc w:val="both"/>
        <w:rPr>
          <w:b w:val="0"/>
          <w:lang w:val="bg-BG"/>
        </w:rPr>
      </w:pPr>
    </w:p>
    <w:p w14:paraId="48F988BD" w14:textId="77777777" w:rsidR="00BC1DBB" w:rsidRPr="006754BA" w:rsidRDefault="00BC1DBB" w:rsidP="00AF7538">
      <w:pPr>
        <w:ind w:left="0"/>
        <w:jc w:val="both"/>
        <w:rPr>
          <w:b w:val="0"/>
          <w:lang w:val="bg-BG"/>
        </w:rPr>
      </w:pPr>
    </w:p>
    <w:sectPr w:rsidR="00BC1DBB" w:rsidRPr="006754BA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0A829192" w14:textId="77777777" w:rsidR="00BF6A3F" w:rsidRPr="00960C3A" w:rsidRDefault="00BF6A3F" w:rsidP="00BF6A3F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 w:rsidRPr="00DF0964">
        <w:rPr>
          <w:b w:val="0"/>
          <w:i/>
          <w:sz w:val="22"/>
          <w:lang w:val="bg-BG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 w:rsidRPr="00DF0964">
        <w:rPr>
          <w:b w:val="0"/>
          <w:i/>
          <w:sz w:val="22"/>
          <w:lang w:val="bg-BG"/>
        </w:rPr>
        <w:t>13.1</w:t>
      </w:r>
      <w:r>
        <w:rPr>
          <w:b w:val="0"/>
          <w:i/>
          <w:sz w:val="22"/>
          <w:lang w:val="bg-BG"/>
        </w:rPr>
        <w:t>, 13.2</w:t>
      </w:r>
      <w:r w:rsidRPr="00DF0964">
        <w:rPr>
          <w:b w:val="0"/>
          <w:i/>
          <w:sz w:val="22"/>
          <w:lang w:val="bg-BG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DF0964">
        <w:rPr>
          <w:b w:val="0"/>
          <w:i/>
          <w:sz w:val="22"/>
          <w:lang w:val="bg-BG"/>
        </w:rPr>
        <w:t xml:space="preserve"> следва да бъдат датирани с датата на представяне на пакета отчетни документи в ИСУН,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пакета отчетни документи в ИСУН.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F6A3F" w14:paraId="6CD1BB47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E173ED1" w14:textId="77777777" w:rsidR="00BF6A3F" w:rsidRDefault="00BF6A3F" w:rsidP="0043243C">
          <w:pPr>
            <w:pStyle w:val="Header"/>
          </w:pPr>
        </w:p>
      </w:tc>
    </w:tr>
    <w:tr w:rsidR="00BF6A3F" w14:paraId="40E15BF4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450A8D73" w14:textId="77777777" w:rsidR="00BF6A3F" w:rsidRDefault="00BF6A3F" w:rsidP="0043243C">
          <w:pPr>
            <w:pStyle w:val="Header"/>
          </w:pPr>
        </w:p>
      </w:tc>
    </w:tr>
  </w:tbl>
  <w:p w14:paraId="20917E0D" w14:textId="77777777" w:rsidR="00BF6A3F" w:rsidRPr="0043243C" w:rsidRDefault="00BF6A3F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F8C8" w14:textId="77777777" w:rsidR="00BF6A3F" w:rsidRDefault="00BF6A3F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F6A3F" w14:paraId="38307233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4D7CCF5F" w14:textId="77777777" w:rsidR="00BF6A3F" w:rsidRDefault="00BF6A3F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43679469" wp14:editId="77B56346">
                <wp:extent cx="819150" cy="836395"/>
                <wp:effectExtent l="0" t="0" r="0" b="190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82C4AA0" w14:textId="77777777" w:rsidR="00BF6A3F" w:rsidRDefault="00BF6A3F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6637B12B" w14:textId="77777777" w:rsidR="00BF6A3F" w:rsidRDefault="00BF6A3F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01949EAF" w14:textId="77777777" w:rsidR="00BF6A3F" w:rsidRDefault="00BF6A3F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3D984DCE" w14:textId="77777777" w:rsidR="00BF6A3F" w:rsidRDefault="00BF6A3F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04AE5A30" wp14:editId="2FC68A54">
                <wp:extent cx="1009650" cy="80772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6EDB474" w14:textId="77777777" w:rsidR="00BF6A3F" w:rsidRPr="003F00F0" w:rsidRDefault="00BF6A3F" w:rsidP="004D1F72">
          <w:pPr>
            <w:pStyle w:val="Header"/>
            <w:ind w:left="0"/>
          </w:pPr>
        </w:p>
      </w:tc>
    </w:tr>
    <w:tr w:rsidR="00BF6A3F" w14:paraId="6B54BCC0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3599E0E0" w14:textId="77777777" w:rsidR="00BF6A3F" w:rsidRPr="00C403BD" w:rsidRDefault="00BF6A3F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2CDA079D" w14:textId="77777777" w:rsidR="00BF6A3F" w:rsidRPr="0081685B" w:rsidRDefault="00BF6A3F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1"/>
  </w:num>
  <w:num w:numId="2" w16cid:durableId="2051100545">
    <w:abstractNumId w:val="4"/>
  </w:num>
  <w:num w:numId="3" w16cid:durableId="1366251979">
    <w:abstractNumId w:val="6"/>
  </w:num>
  <w:num w:numId="4" w16cid:durableId="887835700">
    <w:abstractNumId w:val="5"/>
  </w:num>
  <w:num w:numId="5" w16cid:durableId="1600748511">
    <w:abstractNumId w:val="2"/>
  </w:num>
  <w:num w:numId="6" w16cid:durableId="1907449489">
    <w:abstractNumId w:val="8"/>
  </w:num>
  <w:num w:numId="7" w16cid:durableId="1392388215">
    <w:abstractNumId w:val="3"/>
  </w:num>
  <w:num w:numId="8" w16cid:durableId="655499336">
    <w:abstractNumId w:val="9"/>
  </w:num>
  <w:num w:numId="9" w16cid:durableId="1697196664">
    <w:abstractNumId w:val="7"/>
  </w:num>
  <w:num w:numId="10" w16cid:durableId="2130783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279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396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6C0D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199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16D82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3783"/>
    <w:rsid w:val="0067394B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3D9B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9B4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5335</Words>
  <Characters>30413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BG33</cp:lastModifiedBy>
  <cp:revision>7</cp:revision>
  <dcterms:created xsi:type="dcterms:W3CDTF">2024-03-26T12:25:00Z</dcterms:created>
  <dcterms:modified xsi:type="dcterms:W3CDTF">2025-08-04T14:31:00Z</dcterms:modified>
</cp:coreProperties>
</file>