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50D5" w14:textId="3901D102" w:rsidR="00085826" w:rsidRPr="001C302D" w:rsidRDefault="00307ED2" w:rsidP="004F72B9">
      <w:pPr>
        <w:spacing w:line="240" w:lineRule="auto"/>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4F08904C"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21A6045F" w14:textId="7017B85B" w:rsidR="003828CC" w:rsidRPr="00ED4D19" w:rsidRDefault="003828CC" w:rsidP="00B172FB">
      <w:pPr>
        <w:spacing w:line="240" w:lineRule="auto"/>
        <w:ind w:left="7080"/>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B172FB">
        <w:rPr>
          <w:rFonts w:ascii="Times New Roman" w:hAnsi="Times New Roman"/>
          <w:i/>
          <w:sz w:val="24"/>
          <w:szCs w:val="24"/>
          <w:lang w:eastAsia="fr-FR"/>
        </w:rPr>
        <w:t xml:space="preserve">6 </w:t>
      </w:r>
      <w:r>
        <w:rPr>
          <w:rStyle w:val="FootnoteReference"/>
          <w:rFonts w:ascii="Times New Roman" w:hAnsi="Times New Roman"/>
          <w:i/>
          <w:sz w:val="24"/>
          <w:szCs w:val="24"/>
          <w:lang w:eastAsia="fr-FR"/>
        </w:rPr>
        <w:footnoteReference w:id="1"/>
      </w:r>
    </w:p>
    <w:p w14:paraId="790269E8" w14:textId="77777777" w:rsidR="003828CC" w:rsidRPr="001C302D" w:rsidRDefault="003828CC" w:rsidP="003828CC">
      <w:pPr>
        <w:spacing w:before="80" w:after="80" w:line="240" w:lineRule="auto"/>
        <w:rPr>
          <w:rFonts w:ascii="Times New Roman" w:hAnsi="Times New Roman"/>
          <w:b/>
          <w:sz w:val="24"/>
          <w:szCs w:val="24"/>
          <w:lang w:eastAsia="fr-FR"/>
        </w:rPr>
      </w:pPr>
    </w:p>
    <w:p w14:paraId="6CA5DF5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3276FD2E" w14:textId="77777777" w:rsidR="003828CC" w:rsidRPr="00DA62E7" w:rsidRDefault="003828CC" w:rsidP="003828CC">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Pr>
          <w:rFonts w:ascii="Times New Roman" w:eastAsia="Times New Roman" w:hAnsi="Times New Roman"/>
          <w:b/>
          <w:bCs/>
          <w:color w:val="808080"/>
          <w:lang w:eastAsia="fr-FR"/>
        </w:rPr>
        <w:t>“ 2021-2027 г.</w:t>
      </w:r>
    </w:p>
    <w:p w14:paraId="19DB9412"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7CC3F86" w14:textId="77777777" w:rsidR="003828CC" w:rsidRPr="00DA62E7" w:rsidRDefault="003828CC" w:rsidP="003828CC">
      <w:pPr>
        <w:spacing w:after="0" w:line="240" w:lineRule="auto"/>
        <w:rPr>
          <w:rFonts w:ascii="Times New Roman" w:eastAsia="Times New Roman" w:hAnsi="Times New Roman"/>
          <w:sz w:val="20"/>
          <w:szCs w:val="20"/>
          <w:lang w:eastAsia="fr-FR"/>
        </w:rPr>
      </w:pPr>
    </w:p>
    <w:p w14:paraId="11ADA803" w14:textId="77777777" w:rsidR="003828CC" w:rsidRPr="00DA62E7" w:rsidRDefault="003828CC" w:rsidP="003828CC">
      <w:pPr>
        <w:spacing w:after="0" w:line="240" w:lineRule="auto"/>
        <w:jc w:val="both"/>
        <w:rPr>
          <w:rFonts w:ascii="Times New Roman" w:eastAsia="Times New Roman" w:hAnsi="Times New Roman"/>
          <w:sz w:val="20"/>
          <w:szCs w:val="20"/>
          <w:lang w:eastAsia="fr-FR"/>
        </w:rPr>
      </w:pPr>
    </w:p>
    <w:p w14:paraId="4E1334A2"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w:t>
      </w:r>
      <w:proofErr w:type="spellStart"/>
      <w:r w:rsidRPr="00F71942">
        <w:rPr>
          <w:rFonts w:ascii="Times New Roman" w:eastAsia="Times New Roman" w:hAnsi="Times New Roman"/>
          <w:sz w:val="24"/>
          <w:szCs w:val="24"/>
          <w:lang w:eastAsia="fr-FR"/>
        </w:rPr>
        <w:t>ната</w:t>
      </w:r>
      <w:proofErr w:type="spellEnd"/>
      <w:r w:rsidRPr="00F71942">
        <w:rPr>
          <w:rFonts w:ascii="Times New Roman" w:eastAsia="Times New Roman" w:hAnsi="Times New Roman"/>
          <w:sz w:val="24"/>
          <w:szCs w:val="24"/>
          <w:lang w:eastAsia="fr-FR"/>
        </w:rPr>
        <w:t xml:space="preserve"> …………………………………………………..………………</w:t>
      </w:r>
    </w:p>
    <w:p w14:paraId="51D717DF"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43BBAAD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196CCD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613DCEF7"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1B39B8AB"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106E30EC"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6E577512" w14:textId="77777777" w:rsidR="003828CC" w:rsidRPr="00F71942" w:rsidRDefault="003828CC" w:rsidP="003828CC">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2C331B3E" w14:textId="77777777" w:rsidR="003828CC" w:rsidRPr="00F71942" w:rsidRDefault="003828CC" w:rsidP="003828CC">
      <w:pPr>
        <w:spacing w:after="0" w:line="240" w:lineRule="auto"/>
        <w:jc w:val="both"/>
        <w:rPr>
          <w:rFonts w:ascii="Times New Roman" w:eastAsia="Times New Roman" w:hAnsi="Times New Roman"/>
          <w:sz w:val="24"/>
          <w:szCs w:val="24"/>
          <w:lang w:eastAsia="fr-FR"/>
        </w:rPr>
      </w:pPr>
    </w:p>
    <w:p w14:paraId="3FA8DBFC"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4C0C30CE" w14:textId="68527AA5"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Pr>
          <w:rFonts w:ascii="Times New Roman" w:eastAsia="Times New Roman" w:hAnsi="Times New Roman"/>
          <w:i/>
          <w:sz w:val="24"/>
          <w:szCs w:val="24"/>
          <w:lang w:eastAsia="fr-FR"/>
        </w:rPr>
        <w:t>кандидат</w:t>
      </w:r>
      <w:r w:rsidR="002D343D">
        <w:rPr>
          <w:rFonts w:ascii="Times New Roman" w:eastAsia="Times New Roman" w:hAnsi="Times New Roman"/>
          <w:i/>
          <w:sz w:val="24"/>
          <w:szCs w:val="24"/>
          <w:lang w:eastAsia="fr-FR"/>
        </w:rPr>
        <w:t>/партньор</w:t>
      </w:r>
      <w:r w:rsidRPr="00F71942">
        <w:rPr>
          <w:rFonts w:ascii="Times New Roman" w:eastAsia="Times New Roman" w:hAnsi="Times New Roman"/>
          <w:i/>
          <w:sz w:val="24"/>
          <w:szCs w:val="24"/>
          <w:lang w:eastAsia="fr-FR"/>
        </w:rPr>
        <w:t>)</w:t>
      </w:r>
    </w:p>
    <w:p w14:paraId="0AB93C03"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p>
    <w:p w14:paraId="7F3FE526" w14:textId="77777777" w:rsidR="003828CC" w:rsidRPr="00F71942" w:rsidRDefault="003828CC" w:rsidP="003828CC">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146ED7F" w14:textId="77777777" w:rsidR="003828CC" w:rsidRPr="00F71942" w:rsidRDefault="003828CC" w:rsidP="003828CC">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912035F" w14:textId="77777777" w:rsidR="003828CC" w:rsidRPr="00F71942" w:rsidRDefault="003828CC" w:rsidP="003828CC">
      <w:pPr>
        <w:spacing w:after="0" w:line="240" w:lineRule="auto"/>
        <w:jc w:val="both"/>
        <w:rPr>
          <w:rFonts w:ascii="Times New Roman" w:eastAsia="Times New Roman" w:hAnsi="Times New Roman"/>
          <w:i/>
          <w:sz w:val="24"/>
          <w:szCs w:val="24"/>
          <w:lang w:eastAsia="fr-FR"/>
        </w:rPr>
      </w:pPr>
    </w:p>
    <w:p w14:paraId="33180C02" w14:textId="77777777" w:rsidR="003828CC" w:rsidRPr="00F71942" w:rsidRDefault="003828CC" w:rsidP="003828CC">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Pr>
          <w:rFonts w:ascii="Times New Roman" w:eastAsia="Times New Roman" w:hAnsi="Times New Roman"/>
          <w:sz w:val="24"/>
          <w:szCs w:val="24"/>
          <w:lang w:eastAsia="fr-FR"/>
        </w:rPr>
        <w:t>…………………</w:t>
      </w:r>
      <w:r w:rsidRPr="00F71942">
        <w:rPr>
          <w:rFonts w:ascii="Times New Roman" w:hAnsi="Times New Roman"/>
          <w:b/>
          <w:bCs/>
          <w:sz w:val="24"/>
          <w:szCs w:val="24"/>
        </w:rPr>
        <w:t xml:space="preserve"> </w:t>
      </w:r>
      <w:bookmarkEnd w:id="1"/>
      <w:r w:rsidRPr="00F71942">
        <w:rPr>
          <w:rFonts w:ascii="Times New Roman" w:eastAsia="Times New Roman" w:hAnsi="Times New Roman"/>
          <w:bCs/>
          <w:iCs/>
          <w:sz w:val="24"/>
          <w:szCs w:val="24"/>
          <w:lang w:eastAsia="bg-BG"/>
        </w:rPr>
        <w:t xml:space="preserve">по приоритет </w:t>
      </w:r>
      <w:r>
        <w:rPr>
          <w:rFonts w:ascii="Times New Roman" w:eastAsia="Times New Roman" w:hAnsi="Times New Roman"/>
          <w:bCs/>
          <w:iCs/>
          <w:sz w:val="24"/>
          <w:szCs w:val="24"/>
          <w:lang w:eastAsia="bg-BG"/>
        </w:rPr>
        <w:t>………………</w:t>
      </w:r>
      <w:r w:rsidRPr="00F71942">
        <w:rPr>
          <w:rFonts w:ascii="Times New Roman" w:eastAsia="Times New Roman" w:hAnsi="Times New Roman"/>
          <w:bCs/>
          <w:iCs/>
          <w:sz w:val="24"/>
          <w:szCs w:val="24"/>
          <w:lang w:eastAsia="bg-BG"/>
        </w:rPr>
        <w:t xml:space="preserve"> на Програма „Околна среда“ 2021-2027 г.</w:t>
      </w:r>
    </w:p>
    <w:p w14:paraId="3C9180EB" w14:textId="77777777" w:rsidR="003828CC" w:rsidRPr="00DA62E7" w:rsidRDefault="003828CC" w:rsidP="003828CC">
      <w:pPr>
        <w:spacing w:after="0" w:line="240" w:lineRule="auto"/>
        <w:jc w:val="center"/>
        <w:rPr>
          <w:rFonts w:ascii="Times New Roman" w:eastAsia="Times New Roman" w:hAnsi="Times New Roman"/>
          <w:b/>
          <w:lang w:eastAsia="fr-FR"/>
        </w:rPr>
      </w:pPr>
    </w:p>
    <w:p w14:paraId="350B8932" w14:textId="77777777" w:rsidR="003828CC" w:rsidRPr="00DA62E7" w:rsidRDefault="003828CC" w:rsidP="003828CC">
      <w:pPr>
        <w:spacing w:after="0" w:line="240" w:lineRule="auto"/>
        <w:jc w:val="center"/>
        <w:rPr>
          <w:rFonts w:ascii="Times New Roman" w:eastAsia="Times New Roman" w:hAnsi="Times New Roman"/>
          <w:b/>
          <w:lang w:eastAsia="fr-FR"/>
        </w:rPr>
      </w:pPr>
    </w:p>
    <w:p w14:paraId="169B0421" w14:textId="77777777" w:rsidR="003828CC" w:rsidRPr="00DA62E7" w:rsidRDefault="003828CC" w:rsidP="003828CC">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169480CA" w14:textId="77777777" w:rsidR="00DA62E7" w:rsidRPr="00DA62E7" w:rsidRDefault="00DA62E7" w:rsidP="004F72B9">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4F72B9">
      <w:pPr>
        <w:spacing w:after="0" w:line="240" w:lineRule="auto"/>
        <w:jc w:val="both"/>
        <w:rPr>
          <w:rFonts w:ascii="Times New Roman" w:eastAsia="Times New Roman" w:hAnsi="Times New Roman"/>
          <w:sz w:val="20"/>
          <w:szCs w:val="20"/>
          <w:lang w:eastAsia="fr-FR"/>
        </w:rPr>
      </w:pPr>
    </w:p>
    <w:p w14:paraId="17203BD2" w14:textId="2B6FD7E9"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4AA3A51B"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0301D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77BCD9AC" w14:textId="77777777" w:rsidR="009E3EDA" w:rsidRPr="009E3EDA" w:rsidRDefault="009E3EDA" w:rsidP="00475411">
      <w:pPr>
        <w:pStyle w:val="ListParagraph"/>
        <w:tabs>
          <w:tab w:val="left" w:pos="284"/>
        </w:tabs>
        <w:spacing w:before="120" w:after="160" w:line="240" w:lineRule="auto"/>
        <w:ind w:left="0"/>
        <w:contextualSpacing w:val="0"/>
        <w:jc w:val="both"/>
        <w:rPr>
          <w:rFonts w:ascii="Times New Roman" w:hAnsi="Times New Roman"/>
          <w:sz w:val="24"/>
          <w:szCs w:val="24"/>
        </w:rPr>
      </w:pPr>
      <w:r w:rsidRPr="009E3EDA">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22F79D6A"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105EB4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1C4795B7"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1476108"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2A621153"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0F3F7772" w14:textId="77777777" w:rsidR="009E3EDA"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10D60AAD"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Ръководителя на Управляващия орган на ПОС 2021-2027 г.; </w:t>
      </w:r>
    </w:p>
    <w:p w14:paraId="7E6437CB" w14:textId="77777777" w:rsidR="009E3EDA" w:rsidRP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65BD5DFE" w14:textId="6F5EAFED" w:rsidR="009E3EDA" w:rsidRDefault="009E3EDA" w:rsidP="004F72B9">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9E3EDA">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2CCBC971" w14:textId="77777777" w:rsidR="009E3EDA" w:rsidRPr="00475411" w:rsidRDefault="009E3EDA" w:rsidP="00475411">
      <w:pPr>
        <w:numPr>
          <w:ilvl w:val="1"/>
          <w:numId w:val="6"/>
        </w:numPr>
        <w:spacing w:before="120" w:after="0" w:line="240" w:lineRule="auto"/>
        <w:ind w:left="993" w:hanging="426"/>
        <w:jc w:val="both"/>
        <w:rPr>
          <w:rFonts w:ascii="Times New Roman" w:eastAsia="Times New Roman" w:hAnsi="Times New Roman"/>
          <w:sz w:val="24"/>
          <w:szCs w:val="24"/>
          <w:lang w:eastAsia="fr-FR"/>
        </w:rPr>
      </w:pPr>
      <w:r w:rsidRPr="00475411">
        <w:rPr>
          <w:rFonts w:ascii="Times New Roman" w:hAnsi="Times New Roman"/>
          <w:sz w:val="24"/>
          <w:szCs w:val="24"/>
        </w:rPr>
        <w:t>Европейската служба за борба с измамите към Европейската комисия (ОЛАФ).</w:t>
      </w:r>
    </w:p>
    <w:p w14:paraId="0AFC6D4E" w14:textId="4F4CAA30" w:rsidR="001C302D" w:rsidRPr="009E3EDA" w:rsidRDefault="009E3EDA" w:rsidP="004F72B9">
      <w:pPr>
        <w:pStyle w:val="ListParagraph"/>
        <w:numPr>
          <w:ilvl w:val="0"/>
          <w:numId w:val="8"/>
        </w:numPr>
        <w:tabs>
          <w:tab w:val="left" w:pos="284"/>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Запознат/а съм с Наредбата за администриране на нередности по Европейските фондове при споделено управление, приета </w:t>
      </w:r>
      <w:r w:rsidRPr="00AA4433">
        <w:rPr>
          <w:rFonts w:ascii="Times New Roman" w:hAnsi="Times New Roman"/>
          <w:sz w:val="24"/>
          <w:szCs w:val="24"/>
        </w:rPr>
        <w:t>на основание чл. 69, ал. 6 от Закона за управление на средствата от Европейските фондове при споделено управление</w:t>
      </w:r>
      <w:r w:rsidRPr="009E3EDA">
        <w:rPr>
          <w:rFonts w:ascii="Times New Roman" w:hAnsi="Times New Roman"/>
          <w:sz w:val="24"/>
          <w:szCs w:val="24"/>
        </w:rPr>
        <w:t>.</w:t>
      </w:r>
    </w:p>
    <w:p w14:paraId="0CB682B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1C302D">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35FEB0FC" w14:textId="77777777" w:rsidR="009E3EDA"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 xml:space="preserve">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sidRPr="009E3EDA">
        <w:rPr>
          <w:rFonts w:ascii="Times New Roman" w:hAnsi="Times New Roman"/>
          <w:sz w:val="24"/>
          <w:szCs w:val="24"/>
        </w:rPr>
        <w:t xml:space="preserve">при споделено управление </w:t>
      </w:r>
      <w:r w:rsidRPr="009E3EDA">
        <w:rPr>
          <w:rFonts w:ascii="Times New Roman" w:hAnsi="Times New Roman"/>
          <w:sz w:val="24"/>
          <w:szCs w:val="24"/>
        </w:rPr>
        <w:t xml:space="preserve">или чрез други </w:t>
      </w:r>
      <w:r w:rsidR="00910AE7" w:rsidRPr="009E3EDA">
        <w:rPr>
          <w:rFonts w:ascii="Times New Roman" w:hAnsi="Times New Roman"/>
          <w:sz w:val="24"/>
          <w:szCs w:val="24"/>
        </w:rPr>
        <w:t xml:space="preserve">фондове и </w:t>
      </w:r>
      <w:r w:rsidRPr="009E3EDA">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12F1327" w:rsidR="001C302D" w:rsidRPr="009E3EDA" w:rsidRDefault="001C302D" w:rsidP="004F72B9">
      <w:pPr>
        <w:pStyle w:val="ListParagraph"/>
        <w:numPr>
          <w:ilvl w:val="0"/>
          <w:numId w:val="8"/>
        </w:numPr>
        <w:tabs>
          <w:tab w:val="left" w:pos="284"/>
          <w:tab w:val="left" w:pos="426"/>
        </w:tabs>
        <w:spacing w:before="120" w:after="160" w:line="240" w:lineRule="auto"/>
        <w:ind w:left="0" w:firstLine="0"/>
        <w:contextualSpacing w:val="0"/>
        <w:jc w:val="both"/>
        <w:rPr>
          <w:rFonts w:ascii="Times New Roman" w:hAnsi="Times New Roman"/>
          <w:sz w:val="24"/>
          <w:szCs w:val="24"/>
        </w:rPr>
      </w:pPr>
      <w:r w:rsidRPr="009E3EDA">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045F595" w14:textId="77777777" w:rsidR="003828CC" w:rsidRDefault="003828CC" w:rsidP="003828CC">
      <w:pPr>
        <w:pStyle w:val="ListParagraph"/>
        <w:spacing w:after="0" w:line="240" w:lineRule="auto"/>
        <w:rPr>
          <w:rFonts w:ascii="Times New Roman" w:eastAsia="Times New Roman" w:hAnsi="Times New Roman"/>
          <w:b/>
          <w:bCs/>
          <w:lang w:eastAsia="bg-BG"/>
        </w:rPr>
      </w:pPr>
    </w:p>
    <w:p w14:paraId="39419D13" w14:textId="77777777" w:rsidR="003828CC" w:rsidRPr="003828CC" w:rsidRDefault="003828CC" w:rsidP="003828CC">
      <w:pPr>
        <w:spacing w:after="0" w:line="240" w:lineRule="auto"/>
        <w:ind w:left="360"/>
        <w:rPr>
          <w:rFonts w:ascii="Times New Roman" w:eastAsia="Times New Roman" w:hAnsi="Times New Roman"/>
          <w:b/>
          <w:bCs/>
          <w:lang w:eastAsia="bg-BG"/>
        </w:rPr>
      </w:pPr>
    </w:p>
    <w:p w14:paraId="4B96C6A1" w14:textId="77777777" w:rsidR="003828CC" w:rsidRPr="003828CC" w:rsidRDefault="003828CC" w:rsidP="003828CC">
      <w:pPr>
        <w:spacing w:after="0" w:line="240" w:lineRule="auto"/>
        <w:rPr>
          <w:rFonts w:ascii="Times New Roman" w:eastAsia="Times New Roman" w:hAnsi="Times New Roman"/>
          <w:b/>
          <w:bCs/>
          <w:lang w:eastAsia="bg-BG"/>
        </w:rPr>
      </w:pPr>
    </w:p>
    <w:p w14:paraId="710C0A46" w14:textId="67B2B5E4" w:rsidR="003828CC" w:rsidRPr="009C6D43" w:rsidRDefault="003828CC" w:rsidP="009C6D43">
      <w:pPr>
        <w:spacing w:after="0" w:line="240" w:lineRule="auto"/>
        <w:jc w:val="center"/>
        <w:rPr>
          <w:rFonts w:ascii="Times New Roman" w:eastAsia="Times New Roman" w:hAnsi="Times New Roman"/>
          <w:b/>
          <w:bCs/>
          <w:lang w:eastAsia="bg-BG"/>
        </w:rPr>
      </w:pPr>
      <w:r w:rsidRPr="009C6D43">
        <w:rPr>
          <w:rFonts w:ascii="Times New Roman" w:eastAsia="Times New Roman" w:hAnsi="Times New Roman"/>
          <w:b/>
          <w:bCs/>
          <w:lang w:eastAsia="bg-BG"/>
        </w:rPr>
        <w:lastRenderedPageBreak/>
        <w:t xml:space="preserve">Справка по т. </w:t>
      </w:r>
      <w:r w:rsidR="005A2545">
        <w:rPr>
          <w:rFonts w:ascii="Times New Roman" w:eastAsia="Times New Roman" w:hAnsi="Times New Roman"/>
          <w:b/>
          <w:bCs/>
          <w:lang w:eastAsia="bg-BG"/>
        </w:rPr>
        <w:t>9</w:t>
      </w:r>
      <w:r w:rsidRPr="009C6D43">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75F315F7" w14:textId="77777777" w:rsidR="003828CC" w:rsidRPr="003828CC" w:rsidRDefault="003828CC" w:rsidP="003828CC">
      <w:pPr>
        <w:spacing w:after="0" w:line="240" w:lineRule="auto"/>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3828CC" w:rsidRPr="00DA62E7" w14:paraId="509DD3A7"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099E8C5C" w14:textId="77777777" w:rsidR="003828CC" w:rsidRPr="00DA62E7" w:rsidRDefault="003828CC" w:rsidP="00851960">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227B60FE"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7244B342" w14:textId="77777777" w:rsidR="003828CC" w:rsidRPr="00DA62E7" w:rsidRDefault="003828CC" w:rsidP="00851960">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3828CC" w:rsidRPr="00DA62E7" w14:paraId="29A4F798"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51CD7E11" w14:textId="77777777" w:rsidR="003828CC" w:rsidRPr="00DA62E7" w:rsidRDefault="003828CC" w:rsidP="00851960">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536A283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2A94CDB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DE64CC3"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38BB3D57"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022CF226"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1152507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7EA0978F"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271BA9A9"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B48838C"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57EB72D1"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r w:rsidR="003828CC" w:rsidRPr="00DA62E7" w14:paraId="13D45439" w14:textId="77777777" w:rsidTr="00851960">
        <w:tc>
          <w:tcPr>
            <w:tcW w:w="737" w:type="dxa"/>
            <w:tcBorders>
              <w:top w:val="single" w:sz="4" w:space="0" w:color="auto"/>
              <w:left w:val="single" w:sz="4" w:space="0" w:color="auto"/>
              <w:bottom w:val="single" w:sz="4" w:space="0" w:color="auto"/>
              <w:right w:val="single" w:sz="4" w:space="0" w:color="auto"/>
            </w:tcBorders>
            <w:shd w:val="clear" w:color="auto" w:fill="auto"/>
          </w:tcPr>
          <w:p w14:paraId="71E34EC5"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51C54B"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340A8D1D" w14:textId="77777777" w:rsidR="003828CC" w:rsidRPr="00DA62E7" w:rsidRDefault="003828CC" w:rsidP="00851960">
            <w:pPr>
              <w:spacing w:after="0" w:line="240" w:lineRule="auto"/>
              <w:ind w:firstLine="708"/>
              <w:jc w:val="both"/>
              <w:rPr>
                <w:rFonts w:ascii="Times New Roman" w:eastAsia="Times New Roman" w:hAnsi="Times New Roman"/>
                <w:lang w:eastAsia="bg-BG"/>
              </w:rPr>
            </w:pPr>
          </w:p>
        </w:tc>
      </w:tr>
    </w:tbl>
    <w:p w14:paraId="53AFDB82" w14:textId="77777777" w:rsidR="003828CC" w:rsidRPr="003828CC" w:rsidRDefault="003828CC" w:rsidP="003828CC">
      <w:pPr>
        <w:pStyle w:val="ListParagraph"/>
        <w:spacing w:after="0" w:line="240" w:lineRule="auto"/>
        <w:rPr>
          <w:rFonts w:ascii="Times New Roman" w:eastAsia="Times New Roman" w:hAnsi="Times New Roman"/>
          <w:lang w:eastAsia="bg-BG"/>
        </w:rPr>
      </w:pPr>
    </w:p>
    <w:p w14:paraId="1C84EB09" w14:textId="77777777" w:rsidR="003828CC" w:rsidRPr="003828CC" w:rsidRDefault="003828CC" w:rsidP="003828CC">
      <w:pPr>
        <w:spacing w:after="0" w:line="240" w:lineRule="auto"/>
        <w:ind w:firstLine="360"/>
        <w:rPr>
          <w:rFonts w:ascii="Times New Roman" w:eastAsia="Times New Roman" w:hAnsi="Times New Roman"/>
          <w:lang w:eastAsia="bg-BG"/>
        </w:rPr>
      </w:pPr>
      <w:r w:rsidRPr="003828CC">
        <w:rPr>
          <w:rFonts w:ascii="Times New Roman" w:eastAsia="Times New Roman" w:hAnsi="Times New Roman"/>
          <w:lang w:eastAsia="bg-BG"/>
        </w:rPr>
        <w:t>(</w:t>
      </w:r>
      <w:r w:rsidRPr="003828CC">
        <w:rPr>
          <w:rFonts w:ascii="Times New Roman" w:eastAsia="Times New Roman" w:hAnsi="Times New Roman"/>
          <w:i/>
          <w:iCs/>
          <w:lang w:eastAsia="bg-BG"/>
        </w:rPr>
        <w:t>При липса на изпълнени/изпълнявани проекти в сектора се посочва неприложимо на първи ред. Не следва да се попълва информация по отношение на проекти, данни за които са налични в ИСУН.</w:t>
      </w:r>
      <w:r w:rsidRPr="003828CC">
        <w:rPr>
          <w:rFonts w:ascii="Times New Roman" w:eastAsia="Times New Roman" w:hAnsi="Times New Roman"/>
          <w:lang w:eastAsia="bg-BG"/>
        </w:rPr>
        <w:t>)</w:t>
      </w:r>
    </w:p>
    <w:p w14:paraId="323985D2" w14:textId="77777777" w:rsidR="003828CC" w:rsidRPr="003828CC" w:rsidRDefault="003828CC" w:rsidP="003828CC">
      <w:pPr>
        <w:pStyle w:val="ListParagraph"/>
        <w:spacing w:before="80" w:after="80" w:line="240" w:lineRule="auto"/>
        <w:rPr>
          <w:rFonts w:ascii="Times New Roman" w:hAnsi="Times New Roman"/>
          <w:b/>
          <w:sz w:val="24"/>
          <w:szCs w:val="24"/>
          <w:lang w:eastAsia="fr-FR"/>
        </w:rPr>
      </w:pPr>
    </w:p>
    <w:p w14:paraId="63CFA30D" w14:textId="77777777" w:rsidR="003828CC" w:rsidRPr="003828CC" w:rsidRDefault="003828CC" w:rsidP="003828CC">
      <w:pPr>
        <w:spacing w:before="240" w:after="0" w:line="240" w:lineRule="auto"/>
        <w:jc w:val="both"/>
        <w:rPr>
          <w:rFonts w:ascii="Times New Roman" w:eastAsia="Times New Roman" w:hAnsi="Times New Roman"/>
          <w:b/>
          <w:lang w:eastAsia="fr-FR"/>
        </w:rPr>
      </w:pPr>
      <w:r w:rsidRPr="003828CC">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2FAF1ACA" w14:textId="77777777" w:rsidR="003828CC" w:rsidRPr="003828CC" w:rsidRDefault="003828CC" w:rsidP="003828CC">
      <w:pPr>
        <w:pStyle w:val="ListParagraph"/>
        <w:spacing w:after="0" w:line="240" w:lineRule="auto"/>
        <w:rPr>
          <w:rFonts w:ascii="Times New Roman" w:eastAsia="Times New Roman" w:hAnsi="Times New Roman"/>
          <w:sz w:val="18"/>
          <w:szCs w:val="18"/>
          <w:lang w:eastAsia="fr-FR"/>
        </w:rPr>
      </w:pPr>
    </w:p>
    <w:p w14:paraId="6BA394E4" w14:textId="77777777" w:rsidR="003828CC" w:rsidRPr="003828CC" w:rsidRDefault="003828CC" w:rsidP="003828CC">
      <w:pPr>
        <w:spacing w:after="0" w:line="240" w:lineRule="auto"/>
        <w:ind w:left="360"/>
        <w:rPr>
          <w:rFonts w:ascii="Times New Roman" w:eastAsia="Times New Roman" w:hAnsi="Times New Roman"/>
          <w:lang w:eastAsia="fr-FR"/>
        </w:rPr>
      </w:pPr>
    </w:p>
    <w:p w14:paraId="7D93E30A" w14:textId="77777777" w:rsidR="003828CC" w:rsidRPr="003828CC" w:rsidRDefault="003828CC" w:rsidP="003828CC">
      <w:pPr>
        <w:spacing w:after="0" w:line="240" w:lineRule="auto"/>
        <w:ind w:left="360"/>
        <w:rPr>
          <w:rFonts w:ascii="Times New Roman" w:eastAsia="Times New Roman" w:hAnsi="Times New Roman"/>
          <w:lang w:eastAsia="fr-FR"/>
        </w:rPr>
      </w:pPr>
    </w:p>
    <w:p w14:paraId="2D79EC59" w14:textId="77777777" w:rsidR="003828CC" w:rsidRPr="003828CC" w:rsidRDefault="003828CC" w:rsidP="003828CC">
      <w:pPr>
        <w:spacing w:after="0" w:line="240" w:lineRule="auto"/>
        <w:ind w:left="360"/>
        <w:rPr>
          <w:rFonts w:ascii="Times New Roman" w:eastAsia="Times New Roman" w:hAnsi="Times New Roman"/>
          <w:lang w:eastAsia="fr-FR"/>
        </w:rPr>
      </w:pPr>
    </w:p>
    <w:p w14:paraId="396CD398" w14:textId="77777777" w:rsidR="003828CC" w:rsidRPr="003828CC" w:rsidRDefault="003828CC" w:rsidP="003828CC">
      <w:pPr>
        <w:pStyle w:val="ListParagraph"/>
        <w:spacing w:after="0" w:line="240" w:lineRule="auto"/>
        <w:rPr>
          <w:rFonts w:ascii="Times New Roman" w:eastAsia="Times New Roman" w:hAnsi="Times New Roman"/>
          <w:lang w:eastAsia="fr-FR"/>
        </w:rPr>
      </w:pPr>
      <w:r w:rsidRPr="003828CC">
        <w:rPr>
          <w:rFonts w:ascii="Times New Roman" w:eastAsia="Times New Roman" w:hAnsi="Times New Roman"/>
          <w:lang w:eastAsia="fr-FR"/>
        </w:rPr>
        <w:t>Дата: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Декларатор: …………………..</w:t>
      </w:r>
    </w:p>
    <w:p w14:paraId="1EFE5014" w14:textId="21C7AB7C" w:rsidR="003828CC" w:rsidRPr="003828CC" w:rsidRDefault="003828CC" w:rsidP="003828CC">
      <w:pPr>
        <w:spacing w:after="0" w:line="240" w:lineRule="auto"/>
        <w:ind w:left="360"/>
        <w:rPr>
          <w:rFonts w:ascii="Times New Roman" w:eastAsia="Times New Roman" w:hAnsi="Times New Roman"/>
          <w:lang w:eastAsia="fr-FR"/>
        </w:rPr>
      </w:pPr>
      <w:r w:rsidRPr="003828CC">
        <w:rPr>
          <w:rFonts w:ascii="Times New Roman" w:eastAsia="Times New Roman" w:hAnsi="Times New Roman"/>
          <w:lang w:eastAsia="fr-FR"/>
        </w:rPr>
        <w:t xml:space="preserve">                     </w:t>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r>
      <w:r w:rsidRPr="003828CC">
        <w:rPr>
          <w:rFonts w:ascii="Times New Roman" w:eastAsia="Times New Roman" w:hAnsi="Times New Roman"/>
          <w:lang w:eastAsia="fr-FR"/>
        </w:rPr>
        <w:tab/>
        <w:t>(подпис с КЕП)</w:t>
      </w:r>
    </w:p>
    <w:p w14:paraId="1D52CB49" w14:textId="77777777" w:rsidR="003828CC" w:rsidRPr="003828CC" w:rsidRDefault="003828CC" w:rsidP="003828CC">
      <w:pPr>
        <w:spacing w:before="360" w:after="0" w:line="240" w:lineRule="auto"/>
        <w:ind w:left="360"/>
        <w:jc w:val="both"/>
        <w:rPr>
          <w:rFonts w:ascii="Times New Roman" w:eastAsia="Times New Roman" w:hAnsi="Times New Roman"/>
          <w:bCs/>
          <w:i/>
          <w:sz w:val="18"/>
          <w:szCs w:val="18"/>
          <w:lang w:eastAsia="fr-FR"/>
        </w:rPr>
      </w:pPr>
    </w:p>
    <w:p w14:paraId="0C4D75F5" w14:textId="4F3C460D" w:rsidR="003828CC" w:rsidRPr="003828CC" w:rsidRDefault="003828CC" w:rsidP="003828CC">
      <w:pPr>
        <w:spacing w:before="360" w:after="0" w:line="240" w:lineRule="auto"/>
        <w:jc w:val="both"/>
        <w:rPr>
          <w:rFonts w:ascii="Times New Roman" w:eastAsia="Times New Roman" w:hAnsi="Times New Roman"/>
          <w:b/>
          <w:sz w:val="20"/>
          <w:szCs w:val="20"/>
          <w:lang w:eastAsia="fr-FR"/>
        </w:rPr>
      </w:pPr>
      <w:r w:rsidRPr="003828CC">
        <w:rPr>
          <w:rFonts w:ascii="Times New Roman" w:eastAsia="Times New Roman" w:hAnsi="Times New Roman"/>
          <w:bCs/>
          <w:i/>
          <w:sz w:val="18"/>
          <w:szCs w:val="18"/>
          <w:lang w:eastAsia="fr-FR"/>
        </w:rPr>
        <w:t>Забележка:</w:t>
      </w:r>
      <w:r w:rsidRPr="003828CC">
        <w:rPr>
          <w:rFonts w:ascii="Times New Roman" w:eastAsia="Times New Roman" w:hAnsi="Times New Roman"/>
          <w:i/>
          <w:sz w:val="18"/>
          <w:szCs w:val="18"/>
          <w:lang w:eastAsia="fr-FR"/>
        </w:rPr>
        <w:t xml:space="preserve"> </w:t>
      </w:r>
      <w:r w:rsidR="004C340D" w:rsidRPr="004C340D">
        <w:rPr>
          <w:rFonts w:ascii="Times New Roman" w:eastAsia="Times New Roman" w:hAnsi="Times New Roman"/>
          <w:i/>
          <w:sz w:val="18"/>
          <w:szCs w:val="18"/>
          <w:lang w:eastAsia="fr-FR"/>
        </w:rPr>
        <w:t>Декларацията се попълва от представляващите кандидата и партньора, поотделно за всяко лице, с КЕП</w:t>
      </w:r>
      <w:r w:rsidRPr="003828CC">
        <w:rPr>
          <w:rFonts w:ascii="Times New Roman" w:eastAsia="Times New Roman" w:hAnsi="Times New Roman"/>
          <w:i/>
          <w:sz w:val="18"/>
          <w:szCs w:val="18"/>
          <w:lang w:eastAsia="fr-FR"/>
        </w:rPr>
        <w:t xml:space="preserve">. </w:t>
      </w:r>
    </w:p>
    <w:p w14:paraId="6DFD2C4F" w14:textId="5776B866" w:rsidR="001C302D" w:rsidRPr="000F41D1" w:rsidRDefault="001C302D" w:rsidP="004F72B9">
      <w:pPr>
        <w:spacing w:before="80" w:after="80" w:line="240" w:lineRule="auto"/>
        <w:rPr>
          <w:rFonts w:ascii="Times New Roman" w:hAnsi="Times New Roman"/>
          <w:b/>
          <w:sz w:val="24"/>
          <w:szCs w:val="24"/>
          <w:lang w:eastAsia="fr-FR"/>
        </w:rPr>
      </w:pPr>
    </w:p>
    <w:p w14:paraId="447A31A5" w14:textId="4409C89F" w:rsidR="00364CB1" w:rsidRPr="000F41D1" w:rsidRDefault="00364CB1" w:rsidP="004F72B9">
      <w:pPr>
        <w:spacing w:before="80" w:after="80" w:line="240" w:lineRule="auto"/>
        <w:rPr>
          <w:rFonts w:ascii="Times New Roman" w:hAnsi="Times New Roman"/>
          <w:b/>
          <w:sz w:val="24"/>
          <w:szCs w:val="24"/>
          <w:lang w:eastAsia="fr-FR"/>
        </w:rPr>
      </w:pPr>
    </w:p>
    <w:p w14:paraId="46624916" w14:textId="439ABC37" w:rsidR="00DB376D" w:rsidRPr="000F41D1" w:rsidRDefault="00DB376D" w:rsidP="004F72B9">
      <w:pPr>
        <w:spacing w:before="80" w:after="80" w:line="240" w:lineRule="auto"/>
        <w:rPr>
          <w:rFonts w:ascii="Times New Roman" w:hAnsi="Times New Roman"/>
          <w:b/>
          <w:sz w:val="24"/>
          <w:szCs w:val="24"/>
          <w:lang w:eastAsia="fr-FR"/>
        </w:rPr>
      </w:pPr>
    </w:p>
    <w:p w14:paraId="37CD98A2" w14:textId="77777777" w:rsidR="00DC7104" w:rsidRPr="00DA62E7" w:rsidRDefault="00DC7104" w:rsidP="004F72B9">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4F72B9">
      <w:pPr>
        <w:spacing w:after="0" w:line="240" w:lineRule="auto"/>
        <w:ind w:firstLine="709"/>
        <w:rPr>
          <w:rFonts w:ascii="Times New Roman" w:eastAsia="Times New Roman" w:hAnsi="Times New Roman"/>
          <w:lang w:eastAsia="fr-FR"/>
        </w:rPr>
      </w:pPr>
    </w:p>
    <w:p w14:paraId="7AF78851" w14:textId="77777777" w:rsidR="00085826" w:rsidRPr="001C302D" w:rsidRDefault="00085826" w:rsidP="004F72B9">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E8DD9" w14:textId="77777777" w:rsidR="00045195" w:rsidRDefault="00045195" w:rsidP="00ED4D19">
      <w:pPr>
        <w:spacing w:after="0" w:line="240" w:lineRule="auto"/>
      </w:pPr>
      <w:r>
        <w:separator/>
      </w:r>
    </w:p>
  </w:endnote>
  <w:endnote w:type="continuationSeparator" w:id="0">
    <w:p w14:paraId="6118C4F2" w14:textId="77777777" w:rsidR="00045195" w:rsidRDefault="00045195"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2C2237" w14:textId="77777777" w:rsidR="00045195" w:rsidRDefault="00045195" w:rsidP="00ED4D19">
      <w:pPr>
        <w:spacing w:after="0" w:line="240" w:lineRule="auto"/>
      </w:pPr>
      <w:r>
        <w:separator/>
      </w:r>
    </w:p>
  </w:footnote>
  <w:footnote w:type="continuationSeparator" w:id="0">
    <w:p w14:paraId="7B4EF887" w14:textId="77777777" w:rsidR="00045195" w:rsidRDefault="00045195" w:rsidP="00ED4D19">
      <w:pPr>
        <w:spacing w:after="0" w:line="240" w:lineRule="auto"/>
      </w:pPr>
      <w:r>
        <w:continuationSeparator/>
      </w:r>
    </w:p>
  </w:footnote>
  <w:footnote w:id="1">
    <w:p w14:paraId="53FA2BF8" w14:textId="47B215E0" w:rsidR="003828CC" w:rsidRPr="00ED4D19" w:rsidRDefault="003828CC" w:rsidP="003828CC">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w:t>
      </w:r>
      <w:r w:rsidR="00571ABD" w:rsidRPr="00571ABD">
        <w:rPr>
          <w:rFonts w:ascii="Times New Roman" w:hAnsi="Times New Roman"/>
          <w:i/>
          <w:sz w:val="20"/>
          <w:szCs w:val="20"/>
          <w:lang w:eastAsia="fr-FR"/>
        </w:rPr>
        <w:t xml:space="preserve"> </w:t>
      </w:r>
      <w:r w:rsidR="008A6552" w:rsidRPr="008A6552">
        <w:rPr>
          <w:rFonts w:ascii="Times New Roman" w:hAnsi="Times New Roman"/>
          <w:i/>
          <w:sz w:val="20"/>
          <w:szCs w:val="20"/>
          <w:lang w:eastAsia="fr-FR"/>
        </w:rPr>
        <w:t>BG16FFPR002-3.0</w:t>
      </w:r>
      <w:r w:rsidR="00231553">
        <w:rPr>
          <w:rFonts w:ascii="Times New Roman" w:hAnsi="Times New Roman"/>
          <w:i/>
          <w:sz w:val="20"/>
          <w:szCs w:val="20"/>
          <w:lang w:val="en-US" w:eastAsia="fr-FR"/>
        </w:rPr>
        <w:t>2</w:t>
      </w:r>
      <w:r w:rsidR="008A6552" w:rsidRPr="008A6552">
        <w:rPr>
          <w:rFonts w:ascii="Times New Roman" w:hAnsi="Times New Roman"/>
          <w:i/>
          <w:sz w:val="20"/>
          <w:szCs w:val="20"/>
          <w:lang w:eastAsia="fr-FR"/>
        </w:rPr>
        <w:t xml:space="preserve">1 </w:t>
      </w:r>
      <w:r w:rsidR="00231553">
        <w:rPr>
          <w:rFonts w:ascii="Times New Roman" w:hAnsi="Times New Roman"/>
          <w:i/>
          <w:sz w:val="20"/>
          <w:szCs w:val="20"/>
          <w:lang w:eastAsia="fr-FR"/>
        </w:rPr>
        <w:t>„</w:t>
      </w:r>
      <w:r w:rsidR="008A6552" w:rsidRPr="008A6552">
        <w:rPr>
          <w:rFonts w:ascii="Times New Roman" w:hAnsi="Times New Roman"/>
          <w:i/>
          <w:sz w:val="20"/>
          <w:szCs w:val="20"/>
          <w:lang w:eastAsia="fr-FR"/>
        </w:rPr>
        <w:t>Изпълнение на м</w:t>
      </w:r>
      <w:r w:rsidR="00231553">
        <w:rPr>
          <w:rFonts w:ascii="Times New Roman" w:hAnsi="Times New Roman"/>
          <w:i/>
          <w:sz w:val="20"/>
          <w:szCs w:val="20"/>
          <w:lang w:eastAsia="fr-FR"/>
        </w:rPr>
        <w:t>е</w:t>
      </w:r>
      <w:r w:rsidR="008A6552" w:rsidRPr="008A6552">
        <w:rPr>
          <w:rFonts w:ascii="Times New Roman" w:hAnsi="Times New Roman"/>
          <w:i/>
          <w:sz w:val="20"/>
          <w:szCs w:val="20"/>
          <w:lang w:eastAsia="fr-FR"/>
        </w:rPr>
        <w:t>рк</w:t>
      </w:r>
      <w:r w:rsidR="00231553">
        <w:rPr>
          <w:rFonts w:ascii="Times New Roman" w:hAnsi="Times New Roman"/>
          <w:i/>
          <w:sz w:val="20"/>
          <w:szCs w:val="20"/>
          <w:lang w:eastAsia="fr-FR"/>
        </w:rPr>
        <w:t>и</w:t>
      </w:r>
      <w:r w:rsidR="008A6552" w:rsidRPr="008A6552">
        <w:rPr>
          <w:rFonts w:ascii="Times New Roman" w:hAnsi="Times New Roman"/>
          <w:i/>
          <w:sz w:val="20"/>
          <w:szCs w:val="20"/>
          <w:lang w:eastAsia="fr-FR"/>
        </w:rPr>
        <w:t xml:space="preserve"> </w:t>
      </w:r>
      <w:r w:rsidR="00231553">
        <w:rPr>
          <w:rFonts w:ascii="Times New Roman" w:hAnsi="Times New Roman"/>
          <w:i/>
          <w:sz w:val="20"/>
          <w:szCs w:val="20"/>
          <w:lang w:eastAsia="fr-FR"/>
        </w:rPr>
        <w:t>28 и 6</w:t>
      </w:r>
      <w:r w:rsidR="008A6552" w:rsidRPr="008A6552">
        <w:rPr>
          <w:rFonts w:ascii="Times New Roman" w:hAnsi="Times New Roman"/>
          <w:i/>
          <w:sz w:val="20"/>
          <w:szCs w:val="20"/>
          <w:lang w:eastAsia="fr-FR"/>
        </w:rPr>
        <w:t>1 от Националната рамка за приоритетни действия за Натура 2000</w:t>
      </w:r>
      <w:r w:rsidR="00231553">
        <w:rPr>
          <w:rFonts w:ascii="Times New Roman" w:hAnsi="Times New Roman"/>
          <w:i/>
          <w:sz w:val="20"/>
          <w:szCs w:val="20"/>
          <w:lang w:eastAsia="fr-FR"/>
        </w:rPr>
        <w:t xml:space="preserve"> – 3“</w:t>
      </w:r>
      <w:r w:rsidR="00571ABD">
        <w:rPr>
          <w:rFonts w:ascii="Times New Roman" w:hAnsi="Times New Roman"/>
          <w:i/>
          <w:sz w:val="20"/>
          <w:szCs w:val="20"/>
          <w:lang w:val="en-US" w:eastAsia="fr-FR"/>
        </w:rPr>
        <w:t xml:space="preserve">, </w:t>
      </w:r>
      <w:r w:rsidRPr="00ED4D19">
        <w:rPr>
          <w:rFonts w:ascii="Times New Roman" w:hAnsi="Times New Roman"/>
          <w:i/>
          <w:sz w:val="20"/>
          <w:szCs w:val="20"/>
          <w:lang w:eastAsia="fr-FR"/>
        </w:rPr>
        <w:t xml:space="preserve">по приоритет </w:t>
      </w:r>
      <w:r w:rsidR="00571ABD">
        <w:rPr>
          <w:rFonts w:ascii="Times New Roman" w:hAnsi="Times New Roman"/>
          <w:i/>
          <w:sz w:val="20"/>
          <w:szCs w:val="20"/>
          <w:lang w:val="en-US" w:eastAsia="fr-FR"/>
        </w:rPr>
        <w:t>“</w:t>
      </w:r>
      <w:r w:rsidR="00571ABD">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xml:space="preserve"> на Програма „Околна среда“ 2021-2027 г.</w:t>
      </w:r>
    </w:p>
    <w:p w14:paraId="3F75BBF6" w14:textId="77777777" w:rsidR="003828CC" w:rsidRDefault="003828CC" w:rsidP="003828C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C0A18"/>
    <w:multiLevelType w:val="hybridMultilevel"/>
    <w:tmpl w:val="D2E4061A"/>
    <w:lvl w:ilvl="0" w:tplc="0402000F">
      <w:start w:val="1"/>
      <w:numFmt w:val="decimal"/>
      <w:lvlText w:val="%1."/>
      <w:lvlJc w:val="left"/>
      <w:pPr>
        <w:tabs>
          <w:tab w:val="num" w:pos="720"/>
        </w:tabs>
        <w:ind w:left="720" w:hanging="360"/>
      </w:p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242F457B"/>
    <w:multiLevelType w:val="hybridMultilevel"/>
    <w:tmpl w:val="8E3E6E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1"/>
  </w:num>
  <w:num w:numId="3" w16cid:durableId="885482216">
    <w:abstractNumId w:val="3"/>
  </w:num>
  <w:num w:numId="4" w16cid:durableId="266934900">
    <w:abstractNumId w:val="5"/>
  </w:num>
  <w:num w:numId="5" w16cid:durableId="586614847">
    <w:abstractNumId w:val="6"/>
  </w:num>
  <w:num w:numId="6" w16cid:durableId="146180418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6150718">
    <w:abstractNumId w:val="0"/>
  </w:num>
  <w:num w:numId="8" w16cid:durableId="391656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45195"/>
    <w:rsid w:val="0006505F"/>
    <w:rsid w:val="00073FC0"/>
    <w:rsid w:val="00075FC4"/>
    <w:rsid w:val="00082379"/>
    <w:rsid w:val="00085826"/>
    <w:rsid w:val="000C193F"/>
    <w:rsid w:val="000C4E97"/>
    <w:rsid w:val="000C608A"/>
    <w:rsid w:val="000E1842"/>
    <w:rsid w:val="000F2ACC"/>
    <w:rsid w:val="000F41D1"/>
    <w:rsid w:val="00104BA1"/>
    <w:rsid w:val="00105F36"/>
    <w:rsid w:val="0012034B"/>
    <w:rsid w:val="00123C46"/>
    <w:rsid w:val="00123E22"/>
    <w:rsid w:val="001676E7"/>
    <w:rsid w:val="00172D04"/>
    <w:rsid w:val="0018291D"/>
    <w:rsid w:val="001B1C0B"/>
    <w:rsid w:val="001B761A"/>
    <w:rsid w:val="001C293A"/>
    <w:rsid w:val="001C302D"/>
    <w:rsid w:val="001D091A"/>
    <w:rsid w:val="001D7C8A"/>
    <w:rsid w:val="001D7D8A"/>
    <w:rsid w:val="0020469A"/>
    <w:rsid w:val="00214D8C"/>
    <w:rsid w:val="00224329"/>
    <w:rsid w:val="00231553"/>
    <w:rsid w:val="00234908"/>
    <w:rsid w:val="00254F5E"/>
    <w:rsid w:val="00272925"/>
    <w:rsid w:val="002822F6"/>
    <w:rsid w:val="0028551E"/>
    <w:rsid w:val="00286686"/>
    <w:rsid w:val="002902E7"/>
    <w:rsid w:val="002A3E0C"/>
    <w:rsid w:val="002B6FB4"/>
    <w:rsid w:val="002C5E60"/>
    <w:rsid w:val="002D0286"/>
    <w:rsid w:val="002D343D"/>
    <w:rsid w:val="002F2E6F"/>
    <w:rsid w:val="002F2F1E"/>
    <w:rsid w:val="002F394F"/>
    <w:rsid w:val="00303FBF"/>
    <w:rsid w:val="003046FC"/>
    <w:rsid w:val="00307ED2"/>
    <w:rsid w:val="0032598E"/>
    <w:rsid w:val="00333F5C"/>
    <w:rsid w:val="00352504"/>
    <w:rsid w:val="00362FCA"/>
    <w:rsid w:val="00364CB1"/>
    <w:rsid w:val="003828CC"/>
    <w:rsid w:val="003D0B46"/>
    <w:rsid w:val="003E1CBA"/>
    <w:rsid w:val="003F0592"/>
    <w:rsid w:val="003F3625"/>
    <w:rsid w:val="00406D21"/>
    <w:rsid w:val="00463785"/>
    <w:rsid w:val="00475411"/>
    <w:rsid w:val="004800B6"/>
    <w:rsid w:val="004A6F75"/>
    <w:rsid w:val="004B2809"/>
    <w:rsid w:val="004B74D0"/>
    <w:rsid w:val="004C1F28"/>
    <w:rsid w:val="004C340D"/>
    <w:rsid w:val="004C3860"/>
    <w:rsid w:val="004E0DCC"/>
    <w:rsid w:val="004E6F2D"/>
    <w:rsid w:val="004F72B9"/>
    <w:rsid w:val="00505F20"/>
    <w:rsid w:val="00514E86"/>
    <w:rsid w:val="00542660"/>
    <w:rsid w:val="0055196B"/>
    <w:rsid w:val="0055392D"/>
    <w:rsid w:val="00571ABD"/>
    <w:rsid w:val="005A2545"/>
    <w:rsid w:val="005B0430"/>
    <w:rsid w:val="005C4965"/>
    <w:rsid w:val="005D25DA"/>
    <w:rsid w:val="005D27A7"/>
    <w:rsid w:val="005E4FA8"/>
    <w:rsid w:val="00605054"/>
    <w:rsid w:val="00617EA8"/>
    <w:rsid w:val="0063026E"/>
    <w:rsid w:val="00636E12"/>
    <w:rsid w:val="00655825"/>
    <w:rsid w:val="00691F90"/>
    <w:rsid w:val="006B57EF"/>
    <w:rsid w:val="006C01A7"/>
    <w:rsid w:val="006D485F"/>
    <w:rsid w:val="006E0196"/>
    <w:rsid w:val="006E1470"/>
    <w:rsid w:val="006E4006"/>
    <w:rsid w:val="006E44A8"/>
    <w:rsid w:val="006F03C7"/>
    <w:rsid w:val="0070497D"/>
    <w:rsid w:val="00705295"/>
    <w:rsid w:val="00706B8A"/>
    <w:rsid w:val="007654F4"/>
    <w:rsid w:val="00775EBC"/>
    <w:rsid w:val="0078105E"/>
    <w:rsid w:val="007A4E55"/>
    <w:rsid w:val="008009E5"/>
    <w:rsid w:val="00802FAE"/>
    <w:rsid w:val="00812241"/>
    <w:rsid w:val="0081785E"/>
    <w:rsid w:val="00821E5D"/>
    <w:rsid w:val="0082329A"/>
    <w:rsid w:val="00830775"/>
    <w:rsid w:val="00854B99"/>
    <w:rsid w:val="00854DC1"/>
    <w:rsid w:val="008604F7"/>
    <w:rsid w:val="0089207C"/>
    <w:rsid w:val="00893539"/>
    <w:rsid w:val="00893906"/>
    <w:rsid w:val="008A6552"/>
    <w:rsid w:val="008B4A32"/>
    <w:rsid w:val="008D7FC3"/>
    <w:rsid w:val="00901FF9"/>
    <w:rsid w:val="00910AE7"/>
    <w:rsid w:val="0091708C"/>
    <w:rsid w:val="0094377F"/>
    <w:rsid w:val="00966E3E"/>
    <w:rsid w:val="00974773"/>
    <w:rsid w:val="00975D23"/>
    <w:rsid w:val="009A7C1B"/>
    <w:rsid w:val="009B24A1"/>
    <w:rsid w:val="009B24D1"/>
    <w:rsid w:val="009C4CB8"/>
    <w:rsid w:val="009C6D43"/>
    <w:rsid w:val="009D131F"/>
    <w:rsid w:val="009E0DA7"/>
    <w:rsid w:val="009E3EDA"/>
    <w:rsid w:val="009F2AAB"/>
    <w:rsid w:val="009F2C97"/>
    <w:rsid w:val="00A1693E"/>
    <w:rsid w:val="00A20511"/>
    <w:rsid w:val="00A219FB"/>
    <w:rsid w:val="00A33620"/>
    <w:rsid w:val="00A3403E"/>
    <w:rsid w:val="00A4330D"/>
    <w:rsid w:val="00A9399D"/>
    <w:rsid w:val="00A9632C"/>
    <w:rsid w:val="00AA37CE"/>
    <w:rsid w:val="00AA4433"/>
    <w:rsid w:val="00AE285F"/>
    <w:rsid w:val="00AF615E"/>
    <w:rsid w:val="00B0459D"/>
    <w:rsid w:val="00B172FB"/>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B376D"/>
    <w:rsid w:val="00DC7104"/>
    <w:rsid w:val="00DD694C"/>
    <w:rsid w:val="00DE6E51"/>
    <w:rsid w:val="00DF0A21"/>
    <w:rsid w:val="00E04DF3"/>
    <w:rsid w:val="00E14EB7"/>
    <w:rsid w:val="00E43DB5"/>
    <w:rsid w:val="00E44C61"/>
    <w:rsid w:val="00E5070A"/>
    <w:rsid w:val="00E52827"/>
    <w:rsid w:val="00E62736"/>
    <w:rsid w:val="00E917C0"/>
    <w:rsid w:val="00E9481C"/>
    <w:rsid w:val="00EA1551"/>
    <w:rsid w:val="00EA4663"/>
    <w:rsid w:val="00EA5EEA"/>
    <w:rsid w:val="00EA7367"/>
    <w:rsid w:val="00EB0D37"/>
    <w:rsid w:val="00EB4046"/>
    <w:rsid w:val="00ED4D19"/>
    <w:rsid w:val="00ED5CAB"/>
    <w:rsid w:val="00EF3A45"/>
    <w:rsid w:val="00EF440B"/>
    <w:rsid w:val="00EF7A9A"/>
    <w:rsid w:val="00F12D1F"/>
    <w:rsid w:val="00F24103"/>
    <w:rsid w:val="00F3636A"/>
    <w:rsid w:val="00F703B9"/>
    <w:rsid w:val="00F71942"/>
    <w:rsid w:val="00F742CC"/>
    <w:rsid w:val="00F75D6B"/>
    <w:rsid w:val="00F76FB4"/>
    <w:rsid w:val="00F8018A"/>
    <w:rsid w:val="00F87D93"/>
    <w:rsid w:val="00FC5BD7"/>
    <w:rsid w:val="00FD73D8"/>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163475">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BG33</cp:lastModifiedBy>
  <cp:revision>2</cp:revision>
  <cp:lastPrinted>2023-03-28T07:15:00Z</cp:lastPrinted>
  <dcterms:created xsi:type="dcterms:W3CDTF">2025-08-05T10:54:00Z</dcterms:created>
  <dcterms:modified xsi:type="dcterms:W3CDTF">2025-08-05T10:54:00Z</dcterms:modified>
</cp:coreProperties>
</file>