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A73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b/>
          <w:kern w:val="0"/>
          <w:sz w:val="24"/>
          <w14:ligatures w14:val="none"/>
        </w:rPr>
        <w:t>16. Приложим режим на минимални/държавни помощи (ако е приложимо):</w:t>
      </w:r>
    </w:p>
    <w:p w14:paraId="3C2AD71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По правило предоставянето на държавни помощи е забранено, като изключенията от тази забрана са нормативно уредени. Предоставянето на безвъзмездна финансова помощ се извършва в съответствие с европейското и национално законодателство в областта на държавните помощи.</w:t>
      </w:r>
    </w:p>
    <w:p w14:paraId="528A9AD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Едно от условията, които трябва да бъдат изпълнени, за да бъдат приложени правилата за държавни и минимални помощи при предоставянето на държавни ресурси, е получател на помощта да е „предприятие“ съгласно конкурентното право. „Предприятие” по смисъла на чл. 107, пар. 1 от ДФЕС е всяка структура, ангажирана със стопанска дейност, независимо от правния й статут и начина й на финансиране. Съгласно практиката на Съда на ЕС, „предприятия“ по смисъла на конкурентното право са всички субекти, упражняващи икономическа дейност, в това число и носители на публична власт, когато дейността им е свързана с предлагане на стоки/услуги на пазара. За преценката дали едно лице оперира като „предприятие“ е без значение правният статут по националното право, нестопанската цел или начинът му на финансиране. Един и същ субект може да има качеството „предприятие“ по отношение на част от дейностите си и да не притежава това качество по отношение на други дейности. Решаващият критерий е дали конкретната дейност се състои в предлагане на стоки или услуги на даден пазар. </w:t>
      </w:r>
    </w:p>
    <w:p w14:paraId="2A6241BB"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Целта на настоящата процедура е да се подобри природозащитното състояние на типовете природни местообитания и видове, посочени в раздел 6 от условията за кандидатстване като консервационните мерки ще се изпълняват в защитените зони, посочени в Приложение № 1 към условията за кандидатстване, чрез:</w:t>
      </w:r>
    </w:p>
    <w:p w14:paraId="16807BCD"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 премахване на конкурентна и нетипична храстова и дървесна растителност; </w:t>
      </w:r>
    </w:p>
    <w:p w14:paraId="5A1A2B4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 премахване на инвазивни чужди видове; </w:t>
      </w:r>
    </w:p>
    <w:p w14:paraId="38FB51C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 подсилване на популациите на целевите видове. </w:t>
      </w:r>
    </w:p>
    <w:p w14:paraId="1C7C48D5"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Процедурата се открива в изпълнение на мерки 26, 29, 33 и 60 от Националната рамка за приоритетни действия за Натура 2000.</w:t>
      </w:r>
    </w:p>
    <w:p w14:paraId="6702E68C" w14:textId="408C3833"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От гледна точка на типовете допустими дейности и категории допустими кандидати и партньори, по процедурата се прилага режим „непомощ“, съгласно описаното по-долу: </w:t>
      </w:r>
    </w:p>
    <w:p w14:paraId="75537A86"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bCs/>
          <w:kern w:val="0"/>
          <w:sz w:val="24"/>
          <w:szCs w:val="24"/>
          <w14:ligatures w14:val="none"/>
        </w:rPr>
      </w:pPr>
      <w:r w:rsidRPr="00AD3086">
        <w:rPr>
          <w:rFonts w:ascii="Times New Roman" w:eastAsia="Calibri" w:hAnsi="Times New Roman" w:cs="Times New Roman"/>
          <w:b/>
          <w:bCs/>
          <w:kern w:val="0"/>
          <w:sz w:val="24"/>
          <w:szCs w:val="24"/>
          <w14:ligatures w14:val="none"/>
        </w:rPr>
        <w:t>Режим „непомощ“:</w:t>
      </w:r>
    </w:p>
    <w:p w14:paraId="1E905593"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Дейностите по процедурата са свързани с изпълнението на задълженията на Република България по европейското и националното природозащитно законодателство. Стратегията на ЕС за биологичното разнообразие за 2030 г. съдържа ангажимент за управление на установени инвазивни чужди видове и намаляване на броя на защитените видове от Червения списък, които те застрашават, с 50% до 2030 г. Инвазивните чужди видове са определени като един от петте основни фактора за загуба на биологично разнообразие, заедно с прекомерната експлоатация, изменението на климата, замърсяването и др. Водеща роля в политиката на Европейският съюз за предотвратяване на навлизането и управление на разпространението на инвазивни чужди видове има Регламент (ЕС) № 1143/2014 на Европейския парламент и на Съвета от 22 октомври 2014 година. Съгласно чл. 3, пар. 2 от Регламент (ЕС) № 1143/2014, „инвазивен чужд вид“ означава чужд вид, за който е установено, че въвеждането или разпространението му застрашава или въздейства неблагоприятно върху биологичното разнообразие и свързаните екосистемни услуги. В основата на регламента е списъкът на инвазивните чужди видове, засягащи ЕС, който е приет през 2016 г. и периодично се актуализира и допълва. От държавите-членки на ЕС се изисква: </w:t>
      </w:r>
    </w:p>
    <w:p w14:paraId="222FBBA6"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предприемане на действия по пътищата на непреднамерено въвеждане (т.е. превенция);</w:t>
      </w:r>
    </w:p>
    <w:p w14:paraId="1C3EA194"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предприемане на мерки за ранно откриване и бързо унищожаване на инвазивните чужди видове;</w:t>
      </w:r>
    </w:p>
    <w:p w14:paraId="29C96F2D"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управление на видове, които вече са широко разпространени на тяхната територия.</w:t>
      </w:r>
    </w:p>
    <w:p w14:paraId="2FBAE4F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lastRenderedPageBreak/>
        <w:t>Инвазивните чужди видове представляват индикатор за оценка на степента за загуба на биологично разнообразие на Европейско ниво, който се прилага в рамките на инициативата SEBI 2010 (STREAMLINING EUROPEAN 2010 BIODIVERSITY INDICATORS). Този индикатор е съставен от два компонента: 1) нарастване на броя на чуждите видове, които потенциално могат да станат инвазивни, за определен период от време (от 1900 г. насам) и 2) списък на най-вредните инвазивни чужди видове. Списъкът с най-вредните инвазивни чужди видове, застрашаващи биологичното разнообразие, служи като инструмент за определяне на приоритетите на управлението и други дейности, включително и като механизъм за ранно предупреждение. Оценка на индикатора е правена през 2004-2010 г. Съгласно информация, достъпна на страницата на Изпълнителната агенция по околна среда (</w:t>
      </w:r>
      <w:hyperlink r:id="rId6" w:history="1">
        <w:r w:rsidRPr="00AD3086">
          <w:rPr>
            <w:rFonts w:ascii="Times New Roman" w:eastAsia="Calibri" w:hAnsi="Times New Roman" w:cs="Times New Roman"/>
            <w:color w:val="0000FF"/>
            <w:kern w:val="0"/>
            <w:sz w:val="24"/>
            <w:szCs w:val="24"/>
            <w:u w:val="single"/>
            <w14:ligatures w14:val="none"/>
          </w:rPr>
          <w:t>https://eea.government.bg/bg/soer/2010/biodiversity-nem/biologichno-raznoobrazie-natsionalna-ekologichna-mrezha-1</w:t>
        </w:r>
      </w:hyperlink>
      <w:r w:rsidRPr="00AD3086">
        <w:rPr>
          <w:rFonts w:ascii="Times New Roman" w:eastAsia="Calibri" w:hAnsi="Times New Roman" w:cs="Times New Roman"/>
          <w:kern w:val="0"/>
          <w:sz w:val="24"/>
          <w:szCs w:val="24"/>
          <w14:ligatures w14:val="none"/>
        </w:rPr>
        <w:t xml:space="preserve">), кумулативният брой на чуждите за България видове нараства постоянно от 1900 г. насам. </w:t>
      </w:r>
    </w:p>
    <w:p w14:paraId="2FEECCD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Съгласно чл. 35, т. 1 и 6 от Закона за биологичното разнообразие (ЗБР), растителните, животинските и гъбните видове от дивата флора, фауна и микота на Република България се опазват в естествената им среда чрез съхраняване на техните местообитания в Националната екологична мрежа и чрез контрол и регулиране на неместни видове, които са или биха могли да бъдат въведени целенасочено или случайно в природата и застрашават местни видове. Контролът следва да бъде пропорционален на въздействието върху околната среда и да е съобразен с биогеографските и климатичните условия на държавата. </w:t>
      </w:r>
    </w:p>
    <w:p w14:paraId="773550A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Мерките за контрол по отношение на инвазивните чужди видове и на конкурентната и нетипична храстова и дървесна растителност са насочени към ликвидиране, контрол на популацията или ограничаване на разпространението на вида. При прилагането им се вземат предвид човешкото здраве, местните видове и техните местообитания. Освен това държавите-членки са задължени да прилагат подходящи мерки за подобряване природозащитното състояние на съответните типове природни местообитания и видове, чието състояние е влошено или които са увредени или унищожени от инвазивния чужд вид и/или съответната конкурентна или нетипична храстова и дървесна растителност.</w:t>
      </w:r>
    </w:p>
    <w:p w14:paraId="536352B5"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Относима към настоящия случай е практиката на Европейската комисия по преписки за държавна помощ SA.44011, SA.45645 и SA.46073, свързани с публично финансиране на дейности по опазване на природата, възстановяване на природни местообитания, опазване на видове и поддържане на ландшафта. Съгласно Решение на Комисията С (2016) 5146, дело </w:t>
      </w:r>
      <w:r w:rsidRPr="00AD3086">
        <w:rPr>
          <w:rFonts w:ascii="Times New Roman" w:eastAsia="Calibri" w:hAnsi="Times New Roman" w:cs="Times New Roman"/>
          <w:kern w:val="0"/>
          <w:sz w:val="24"/>
          <w:szCs w:val="24"/>
          <w:lang w:val="en-US"/>
          <w14:ligatures w14:val="none"/>
        </w:rPr>
        <w:t>SA</w:t>
      </w:r>
      <w:r w:rsidRPr="00AD3086">
        <w:rPr>
          <w:rFonts w:ascii="Times New Roman" w:eastAsia="Calibri" w:hAnsi="Times New Roman" w:cs="Times New Roman"/>
          <w:kern w:val="0"/>
          <w:sz w:val="24"/>
          <w:szCs w:val="24"/>
          <w14:ligatures w14:val="none"/>
        </w:rPr>
        <w:t>.44011, целите на схемата са да се подпомогне опазването на природното наследство, природосъобразните екосистеми и стойността на селските райони като място за отдих. Бенефициенти по тази схема са местни публични органи или местни публичноправни организации, предоставящи услуги, както и сдружения за опазване на ландшафта, развиващи дейност в интерес на опазването на природата. Дейностите по тази схема, описани в пар. 16 от Решението (в т.ч. инвестиции за поддържане, възстановяване и подобряване на местообитания) са в полза на обществото като цяло и не са предназначени за търговска експлоатация. Заключението на Комисията е, че схемата има неикономически характер, предвид нейното естеството и фокус върху опазването на природното наследство, биоразнообразието, местообитанията и видовете.</w:t>
      </w:r>
    </w:p>
    <w:p w14:paraId="2468CD56"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Видно от решение на Комисията C (2017) 803, дело № SA.45645 (2016/ N), консервационните дейности за защита на природата и биологичното разнообразие, които са общодостъпни за обществеността и които се ползват безвъзмездно имат изцяло социална и културна насоченост и нямат икономически характер. В рамките на цитираното решение (пар. 17, б. „б“), за допустими са определени проекти</w:t>
      </w:r>
      <w:r w:rsidRPr="00AD3086">
        <w:rPr>
          <w:rFonts w:ascii="Calibri" w:eastAsia="Calibri" w:hAnsi="Calibri" w:cs="Times New Roman"/>
          <w:kern w:val="0"/>
          <w14:ligatures w14:val="none"/>
        </w:rPr>
        <w:t xml:space="preserve"> </w:t>
      </w:r>
      <w:r w:rsidRPr="00AD3086">
        <w:rPr>
          <w:rFonts w:ascii="Times New Roman" w:eastAsia="Calibri" w:hAnsi="Times New Roman" w:cs="Times New Roman"/>
          <w:kern w:val="0"/>
          <w:sz w:val="24"/>
          <w:szCs w:val="24"/>
          <w14:ligatures w14:val="none"/>
        </w:rPr>
        <w:t xml:space="preserve">за опазване на видове. В допълнение, съгласно пар. 17, б. „д“ от Решението, за допустими са определени </w:t>
      </w:r>
      <w:r w:rsidRPr="00AD3086">
        <w:rPr>
          <w:rFonts w:ascii="Times New Roman" w:eastAsia="Calibri" w:hAnsi="Times New Roman" w:cs="Times New Roman"/>
          <w:kern w:val="0"/>
          <w:sz w:val="24"/>
          <w:szCs w:val="24"/>
          <w14:ligatures w14:val="none"/>
        </w:rPr>
        <w:lastRenderedPageBreak/>
        <w:t xml:space="preserve">проекти, свързани с проучвания и инвестиции, отнасящи се до поддържането, възстановяването и подобряване на състоянието на природното наследство от зоните в Натура 2000, в т.ч. проекти за опазване и възстановяване на природни местообитания. Като допустими в Решение на Комисията C (2017) 803 по дело № SA.45645 (2016/ N) са определени разходите за инвестиции, проучвания, персонал, административните разходи, други оперативни разходи, консултантски услуги и услуги по предоставяне на информация, капиталови разходи и др. Въз основа на преамбюла на цитираното решение (съображение 25) може да се заключи, че в рамките на подкрепяните проекти в обхвата на решението дейностите, свързани с опазването на природата следва по принцип да са общодостъпни и безвъзмездни. За тези дейности, съгласно заключението на решение на Комисията C (2017) 803, дело № SA.45645 (2016/ N), са неприложими правилата на конкуренцията, включително по отношение на държавни помощи, поради липса на елемента „икономическа дейност“. </w:t>
      </w:r>
    </w:p>
    <w:p w14:paraId="639A1F14"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Съгласно Решение на Европейската комисия C(2017) 804, дело SA.46073, целите на схемата са подпомагане на опазването на природата и поддържането на ландшафта. Дейностите по схемата (включително финансираните проекти за възстановяване на местообитания на диви видове от фауната и флората, които са местни (ендемични) за района) са в полза на широката общественост и не са предназначени за търговска експлоатация.</w:t>
      </w:r>
      <w:r w:rsidRPr="00AD3086">
        <w:rPr>
          <w:rFonts w:ascii="Calibri" w:eastAsia="Calibri" w:hAnsi="Calibri" w:cs="Times New Roman"/>
          <w:kern w:val="0"/>
          <w14:ligatures w14:val="none"/>
        </w:rPr>
        <w:t xml:space="preserve"> </w:t>
      </w:r>
      <w:r w:rsidRPr="00AD3086">
        <w:rPr>
          <w:rFonts w:ascii="Times New Roman" w:eastAsia="Calibri" w:hAnsi="Times New Roman" w:cs="Times New Roman"/>
          <w:kern w:val="0"/>
          <w:sz w:val="24"/>
          <w:szCs w:val="24"/>
          <w14:ligatures w14:val="none"/>
        </w:rPr>
        <w:t xml:space="preserve">Допустимите бенефициери са юридически лица на частното право с нестопанска цел. Заключението на Комисията е, че публичното финансиране на дейност по опазване на наследството, включително опазване на природата, която е достъпна за широката общественост безплатно, може да се разглежда като изпълняваща изцяло социална и културна цел, която има неикономически характер. В този смисъл, схемата не представлява държавна помощ. </w:t>
      </w:r>
    </w:p>
    <w:p w14:paraId="2AA71D01"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Интервенциите, подкрепяни в рамките на настоящата процедура, са насочени към подобряване на природозащитното състояние на типове природни местообитания от мрежата Натура 2000 и видове висши растения, ще имат полза за обществото като цяло и в тази връзка нямат за цел или резултат извършване на икономическа дейност (виж т. 30 от решение на Комисията C (2017) 803, дело № SA.45645 (2016/ N). Проектните резултати не се предоставят срещу възнаграждение на индивидуално определени ползватели и не са предназначени за стопанска експлоатация от страна на бенефициента. Предвид естеството на настоящата процедурата и фокусът върху консервационните мерки за подобряване на природозащитното състояние на природни местообитания и видове растения, подпомагането по настоящата процедура няма икономически характер (в този смисъл е и раздел 2.6, т. 34 от Съобщение „Известие на Комисията относно понятието за държавна помощ съгласно член 107, параграф 1 от ДФЕС“). Съгласно т. 34 от Известието, публичното финансиране на дейностите в областта на културата или за опазване на културното наследство, които са достъпни за обществеността безвъзмездно, преследват чисто социална и културна цел, чието естество е нестопанско. В т. 36 от Известието Комисията посочва, че много дейности по опазване на природата „са обективно незаменими“ и поради това „изключват съществуването на реален пазар“. От това следва, че дейностите по опазване на природата могат да имат неикономически характер, независимо дали се изпълняват от държавен орган, община, сдружение, фондация или друг субект. Определянето на такава дейност като икономическа, съответно неикономическа, се основава на конкретното съдържание, цел, начин на организация и финансиране на подпомаганата дейност. Съгласно т. 37 от Известието, в случаите, когато субект извършва дейности по опазване на наследството, някои от които са неикономически, съгласно определеното в точки 34 и 36 от Известието, а други от тях са икономически, публичното финансиране, което субектът получава ще попадне в </w:t>
      </w:r>
      <w:r w:rsidRPr="00AD3086">
        <w:rPr>
          <w:rFonts w:ascii="Times New Roman" w:eastAsia="Calibri" w:hAnsi="Times New Roman" w:cs="Times New Roman"/>
          <w:kern w:val="0"/>
          <w:sz w:val="24"/>
          <w:szCs w:val="24"/>
          <w14:ligatures w14:val="none"/>
        </w:rPr>
        <w:lastRenderedPageBreak/>
        <w:t>приложното поле на правилата за държавните помощи само доколкото това финансиране обхваща разходи, свързани с икономическите дейности.</w:t>
      </w:r>
    </w:p>
    <w:p w14:paraId="681087ED"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В точка 34 от Известието е направено уточнението, че събирането на парична сума, която покрива само част от действителните разходи, не променя непременно неикономическия характер на дейността, когато тази сума не представлява същинско възнаграждение за предоставена услуга. Финансираните консервационни дейности по настоящата процедура не са предназначени да бъдат предоставяни срещу такса или друго възнаграждение на индивидуално определени ползватели. В тази връзка, по процедурата е приложим режим „непомощ“, тъй като финансираните дейности: </w:t>
      </w:r>
    </w:p>
    <w:p w14:paraId="5D3B83C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се извършват в общ обществен и природозащитен интерес; </w:t>
      </w:r>
    </w:p>
    <w:p w14:paraId="4F3AA28F"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не се състоят в предлагане на стоки или услуги на пазар; </w:t>
      </w:r>
    </w:p>
    <w:p w14:paraId="177B362C"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не се предоставят срещу възнаграждение от ползватели; </w:t>
      </w:r>
    </w:p>
    <w:p w14:paraId="6CD9F0E0"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не генерират приходи или печалба за бенефициента; </w:t>
      </w:r>
    </w:p>
    <w:p w14:paraId="7FFAB8BB"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не са предназначени за последваща стопанска експлоатация; </w:t>
      </w:r>
    </w:p>
    <w:p w14:paraId="508DEBC6"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 xml:space="preserve">не предоставят изключителна или преимуществена полза на конкретни предприятия; </w:t>
      </w:r>
    </w:p>
    <w:p w14:paraId="6F9ADEEC"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w:t>
      </w:r>
      <w:r w:rsidRPr="00AD3086">
        <w:rPr>
          <w:rFonts w:ascii="Times New Roman" w:eastAsia="Calibri" w:hAnsi="Times New Roman" w:cs="Times New Roman"/>
          <w:kern w:val="0"/>
          <w:sz w:val="24"/>
          <w:szCs w:val="24"/>
          <w14:ligatures w14:val="none"/>
        </w:rPr>
        <w:tab/>
        <w:t>не освобождават определени предприятия от техни нормативни, договорни или обичайни разходи и задължения.</w:t>
      </w:r>
    </w:p>
    <w:p w14:paraId="2366F554"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Този извод се потвърждава от практиката на Европейската комисия. По преписки SA.44011, SA.45645 и SA.46073 Комисията приема, че преки безвъзмездни средства – включително с интензитет до 100% и за сдружения и фондации с нестопанска цел – за дейности по опазване на природата и възстановяване на местообитания по Натура 2000 не представляват държавна помощ, тъй като тези дейности са неикономически по своя характер.</w:t>
      </w:r>
    </w:p>
    <w:p w14:paraId="3FDE5914"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В нито едно от посочените решения Комисията не обуславя извода за режим „непомощ“ от нормативно възложено правомощие на съответния бенефициент. Сдруженията и фондациите в тези схеми не разполагат с делегирани публични правомощия и въпреки това подпомагането не е квалифицирано като държавна помощ. Единственото основание е характерът на дейността – липсата на пазар и на възнаграждение. Следователно приложимият режим се определя от естеството на финансираната дейност, а не от вида на бенефициента, нито от наличието на изрично законово възложено правомощие.</w:t>
      </w:r>
    </w:p>
    <w:p w14:paraId="500C2BA2"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shd w:val="clear" w:color="auto" w:fill="FFFFFF"/>
          <w14:ligatures w14:val="none"/>
        </w:rPr>
        <w:t>Търсене на консервационните дейности по процедурата не възниква на пазар. То се поражда единствено от изпълнението на публичноправните задължения на държавата по Регламент (ЕС) № 1143/2014 и по Закона за биологичното разнообразие</w:t>
      </w:r>
      <w:r w:rsidRPr="00AD3086">
        <w:rPr>
          <w:rFonts w:ascii="Times New Roman" w:eastAsia="Calibri" w:hAnsi="Times New Roman" w:cs="Times New Roman"/>
          <w:kern w:val="0"/>
          <w:sz w:val="24"/>
          <w:szCs w:val="24"/>
          <w14:ligatures w14:val="none"/>
        </w:rPr>
        <w:t>. При липса на самостоятелен пазар и на приходи финансираните дейности нямат икономически характер, независимо от това дали се изпълняват от държавен орган, община, сдружение или фондация.</w:t>
      </w:r>
    </w:p>
    <w:p w14:paraId="7DF2B7BF"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bCs/>
          <w:kern w:val="0"/>
          <w:sz w:val="24"/>
          <w:szCs w:val="24"/>
          <w14:ligatures w14:val="none"/>
        </w:rPr>
      </w:pPr>
      <w:r w:rsidRPr="00AD3086">
        <w:rPr>
          <w:rFonts w:ascii="Times New Roman" w:eastAsia="Calibri" w:hAnsi="Times New Roman" w:cs="Times New Roman"/>
          <w:kern w:val="0"/>
          <w:sz w:val="24"/>
          <w:szCs w:val="24"/>
          <w14:ligatures w14:val="none"/>
        </w:rPr>
        <w:t xml:space="preserve">На етапа на кандидатстване по процедурата, всеки от кандидатите в проектното си предложение описват методите, по които планира да отстрани инвазивен вид/нетипичен/конкурентен дървесен или храстови вид. Същите са обект на оценка в рамките на оценката на проектните предложения. По отношение на инвазивните чужди видове растения съществуват различни методи за интервенция: механичен, екологичен, химичен и биологичен, както и комбинация от тях, които следва да бъдат съобразени с режимите и забраните в защитени зони. Неправилното отстраняване на инвазивните видове (дървета и храсти) води до допълнително влошаване на състоянието на местообитанието. В някои хипотези, съобразно спецификите на растителния вид, отсичането и опожаряването води до образуване на коренови издънки и още по-гъсти обраствания. В почвата има спящи семена и унищожаването на старите храсти и дървета може да доведе до просветляване на мястото и до стимулиране образуването на голям брой нови млади растения от съответния инвазивен вид. </w:t>
      </w:r>
      <w:r w:rsidRPr="00AD3086">
        <w:rPr>
          <w:rFonts w:ascii="Times New Roman" w:eastAsia="Calibri" w:hAnsi="Times New Roman" w:cs="Times New Roman"/>
          <w:b/>
          <w:bCs/>
          <w:kern w:val="0"/>
          <w:sz w:val="24"/>
          <w:szCs w:val="24"/>
          <w14:ligatures w14:val="none"/>
        </w:rPr>
        <w:t xml:space="preserve">Независимо от приложимия </w:t>
      </w:r>
      <w:r w:rsidRPr="00AD3086">
        <w:rPr>
          <w:rFonts w:ascii="Times New Roman" w:eastAsia="Calibri" w:hAnsi="Times New Roman" w:cs="Times New Roman"/>
          <w:b/>
          <w:bCs/>
          <w:kern w:val="0"/>
          <w:sz w:val="24"/>
          <w:szCs w:val="24"/>
          <w14:ligatures w14:val="none"/>
        </w:rPr>
        <w:lastRenderedPageBreak/>
        <w:t>метод на отстраняване на инвазивни чужди видове, нетипични и конкурентни видове, управляващият орган няма да финансира проекти, при изпълнението на които ще се генерират приходи от отстранен растителен или дървен материал. Това обстоятелство е обект на деклариране от страна на кандидата и партньорите.</w:t>
      </w:r>
    </w:p>
    <w:p w14:paraId="638008A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b/>
          <w:bCs/>
          <w:kern w:val="0"/>
          <w:sz w:val="24"/>
          <w:szCs w:val="24"/>
          <w14:ligatures w14:val="none"/>
        </w:rPr>
        <w:t>По процедурата няма да бъдат финансирани дейности, които представляват консервационни мерки, но са възложени за изпълнение на концесионер или наемател, за негова сметка</w:t>
      </w:r>
      <w:r w:rsidRPr="00AD3086">
        <w:rPr>
          <w:rFonts w:ascii="Times New Roman" w:eastAsia="Calibri" w:hAnsi="Times New Roman" w:cs="Times New Roman"/>
          <w:kern w:val="0"/>
          <w:sz w:val="24"/>
          <w:szCs w:val="24"/>
          <w14:ligatures w14:val="none"/>
        </w:rPr>
        <w:t xml:space="preserve">. Кандидатите представят декларация, че консервационни мерки по проекта се изпълняват, съответно не се изпълняват на територията на имоти/обекти, отдадени на концесия или под наем, че предвидените в проекта дейности не са предмет на изпълнение за сметка на концесионер или наемател, по сключен концесионен договор или договор за наем. </w:t>
      </w:r>
    </w:p>
    <w:p w14:paraId="41D9E370"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Това обстоятелство също е обект на деклариране от страна на кандидата и партньорите. Със сключването на АДБФП/издаването на ЗБФП, бенефициентите гарантират, че посочените изисквания ще бъдат спазени като при установяване на нарушение Управляващият орган ще изиска възстановяване на всички изплатени на бенефициентите средства, ведно с лихва. В този смисъл, изпълнението на проектите няма нито пряко, нито косвено да доведе до предоставяне на предимство на концесионери и наематели</w:t>
      </w:r>
      <w:r w:rsidRPr="00AD3086">
        <w:rPr>
          <w:rFonts w:ascii="Calibri" w:eastAsia="Calibri" w:hAnsi="Calibri" w:cs="Times New Roman"/>
          <w:kern w:val="0"/>
          <w14:ligatures w14:val="none"/>
        </w:rPr>
        <w:t xml:space="preserve"> </w:t>
      </w:r>
      <w:r w:rsidRPr="00AD3086">
        <w:rPr>
          <w:rFonts w:ascii="Times New Roman" w:eastAsia="Calibri" w:hAnsi="Times New Roman" w:cs="Times New Roman"/>
          <w:kern w:val="0"/>
          <w:sz w:val="24"/>
          <w:szCs w:val="24"/>
          <w14:ligatures w14:val="none"/>
        </w:rPr>
        <w:t xml:space="preserve">и до реализиране на приходи от отстранен дървен и растителен материал в нарушение на правилата за държавни помощи.    </w:t>
      </w:r>
    </w:p>
    <w:p w14:paraId="5EF70C90"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b/>
          <w:bCs/>
          <w:kern w:val="0"/>
          <w:sz w:val="24"/>
          <w:szCs w:val="24"/>
          <w14:ligatures w14:val="none"/>
        </w:rPr>
        <w:t>Не представляват държавна помощ</w:t>
      </w:r>
      <w:r w:rsidRPr="00AD3086">
        <w:rPr>
          <w:rFonts w:ascii="Times New Roman" w:eastAsia="Calibri" w:hAnsi="Times New Roman" w:cs="Times New Roman"/>
          <w:kern w:val="0"/>
          <w:sz w:val="24"/>
          <w:szCs w:val="24"/>
          <w14:ligatures w14:val="none"/>
        </w:rPr>
        <w:t xml:space="preserve"> и дейностите по т. 13.3 от условията за кандидатстване, за кандидати и партньори – структури на/към Министерство на околната среда и водите, Министерство на земеделието и храните, общини и областни администрации. Служителите на държавните органи – кандидати и партньори, ще могат да извършват самостоятелно спомагателни дейности, свързани с подготовка на проектните предложения, както и дейности по организация и управление на проекта, видимост, прозрачност и комуникация и подготовка на документации за възлагане на обществени поръчки, при условие че същите не изискват провеждане на обществени поръчки за услуги и/или доставки. Тези дейности ще следва да бъдат извършвани от служителите на кандидатите/партньорите при спазване на разпоредбата на чл. 7 от Постановление № 86 на МС от 1.06.2023 г. за определяне на национални правила за допустимост на разходите по програмите, финансирани от Европейските фондове при споделено управление, за програмен период 2021 – 2027 г. (Oбн., ДВ, бр. 49 от 6.06.2023 г., в сила от 6.06.2023 г.). </w:t>
      </w:r>
    </w:p>
    <w:p w14:paraId="46A9D817"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Съгласно чл. 7, ал. 1 от цитираното постановление, когато безвъзмездна финансова помощ се предоставя под формата по чл. 55, ал. 1, т. 1 от ЗУСЕФСУ (възстановяване на действително направени и платени допустими разходи), дейностите по изпълнение и/или управление на проекти се възлагат, както следва:</w:t>
      </w:r>
    </w:p>
    <w:p w14:paraId="7CD3B3C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1. с длъжностната характеристика на служителя, нает от бенефициента по трудово или служебно правоотношение, когато дейностите се изпълняват в рамките на установеното работно време;</w:t>
      </w:r>
    </w:p>
    <w:p w14:paraId="60A50028"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2. със заповед на органа по назначаване, съответно на работодателя, с която на служителя по служебно правоотношение, съответно по трудово правоотношение, в държавната администрация, с негово съгласие и срещу възнаграждение се възлагат допълнителни задължения във връзка с управлението и/или изпълнението на проект, когато дейностите се изпълняват извън установеното работно време и длъжностна характеристика на служителя;</w:t>
      </w:r>
    </w:p>
    <w:p w14:paraId="3503EC27"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3. с трудов договор по реда на чл. 110 или 111 от Кодекса на труда във връзка с управлението и/или изпълнението на проект със служител по трудово правоотношение, когато дейностите се изпълняват извън установеното работно време и длъжностна характеристика на служителя;</w:t>
      </w:r>
    </w:p>
    <w:p w14:paraId="7287640A"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lastRenderedPageBreak/>
        <w:t>4. с договор, сключен съгласно правилата по чл. 49, ал. 2 от ЗУСЕФСУ – извън случаите по т. 1 – 3.</w:t>
      </w:r>
    </w:p>
    <w:p w14:paraId="4F15C599"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Съгласно чл. 7, ал. 2 от Постановление № 86 на МС от 1.06.2023 г., когато безвъзмездна финансова помощ за дейности по проекти на бенефициенти от централната и териториалната администрация на изпълнителната власт се предоставя под формата по чл. 55, ал. 1, т. 1 от ЗУСЕФСУ, допустимият размер на разходите за възнаграждения се определя, както следва:</w:t>
      </w:r>
    </w:p>
    <w:p w14:paraId="114A6310"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1. за служителите по чл. 7, ал. 1, т. 1, 2 и 3 – до размера на възнаграждението на часова база, което лицето получава за изпълнение на дейности по основното си служебно или трудово правоотношение;</w:t>
      </w:r>
    </w:p>
    <w:p w14:paraId="6DC7268A"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2. за лицата по чл. 7, ал. 1, т. 4 – съгласно условията на сключения договор.</w:t>
      </w:r>
    </w:p>
    <w:p w14:paraId="0C1E7226"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Редът и начинът на заплащане на възнаграждения на служителите по чл. 7, ал. 1, т. 1, 2 и 3 от Постановление № 86 на МС от 1.06.2023 г. са уредени в Наредбата за заплатите на служителите в държавната администрация (Наредбата), приета с ПМС № 129 от 26.06.2012 г., обн., ДВ, бр. 49 от 29.06.2012 г., в сила от 1.07.2012 г. Разпоредбата на чл. 19, т. 6 от Наредбата урежда самостоятелен вид допълнително възнаграждение по чл. 21, ал. 4 от Закона за държавния служител и чл. 107а, ал. 9 от Кодекса на труда за изпълнение и/или управление на проекти или програми. То се начислява на държавни служители и служители, работещи по трудово правоотношение, които с тяхно съгласие и срещу допълнително възнаграждение, със заповед на органа по назначаването/работодателя са възложени допълнителни задължения във връзка с изпълнението и/или управлението на проекти. Тези допълнителни задължения не следва да попадат в обхвата на длъжностната характеристика и установеното работно време на служителя/работника (чл. 25а, ал. 1 от Наредбата). Техният размер е равен на възнаграждението на часова база, което лицето получава за изпълнение на дейностите по длъжностната си характеристика. Допълнителното възнаграждение по чл. 19, т. 6 от Наредбата - за изпълнението и/или управлението на проекти и програми, по които съответната администрация е изпълнител, се определя от органа по назначаването/работодателя в рамките на средствата по проекта или програмата (чл. 25а, ал. 3 от Наредбата). Възлагането на такива допълнителни задължения във връзка с изпълнението и/или управлението на проекти трябва да е съобразено с действащото трудово законодателство, включително по отношение на задължителната съгласно Закона за държавния служител и Кодекса на труда междудневна и междуседмична почивка. </w:t>
      </w:r>
    </w:p>
    <w:p w14:paraId="070DD295"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Когато с длъжностната характеристика на служителя/работника, нает от бенефициента/партньора по трудово или служебно правоотношение са възложени дейности по управление и/или изпълнение на проекти, дейностите се изпълняват в рамките на установеното работно време. В този случай, служителят/работникът има право да получи допълнително възнаграждение за постигнати резултати, което се определя за точно и в срок изпълнение на поставените задачи, както и за осъществените от него дейности по управление и изпълнение на проекти и програми (чл. 24, ал. 1 от Наредбата, във връзка с чл. 25, ал. 7 от Наредбата). Разходите за допълнителните възнаграждения за постигнати резултати (вкл. за дейности по изпълнение и/или управление на проекти) са в размер не повече от 30 на сто от разходите за заплати, възнаграждения и задължителни осигурителни вноски по бюджетите на разпоредителите с бюджет (чл. 24, ал. 3 от Наредбата). Размерът на допълнителното възнаграждение за постигнати резултати, което отделен служител може да получи за една година, също е ограничен – той не може да надвишава 80 на сто от начислените му за съответната година основни заплати (чл. 24, ал. 5 от Наредбата).</w:t>
      </w:r>
    </w:p>
    <w:p w14:paraId="38544923"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Възможността служители да получават допълнителни възнаграждения за осъществени от тях дейности по управление и/или изпълнение на проекти е нормативно установена в </w:t>
      </w:r>
      <w:r w:rsidRPr="00AD3086">
        <w:rPr>
          <w:rFonts w:ascii="Times New Roman" w:eastAsia="Calibri" w:hAnsi="Times New Roman" w:cs="Times New Roman"/>
          <w:kern w:val="0"/>
          <w:sz w:val="24"/>
          <w:szCs w:val="24"/>
          <w14:ligatures w14:val="none"/>
        </w:rPr>
        <w:lastRenderedPageBreak/>
        <w:t xml:space="preserve">Закона за държавния служител, Кодекса на труда, Наредбата за заплатите на служителите в държавната администрация и Постановление № 86 на МС от 1.06.2023 г. за определяне на национални правила за допустимост на разходите по програмите, финансирани от Европейските фондове при споделено управление, за програмен период 2021 – 2027 г. Те се изпълняват от служители в административни звена, част от системата на изпълнителната власт, поради което същите могат да бъдат съотнесени към осъществяването на властническите правомощия на съответните административни структури и за тях не намират приложение правилата за държавни помощи. </w:t>
      </w:r>
    </w:p>
    <w:p w14:paraId="1486A799"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С подписването на АДБФП/издаването на ЗБФП, бенефициентите и партньорите се задължават да изпълняват дейностите по т. 13.3. (организация и управление, видимост, прозрачност и комуникация и подготовка на документации за възлагане на обществени поръчки) в съответствие с разпоредбите на действащото законодателство, вкл. законодателството за държавни помощи. Те подлежат на проверки от страна на националните контролни органи (Агенцията за държавна финансова инспекция, Сметната палата, Изпълнителна агенция „Главна инспекция по труда“ и др.) по реда, предвиден в съответните нормативни актове.    </w:t>
      </w:r>
    </w:p>
    <w:p w14:paraId="0CD850E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bCs/>
          <w:kern w:val="0"/>
          <w:sz w:val="24"/>
          <w:szCs w:val="24"/>
          <w14:ligatures w14:val="none"/>
        </w:rPr>
      </w:pPr>
      <w:r w:rsidRPr="00AD3086">
        <w:rPr>
          <w:rFonts w:ascii="Times New Roman" w:eastAsia="Calibri" w:hAnsi="Times New Roman" w:cs="Times New Roman"/>
          <w:b/>
          <w:bCs/>
          <w:kern w:val="0"/>
          <w:sz w:val="24"/>
          <w:szCs w:val="24"/>
          <w14:ligatures w14:val="none"/>
        </w:rPr>
        <w:t xml:space="preserve">От гледна точка на кандидатите, от значение за определянето на приложимост на правилата за държавни помощи е следното: </w:t>
      </w:r>
    </w:p>
    <w:p w14:paraId="61A584B7"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Допустими кандидати по процедурата са структури на/към Министерство на околната среда и водите/Министерство на земеделието и храните, общини, областни администрации и юридически лица с нестопанска цел.</w:t>
      </w:r>
    </w:p>
    <w:p w14:paraId="25E13A8C"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Съгласно разпоредбата на чл. 114 от ЗБР, МОСВ и други държавни органи (вкл. Министерство на земеделието и храните и областните управители) и техните поделения в рамките на своите компетенции осъществяват управлението и контрола по опазване на биологичното разнообразие в Република България. Министърът на околната среда и водите провежда държавната политика по опазване и поддържане на биологичното разнообразие (чл. 115, ал. 1, т. 1 от ЗБР). Министерството на околната среда и водите организира и ръководи дейностите по отстраняването на навлезли в страната неместни видове, включително подвидове и вариетети, които биха застрашили естествени природни местообитания или местни видове от дивата флора и фауна (чл. 67а от ЗБР). Министърът на околната среда и водите е компетентен орган по прилагане на Регламент (ЕС) № 1143/2014, с изключение на чл. 15 от него (чл. 115, ал. 1, т. 18 от ЗБР).</w:t>
      </w:r>
    </w:p>
    <w:p w14:paraId="4C8FCD13"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Съгласно чл. 118, ал. 1, т. 1 от ЗБР, Министерството на земеделието, Министерството на регионалното развитие и благоустройството и другите държавни органи и техните поделения, както и общините, в сферата на своята компетентност осъществяват дейности по опазване на биологичното разнообразие. Задължение на общините в Република България, съгласно чл. 15, ал. 1, т. 5 на Закона за опазване на околната среда, е да организират и контролират опазването на биологичното разнообразие, на ландшафта и на природното и културното наследство в населените места и крайселищните територии. МОСВ може да предоставя на неправителствените и други организации и сдружения правото да организират поддържащи, направляващи, регулиращи, възстановителни и други природозащитни дейности в защитените зони и по отношение на защитените видове (чл. 119, ал. 3 от ЗБР ). </w:t>
      </w:r>
    </w:p>
    <w:p w14:paraId="43BB1EE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Посочването на юридическите лица с нестопанска цел като допустими бенефициенти по процедурата е обосновано от няколко съображения. На първо място, националното законодателство изрично признава ролята им в опазването на биологичното разнообразие – съгласно цитираната разпоредба на чл. 119, ал. 3 от ЗБР тези организации могат да организират поддържащи, направляващи, регулиращи, възстановителни и други природозащитни дейности в защитените зони и по отношение на защитените видове. Изпълнението на мерки от Националната рамка за приоритетни действия за </w:t>
      </w:r>
      <w:r w:rsidRPr="00AD3086">
        <w:rPr>
          <w:rFonts w:ascii="Times New Roman" w:eastAsia="Calibri" w:hAnsi="Times New Roman" w:cs="Times New Roman"/>
          <w:kern w:val="0"/>
          <w:sz w:val="24"/>
          <w:szCs w:val="24"/>
          <w14:ligatures w14:val="none"/>
        </w:rPr>
        <w:lastRenderedPageBreak/>
        <w:t>Натура 2000 предвижда участието на широк кръг субекти, включително неправителствени организации.</w:t>
      </w:r>
    </w:p>
    <w:p w14:paraId="7C9E5FC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На второ място, тези организации са регистрирани за осъществяване на общественополезна дейност с предмет опазване на околната среда и на биологичното разнообразие. Участието им по процедурата представлява пряко изпълнение на техните нестопански уставни цели, а не търговско начинание. На трето място, природозащитните сдружения и фондации разполагат със специализиран експертен капацитет – в областта на ботаниката, фитоценологията и мониторинга на видовете – и с национален обхват на действие, който допълва териториално ограничените правомощия на общините и подпомага пълното покриване на разпръснатите зони от мрежата Натура 2000. Този подход съответства и на установената практика при финансиране на дейности по Натура 2000 в Европейския съюз, при която сдружения и фондации са типични бенефициенти на публично финансиране за опазване на природата.</w:t>
      </w:r>
    </w:p>
    <w:p w14:paraId="62CE6FC0"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Обстоятелството, че тези организации са посочени като бенефициенти именно с оглед на нестопанската им природозащитна дейност, потвърждава неикономическия характер на подпомаганите дейности. Признаването на тази роля обосновава посочването им като допустими бенефициенти; квалификацията на подпомагането като „непомощ“ произтича от естеството на самите финансирани дейности, а не от това признаване.</w:t>
      </w:r>
    </w:p>
    <w:p w14:paraId="24A1F3CA"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Съгласно чл. 3, ал. 3 от Закона за юридическите лица с нестопанска цел, юридическите лица с нестопанска цел (ЮЛНЦ) могат да извършват допълнителна стопанска дейност, само ако е свързана с предмета на основната им нестопанска дейност, за която са регистрирани, и като използват прихода за постигане на определените в устава или учредителния акт цели. Това обстоятелство не е достатъчно основание финансираните по процедурата природозащитни дейности да бъдат квалифицирани като икономически. Преценката следва да бъде извършена по отношение на конкретно подпомаганата дейност, а не единствено според вида на кандидата или партньора. Подпомагането по процедурата е насочено към извършваната от ЮЛНЦ нестопанска дейност по опазване на околната среда и биологичното разнообразие. С цел да се избегне кръстосано субсидиране на стопанската дейност, за да се гарантира съобразяване на изискванията на т. 206 от Съобщение на Комисията, Известие на Комисията относно понятието за държавна помощ, посочено в член 107, параграф 1 от Договора за функционирането на Европейския съюз, съгласно които за субекти, извършващи стопански и нестопански дейности, следва да се гарантира, че публичното финансиране, предоставено за нестопански дейности, не може да се използва за кръстосано субсидиране на стопанските дейности, безвъзмездната финансова помощ по настоящата процедура ще се предоставя единствено за възстановяване на извършените от бенефициента/партньора разходи за нестопанската му дейност. Това ще бъде проследявано и ще се гарантира чрез ясно разделяне на счетоводните сметки – бенефициентът/партньорът ще следва да води счетоводна отчетност, която позволява да се осигури ясно разделяне между извършваната от него стопанска дейност (включително по отношение на приходите и източниците на финансиране) и дейностите, включени в проектното предложение. С подписването на АДБФП/издаването на ЗБФП, неразделна част от който/която са условията за изпълнение, бенефициентът/партньорът ще поеме задължение да осчетоводява надлежно извършените разходи по проекта в специално обособена аналитичност в счетоводната си система. В случай че Управляващият орган или друг контролен или проверяващ орган установи, че Бенефициентът/партньорът води счетоводна отчетност, която не осигурява разделяне на икономическата от неикономическата си дейност (включително по отношение на приходите и източниците на финансиране), той има правото да иска възстановяване на всички изплатени на </w:t>
      </w:r>
      <w:r w:rsidRPr="00AD3086">
        <w:rPr>
          <w:rFonts w:ascii="Times New Roman" w:eastAsia="Calibri" w:hAnsi="Times New Roman" w:cs="Times New Roman"/>
          <w:kern w:val="0"/>
          <w:sz w:val="24"/>
          <w:szCs w:val="24"/>
          <w14:ligatures w14:val="none"/>
        </w:rPr>
        <w:lastRenderedPageBreak/>
        <w:t xml:space="preserve">бенефициента средства, ведно с лихва. Това изискване е неразделна част от АДБФП/ЗБФП. </w:t>
      </w:r>
    </w:p>
    <w:p w14:paraId="74125A75"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По отношение на финансираните по процедурата дейности юридическите лица с нестопанска цел не действат като предприятия по смисъла на чл. 107, § 1 от ДФЕС. Тези дейности се извършват в обществен интерес, не се предлагат на пазар и не генерират приходи, като по раздел 16 реализирането на приходи от отстранен растителен или дървесен материал е изрично забранено. Практиката на Комисията по преписка SA.46073 се отнася до схема, насочена изцяло към юридически лица с нестопанска цел, и потвърждава, че при тези условия подпомагането не представлява държавна помощ.</w:t>
      </w:r>
    </w:p>
    <w:p w14:paraId="7F251EA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Изпълнението на условията и поетите ангажименти ще се контролира от страна на УО на ПОС 2021-2027 г. в рамките на документални проверки и проверки на място в периода на изпълнение и устойчивост на проектите. Управляващият орган на ПОС 2021-2027 г. ще приложи контролни механизми, гарантиращи изпълнението на всички приложими условия, чрез които се доказва липсата на държавна помощ при изпълнението на всеки отделен проект. </w:t>
      </w:r>
    </w:p>
    <w:p w14:paraId="4E16F3DE"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Дейностите, които ще бъдат финансирани със средства от ПОС 2021-2027 г., могат да бъдат извършвани от бенефициентите/партньорите по процедурата, или от изпълнител/изпълнители, определени по реда на ЗОП, съответно глава четвърта от ЗУСЕФСУ.</w:t>
      </w:r>
      <w:r w:rsidRPr="00AD3086">
        <w:rPr>
          <w:rFonts w:ascii="Calibri" w:eastAsia="Calibri" w:hAnsi="Calibri" w:cs="Times New Roman"/>
          <w:kern w:val="0"/>
          <w14:ligatures w14:val="none"/>
        </w:rPr>
        <w:t xml:space="preserve"> </w:t>
      </w:r>
      <w:r w:rsidRPr="00AD3086">
        <w:rPr>
          <w:rFonts w:ascii="Times New Roman" w:eastAsia="Calibri" w:hAnsi="Times New Roman" w:cs="Times New Roman"/>
          <w:kern w:val="0"/>
          <w:sz w:val="24"/>
          <w:szCs w:val="24"/>
          <w14:ligatures w14:val="none"/>
        </w:rPr>
        <w:t xml:space="preserve">Всички дейности по закупуването на активи, стоки и услуги (или други съпоставими сделки) ще се възлагат чрез състезателни, прозрачни, недискриминационни и безусловни търгове (по смисъла на параграф 89-96 от Съобщение на Комисията, Известие на Комисията относно понятието за държавна помощ, посочено в член 107, параграф 1 от Договора за функционирането на Европейския съюз), което гарантира, че на ниво изпълнител подпомагането не представлява държавна помощ. Управляващият орган на ПОС 2021-2027 г. осъществява последващ контрол за спазване на законодателството в областта на обществените поръчки и правилата по глава четвърта от ЗУСЕФСУ от страна на бенефициентите/партньорите по програмата, включително за спазване на принципите за равнопоставеност и недопускане на дискриминация, свободна и лоялна конкуренция, публичност и прозрачност. </w:t>
      </w:r>
    </w:p>
    <w:p w14:paraId="619672D3"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 xml:space="preserve">Възстановяването на неправомерна и несъвместима държавна помощ или на неправилно използвана държавна помощ се извършва въз основа на решение на Европейската комисия с разпореждане за възстановяване и влязъл в сила акт за установяване на публично вземане, когато това е приложимо. Вземанията подлежат на събиране по реда на Данъчно-осигурителния процесуален кодекс (ДОПК) от органите на Националната агенция за приходите. Не се разрешава предоставяне на нова държавна помощ на предприятие, което не е изпълнило решение на Европейската комисия и не е възстановило изцяло неправомерна и несъвместима държавна помощ или неправилно използвана държавна помощ. Предоставянето на държавна помощ, която не отговаря на всички изисквания на приложимия режим по държавни помощи, представлява неправомерна държавна помощ, което от своя страна е основание за нейното възстановяване. В съответствие с чл. 57, ал. 1, т. 8 от ЗУСЕФСУ, разходите на бенефициентите, които не са съобразени с приложимите правила за предоставяне на държавни помощи, не са допустими за финансиране от ПОС 2021-2027 г. и няма да им бъдат възстановявани от програмата. </w:t>
      </w:r>
    </w:p>
    <w:p w14:paraId="63BFE70F" w14:textId="77777777" w:rsidR="00AD3086" w:rsidRP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За да се гарантира реализирането на процедурите в режим „непомощ“, Управляващият орган на ПОС 2021-2027 г. е разработил в своите Системи за управление и контрол и Процедурен наръчник за 2021-2027 г. контролни механизми, които прилага в рамките на извършваните от него управленски проверки – документални и проверки на място (при спазване на принципа на разделение на функциите), с които ще се следи и доказва липсата на държавна помощ при изпълнението на проекта.</w:t>
      </w:r>
    </w:p>
    <w:p w14:paraId="41562E6D" w14:textId="77777777" w:rsid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lastRenderedPageBreak/>
        <w:t xml:space="preserve">Съблюдаването на правилата за допустимост на разходите е обект на проверка от Управляващия орган на етапа на тяхната верификация. Съгласно чл. 70, ал. 1, т. 2 от ЗУСЕФСУ, за нарушаване на правилата за държавната помощ по смисъла на чл. 107 от Договора за функционирането на Европейския съюз на бенефициентите се налагат финансови корекции. В случай че Управляващият орган на ПОС 2021-2027 г. или друг компетентен орган установи нарушения и неправомерно отпускане на държавни помощи от страна на бенефициентите, последните следва да осигурят възстановяване на всички изплатени суми, ведно с лихва, определена по реда на приложимото законодателство за държавни помощи. </w:t>
      </w:r>
    </w:p>
    <w:p w14:paraId="5410258E" w14:textId="27F66CA7" w:rsidR="00AD3086" w:rsidRDefault="00AD3086" w:rsidP="00AD308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4"/>
          <w:szCs w:val="24"/>
          <w14:ligatures w14:val="none"/>
        </w:rPr>
      </w:pPr>
      <w:r w:rsidRPr="00AD3086">
        <w:rPr>
          <w:rFonts w:ascii="Times New Roman" w:eastAsia="Calibri" w:hAnsi="Times New Roman" w:cs="Times New Roman"/>
          <w:kern w:val="0"/>
          <w:sz w:val="24"/>
          <w:szCs w:val="24"/>
          <w14:ligatures w14:val="none"/>
        </w:rPr>
        <w:t>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финансите(http://stateaid.minfin.bg/).</w:t>
      </w:r>
    </w:p>
    <w:p w14:paraId="1861F72C" w14:textId="5C28E56D" w:rsidR="00AD3086" w:rsidRDefault="00AD3086" w:rsidP="00AD3086">
      <w:r w:rsidRPr="00AD3086">
        <w:rPr>
          <w:rFonts w:ascii="Times New Roman" w:eastAsia="Calibri" w:hAnsi="Times New Roman" w:cs="Times New Roman"/>
          <w:kern w:val="0"/>
          <w:sz w:val="24"/>
          <w:szCs w:val="24"/>
          <w14:ligatures w14:val="none"/>
        </w:rPr>
        <w:t xml:space="preserve"> </w:t>
      </w:r>
    </w:p>
    <w:sectPr w:rsidR="00AD308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58676" w14:textId="77777777" w:rsidR="006154D2" w:rsidRDefault="006154D2" w:rsidP="00AD3086">
      <w:pPr>
        <w:spacing w:after="0" w:line="240" w:lineRule="auto"/>
      </w:pPr>
      <w:r>
        <w:separator/>
      </w:r>
    </w:p>
  </w:endnote>
  <w:endnote w:type="continuationSeparator" w:id="0">
    <w:p w14:paraId="5EAE7352" w14:textId="77777777" w:rsidR="006154D2" w:rsidRDefault="006154D2" w:rsidP="00AD3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576939"/>
      <w:docPartObj>
        <w:docPartGallery w:val="Page Numbers (Bottom of Page)"/>
        <w:docPartUnique/>
      </w:docPartObj>
    </w:sdtPr>
    <w:sdtEndPr>
      <w:rPr>
        <w:noProof/>
      </w:rPr>
    </w:sdtEndPr>
    <w:sdtContent>
      <w:p w14:paraId="631AE4E4" w14:textId="3FFE3EDB" w:rsidR="00AD3086" w:rsidRDefault="00AD30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9F1979" w14:textId="77777777" w:rsidR="00AD3086" w:rsidRDefault="00AD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D2B68" w14:textId="77777777" w:rsidR="006154D2" w:rsidRDefault="006154D2" w:rsidP="00AD3086">
      <w:pPr>
        <w:spacing w:after="0" w:line="240" w:lineRule="auto"/>
      </w:pPr>
      <w:r>
        <w:separator/>
      </w:r>
    </w:p>
  </w:footnote>
  <w:footnote w:type="continuationSeparator" w:id="0">
    <w:p w14:paraId="6975CB02" w14:textId="77777777" w:rsidR="006154D2" w:rsidRDefault="006154D2" w:rsidP="00AD30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086"/>
    <w:rsid w:val="000876C5"/>
    <w:rsid w:val="0021424F"/>
    <w:rsid w:val="00480C60"/>
    <w:rsid w:val="004831DF"/>
    <w:rsid w:val="006154D2"/>
    <w:rsid w:val="0066116F"/>
    <w:rsid w:val="00795FB4"/>
    <w:rsid w:val="009332DF"/>
    <w:rsid w:val="009A469B"/>
    <w:rsid w:val="00AD3086"/>
    <w:rsid w:val="00B571C1"/>
    <w:rsid w:val="00BB5B2F"/>
    <w:rsid w:val="00C03385"/>
    <w:rsid w:val="00C37021"/>
    <w:rsid w:val="00CF4E85"/>
    <w:rsid w:val="00D93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30E8C"/>
  <w15:chartTrackingRefBased/>
  <w15:docId w15:val="{EB9B95A3-5229-49BE-8CAE-4CE9120E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0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30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30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30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30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30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0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0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0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0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30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30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30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30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3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0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086"/>
    <w:rPr>
      <w:rFonts w:eastAsiaTheme="majorEastAsia" w:cstheme="majorBidi"/>
      <w:color w:val="272727" w:themeColor="text1" w:themeTint="D8"/>
    </w:rPr>
  </w:style>
  <w:style w:type="paragraph" w:styleId="Title">
    <w:name w:val="Title"/>
    <w:basedOn w:val="Normal"/>
    <w:next w:val="Normal"/>
    <w:link w:val="TitleChar"/>
    <w:uiPriority w:val="10"/>
    <w:qFormat/>
    <w:rsid w:val="00AD3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086"/>
    <w:pPr>
      <w:spacing w:before="160"/>
      <w:jc w:val="center"/>
    </w:pPr>
    <w:rPr>
      <w:i/>
      <w:iCs/>
      <w:color w:val="404040" w:themeColor="text1" w:themeTint="BF"/>
    </w:rPr>
  </w:style>
  <w:style w:type="character" w:customStyle="1" w:styleId="QuoteChar">
    <w:name w:val="Quote Char"/>
    <w:basedOn w:val="DefaultParagraphFont"/>
    <w:link w:val="Quote"/>
    <w:uiPriority w:val="29"/>
    <w:rsid w:val="00AD3086"/>
    <w:rPr>
      <w:i/>
      <w:iCs/>
      <w:color w:val="404040" w:themeColor="text1" w:themeTint="BF"/>
    </w:rPr>
  </w:style>
  <w:style w:type="paragraph" w:styleId="ListParagraph">
    <w:name w:val="List Paragraph"/>
    <w:basedOn w:val="Normal"/>
    <w:uiPriority w:val="34"/>
    <w:qFormat/>
    <w:rsid w:val="00AD3086"/>
    <w:pPr>
      <w:ind w:left="720"/>
      <w:contextualSpacing/>
    </w:pPr>
  </w:style>
  <w:style w:type="character" w:styleId="IntenseEmphasis">
    <w:name w:val="Intense Emphasis"/>
    <w:basedOn w:val="DefaultParagraphFont"/>
    <w:uiPriority w:val="21"/>
    <w:qFormat/>
    <w:rsid w:val="00AD3086"/>
    <w:rPr>
      <w:i/>
      <w:iCs/>
      <w:color w:val="2F5496" w:themeColor="accent1" w:themeShade="BF"/>
    </w:rPr>
  </w:style>
  <w:style w:type="paragraph" w:styleId="IntenseQuote">
    <w:name w:val="Intense Quote"/>
    <w:basedOn w:val="Normal"/>
    <w:next w:val="Normal"/>
    <w:link w:val="IntenseQuoteChar"/>
    <w:uiPriority w:val="30"/>
    <w:qFormat/>
    <w:rsid w:val="00AD30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3086"/>
    <w:rPr>
      <w:i/>
      <w:iCs/>
      <w:color w:val="2F5496" w:themeColor="accent1" w:themeShade="BF"/>
    </w:rPr>
  </w:style>
  <w:style w:type="character" w:styleId="IntenseReference">
    <w:name w:val="Intense Reference"/>
    <w:basedOn w:val="DefaultParagraphFont"/>
    <w:uiPriority w:val="32"/>
    <w:qFormat/>
    <w:rsid w:val="00AD3086"/>
    <w:rPr>
      <w:b/>
      <w:bCs/>
      <w:smallCaps/>
      <w:color w:val="2F5496" w:themeColor="accent1" w:themeShade="BF"/>
      <w:spacing w:val="5"/>
    </w:rPr>
  </w:style>
  <w:style w:type="paragraph" w:styleId="Header">
    <w:name w:val="header"/>
    <w:basedOn w:val="Normal"/>
    <w:link w:val="HeaderChar"/>
    <w:uiPriority w:val="99"/>
    <w:unhideWhenUsed/>
    <w:rsid w:val="00AD30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3086"/>
  </w:style>
  <w:style w:type="paragraph" w:styleId="Footer">
    <w:name w:val="footer"/>
    <w:basedOn w:val="Normal"/>
    <w:link w:val="FooterChar"/>
    <w:uiPriority w:val="99"/>
    <w:unhideWhenUsed/>
    <w:rsid w:val="00AD30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AD3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ea.government.bg/bg/soer/2010/biodiversity-nem/biologichno-raznoobrazie-natsionalna-ekologichna-mrezha-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5207</Words>
  <Characters>29682</Characters>
  <Application>Microsoft Office Word</Application>
  <DocSecurity>0</DocSecurity>
  <Lines>247</Lines>
  <Paragraphs>69</Paragraphs>
  <ScaleCrop>false</ScaleCrop>
  <Company/>
  <LinksUpToDate>false</LinksUpToDate>
  <CharactersWithSpaces>34820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OPOS</dc:creator>
  <cp:keywords/>
  <dc:description/>
  <cp:lastModifiedBy>OPOS BG64</cp:lastModifiedBy>
  <cp:revision>2</cp:revision>
  <dcterms:created xsi:type="dcterms:W3CDTF">2026-10-07T06:25:00Z</dcterms:created>
  <dcterms:modified xsi:type="dcterms:W3CDTF">2026-10-07T06:25:00Z</dcterms:modified>
</cp:coreProperties>
</file>