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32212" w14:textId="77777777" w:rsidR="00D0013E" w:rsidRDefault="00D0013E" w:rsidP="00D0013E">
      <w:pPr>
        <w:shd w:val="clear" w:color="auto" w:fill="FFFFFF"/>
        <w:spacing w:before="742"/>
        <w:ind w:left="29"/>
        <w:jc w:val="center"/>
        <w:rPr>
          <w:b/>
          <w:bCs/>
          <w:color w:val="000000"/>
          <w:spacing w:val="-4"/>
          <w:w w:val="121"/>
          <w:sz w:val="25"/>
          <w:szCs w:val="25"/>
          <w:lang w:val="en-US"/>
        </w:rPr>
      </w:pPr>
      <w:r w:rsidRPr="00760CC0">
        <w:rPr>
          <w:b/>
          <w:bCs/>
          <w:color w:val="000000"/>
          <w:spacing w:val="-4"/>
          <w:w w:val="121"/>
          <w:sz w:val="25"/>
          <w:szCs w:val="25"/>
        </w:rPr>
        <w:t>ДЕКЛАРАЦИЯ</w:t>
      </w:r>
      <w:r w:rsidRPr="00760CC0">
        <w:rPr>
          <w:b/>
          <w:bCs/>
          <w:color w:val="000000"/>
          <w:spacing w:val="-4"/>
          <w:w w:val="121"/>
          <w:sz w:val="25"/>
          <w:szCs w:val="25"/>
          <w:vertAlign w:val="superscript"/>
        </w:rPr>
        <w:footnoteReference w:id="1"/>
      </w:r>
      <w:r w:rsidRPr="00760CC0">
        <w:rPr>
          <w:b/>
          <w:bCs/>
          <w:color w:val="000000"/>
          <w:spacing w:val="-4"/>
          <w:w w:val="121"/>
          <w:sz w:val="25"/>
          <w:szCs w:val="25"/>
        </w:rPr>
        <w:t xml:space="preserve"> ЗА НЕРЕДНОСТ</w:t>
      </w:r>
    </w:p>
    <w:p w14:paraId="26CEC902" w14:textId="77777777" w:rsidR="00675FBE" w:rsidRPr="00675FBE" w:rsidRDefault="00675FBE" w:rsidP="00D0013E">
      <w:pPr>
        <w:shd w:val="clear" w:color="auto" w:fill="FFFFFF"/>
        <w:spacing w:before="742"/>
        <w:ind w:left="29"/>
        <w:jc w:val="center"/>
        <w:rPr>
          <w:lang w:val="en-US"/>
        </w:rPr>
      </w:pPr>
    </w:p>
    <w:p w14:paraId="66021B9B" w14:textId="77777777" w:rsidR="00D0013E" w:rsidRPr="00760CC0" w:rsidRDefault="00D0013E" w:rsidP="00DA05E5">
      <w:pPr>
        <w:shd w:val="clear" w:color="auto" w:fill="FFFFFF"/>
        <w:spacing w:before="83" w:line="360" w:lineRule="auto"/>
        <w:ind w:right="4"/>
        <w:jc w:val="both"/>
        <w:rPr>
          <w:color w:val="000000"/>
          <w:sz w:val="24"/>
          <w:szCs w:val="24"/>
        </w:rPr>
      </w:pPr>
      <w:r w:rsidRPr="00760CC0">
        <w:rPr>
          <w:sz w:val="24"/>
          <w:szCs w:val="24"/>
          <w:lang w:eastAsia="ar-SA"/>
        </w:rPr>
        <w:t>Долуподписаният/ата:</w:t>
      </w:r>
      <w:r w:rsidRPr="00760CC0" w:rsidDel="00546AC2">
        <w:rPr>
          <w:color w:val="000000"/>
          <w:sz w:val="24"/>
          <w:szCs w:val="24"/>
        </w:rPr>
        <w:t xml:space="preserve"> </w:t>
      </w:r>
      <w:r w:rsidRPr="00760CC0">
        <w:rPr>
          <w:color w:val="000000"/>
          <w:sz w:val="24"/>
          <w:szCs w:val="24"/>
        </w:rPr>
        <w:t xml:space="preserve">………………………………………………………………………………. </w:t>
      </w:r>
    </w:p>
    <w:p w14:paraId="79E9E6E4" w14:textId="77777777" w:rsidR="00D0013E" w:rsidRPr="00760CC0" w:rsidRDefault="00D0013E" w:rsidP="00DA05E5">
      <w:pPr>
        <w:widowControl/>
        <w:suppressAutoHyphens/>
        <w:autoSpaceDE/>
        <w:autoSpaceDN/>
        <w:adjustRightInd/>
        <w:spacing w:line="360" w:lineRule="auto"/>
        <w:ind w:right="4"/>
        <w:jc w:val="both"/>
        <w:rPr>
          <w:sz w:val="24"/>
          <w:szCs w:val="24"/>
          <w:lang w:eastAsia="ar-SA"/>
        </w:rPr>
      </w:pPr>
      <w:r w:rsidRPr="00760CC0">
        <w:rPr>
          <w:sz w:val="24"/>
          <w:szCs w:val="24"/>
          <w:lang w:eastAsia="ar-SA"/>
        </w:rPr>
        <w:t>(име, презиме, фамилия)</w:t>
      </w:r>
    </w:p>
    <w:p w14:paraId="4DA82238" w14:textId="7776D5C5" w:rsidR="00C37844" w:rsidRDefault="00C37844" w:rsidP="00574A7B">
      <w:pPr>
        <w:shd w:val="clear" w:color="auto" w:fill="FFFFFF"/>
        <w:spacing w:before="83" w:line="360" w:lineRule="auto"/>
        <w:ind w:right="4"/>
        <w:jc w:val="both"/>
        <w:rPr>
          <w:color w:val="000000"/>
          <w:sz w:val="24"/>
          <w:szCs w:val="24"/>
        </w:rPr>
      </w:pPr>
      <w:r>
        <w:rPr>
          <w:color w:val="000000"/>
          <w:sz w:val="24"/>
          <w:szCs w:val="24"/>
        </w:rPr>
        <w:t>с ЕГН: ………………………</w:t>
      </w:r>
      <w:r w:rsidR="00CF0B1A">
        <w:rPr>
          <w:color w:val="000000"/>
          <w:sz w:val="24"/>
          <w:szCs w:val="24"/>
        </w:rPr>
        <w:t>…………..</w:t>
      </w:r>
    </w:p>
    <w:p w14:paraId="1D4BB403" w14:textId="4CE3790F" w:rsidR="00D0013E" w:rsidRPr="00760CC0" w:rsidRDefault="00D0013E" w:rsidP="00DA05E5">
      <w:pPr>
        <w:shd w:val="clear" w:color="auto" w:fill="FFFFFF"/>
        <w:spacing w:before="83" w:line="360" w:lineRule="auto"/>
        <w:ind w:right="4"/>
        <w:jc w:val="both"/>
        <w:rPr>
          <w:color w:val="000000"/>
          <w:spacing w:val="1"/>
          <w:sz w:val="24"/>
          <w:szCs w:val="24"/>
        </w:rPr>
      </w:pPr>
      <w:r w:rsidRPr="00760CC0">
        <w:rPr>
          <w:color w:val="000000"/>
          <w:spacing w:val="1"/>
          <w:sz w:val="24"/>
          <w:szCs w:val="24"/>
        </w:rPr>
        <w:t>в качеството ми на ………………………………………..</w:t>
      </w:r>
    </w:p>
    <w:p w14:paraId="7C45A23D" w14:textId="055A129F" w:rsidR="00D0013E" w:rsidRPr="00760CC0" w:rsidRDefault="00D0013E" w:rsidP="00DA05E5">
      <w:pPr>
        <w:shd w:val="clear" w:color="auto" w:fill="FFFFFF"/>
        <w:spacing w:line="360" w:lineRule="auto"/>
        <w:ind w:right="4"/>
        <w:jc w:val="both"/>
        <w:rPr>
          <w:color w:val="000000"/>
          <w:spacing w:val="1"/>
          <w:sz w:val="24"/>
          <w:szCs w:val="24"/>
        </w:rPr>
      </w:pPr>
      <w:r w:rsidRPr="00760CC0">
        <w:rPr>
          <w:color w:val="000000"/>
          <w:spacing w:val="1"/>
          <w:sz w:val="24"/>
          <w:szCs w:val="24"/>
        </w:rPr>
        <w:t>(</w:t>
      </w:r>
      <w:r w:rsidR="00426612" w:rsidRPr="00426612">
        <w:rPr>
          <w:color w:val="000000"/>
          <w:spacing w:val="1"/>
          <w:sz w:val="24"/>
          <w:szCs w:val="24"/>
        </w:rPr>
        <w:t>председател, директор, друг вид представителство</w:t>
      </w:r>
      <w:r w:rsidRPr="00760CC0">
        <w:rPr>
          <w:color w:val="000000"/>
          <w:spacing w:val="1"/>
          <w:sz w:val="24"/>
          <w:szCs w:val="24"/>
        </w:rPr>
        <w:t>)</w:t>
      </w:r>
    </w:p>
    <w:p w14:paraId="166E057C" w14:textId="77777777" w:rsidR="00D0013E" w:rsidRPr="00760CC0" w:rsidRDefault="00D0013E" w:rsidP="00DA05E5">
      <w:pPr>
        <w:shd w:val="clear" w:color="auto" w:fill="FFFFFF"/>
        <w:spacing w:before="83" w:line="360" w:lineRule="auto"/>
        <w:ind w:right="4"/>
        <w:jc w:val="both"/>
        <w:rPr>
          <w:color w:val="000000"/>
          <w:spacing w:val="1"/>
          <w:sz w:val="24"/>
          <w:szCs w:val="24"/>
        </w:rPr>
      </w:pPr>
      <w:r w:rsidRPr="00760CC0">
        <w:rPr>
          <w:color w:val="000000"/>
          <w:spacing w:val="1"/>
          <w:sz w:val="24"/>
          <w:szCs w:val="24"/>
        </w:rPr>
        <w:t xml:space="preserve">на ……………………………………………………………………………...  </w:t>
      </w:r>
    </w:p>
    <w:p w14:paraId="182572AE" w14:textId="74495CCF" w:rsidR="00D4030E" w:rsidRPr="00D4030E" w:rsidRDefault="00D0013E" w:rsidP="00D4030E">
      <w:pPr>
        <w:shd w:val="clear" w:color="auto" w:fill="FFFFFF"/>
        <w:spacing w:before="83" w:line="360" w:lineRule="auto"/>
        <w:ind w:right="4"/>
        <w:jc w:val="both"/>
        <w:rPr>
          <w:color w:val="000000"/>
          <w:spacing w:val="1"/>
          <w:sz w:val="24"/>
          <w:szCs w:val="24"/>
        </w:rPr>
      </w:pPr>
      <w:r w:rsidRPr="00760CC0">
        <w:rPr>
          <w:color w:val="000000"/>
          <w:spacing w:val="1"/>
          <w:sz w:val="24"/>
          <w:szCs w:val="24"/>
        </w:rPr>
        <w:t>(наименование на юридическото лице</w:t>
      </w:r>
      <w:r w:rsidR="00426612" w:rsidRPr="00426612">
        <w:rPr>
          <w:color w:val="000000"/>
          <w:spacing w:val="1"/>
          <w:sz w:val="24"/>
          <w:szCs w:val="24"/>
        </w:rPr>
        <w:t>/сдружение</w:t>
      </w:r>
      <w:r w:rsidR="00050112">
        <w:rPr>
          <w:color w:val="000000"/>
          <w:spacing w:val="1"/>
          <w:sz w:val="24"/>
          <w:szCs w:val="24"/>
        </w:rPr>
        <w:t xml:space="preserve"> </w:t>
      </w:r>
      <w:r w:rsidR="00426612" w:rsidRPr="00426612">
        <w:rPr>
          <w:color w:val="000000"/>
          <w:spacing w:val="1"/>
          <w:sz w:val="24"/>
          <w:szCs w:val="24"/>
        </w:rPr>
        <w:t>-</w:t>
      </w:r>
      <w:r w:rsidR="00050112">
        <w:rPr>
          <w:color w:val="000000"/>
          <w:spacing w:val="1"/>
          <w:sz w:val="24"/>
          <w:szCs w:val="24"/>
        </w:rPr>
        <w:t xml:space="preserve"> </w:t>
      </w:r>
      <w:r w:rsidR="00426612" w:rsidRPr="00426612">
        <w:rPr>
          <w:color w:val="000000"/>
          <w:spacing w:val="1"/>
          <w:sz w:val="24"/>
          <w:szCs w:val="24"/>
        </w:rPr>
        <w:t>бенефициент/партньор</w:t>
      </w:r>
      <w:r w:rsidRPr="00760CC0">
        <w:rPr>
          <w:color w:val="000000"/>
          <w:spacing w:val="1"/>
          <w:sz w:val="24"/>
          <w:szCs w:val="24"/>
        </w:rPr>
        <w:t xml:space="preserve"> по процедура за предоставяне на безвъзмездна финансова помощ </w:t>
      </w:r>
      <w:r w:rsidR="00D4030E" w:rsidRPr="00D4030E">
        <w:rPr>
          <w:color w:val="000000"/>
          <w:spacing w:val="1"/>
          <w:sz w:val="24"/>
          <w:szCs w:val="24"/>
        </w:rPr>
        <w:t>BG05SFPR001-3.00</w:t>
      </w:r>
      <w:r w:rsidR="00EE76F2">
        <w:rPr>
          <w:color w:val="000000"/>
          <w:spacing w:val="1"/>
          <w:sz w:val="24"/>
          <w:szCs w:val="24"/>
        </w:rPr>
        <w:t>8</w:t>
      </w:r>
    </w:p>
    <w:p w14:paraId="5715FF8A" w14:textId="48B45A07" w:rsidR="00DA05E5" w:rsidRDefault="00D4030E" w:rsidP="00D4030E">
      <w:pPr>
        <w:shd w:val="clear" w:color="auto" w:fill="FFFFFF"/>
        <w:spacing w:before="83" w:line="360" w:lineRule="auto"/>
        <w:ind w:right="4"/>
        <w:jc w:val="both"/>
        <w:rPr>
          <w:color w:val="000000"/>
          <w:spacing w:val="1"/>
          <w:sz w:val="24"/>
          <w:szCs w:val="24"/>
        </w:rPr>
      </w:pPr>
      <w:r w:rsidRPr="00D4030E">
        <w:rPr>
          <w:color w:val="000000"/>
          <w:spacing w:val="1"/>
          <w:sz w:val="24"/>
          <w:szCs w:val="24"/>
        </w:rPr>
        <w:t xml:space="preserve"> „</w:t>
      </w:r>
      <w:r>
        <w:rPr>
          <w:color w:val="000000"/>
          <w:spacing w:val="1"/>
          <w:sz w:val="24"/>
          <w:szCs w:val="24"/>
        </w:rPr>
        <w:t>Р</w:t>
      </w:r>
      <w:r w:rsidRPr="00D4030E">
        <w:rPr>
          <w:color w:val="000000"/>
          <w:spacing w:val="1"/>
          <w:sz w:val="24"/>
          <w:szCs w:val="24"/>
        </w:rPr>
        <w:t xml:space="preserve">азвитие на </w:t>
      </w:r>
      <w:proofErr w:type="spellStart"/>
      <w:r w:rsidRPr="00D4030E">
        <w:rPr>
          <w:color w:val="000000"/>
          <w:spacing w:val="1"/>
          <w:sz w:val="24"/>
          <w:szCs w:val="24"/>
        </w:rPr>
        <w:t>дуалната</w:t>
      </w:r>
      <w:proofErr w:type="spellEnd"/>
      <w:r w:rsidRPr="00D4030E">
        <w:rPr>
          <w:color w:val="000000"/>
          <w:spacing w:val="1"/>
          <w:sz w:val="24"/>
          <w:szCs w:val="24"/>
        </w:rPr>
        <w:t xml:space="preserve"> система на обучение в </w:t>
      </w:r>
      <w:r>
        <w:rPr>
          <w:color w:val="000000"/>
          <w:spacing w:val="1"/>
          <w:sz w:val="24"/>
          <w:szCs w:val="24"/>
        </w:rPr>
        <w:t>ПОО</w:t>
      </w:r>
      <w:r w:rsidRPr="00D4030E">
        <w:rPr>
          <w:color w:val="000000"/>
          <w:spacing w:val="1"/>
          <w:sz w:val="24"/>
          <w:szCs w:val="24"/>
        </w:rPr>
        <w:t xml:space="preserve"> (чрез </w:t>
      </w:r>
      <w:r w:rsidR="00EE76F2">
        <w:rPr>
          <w:color w:val="000000"/>
          <w:spacing w:val="1"/>
          <w:sz w:val="24"/>
          <w:szCs w:val="24"/>
        </w:rPr>
        <w:t>подбор</w:t>
      </w:r>
      <w:r w:rsidRPr="00D4030E">
        <w:rPr>
          <w:color w:val="000000"/>
          <w:spacing w:val="1"/>
          <w:sz w:val="24"/>
          <w:szCs w:val="24"/>
        </w:rPr>
        <w:t>)“</w:t>
      </w:r>
    </w:p>
    <w:p w14:paraId="4D917276" w14:textId="12354ACD" w:rsidR="00D0013E" w:rsidRDefault="00D0013E" w:rsidP="00DA05E5">
      <w:pPr>
        <w:shd w:val="clear" w:color="auto" w:fill="FFFFFF"/>
        <w:spacing w:line="360" w:lineRule="auto"/>
        <w:ind w:right="4"/>
        <w:jc w:val="both"/>
        <w:rPr>
          <w:color w:val="000000"/>
          <w:spacing w:val="2"/>
          <w:sz w:val="24"/>
          <w:szCs w:val="24"/>
        </w:rPr>
      </w:pPr>
      <w:r w:rsidRPr="00760CC0">
        <w:rPr>
          <w:color w:val="000000"/>
          <w:spacing w:val="1"/>
          <w:sz w:val="24"/>
          <w:szCs w:val="24"/>
        </w:rPr>
        <w:t>д</w:t>
      </w:r>
      <w:r w:rsidRPr="00760CC0">
        <w:rPr>
          <w:color w:val="000000"/>
          <w:spacing w:val="2"/>
          <w:sz w:val="24"/>
          <w:szCs w:val="24"/>
        </w:rPr>
        <w:t>екларирам, че:</w:t>
      </w:r>
    </w:p>
    <w:p w14:paraId="47437E93" w14:textId="77777777" w:rsidR="00CA5AB1" w:rsidRPr="00A124FC"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t>Запознат/а съм с определението за</w:t>
      </w:r>
      <w:r w:rsidRPr="00A124FC">
        <w:rPr>
          <w:color w:val="000000"/>
          <w:sz w:val="24"/>
          <w:szCs w:val="24"/>
        </w:rPr>
        <w:t xml:space="preserve"> </w:t>
      </w:r>
      <w:r w:rsidRPr="00A124FC">
        <w:rPr>
          <w:b/>
          <w:color w:val="000000"/>
          <w:sz w:val="24"/>
          <w:szCs w:val="24"/>
        </w:rPr>
        <w:t>„сигнал за нередност“</w:t>
      </w:r>
      <w:r w:rsidRPr="00A124FC">
        <w:rPr>
          <w:color w:val="000000"/>
          <w:sz w:val="24"/>
          <w:szCs w:val="24"/>
        </w:rPr>
        <w:t xml:space="preserve">, дадено в параграф 1, т. 3 от Допълнителните разпоредби на </w:t>
      </w:r>
      <w:bookmarkStart w:id="0" w:name="_Hlk143072562"/>
      <w:r w:rsidRPr="00FB3B8E">
        <w:rPr>
          <w:color w:val="000000"/>
          <w:sz w:val="24"/>
          <w:szCs w:val="24"/>
        </w:rPr>
        <w:t>Наредбата за администриране на нередности по Европейските фондове при споделено управление, приета с ПМС № 111 от 10.08.2023 г.</w:t>
      </w:r>
      <w:bookmarkEnd w:id="0"/>
      <w:r w:rsidRPr="00A124FC">
        <w:rPr>
          <w:color w:val="000000"/>
          <w:sz w:val="24"/>
          <w:szCs w:val="24"/>
        </w:rPr>
        <w:t xml:space="preserve">, съдържащо минимално необходимата информация за докладване и подаване на сигнали относно съмнение за нередност, а именно: „сигнал за нередност е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 </w:t>
      </w:r>
    </w:p>
    <w:p w14:paraId="035BB6C1" w14:textId="77777777" w:rsidR="00CA5AB1" w:rsidRPr="00660815"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t>Запознат/а съм с определението за</w:t>
      </w:r>
      <w:r w:rsidRPr="00A124FC">
        <w:rPr>
          <w:color w:val="000000"/>
          <w:sz w:val="24"/>
          <w:szCs w:val="24"/>
        </w:rPr>
        <w:t xml:space="preserve"> </w:t>
      </w:r>
      <w:r w:rsidRPr="00A124FC">
        <w:rPr>
          <w:b/>
          <w:bCs/>
          <w:color w:val="000000"/>
          <w:sz w:val="24"/>
          <w:szCs w:val="24"/>
        </w:rPr>
        <w:t xml:space="preserve">нередност, </w:t>
      </w:r>
      <w:r w:rsidRPr="00660815">
        <w:rPr>
          <w:color w:val="000000"/>
          <w:sz w:val="24"/>
          <w:szCs w:val="24"/>
        </w:rPr>
        <w:t>дадено в чл. 2, параграф 31</w:t>
      </w:r>
      <w:r w:rsidRPr="00A124FC">
        <w:rPr>
          <w:color w:val="000000"/>
          <w:sz w:val="24"/>
          <w:szCs w:val="24"/>
        </w:rPr>
        <w:t xml:space="preserve"> </w:t>
      </w:r>
      <w:r w:rsidRPr="00660815">
        <w:rPr>
          <w:color w:val="000000"/>
          <w:sz w:val="24"/>
          <w:szCs w:val="24"/>
        </w:rPr>
        <w:t>от Регламент (ЕС) 2021/1060 на Европейския парламент и на Съвета от 24 юни 2021 година</w:t>
      </w:r>
      <w:r w:rsidRPr="00A124FC">
        <w:rPr>
          <w:color w:val="000000"/>
          <w:sz w:val="24"/>
          <w:szCs w:val="24"/>
        </w:rPr>
        <w:t>, а именно</w:t>
      </w:r>
      <w:r w:rsidRPr="00660815">
        <w:rPr>
          <w:color w:val="000000"/>
          <w:sz w:val="24"/>
          <w:szCs w:val="24"/>
        </w:rPr>
        <w:t xml:space="preserve">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707ECC6C" w14:textId="77777777" w:rsidR="00CA5AB1" w:rsidRPr="00FB3B8E"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lastRenderedPageBreak/>
        <w:t>Запознат/а съм с определението за „съмнение за измама“</w:t>
      </w:r>
      <w:r w:rsidRPr="00A124FC">
        <w:rPr>
          <w:color w:val="000000"/>
          <w:sz w:val="24"/>
          <w:szCs w:val="24"/>
        </w:rPr>
        <w:t xml:space="preserve"> съгласно определението, дадено в параграф 1, т. 4 от Допълнителните разпоредби на</w:t>
      </w:r>
      <w:r>
        <w:rPr>
          <w:color w:val="000000"/>
          <w:sz w:val="24"/>
          <w:szCs w:val="24"/>
        </w:rPr>
        <w:t xml:space="preserve"> </w:t>
      </w:r>
      <w:r w:rsidRPr="00FB3B8E">
        <w:rPr>
          <w:color w:val="000000"/>
          <w:sz w:val="24"/>
          <w:szCs w:val="24"/>
        </w:rPr>
        <w:t xml:space="preserve"> Наредбата за администриране на нередности по Европейските фондове при споделено управление, приета с ПМС № 111 от 10.08.2023 г., според което съмнението за измама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 3, параграф 2 букви а) и б)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FB3B8E">
        <w:rPr>
          <w:color w:val="000000"/>
          <w:sz w:val="24"/>
          <w:szCs w:val="24"/>
        </w:rPr>
        <w:t>наказателноправен</w:t>
      </w:r>
      <w:proofErr w:type="spellEnd"/>
      <w:r w:rsidRPr="00FB3B8E">
        <w:rPr>
          <w:color w:val="000000"/>
          <w:sz w:val="24"/>
          <w:szCs w:val="24"/>
        </w:rPr>
        <w:t xml:space="preserve"> ред.</w:t>
      </w:r>
    </w:p>
    <w:p w14:paraId="4B7541EC" w14:textId="77777777" w:rsidR="00CA5AB1" w:rsidRPr="00A124FC" w:rsidRDefault="00CA5AB1" w:rsidP="00CA5AB1">
      <w:pPr>
        <w:shd w:val="clear" w:color="auto" w:fill="FFFFFF"/>
        <w:spacing w:line="360" w:lineRule="auto"/>
        <w:ind w:left="-142" w:firstLine="502"/>
        <w:jc w:val="both"/>
        <w:rPr>
          <w:snapToGrid w:val="0"/>
          <w:sz w:val="24"/>
        </w:rPr>
      </w:pPr>
      <w:r w:rsidRPr="00230586">
        <w:rPr>
          <w:snapToGrid w:val="0"/>
          <w:sz w:val="24"/>
        </w:rPr>
        <w:t>4</w:t>
      </w:r>
      <w:r w:rsidRPr="00660815">
        <w:rPr>
          <w:b/>
          <w:bCs/>
          <w:snapToGrid w:val="0"/>
          <w:sz w:val="24"/>
        </w:rPr>
        <w:t>.</w:t>
      </w:r>
      <w:r w:rsidRPr="00A124FC">
        <w:rPr>
          <w:snapToGrid w:val="0"/>
          <w:sz w:val="24"/>
        </w:rPr>
        <w:tab/>
      </w:r>
      <w:r w:rsidRPr="00660815">
        <w:rPr>
          <w:b/>
          <w:bCs/>
          <w:snapToGrid w:val="0"/>
          <w:sz w:val="24"/>
        </w:rPr>
        <w:t xml:space="preserve">Запознат/а съм с определението за </w:t>
      </w:r>
      <w:r>
        <w:rPr>
          <w:b/>
          <w:bCs/>
          <w:snapToGrid w:val="0"/>
          <w:sz w:val="24"/>
        </w:rPr>
        <w:t>„</w:t>
      </w:r>
      <w:r w:rsidRPr="00660815">
        <w:rPr>
          <w:b/>
          <w:bCs/>
          <w:snapToGrid w:val="0"/>
          <w:sz w:val="24"/>
        </w:rPr>
        <w:t>измама</w:t>
      </w:r>
      <w:r>
        <w:rPr>
          <w:b/>
          <w:bCs/>
          <w:snapToGrid w:val="0"/>
          <w:sz w:val="24"/>
        </w:rPr>
        <w:t>,</w:t>
      </w:r>
      <w:r w:rsidRPr="003258FA">
        <w:t xml:space="preserve"> </w:t>
      </w:r>
      <w:r w:rsidRPr="003258FA">
        <w:rPr>
          <w:b/>
          <w:bCs/>
          <w:snapToGrid w:val="0"/>
          <w:sz w:val="24"/>
        </w:rPr>
        <w:t>засягаща финансовите интереси на Съюза</w:t>
      </w:r>
      <w:r>
        <w:rPr>
          <w:b/>
          <w:bCs/>
          <w:snapToGrid w:val="0"/>
          <w:sz w:val="24"/>
        </w:rPr>
        <w:t>“</w:t>
      </w:r>
      <w:r w:rsidRPr="00A124FC">
        <w:rPr>
          <w:snapToGrid w:val="0"/>
          <w:sz w:val="24"/>
        </w:rPr>
        <w:t xml:space="preserve">, съгласно </w:t>
      </w:r>
      <w:r>
        <w:rPr>
          <w:color w:val="000000"/>
          <w:sz w:val="24"/>
          <w:szCs w:val="24"/>
        </w:rPr>
        <w:t xml:space="preserve">чл. 3, параграф 2 </w:t>
      </w:r>
      <w:r w:rsidRPr="00A0385D">
        <w:rPr>
          <w:color w:val="000000"/>
          <w:sz w:val="24"/>
          <w:szCs w:val="24"/>
        </w:rPr>
        <w:t>букви</w:t>
      </w:r>
      <w:r>
        <w:rPr>
          <w:color w:val="000000"/>
          <w:sz w:val="24"/>
          <w:szCs w:val="24"/>
        </w:rPr>
        <w:t xml:space="preserve"> </w:t>
      </w:r>
      <w:r w:rsidRPr="00A0385D">
        <w:rPr>
          <w:color w:val="000000"/>
          <w:sz w:val="24"/>
          <w:szCs w:val="24"/>
        </w:rPr>
        <w:t xml:space="preserve">а) и б) </w:t>
      </w:r>
      <w:r>
        <w:rPr>
          <w:color w:val="000000"/>
          <w:sz w:val="24"/>
          <w:szCs w:val="24"/>
        </w:rPr>
        <w:t xml:space="preserve">от </w:t>
      </w:r>
      <w:r w:rsidRPr="00A124FC">
        <w:rPr>
          <w:snapToGrid w:val="0"/>
          <w:sz w:val="24"/>
        </w:rPr>
        <w:t xml:space="preserve">Директива  (ЕС) 2017/1371 </w:t>
      </w:r>
      <w:r>
        <w:rPr>
          <w:snapToGrid w:val="0"/>
          <w:sz w:val="24"/>
        </w:rPr>
        <w:t xml:space="preserve">на </w:t>
      </w:r>
      <w:r w:rsidRPr="00A124FC">
        <w:rPr>
          <w:snapToGrid w:val="0"/>
          <w:sz w:val="24"/>
        </w:rPr>
        <w:t xml:space="preserve">Европейския парламент и на Съвета от 5 юли 2017 година относно борбата с измамите, засягащи финансовите интереси на Съюза, по </w:t>
      </w:r>
      <w:proofErr w:type="spellStart"/>
      <w:r w:rsidRPr="00A124FC">
        <w:rPr>
          <w:snapToGrid w:val="0"/>
          <w:sz w:val="24"/>
        </w:rPr>
        <w:t>наказателноправен</w:t>
      </w:r>
      <w:proofErr w:type="spellEnd"/>
      <w:r w:rsidRPr="00A124FC">
        <w:rPr>
          <w:snapToGrid w:val="0"/>
          <w:sz w:val="24"/>
        </w:rPr>
        <w:t xml:space="preserve"> ред</w:t>
      </w:r>
      <w:r>
        <w:rPr>
          <w:snapToGrid w:val="0"/>
          <w:sz w:val="24"/>
        </w:rPr>
        <w:t xml:space="preserve">, </w:t>
      </w:r>
      <w:r>
        <w:rPr>
          <w:color w:val="000000"/>
          <w:sz w:val="24"/>
          <w:szCs w:val="24"/>
        </w:rPr>
        <w:t>според което</w:t>
      </w:r>
      <w:r w:rsidRPr="00A124FC">
        <w:rPr>
          <w:snapToGrid w:val="0"/>
          <w:sz w:val="24"/>
        </w:rPr>
        <w:t xml:space="preserve"> за измама, се счита следното:</w:t>
      </w:r>
    </w:p>
    <w:p w14:paraId="6C6EC9C8"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а)</w:t>
      </w:r>
      <w:r w:rsidRPr="00A124FC">
        <w:rPr>
          <w:snapToGrid w:val="0"/>
          <w:sz w:val="24"/>
        </w:rPr>
        <w:tab/>
        <w:t>по отношение на разходите, несвързани с възлагането на обществени поръчки — всяко действие или бездействие, което се отнася до:</w:t>
      </w:r>
    </w:p>
    <w:p w14:paraId="713FEFB2"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w:t>
      </w:r>
      <w:r w:rsidRPr="00A124FC">
        <w:rPr>
          <w:snapToGrid w:val="0"/>
          <w:sz w:val="24"/>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CDB6B30"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w:t>
      </w:r>
      <w:r w:rsidRPr="00A124FC">
        <w:rPr>
          <w:snapToGrid w:val="0"/>
          <w:sz w:val="24"/>
        </w:rPr>
        <w:tab/>
      </w:r>
      <w:proofErr w:type="spellStart"/>
      <w:r w:rsidRPr="00A124FC">
        <w:rPr>
          <w:snapToGrid w:val="0"/>
          <w:sz w:val="24"/>
        </w:rPr>
        <w:t>неоповестяването</w:t>
      </w:r>
      <w:proofErr w:type="spellEnd"/>
      <w:r w:rsidRPr="00A124FC">
        <w:rPr>
          <w:snapToGrid w:val="0"/>
          <w:sz w:val="24"/>
        </w:rPr>
        <w:t xml:space="preserve"> на информация в нарушение на конкретно задължение, което води до същия резултат; или</w:t>
      </w:r>
    </w:p>
    <w:p w14:paraId="48ABDD17"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iii)</w:t>
      </w:r>
      <w:r w:rsidRPr="00A124FC">
        <w:rPr>
          <w:snapToGrid w:val="0"/>
          <w:sz w:val="24"/>
        </w:rPr>
        <w:tab/>
        <w:t>неправилното използване на такива средства или активи за цели, различни от тези, за които те са били първоначално предоставени;</w:t>
      </w:r>
    </w:p>
    <w:p w14:paraId="044D8E3B"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б)</w:t>
      </w:r>
      <w:r w:rsidRPr="00A124FC">
        <w:rPr>
          <w:snapToGrid w:val="0"/>
          <w:sz w:val="24"/>
        </w:rPr>
        <w:tab/>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2E561CDD"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w:t>
      </w:r>
      <w:r w:rsidRPr="00A124FC">
        <w:rPr>
          <w:snapToGrid w:val="0"/>
          <w:sz w:val="24"/>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89E234D"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w:t>
      </w:r>
      <w:r w:rsidRPr="00A124FC">
        <w:rPr>
          <w:snapToGrid w:val="0"/>
          <w:sz w:val="24"/>
        </w:rPr>
        <w:tab/>
      </w:r>
      <w:proofErr w:type="spellStart"/>
      <w:r w:rsidRPr="00A124FC">
        <w:rPr>
          <w:snapToGrid w:val="0"/>
          <w:sz w:val="24"/>
        </w:rPr>
        <w:t>неоповестяването</w:t>
      </w:r>
      <w:proofErr w:type="spellEnd"/>
      <w:r w:rsidRPr="00A124FC">
        <w:rPr>
          <w:snapToGrid w:val="0"/>
          <w:sz w:val="24"/>
        </w:rPr>
        <w:t xml:space="preserve"> на информация в нарушение на конкретно задължение, </w:t>
      </w:r>
      <w:r w:rsidRPr="00A124FC">
        <w:rPr>
          <w:snapToGrid w:val="0"/>
          <w:sz w:val="24"/>
        </w:rPr>
        <w:lastRenderedPageBreak/>
        <w:t>което води до същия резултат; или</w:t>
      </w:r>
    </w:p>
    <w:p w14:paraId="25BD12B9"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iii)</w:t>
      </w:r>
      <w:r w:rsidRPr="00A124FC">
        <w:rPr>
          <w:snapToGrid w:val="0"/>
          <w:sz w:val="24"/>
        </w:rPr>
        <w:tab/>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Pr>
          <w:snapToGrid w:val="0"/>
          <w:sz w:val="24"/>
        </w:rPr>
        <w:t>.</w:t>
      </w:r>
    </w:p>
    <w:p w14:paraId="6183FD33" w14:textId="77777777" w:rsidR="00CA5AB1" w:rsidRPr="00A124FC" w:rsidRDefault="00CA5AB1" w:rsidP="00CA5AB1">
      <w:pPr>
        <w:shd w:val="clear" w:color="auto" w:fill="FFFFFF"/>
        <w:spacing w:line="360" w:lineRule="auto"/>
        <w:ind w:left="-142" w:firstLine="502"/>
        <w:jc w:val="both"/>
        <w:rPr>
          <w:snapToGrid w:val="0"/>
          <w:sz w:val="24"/>
        </w:rPr>
      </w:pPr>
    </w:p>
    <w:p w14:paraId="1F957DFF" w14:textId="77777777" w:rsidR="00CA5AB1" w:rsidRPr="00FB3B8E" w:rsidRDefault="00CA5AB1" w:rsidP="00CA5AB1">
      <w:pPr>
        <w:numPr>
          <w:ilvl w:val="0"/>
          <w:numId w:val="11"/>
        </w:numPr>
        <w:shd w:val="clear" w:color="auto" w:fill="FFFFFF"/>
        <w:tabs>
          <w:tab w:val="left" w:pos="851"/>
        </w:tabs>
        <w:spacing w:line="360" w:lineRule="auto"/>
        <w:ind w:left="0" w:firstLine="568"/>
        <w:jc w:val="both"/>
        <w:rPr>
          <w:b/>
          <w:bCs/>
          <w:sz w:val="24"/>
          <w:szCs w:val="24"/>
        </w:rPr>
      </w:pPr>
      <w:r w:rsidRPr="00FB3B8E">
        <w:rPr>
          <w:b/>
          <w:sz w:val="24"/>
          <w:szCs w:val="24"/>
        </w:rPr>
        <w:t>Запознат съм със Закона за управление на средствата от Европейските</w:t>
      </w:r>
      <w:r>
        <w:rPr>
          <w:b/>
          <w:sz w:val="24"/>
          <w:szCs w:val="24"/>
        </w:rPr>
        <w:t xml:space="preserve"> </w:t>
      </w:r>
      <w:r w:rsidRPr="00FB3B8E">
        <w:rPr>
          <w:b/>
          <w:sz w:val="24"/>
          <w:szCs w:val="24"/>
        </w:rPr>
        <w:t xml:space="preserve">фондове при споделено управление (загл. изм. - ДВ, бр. 51 от 2022 г., в сила от 01.07.2022 г.) и с </w:t>
      </w:r>
      <w:r w:rsidRPr="00FB3B8E">
        <w:rPr>
          <w:b/>
          <w:bCs/>
          <w:sz w:val="24"/>
          <w:szCs w:val="24"/>
        </w:rPr>
        <w:t xml:space="preserve"> Наредбата за администриране на нередности по Европейските фондове при споделено управление, приета с ПМС № 111 от 10.08.2023 г.</w:t>
      </w:r>
    </w:p>
    <w:p w14:paraId="450F6BC4" w14:textId="77777777" w:rsidR="00CA5AB1" w:rsidRPr="00A124FC" w:rsidRDefault="00CA5AB1" w:rsidP="00CA5AB1">
      <w:pPr>
        <w:shd w:val="clear" w:color="auto" w:fill="FFFFFF"/>
        <w:spacing w:line="360" w:lineRule="auto"/>
        <w:jc w:val="both"/>
        <w:rPr>
          <w:color w:val="000000"/>
          <w:sz w:val="24"/>
          <w:szCs w:val="24"/>
        </w:rPr>
      </w:pPr>
    </w:p>
    <w:p w14:paraId="7BA606A8" w14:textId="77777777" w:rsidR="00CA5AB1" w:rsidRPr="00A124FC" w:rsidRDefault="00CA5AB1" w:rsidP="00CA5AB1">
      <w:pPr>
        <w:numPr>
          <w:ilvl w:val="0"/>
          <w:numId w:val="11"/>
        </w:numPr>
        <w:shd w:val="clear" w:color="auto" w:fill="FFFFFF"/>
        <w:spacing w:line="360" w:lineRule="auto"/>
        <w:ind w:left="0" w:firstLine="426"/>
        <w:jc w:val="both"/>
        <w:rPr>
          <w:b/>
          <w:sz w:val="24"/>
          <w:szCs w:val="24"/>
        </w:rPr>
      </w:pPr>
      <w:r w:rsidRPr="00A124FC">
        <w:rPr>
          <w:b/>
          <w:sz w:val="24"/>
          <w:szCs w:val="24"/>
        </w:rPr>
        <w:t>Запознат</w:t>
      </w:r>
      <w:r w:rsidRPr="00A124FC">
        <w:rPr>
          <w:b/>
          <w:color w:val="000000"/>
          <w:spacing w:val="4"/>
          <w:sz w:val="24"/>
          <w:szCs w:val="24"/>
        </w:rPr>
        <w:t>/а съм с възможните начини, по които мога да подавам сигнали за наличие на нередности и измами или съмнение</w:t>
      </w:r>
      <w:r w:rsidRPr="00A124FC">
        <w:rPr>
          <w:b/>
          <w:color w:val="000000"/>
          <w:spacing w:val="9"/>
          <w:sz w:val="24"/>
          <w:szCs w:val="24"/>
        </w:rPr>
        <w:t xml:space="preserve"> за нередности и измами, а именно:</w:t>
      </w:r>
    </w:p>
    <w:p w14:paraId="2B5A4DAC" w14:textId="77777777" w:rsidR="00CA5AB1" w:rsidRPr="00A124FC" w:rsidRDefault="00CA5AB1" w:rsidP="00CA5AB1">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A124FC">
        <w:rPr>
          <w:color w:val="000000"/>
          <w:spacing w:val="-1"/>
          <w:sz w:val="24"/>
          <w:szCs w:val="24"/>
        </w:rPr>
        <w:t xml:space="preserve">до Ръководителя на Управляващия орган по </w:t>
      </w:r>
      <w:r w:rsidRPr="00A124FC">
        <w:rPr>
          <w:b/>
          <w:bCs/>
          <w:color w:val="000000"/>
          <w:sz w:val="24"/>
          <w:szCs w:val="24"/>
        </w:rPr>
        <w:t xml:space="preserve"> </w:t>
      </w:r>
      <w:r w:rsidRPr="00660815">
        <w:rPr>
          <w:color w:val="000000"/>
          <w:spacing w:val="1"/>
          <w:sz w:val="24"/>
          <w:szCs w:val="24"/>
        </w:rPr>
        <w:t>Програма „Образование“</w:t>
      </w:r>
      <w:r w:rsidRPr="00A124FC">
        <w:rPr>
          <w:color w:val="000000"/>
          <w:spacing w:val="-9"/>
          <w:sz w:val="24"/>
          <w:szCs w:val="24"/>
        </w:rPr>
        <w:t>;</w:t>
      </w:r>
    </w:p>
    <w:p w14:paraId="42629607" w14:textId="0201A689" w:rsidR="00CA5AB1" w:rsidRPr="00A124FC" w:rsidRDefault="00CA5AB1" w:rsidP="00CA5AB1">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A124FC">
        <w:rPr>
          <w:color w:val="000000"/>
          <w:spacing w:val="-1"/>
          <w:sz w:val="24"/>
          <w:szCs w:val="24"/>
        </w:rPr>
        <w:t xml:space="preserve">до </w:t>
      </w:r>
      <w:r w:rsidRPr="00A124FC">
        <w:rPr>
          <w:color w:val="000000"/>
          <w:spacing w:val="-9"/>
          <w:sz w:val="24"/>
          <w:szCs w:val="24"/>
        </w:rPr>
        <w:t>служители по нередности в дирекция „Управление на риска и контрол“ на Управляващия орган.</w:t>
      </w:r>
    </w:p>
    <w:p w14:paraId="5B225C83" w14:textId="77777777" w:rsidR="00CA5AB1" w:rsidRPr="00A124FC" w:rsidRDefault="00CA5AB1" w:rsidP="00CA5AB1">
      <w:pPr>
        <w:shd w:val="clear" w:color="auto" w:fill="FFFFFF"/>
        <w:tabs>
          <w:tab w:val="left" w:pos="284"/>
        </w:tabs>
        <w:spacing w:line="360" w:lineRule="auto"/>
        <w:jc w:val="both"/>
        <w:rPr>
          <w:b/>
          <w:color w:val="000000"/>
          <w:spacing w:val="4"/>
          <w:sz w:val="24"/>
          <w:szCs w:val="24"/>
        </w:rPr>
      </w:pPr>
    </w:p>
    <w:p w14:paraId="504402DA" w14:textId="77777777" w:rsidR="00CA5AB1" w:rsidRPr="00A124FC" w:rsidRDefault="00CA5AB1" w:rsidP="006C25D2">
      <w:pPr>
        <w:numPr>
          <w:ilvl w:val="0"/>
          <w:numId w:val="11"/>
        </w:numPr>
        <w:shd w:val="clear" w:color="auto" w:fill="FFFFFF"/>
        <w:tabs>
          <w:tab w:val="left" w:pos="284"/>
        </w:tabs>
        <w:spacing w:line="360" w:lineRule="auto"/>
        <w:ind w:left="0" w:firstLine="360"/>
        <w:jc w:val="both"/>
        <w:rPr>
          <w:sz w:val="24"/>
          <w:szCs w:val="24"/>
        </w:rPr>
      </w:pPr>
      <w:r w:rsidRPr="002910BD">
        <w:rPr>
          <w:b/>
          <w:color w:val="000000"/>
          <w:spacing w:val="4"/>
          <w:sz w:val="24"/>
          <w:szCs w:val="24"/>
        </w:rPr>
        <w:t>Запознат/а съм с възможните начини, по които мога да подам сигнали</w:t>
      </w:r>
      <w:r w:rsidRPr="00A124FC">
        <w:rPr>
          <w:b/>
          <w:color w:val="000000"/>
          <w:spacing w:val="4"/>
          <w:sz w:val="24"/>
          <w:szCs w:val="24"/>
        </w:rPr>
        <w:t xml:space="preserve"> </w:t>
      </w:r>
      <w:r w:rsidRPr="00A124FC">
        <w:rPr>
          <w:color w:val="000000"/>
          <w:spacing w:val="4"/>
          <w:sz w:val="24"/>
          <w:szCs w:val="24"/>
        </w:rPr>
        <w:t xml:space="preserve">за наличие на нередности и измами или </w:t>
      </w:r>
      <w:r w:rsidRPr="00A124FC">
        <w:rPr>
          <w:color w:val="000000"/>
          <w:spacing w:val="9"/>
          <w:sz w:val="24"/>
          <w:szCs w:val="24"/>
        </w:rPr>
        <w:t>съмнение за нередности и измами, а именно:</w:t>
      </w:r>
    </w:p>
    <w:p w14:paraId="5C2E494C"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По пощата, на адреса на Управляващия орган;</w:t>
      </w:r>
    </w:p>
    <w:p w14:paraId="76BEDC39"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На място;</w:t>
      </w:r>
    </w:p>
    <w:p w14:paraId="13135AF7"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В деловодството на Управляващия орган;</w:t>
      </w:r>
    </w:p>
    <w:p w14:paraId="68956AB4"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По електронна поща;</w:t>
      </w:r>
    </w:p>
    <w:p w14:paraId="472B6557"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Чрез „Форма за нередности“ към рубрика „Сигнали за нередности“ на интернет страницата на Управляващия орган;</w:t>
      </w:r>
    </w:p>
    <w:p w14:paraId="65C002B8" w14:textId="680AEFEA" w:rsidR="00CA5AB1" w:rsidRPr="00DF1502" w:rsidRDefault="00CA5AB1" w:rsidP="00DF1502">
      <w:pPr>
        <w:pStyle w:val="ListParagraph"/>
        <w:numPr>
          <w:ilvl w:val="0"/>
          <w:numId w:val="10"/>
        </w:numPr>
        <w:shd w:val="clear" w:color="auto" w:fill="FFFFFF"/>
        <w:spacing w:line="360" w:lineRule="auto"/>
        <w:jc w:val="both"/>
        <w:rPr>
          <w:sz w:val="24"/>
          <w:szCs w:val="24"/>
        </w:rPr>
      </w:pPr>
      <w:r w:rsidRPr="00A124FC">
        <w:rPr>
          <w:sz w:val="24"/>
          <w:szCs w:val="24"/>
        </w:rPr>
        <w:t>По телефона.</w:t>
      </w:r>
    </w:p>
    <w:p w14:paraId="209765EB" w14:textId="75A22259" w:rsidR="001C23F0" w:rsidRPr="00FA321A" w:rsidRDefault="001C23F0" w:rsidP="00DF1502">
      <w:pPr>
        <w:shd w:val="clear" w:color="auto" w:fill="FFFFFF"/>
        <w:tabs>
          <w:tab w:val="left" w:pos="0"/>
        </w:tabs>
        <w:jc w:val="both"/>
        <w:rPr>
          <w:color w:val="000000"/>
          <w:sz w:val="24"/>
          <w:szCs w:val="24"/>
        </w:rPr>
      </w:pPr>
      <w:r w:rsidRPr="00FA321A">
        <w:rPr>
          <w:color w:val="000000"/>
          <w:sz w:val="24"/>
          <w:szCs w:val="24"/>
        </w:rPr>
        <w:tab/>
      </w:r>
    </w:p>
    <w:p w14:paraId="6B2DB0E6" w14:textId="77777777" w:rsidR="001C23F0" w:rsidRPr="00FA321A" w:rsidRDefault="001C23F0" w:rsidP="001C23F0">
      <w:pPr>
        <w:shd w:val="clear" w:color="auto" w:fill="FFFFFF"/>
        <w:tabs>
          <w:tab w:val="left" w:pos="0"/>
          <w:tab w:val="left" w:pos="1134"/>
          <w:tab w:val="left" w:pos="1379"/>
        </w:tabs>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1C23F0" w14:paraId="6EB7AA6F" w14:textId="77777777" w:rsidTr="00E00F97">
        <w:tc>
          <w:tcPr>
            <w:tcW w:w="8641" w:type="dxa"/>
            <w:shd w:val="clear" w:color="auto" w:fill="auto"/>
          </w:tcPr>
          <w:p w14:paraId="52E8612A" w14:textId="77777777" w:rsidR="001C23F0" w:rsidRPr="001776DD" w:rsidRDefault="001C23F0" w:rsidP="00E00F97">
            <w:pPr>
              <w:spacing w:line="360" w:lineRule="auto"/>
            </w:pPr>
            <w:r w:rsidRPr="001776DD">
              <w:t>Дата на деклариране:</w:t>
            </w:r>
            <w:r w:rsidRPr="001776DD">
              <w:tab/>
            </w:r>
            <w:r w:rsidRPr="001776DD">
              <w:tab/>
            </w:r>
            <w:r w:rsidRPr="001776DD">
              <w:tab/>
            </w:r>
            <w:r w:rsidRPr="001776DD">
              <w:tab/>
              <w:t xml:space="preserve">Декларатор:  </w:t>
            </w:r>
            <w:r>
              <w:t>…………………….</w:t>
            </w:r>
          </w:p>
          <w:p w14:paraId="37E45A9B" w14:textId="77777777" w:rsidR="001C23F0" w:rsidRPr="001776DD" w:rsidRDefault="001C23F0" w:rsidP="00E00F97">
            <w:pPr>
              <w:spacing w:line="360" w:lineRule="auto"/>
            </w:pPr>
          </w:p>
          <w:p w14:paraId="4E74B7B0" w14:textId="77777777" w:rsidR="001C23F0" w:rsidRDefault="001C23F0" w:rsidP="00E00F97">
            <w:pPr>
              <w:rPr>
                <w:rStyle w:val="spelle"/>
                <w:rFonts w:eastAsia="HG Mincho Light J"/>
              </w:rPr>
            </w:pPr>
            <w:r w:rsidRPr="001776DD">
              <w:t xml:space="preserve">.......................................... </w:t>
            </w:r>
            <w:r w:rsidRPr="001776DD">
              <w:tab/>
            </w:r>
            <w:r w:rsidRPr="001776DD">
              <w:tab/>
            </w:r>
            <w:r>
              <w:t xml:space="preserve">                                             ……………………...</w:t>
            </w:r>
            <w:r w:rsidRPr="001776DD">
              <w:tab/>
            </w:r>
            <w:r w:rsidRPr="001776DD">
              <w:tab/>
            </w:r>
            <w:r w:rsidRPr="001776DD">
              <w:tab/>
              <w:t xml:space="preserve">      </w:t>
            </w:r>
            <w:r>
              <w:tab/>
            </w:r>
            <w:r>
              <w:tab/>
            </w:r>
            <w:r>
              <w:tab/>
            </w:r>
            <w:r>
              <w:tab/>
            </w:r>
            <w:r>
              <w:tab/>
            </w:r>
            <w:r>
              <w:tab/>
            </w:r>
            <w:r>
              <w:tab/>
            </w:r>
            <w:r w:rsidRPr="001776DD">
              <w:t>(име и подпис)</w:t>
            </w:r>
          </w:p>
        </w:tc>
      </w:tr>
    </w:tbl>
    <w:p w14:paraId="171259D1" w14:textId="132A98A2" w:rsidR="001C23F0" w:rsidRPr="00756B8B" w:rsidRDefault="002D055D" w:rsidP="001C23F0">
      <w:pPr>
        <w:widowControl/>
        <w:autoSpaceDE/>
        <w:autoSpaceDN/>
        <w:adjustRightInd/>
        <w:rPr>
          <w:i/>
          <w:szCs w:val="24"/>
        </w:rPr>
      </w:pPr>
      <w:r w:rsidRPr="002D055D">
        <w:rPr>
          <w:i/>
          <w:szCs w:val="24"/>
        </w:rPr>
        <w:t>За попълване и подписване на хартиен носител и прилагане при договаряне.</w:t>
      </w:r>
      <w:r w:rsidR="00F50C5C">
        <w:rPr>
          <w:i/>
          <w:szCs w:val="24"/>
          <w:lang w:val="en-US"/>
        </w:rPr>
        <w:t xml:space="preserve"> </w:t>
      </w:r>
    </w:p>
    <w:p w14:paraId="360C5336" w14:textId="77777777" w:rsidR="001C23F0" w:rsidRDefault="001C23F0" w:rsidP="001C23F0">
      <w:pPr>
        <w:shd w:val="clear" w:color="auto" w:fill="FFFFFF"/>
        <w:tabs>
          <w:tab w:val="left" w:pos="0"/>
          <w:tab w:val="left" w:pos="1134"/>
          <w:tab w:val="left" w:pos="1379"/>
        </w:tabs>
        <w:spacing w:line="277" w:lineRule="exact"/>
        <w:ind w:left="709"/>
        <w:jc w:val="both"/>
        <w:rPr>
          <w:color w:val="000000"/>
          <w:sz w:val="24"/>
          <w:szCs w:val="24"/>
        </w:rPr>
      </w:pPr>
    </w:p>
    <w:p w14:paraId="11E0FF82" w14:textId="77777777" w:rsidR="001C23F0" w:rsidRDefault="001C23F0" w:rsidP="001C23F0">
      <w:pPr>
        <w:shd w:val="clear" w:color="auto" w:fill="FFFFFF"/>
        <w:tabs>
          <w:tab w:val="left" w:pos="0"/>
          <w:tab w:val="left" w:pos="1134"/>
          <w:tab w:val="left" w:pos="1379"/>
        </w:tabs>
        <w:spacing w:line="277" w:lineRule="exact"/>
        <w:ind w:left="709"/>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1C23F0" w14:paraId="25526426" w14:textId="77777777" w:rsidTr="002D055D">
        <w:tc>
          <w:tcPr>
            <w:tcW w:w="8641" w:type="dxa"/>
            <w:shd w:val="clear" w:color="auto" w:fill="auto"/>
          </w:tcPr>
          <w:p w14:paraId="7FB6DD3D" w14:textId="77777777" w:rsidR="001C23F0" w:rsidRDefault="00743572" w:rsidP="00E00F97">
            <w:pPr>
              <w:spacing w:line="360" w:lineRule="auto"/>
              <w:jc w:val="right"/>
              <w:rPr>
                <w:rStyle w:val="spelle"/>
                <w:rFonts w:eastAsia="HG Mincho Light J"/>
              </w:rPr>
            </w:pPr>
            <w:r>
              <w:rPr>
                <w:rStyle w:val="spelle"/>
                <w:rFonts w:eastAsia="HG Mincho Light J"/>
              </w:rPr>
              <w:lastRenderedPageBreak/>
              <w:pict w14:anchorId="426E19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0.5pt;height:97.5pt">
                  <v:imagedata r:id="rId7" o:title=""/>
                  <o:lock v:ext="edit" ungrouping="t" rotation="t" cropping="t" verticies="t" text="t" grouping="t"/>
                  <o:signatureline v:ext="edit" id="{37C6ED03-AB3A-4283-9A34-71A1522C8E20}" provid="{00000000-0000-0000-0000-000000000000}" o:suggestedsigner="Декларатор" issignatureline="t"/>
                </v:shape>
              </w:pict>
            </w:r>
          </w:p>
        </w:tc>
      </w:tr>
    </w:tbl>
    <w:p w14:paraId="64D8CA5D" w14:textId="22128210" w:rsidR="001C23F0" w:rsidRPr="00FA321A" w:rsidRDefault="002D055D" w:rsidP="001C23F0">
      <w:pPr>
        <w:shd w:val="clear" w:color="auto" w:fill="FFFFFF"/>
        <w:rPr>
          <w:i/>
          <w:szCs w:val="24"/>
        </w:rPr>
      </w:pPr>
      <w:r w:rsidRPr="002D055D">
        <w:rPr>
          <w:i/>
          <w:szCs w:val="24"/>
        </w:rPr>
        <w:t xml:space="preserve">За електронно подписване и прилагане при договаряне. </w:t>
      </w:r>
    </w:p>
    <w:p w14:paraId="6BD83357" w14:textId="77777777" w:rsidR="001C23F0" w:rsidRPr="00FA321A" w:rsidRDefault="001C23F0" w:rsidP="001C23F0">
      <w:pPr>
        <w:shd w:val="clear" w:color="auto" w:fill="FFFFFF"/>
        <w:rPr>
          <w:i/>
          <w:szCs w:val="24"/>
        </w:rPr>
      </w:pPr>
    </w:p>
    <w:p w14:paraId="60367D7A" w14:textId="77777777" w:rsidR="001C23F0" w:rsidRPr="00FA321A" w:rsidRDefault="001C23F0" w:rsidP="001C23F0">
      <w:pPr>
        <w:shd w:val="clear" w:color="auto" w:fill="FFFFFF"/>
        <w:rPr>
          <w:i/>
          <w:szCs w:val="24"/>
        </w:rPr>
      </w:pPr>
    </w:p>
    <w:p w14:paraId="1C123A7C" w14:textId="77777777" w:rsidR="001C23F0" w:rsidRPr="00FA321A" w:rsidRDefault="001C23F0" w:rsidP="001C23F0">
      <w:pPr>
        <w:shd w:val="clear" w:color="auto" w:fill="FFFFFF"/>
        <w:rPr>
          <w:iCs/>
        </w:rPr>
      </w:pPr>
    </w:p>
    <w:p w14:paraId="7470016F" w14:textId="77777777" w:rsidR="00070C36" w:rsidRPr="00C57BE2" w:rsidRDefault="00070C36" w:rsidP="00D0013E">
      <w:pPr>
        <w:shd w:val="clear" w:color="auto" w:fill="FFFFFF"/>
        <w:spacing w:before="742"/>
        <w:ind w:left="29"/>
        <w:jc w:val="center"/>
      </w:pPr>
    </w:p>
    <w:sectPr w:rsidR="00070C36" w:rsidRPr="00C57BE2" w:rsidSect="00487D21">
      <w:headerReference w:type="default" r:id="rId8"/>
      <w:footerReference w:type="even" r:id="rId9"/>
      <w:footerReference w:type="default" r:id="rId10"/>
      <w:pgSz w:w="11909" w:h="16834"/>
      <w:pgMar w:top="1440" w:right="1272" w:bottom="709" w:left="1986" w:header="708" w:footer="44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3BE97" w14:textId="77777777" w:rsidR="000B2F10" w:rsidRDefault="000B2F10">
      <w:r>
        <w:separator/>
      </w:r>
    </w:p>
  </w:endnote>
  <w:endnote w:type="continuationSeparator" w:id="0">
    <w:p w14:paraId="02151105" w14:textId="77777777" w:rsidR="000B2F10" w:rsidRDefault="000B2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5690"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55A9AE" w14:textId="77777777" w:rsidR="00C50E5E" w:rsidRDefault="00C50E5E"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6DC1A"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3C22">
      <w:rPr>
        <w:rStyle w:val="PageNumber"/>
        <w:noProof/>
      </w:rPr>
      <w:t>1</w:t>
    </w:r>
    <w:r>
      <w:rPr>
        <w:rStyle w:val="PageNumber"/>
      </w:rPr>
      <w:fldChar w:fldCharType="end"/>
    </w:r>
  </w:p>
  <w:p w14:paraId="1DA6B9AC" w14:textId="77777777" w:rsidR="00C50E5E" w:rsidRDefault="00C50E5E" w:rsidP="003D16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96C50" w14:textId="77777777" w:rsidR="000B2F10" w:rsidRDefault="000B2F10">
      <w:r>
        <w:separator/>
      </w:r>
    </w:p>
  </w:footnote>
  <w:footnote w:type="continuationSeparator" w:id="0">
    <w:p w14:paraId="2C9DC4A8" w14:textId="77777777" w:rsidR="000B2F10" w:rsidRDefault="000B2F10">
      <w:r>
        <w:continuationSeparator/>
      </w:r>
    </w:p>
  </w:footnote>
  <w:footnote w:id="1">
    <w:p w14:paraId="58B972B4" w14:textId="51CE80B2" w:rsidR="00D0013E" w:rsidRPr="00E23C0C" w:rsidRDefault="00D0013E" w:rsidP="00D0013E">
      <w:pPr>
        <w:pStyle w:val="FootnoteText"/>
        <w:jc w:val="both"/>
      </w:pPr>
      <w:r>
        <w:rPr>
          <w:rStyle w:val="FootnoteReference"/>
        </w:rPr>
        <w:footnoteRef/>
      </w:r>
      <w:r>
        <w:t xml:space="preserve"> </w:t>
      </w:r>
      <w:r w:rsidRPr="00E23C0C">
        <w:t xml:space="preserve">Декларацията се попълва и подписва от всички лица, които представляват </w:t>
      </w:r>
      <w:r w:rsidR="00C05C44">
        <w:t>кандидата</w:t>
      </w:r>
      <w:r w:rsidR="00D206A3">
        <w:t>/партньора</w:t>
      </w:r>
      <w:r w:rsidRPr="00E23C0C">
        <w:t xml:space="preserve"> (независимо от това дали го представляват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CA666" w14:textId="77777777" w:rsidR="009B3A7B" w:rsidRDefault="009B3A7B" w:rsidP="009B3A7B">
    <w:pPr>
      <w:pStyle w:val="Header"/>
      <w:jc w:val="center"/>
    </w:pPr>
    <w:r>
      <w:rPr>
        <w:noProof/>
      </w:rPr>
      <w:drawing>
        <wp:anchor distT="0" distB="0" distL="114300" distR="114300" simplePos="0" relativeHeight="251659264" behindDoc="0" locked="0" layoutInCell="1" allowOverlap="1" wp14:anchorId="66D85C70" wp14:editId="155F162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BE25585" wp14:editId="34F7D0B8">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1FE89" w14:textId="77777777" w:rsidR="00B42E5E" w:rsidRDefault="00B42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DD65DB0"/>
    <w:multiLevelType w:val="hybridMultilevel"/>
    <w:tmpl w:val="E19E30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83D60BB"/>
    <w:multiLevelType w:val="hybridMultilevel"/>
    <w:tmpl w:val="B3B26C30"/>
    <w:lvl w:ilvl="0" w:tplc="0402000F">
      <w:start w:val="1"/>
      <w:numFmt w:val="decimal"/>
      <w:lvlText w:val="%1."/>
      <w:lvlJc w:val="left"/>
      <w:pPr>
        <w:ind w:left="2062" w:hanging="360"/>
      </w:pPr>
    </w:lvl>
    <w:lvl w:ilvl="1" w:tplc="04020019" w:tentative="1">
      <w:start w:val="1"/>
      <w:numFmt w:val="lowerLetter"/>
      <w:lvlText w:val="%2."/>
      <w:lvlJc w:val="left"/>
      <w:pPr>
        <w:ind w:left="2782" w:hanging="360"/>
      </w:pPr>
    </w:lvl>
    <w:lvl w:ilvl="2" w:tplc="0402001B" w:tentative="1">
      <w:start w:val="1"/>
      <w:numFmt w:val="lowerRoman"/>
      <w:lvlText w:val="%3."/>
      <w:lvlJc w:val="right"/>
      <w:pPr>
        <w:ind w:left="3502" w:hanging="180"/>
      </w:p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3" w15:restartNumberingAfterBreak="0">
    <w:nsid w:val="3D3023C1"/>
    <w:multiLevelType w:val="hybridMultilevel"/>
    <w:tmpl w:val="8C52B282"/>
    <w:lvl w:ilvl="0" w:tplc="45B6DF0C">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54353FF9"/>
    <w:multiLevelType w:val="hybridMultilevel"/>
    <w:tmpl w:val="E5AA699E"/>
    <w:lvl w:ilvl="0" w:tplc="5BFE98F6">
      <w:start w:val="65535"/>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43530D"/>
    <w:multiLevelType w:val="hybridMultilevel"/>
    <w:tmpl w:val="D3143B96"/>
    <w:lvl w:ilvl="0" w:tplc="5BFE98F6">
      <w:start w:val="65535"/>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663248D6"/>
    <w:multiLevelType w:val="hybridMultilevel"/>
    <w:tmpl w:val="F08E401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D884F65"/>
    <w:multiLevelType w:val="hybridMultilevel"/>
    <w:tmpl w:val="EA0C5C40"/>
    <w:lvl w:ilvl="0" w:tplc="92B00726">
      <w:start w:val="5"/>
      <w:numFmt w:val="decimal"/>
      <w:lvlText w:val="%1."/>
      <w:lvlJc w:val="left"/>
      <w:pPr>
        <w:ind w:left="928" w:hanging="360"/>
      </w:pPr>
      <w:rPr>
        <w:rFonts w:hint="default"/>
        <w:b w:val="0"/>
        <w:b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08C7411"/>
    <w:multiLevelType w:val="hybridMultilevel"/>
    <w:tmpl w:val="87B25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B693DFE"/>
    <w:multiLevelType w:val="hybridMultilevel"/>
    <w:tmpl w:val="0A468256"/>
    <w:lvl w:ilvl="0" w:tplc="08090001">
      <w:start w:val="1"/>
      <w:numFmt w:val="bullet"/>
      <w:lvlText w:val=""/>
      <w:lvlJc w:val="left"/>
      <w:pPr>
        <w:ind w:left="1429" w:hanging="360"/>
      </w:pPr>
      <w:rPr>
        <w:rFonts w:ascii="Symbol" w:hAnsi="Symbol" w:hint="default"/>
      </w:rPr>
    </w:lvl>
    <w:lvl w:ilvl="1" w:tplc="A0D4610C">
      <w:numFmt w:val="bullet"/>
      <w:lvlText w:val="-"/>
      <w:lvlJc w:val="left"/>
      <w:pPr>
        <w:ind w:left="2584" w:hanging="79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9"/>
  </w:num>
  <w:num w:numId="5">
    <w:abstractNumId w:val="4"/>
  </w:num>
  <w:num w:numId="6">
    <w:abstractNumId w:val="5"/>
  </w:num>
  <w:num w:numId="7">
    <w:abstractNumId w:val="8"/>
  </w:num>
  <w:num w:numId="8">
    <w:abstractNumId w:val="6"/>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04510"/>
    <w:rsid w:val="00012F45"/>
    <w:rsid w:val="00014473"/>
    <w:rsid w:val="00014AB1"/>
    <w:rsid w:val="000304D9"/>
    <w:rsid w:val="00031AAC"/>
    <w:rsid w:val="00034CF9"/>
    <w:rsid w:val="00041A89"/>
    <w:rsid w:val="000459C4"/>
    <w:rsid w:val="000467CE"/>
    <w:rsid w:val="00050112"/>
    <w:rsid w:val="00050518"/>
    <w:rsid w:val="00056509"/>
    <w:rsid w:val="0006719F"/>
    <w:rsid w:val="00067521"/>
    <w:rsid w:val="00070C36"/>
    <w:rsid w:val="000942B4"/>
    <w:rsid w:val="000A5660"/>
    <w:rsid w:val="000B0665"/>
    <w:rsid w:val="000B2F10"/>
    <w:rsid w:val="000B3F40"/>
    <w:rsid w:val="000E0F7C"/>
    <w:rsid w:val="00101488"/>
    <w:rsid w:val="00120BCC"/>
    <w:rsid w:val="00124E0E"/>
    <w:rsid w:val="00137D4D"/>
    <w:rsid w:val="0014447F"/>
    <w:rsid w:val="00146C5A"/>
    <w:rsid w:val="001526BB"/>
    <w:rsid w:val="00167921"/>
    <w:rsid w:val="001775BB"/>
    <w:rsid w:val="00177B32"/>
    <w:rsid w:val="00186EF4"/>
    <w:rsid w:val="00191E5A"/>
    <w:rsid w:val="001C23F0"/>
    <w:rsid w:val="001C2AD1"/>
    <w:rsid w:val="001E1B88"/>
    <w:rsid w:val="001F21E0"/>
    <w:rsid w:val="001F2B9E"/>
    <w:rsid w:val="002015A0"/>
    <w:rsid w:val="002204F6"/>
    <w:rsid w:val="002258D3"/>
    <w:rsid w:val="00236AFF"/>
    <w:rsid w:val="002830C7"/>
    <w:rsid w:val="002B1C51"/>
    <w:rsid w:val="002B7B48"/>
    <w:rsid w:val="002C5636"/>
    <w:rsid w:val="002D055D"/>
    <w:rsid w:val="002D40B8"/>
    <w:rsid w:val="002D5408"/>
    <w:rsid w:val="002E13C9"/>
    <w:rsid w:val="002F66AA"/>
    <w:rsid w:val="002F7F3E"/>
    <w:rsid w:val="003032D4"/>
    <w:rsid w:val="00303D69"/>
    <w:rsid w:val="00305A50"/>
    <w:rsid w:val="0030764A"/>
    <w:rsid w:val="00316F75"/>
    <w:rsid w:val="00336D00"/>
    <w:rsid w:val="00337DA1"/>
    <w:rsid w:val="00340159"/>
    <w:rsid w:val="00342A4C"/>
    <w:rsid w:val="00364BE2"/>
    <w:rsid w:val="00375CB7"/>
    <w:rsid w:val="00387C23"/>
    <w:rsid w:val="00395986"/>
    <w:rsid w:val="00396B75"/>
    <w:rsid w:val="003A39D1"/>
    <w:rsid w:val="003A5B5E"/>
    <w:rsid w:val="003B2699"/>
    <w:rsid w:val="003C5CB5"/>
    <w:rsid w:val="003C7891"/>
    <w:rsid w:val="003D165A"/>
    <w:rsid w:val="003D2E79"/>
    <w:rsid w:val="003E1D50"/>
    <w:rsid w:val="003F19E6"/>
    <w:rsid w:val="004035E6"/>
    <w:rsid w:val="00412327"/>
    <w:rsid w:val="0041373E"/>
    <w:rsid w:val="00416113"/>
    <w:rsid w:val="00416F29"/>
    <w:rsid w:val="00426612"/>
    <w:rsid w:val="004362E5"/>
    <w:rsid w:val="00451653"/>
    <w:rsid w:val="0048662C"/>
    <w:rsid w:val="00487D21"/>
    <w:rsid w:val="0049237F"/>
    <w:rsid w:val="004A2E1E"/>
    <w:rsid w:val="004C67F6"/>
    <w:rsid w:val="004D6632"/>
    <w:rsid w:val="0050614F"/>
    <w:rsid w:val="00507300"/>
    <w:rsid w:val="0051128A"/>
    <w:rsid w:val="00511386"/>
    <w:rsid w:val="00532E36"/>
    <w:rsid w:val="00542662"/>
    <w:rsid w:val="00550DE1"/>
    <w:rsid w:val="0055601C"/>
    <w:rsid w:val="00574A7B"/>
    <w:rsid w:val="00587A40"/>
    <w:rsid w:val="00587BB2"/>
    <w:rsid w:val="005971C7"/>
    <w:rsid w:val="005B580E"/>
    <w:rsid w:val="005C30F0"/>
    <w:rsid w:val="005D1DDB"/>
    <w:rsid w:val="005D2E04"/>
    <w:rsid w:val="005E1FB6"/>
    <w:rsid w:val="005F3973"/>
    <w:rsid w:val="006077B4"/>
    <w:rsid w:val="006206AC"/>
    <w:rsid w:val="00632D73"/>
    <w:rsid w:val="0064213E"/>
    <w:rsid w:val="00643B47"/>
    <w:rsid w:val="0064533C"/>
    <w:rsid w:val="00647A91"/>
    <w:rsid w:val="0066004D"/>
    <w:rsid w:val="00660F22"/>
    <w:rsid w:val="006676AD"/>
    <w:rsid w:val="00675FBE"/>
    <w:rsid w:val="00687D6B"/>
    <w:rsid w:val="006A0F78"/>
    <w:rsid w:val="006A7288"/>
    <w:rsid w:val="006C25D2"/>
    <w:rsid w:val="006C5172"/>
    <w:rsid w:val="006D3D35"/>
    <w:rsid w:val="006E0724"/>
    <w:rsid w:val="00702593"/>
    <w:rsid w:val="007125E0"/>
    <w:rsid w:val="00714AE2"/>
    <w:rsid w:val="007169E6"/>
    <w:rsid w:val="00735F5A"/>
    <w:rsid w:val="00743572"/>
    <w:rsid w:val="00752C28"/>
    <w:rsid w:val="00757CBC"/>
    <w:rsid w:val="00760CC0"/>
    <w:rsid w:val="00777952"/>
    <w:rsid w:val="0078555C"/>
    <w:rsid w:val="007E07AD"/>
    <w:rsid w:val="007E32D3"/>
    <w:rsid w:val="008006AF"/>
    <w:rsid w:val="00824098"/>
    <w:rsid w:val="008310B2"/>
    <w:rsid w:val="00836974"/>
    <w:rsid w:val="00842D1D"/>
    <w:rsid w:val="00842F4A"/>
    <w:rsid w:val="00850309"/>
    <w:rsid w:val="008513D7"/>
    <w:rsid w:val="00855DFB"/>
    <w:rsid w:val="00881B56"/>
    <w:rsid w:val="008878E1"/>
    <w:rsid w:val="00890972"/>
    <w:rsid w:val="008A6A7C"/>
    <w:rsid w:val="008B3702"/>
    <w:rsid w:val="00901BA1"/>
    <w:rsid w:val="00904112"/>
    <w:rsid w:val="00964047"/>
    <w:rsid w:val="009744A1"/>
    <w:rsid w:val="00975DC6"/>
    <w:rsid w:val="00995143"/>
    <w:rsid w:val="009A439D"/>
    <w:rsid w:val="009A7B1E"/>
    <w:rsid w:val="009B1B29"/>
    <w:rsid w:val="009B3A7B"/>
    <w:rsid w:val="009C2340"/>
    <w:rsid w:val="009C48D1"/>
    <w:rsid w:val="009E0A18"/>
    <w:rsid w:val="009E797A"/>
    <w:rsid w:val="00A07249"/>
    <w:rsid w:val="00A1458D"/>
    <w:rsid w:val="00A15643"/>
    <w:rsid w:val="00A20E97"/>
    <w:rsid w:val="00A27559"/>
    <w:rsid w:val="00A32A21"/>
    <w:rsid w:val="00A3631D"/>
    <w:rsid w:val="00A50E35"/>
    <w:rsid w:val="00A5797C"/>
    <w:rsid w:val="00A61CA5"/>
    <w:rsid w:val="00A64BC3"/>
    <w:rsid w:val="00A93DD0"/>
    <w:rsid w:val="00AA2FF6"/>
    <w:rsid w:val="00AB3E3E"/>
    <w:rsid w:val="00AB4945"/>
    <w:rsid w:val="00AC7E45"/>
    <w:rsid w:val="00AD0477"/>
    <w:rsid w:val="00AD132C"/>
    <w:rsid w:val="00AE00A6"/>
    <w:rsid w:val="00AE01F3"/>
    <w:rsid w:val="00B03205"/>
    <w:rsid w:val="00B176E2"/>
    <w:rsid w:val="00B23BC7"/>
    <w:rsid w:val="00B361EA"/>
    <w:rsid w:val="00B42E5E"/>
    <w:rsid w:val="00B65273"/>
    <w:rsid w:val="00B73C22"/>
    <w:rsid w:val="00B81928"/>
    <w:rsid w:val="00B85E4E"/>
    <w:rsid w:val="00B8659B"/>
    <w:rsid w:val="00B90098"/>
    <w:rsid w:val="00B926A4"/>
    <w:rsid w:val="00B97958"/>
    <w:rsid w:val="00BA038C"/>
    <w:rsid w:val="00BA327B"/>
    <w:rsid w:val="00BC44F8"/>
    <w:rsid w:val="00BE06B2"/>
    <w:rsid w:val="00BE7605"/>
    <w:rsid w:val="00C02371"/>
    <w:rsid w:val="00C024F9"/>
    <w:rsid w:val="00C05C44"/>
    <w:rsid w:val="00C12F01"/>
    <w:rsid w:val="00C237CF"/>
    <w:rsid w:val="00C37844"/>
    <w:rsid w:val="00C42F77"/>
    <w:rsid w:val="00C45845"/>
    <w:rsid w:val="00C50E5E"/>
    <w:rsid w:val="00C565B8"/>
    <w:rsid w:val="00C57BE2"/>
    <w:rsid w:val="00C728CB"/>
    <w:rsid w:val="00C94624"/>
    <w:rsid w:val="00CA1F4D"/>
    <w:rsid w:val="00CA28B7"/>
    <w:rsid w:val="00CA4E38"/>
    <w:rsid w:val="00CA5AB1"/>
    <w:rsid w:val="00CC3685"/>
    <w:rsid w:val="00CC7E6C"/>
    <w:rsid w:val="00CD2360"/>
    <w:rsid w:val="00CE054A"/>
    <w:rsid w:val="00CF0B1A"/>
    <w:rsid w:val="00D0013E"/>
    <w:rsid w:val="00D13E20"/>
    <w:rsid w:val="00D206A3"/>
    <w:rsid w:val="00D4030E"/>
    <w:rsid w:val="00D81A36"/>
    <w:rsid w:val="00D853F4"/>
    <w:rsid w:val="00DA05E5"/>
    <w:rsid w:val="00DB4142"/>
    <w:rsid w:val="00DB440F"/>
    <w:rsid w:val="00DC2FB1"/>
    <w:rsid w:val="00DC3189"/>
    <w:rsid w:val="00DC39FB"/>
    <w:rsid w:val="00DF1502"/>
    <w:rsid w:val="00DF3AD8"/>
    <w:rsid w:val="00DF6B9B"/>
    <w:rsid w:val="00E02C6B"/>
    <w:rsid w:val="00E06845"/>
    <w:rsid w:val="00E23C0C"/>
    <w:rsid w:val="00E25363"/>
    <w:rsid w:val="00E2555B"/>
    <w:rsid w:val="00E35E9A"/>
    <w:rsid w:val="00E46B13"/>
    <w:rsid w:val="00E471B5"/>
    <w:rsid w:val="00E624FC"/>
    <w:rsid w:val="00E6403D"/>
    <w:rsid w:val="00E66C9A"/>
    <w:rsid w:val="00E6733D"/>
    <w:rsid w:val="00E7428A"/>
    <w:rsid w:val="00E77734"/>
    <w:rsid w:val="00E93CEB"/>
    <w:rsid w:val="00EA00CD"/>
    <w:rsid w:val="00EC189E"/>
    <w:rsid w:val="00EC76F7"/>
    <w:rsid w:val="00ED094C"/>
    <w:rsid w:val="00ED3590"/>
    <w:rsid w:val="00ED71C0"/>
    <w:rsid w:val="00EE2C2F"/>
    <w:rsid w:val="00EE4609"/>
    <w:rsid w:val="00EE76F2"/>
    <w:rsid w:val="00F07E82"/>
    <w:rsid w:val="00F12E18"/>
    <w:rsid w:val="00F22034"/>
    <w:rsid w:val="00F22C67"/>
    <w:rsid w:val="00F44240"/>
    <w:rsid w:val="00F50C5C"/>
    <w:rsid w:val="00F54FC0"/>
    <w:rsid w:val="00F60FD3"/>
    <w:rsid w:val="00F666C9"/>
    <w:rsid w:val="00F77E9B"/>
    <w:rsid w:val="00F84BE9"/>
    <w:rsid w:val="00F8767B"/>
    <w:rsid w:val="00FA2BD2"/>
    <w:rsid w:val="00FA321A"/>
    <w:rsid w:val="00FA7577"/>
    <w:rsid w:val="00FB3619"/>
    <w:rsid w:val="00FC1CD3"/>
    <w:rsid w:val="00FD4794"/>
    <w:rsid w:val="00FF2719"/>
    <w:rsid w:val="00FF3728"/>
    <w:rsid w:val="00FF38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03520C"/>
  <w15:docId w15:val="{29486119-831D-4844-B135-13248FE2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rsid w:val="007E07AD"/>
  </w:style>
  <w:style w:type="character" w:styleId="FootnoteReference">
    <w:name w:val="footnote reference"/>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character" w:customStyle="1" w:styleId="FootnoteTextChar">
    <w:name w:val="Footnote Text Char"/>
    <w:basedOn w:val="DefaultParagraphFont"/>
    <w:link w:val="FootnoteText"/>
    <w:semiHidden/>
    <w:rsid w:val="00D0013E"/>
  </w:style>
  <w:style w:type="character" w:customStyle="1" w:styleId="HeaderChar">
    <w:name w:val="Header Char"/>
    <w:basedOn w:val="DefaultParagraphFont"/>
    <w:link w:val="Header"/>
    <w:uiPriority w:val="99"/>
    <w:rsid w:val="009B3A7B"/>
    <w:rPr>
      <w:rFonts w:eastAsia="HG Mincho Light J"/>
      <w:color w:val="000000"/>
      <w:sz w:val="24"/>
      <w:lang w:val="en-US"/>
    </w:rPr>
  </w:style>
  <w:style w:type="character" w:customStyle="1" w:styleId="spelle">
    <w:name w:val="spelle"/>
    <w:basedOn w:val="DefaultParagraphFont"/>
    <w:rsid w:val="001C23F0"/>
  </w:style>
  <w:style w:type="character" w:styleId="CommentReference">
    <w:name w:val="annotation reference"/>
    <w:basedOn w:val="DefaultParagraphFont"/>
    <w:semiHidden/>
    <w:unhideWhenUsed/>
    <w:rsid w:val="00E66C9A"/>
    <w:rPr>
      <w:sz w:val="16"/>
      <w:szCs w:val="16"/>
    </w:rPr>
  </w:style>
  <w:style w:type="paragraph" w:styleId="CommentText">
    <w:name w:val="annotation text"/>
    <w:basedOn w:val="Normal"/>
    <w:link w:val="CommentTextChar"/>
    <w:semiHidden/>
    <w:unhideWhenUsed/>
    <w:rsid w:val="00E66C9A"/>
  </w:style>
  <w:style w:type="character" w:customStyle="1" w:styleId="CommentTextChar">
    <w:name w:val="Comment Text Char"/>
    <w:basedOn w:val="DefaultParagraphFont"/>
    <w:link w:val="CommentText"/>
    <w:semiHidden/>
    <w:rsid w:val="00E66C9A"/>
  </w:style>
  <w:style w:type="paragraph" w:styleId="CommentSubject">
    <w:name w:val="annotation subject"/>
    <w:basedOn w:val="CommentText"/>
    <w:next w:val="CommentText"/>
    <w:link w:val="CommentSubjectChar"/>
    <w:semiHidden/>
    <w:unhideWhenUsed/>
    <w:rsid w:val="00E66C9A"/>
    <w:rPr>
      <w:b/>
      <w:bCs/>
    </w:rPr>
  </w:style>
  <w:style w:type="character" w:customStyle="1" w:styleId="CommentSubjectChar">
    <w:name w:val="Comment Subject Char"/>
    <w:basedOn w:val="CommentTextChar"/>
    <w:link w:val="CommentSubject"/>
    <w:semiHidden/>
    <w:rsid w:val="00E66C9A"/>
    <w:rPr>
      <w:b/>
      <w:bCs/>
    </w:rPr>
  </w:style>
  <w:style w:type="paragraph" w:styleId="ListParagraph">
    <w:name w:val="List Paragraph"/>
    <w:basedOn w:val="Normal"/>
    <w:uiPriority w:val="34"/>
    <w:qFormat/>
    <w:rsid w:val="00CA5A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20969">
      <w:bodyDiv w:val="1"/>
      <w:marLeft w:val="0"/>
      <w:marRight w:val="0"/>
      <w:marTop w:val="0"/>
      <w:marBottom w:val="0"/>
      <w:divBdr>
        <w:top w:val="none" w:sz="0" w:space="0" w:color="auto"/>
        <w:left w:val="none" w:sz="0" w:space="0" w:color="auto"/>
        <w:bottom w:val="none" w:sz="0" w:space="0" w:color="auto"/>
        <w:right w:val="none" w:sz="0" w:space="0" w:color="auto"/>
      </w:divBdr>
    </w:div>
    <w:div w:id="642779365">
      <w:bodyDiv w:val="1"/>
      <w:marLeft w:val="0"/>
      <w:marRight w:val="0"/>
      <w:marTop w:val="0"/>
      <w:marBottom w:val="0"/>
      <w:divBdr>
        <w:top w:val="none" w:sz="0" w:space="0" w:color="auto"/>
        <w:left w:val="none" w:sz="0" w:space="0" w:color="auto"/>
        <w:bottom w:val="none" w:sz="0" w:space="0" w:color="auto"/>
        <w:right w:val="none" w:sz="0" w:space="0" w:color="auto"/>
      </w:divBdr>
    </w:div>
    <w:div w:id="1229726367">
      <w:bodyDiv w:val="1"/>
      <w:marLeft w:val="0"/>
      <w:marRight w:val="0"/>
      <w:marTop w:val="0"/>
      <w:marBottom w:val="0"/>
      <w:divBdr>
        <w:top w:val="none" w:sz="0" w:space="0" w:color="auto"/>
        <w:left w:val="none" w:sz="0" w:space="0" w:color="auto"/>
        <w:bottom w:val="none" w:sz="0" w:space="0" w:color="auto"/>
        <w:right w:val="none" w:sz="0" w:space="0" w:color="auto"/>
      </w:divBdr>
    </w:div>
    <w:div w:id="1980186739">
      <w:bodyDiv w:val="1"/>
      <w:marLeft w:val="0"/>
      <w:marRight w:val="0"/>
      <w:marTop w:val="0"/>
      <w:marBottom w:val="0"/>
      <w:divBdr>
        <w:top w:val="none" w:sz="0" w:space="0" w:color="auto"/>
        <w:left w:val="none" w:sz="0" w:space="0" w:color="auto"/>
        <w:bottom w:val="none" w:sz="0" w:space="0" w:color="auto"/>
        <w:right w:val="none" w:sz="0" w:space="0" w:color="auto"/>
      </w:divBdr>
    </w:div>
    <w:div w:id="213752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809</Words>
  <Characters>4616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Irena</cp:lastModifiedBy>
  <cp:revision>5</cp:revision>
  <dcterms:created xsi:type="dcterms:W3CDTF">2024-06-19T11:21:00Z</dcterms:created>
  <dcterms:modified xsi:type="dcterms:W3CDTF">2025-02-10T13:51:00Z</dcterms:modified>
</cp:coreProperties>
</file>