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4D" w:rsidRPr="00047BE1" w:rsidRDefault="00086A4D" w:rsidP="00086A4D">
      <w:pPr>
        <w:spacing w:after="0" w:line="240" w:lineRule="auto"/>
        <w:ind w:firstLine="0"/>
        <w:outlineLvl w:val="0"/>
        <w:rPr>
          <w:rFonts w:ascii="Times New Roman" w:hAnsi="Times New Roman"/>
          <w:b/>
          <w:szCs w:val="24"/>
          <w:lang w:val="bg-BG"/>
        </w:rPr>
      </w:pPr>
      <w:bookmarkStart w:id="0" w:name="_GoBack"/>
      <w:bookmarkEnd w:id="0"/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szCs w:val="24"/>
          <w:lang w:val="bg-BG"/>
        </w:rPr>
      </w:pPr>
    </w:p>
    <w:p w:rsidR="00047BE1" w:rsidRPr="00047BE1" w:rsidRDefault="00047BE1" w:rsidP="00047BE1">
      <w:pPr>
        <w:spacing w:before="120" w:after="0" w:line="240" w:lineRule="auto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047BE1">
        <w:rPr>
          <w:rFonts w:ascii="Times New Roman" w:hAnsi="Times New Roman"/>
          <w:b/>
          <w:bCs/>
          <w:szCs w:val="24"/>
          <w:lang w:val="bg-BG"/>
        </w:rPr>
        <w:t>АНАЛИЗ НА НЕРЕДНОСТИТЕ, УСТАНОВЕНИ ОТ ОДИТНИЯ ОРГАН ПРИ ИЗВЪРШЕНИТЕ ПРЕЗ 2023 ГОДИНА ОДИТНИ АНГАЖИМЕНТИ</w:t>
      </w:r>
    </w:p>
    <w:p w:rsidR="00047BE1" w:rsidRPr="00047BE1" w:rsidRDefault="00047BE1" w:rsidP="00047BE1">
      <w:pPr>
        <w:spacing w:before="120" w:after="0" w:line="240" w:lineRule="auto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047BE1">
        <w:rPr>
          <w:rFonts w:ascii="Times New Roman" w:hAnsi="Times New Roman"/>
          <w:b/>
          <w:bCs/>
          <w:szCs w:val="24"/>
          <w:lang w:val="bg-BG"/>
        </w:rPr>
        <w:t>/РЕЗЮМЕ/</w:t>
      </w:r>
    </w:p>
    <w:p w:rsidR="00047BE1" w:rsidRPr="00047BE1" w:rsidRDefault="00047BE1" w:rsidP="00047BE1">
      <w:pPr>
        <w:rPr>
          <w:rFonts w:ascii="Times New Roman" w:hAnsi="Times New Roman"/>
          <w:szCs w:val="24"/>
          <w:lang w:val="bg-BG"/>
        </w:rPr>
      </w:pP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>Изпълнителна аг</w:t>
      </w:r>
      <w:r>
        <w:rPr>
          <w:rFonts w:ascii="Times New Roman" w:hAnsi="Times New Roman"/>
          <w:color w:val="000000" w:themeColor="text1"/>
          <w:szCs w:val="24"/>
          <w:lang w:val="bg-BG"/>
        </w:rPr>
        <w:t xml:space="preserve">енция „Одит на средствата от ЕС“ </w:t>
      </w:r>
      <w:r w:rsidRPr="00047BE1">
        <w:rPr>
          <w:rFonts w:ascii="Times New Roman" w:hAnsi="Times New Roman"/>
          <w:color w:val="000000" w:themeColor="text1"/>
          <w:szCs w:val="24"/>
          <w:lang w:val="bg-BG"/>
        </w:rPr>
        <w:t>издаде ежегодния си, станал вече традиционен, анализ на нередностите, установени в одитите, извършени от Агенцията през 2023 г.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Анализът има за основна цел да запознае всички участници в системата за управление и контрол на средствата от ЕС с утвърдения от ЕК и прилаган и от Одитния орган подход при проверките на проекти и на процедури за избор на изпълнител за дейностите по проекти, съфинансирани по оперативните програми, програмите за транснационално и трансгранично сътрудничество и програмите на други държави-донори на помощ.  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Въз основа на резултатите от анализа Управляващите органи имат възможността да въведат подходящи мерки за верифициране на законосъобразни и допустими разходи, а бенефициентите и възложителите на обществени поръчки – съответни превантивни и </w:t>
      </w:r>
      <w:proofErr w:type="spellStart"/>
      <w:r w:rsidRPr="00047BE1">
        <w:rPr>
          <w:rFonts w:ascii="Times New Roman" w:hAnsi="Times New Roman"/>
          <w:color w:val="000000" w:themeColor="text1"/>
          <w:szCs w:val="24"/>
          <w:lang w:val="bg-BG"/>
        </w:rPr>
        <w:t>корективни</w:t>
      </w:r>
      <w:proofErr w:type="spellEnd"/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 действия при управлението на проекти и провежданите от тях процедури за възлагане на обществени поръчки.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Документът описва метода за изготвяне на анализа, статистическа информация, описание на подхода при проверките и определяне на финансовото влияние на нарушенията. Направено е обобщено представяне на видовете установени нередности, което се съдържа в 3 раздела: </w:t>
      </w:r>
    </w:p>
    <w:p w:rsidR="00047BE1" w:rsidRPr="00047BE1" w:rsidRDefault="00047BE1" w:rsidP="00047BE1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>типове нередности при възлагане на обществени поръчки (който включва  информация от проверените процедури за избор на изпълнител по ЗОП, ПМС № 160/2016 г. и ПМС № 118/2014 г.),</w:t>
      </w:r>
    </w:p>
    <w:p w:rsidR="00047BE1" w:rsidRPr="00047BE1" w:rsidRDefault="00047BE1" w:rsidP="00047BE1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типове нередности при процедури за избор на изпълнител по Практическото ръководство за договорни процедури за външни действия на ЕС (PRAG) и </w:t>
      </w:r>
    </w:p>
    <w:p w:rsidR="00047BE1" w:rsidRPr="00047BE1" w:rsidRDefault="00047BE1" w:rsidP="00047BE1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>типове нередности извън процедурите за избор на изпълнител.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>Групирането на формулираните констатации по типове нередности е съгласно утвърдената от Европейската комисия Типология на грешките.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В обхвата на изпълнените одити на операциите през 2023 г. попаднаха 268 проекти по 15 Оперативни програми, програми за транснационално и трансгранично сътрудничество и финансови механизми.  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noProof/>
          <w:color w:val="000000" w:themeColor="text1"/>
          <w:szCs w:val="24"/>
          <w:lang w:val="bg-BG" w:eastAsia="bg-BG"/>
        </w:rPr>
        <w:lastRenderedPageBreak/>
        <w:drawing>
          <wp:inline distT="0" distB="0" distL="0" distR="0" wp14:anchorId="276000A4" wp14:editId="29055524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Одиторите извършиха проверки на 426 процедури за избор на изпълнител, както следва: 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- 328 проверки по ЗОП; 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- 16 проверки по ПМС № 160/2016 г. 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- 3 проверки по ПМС № 118/2014 г. и 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- 79 проверки по Практическото ръководство за договорни процедури за външни действия на ЕС (PRAG). 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noProof/>
          <w:szCs w:val="24"/>
          <w:lang w:val="bg-BG" w:eastAsia="bg-BG"/>
        </w:rPr>
        <w:drawing>
          <wp:inline distT="0" distB="0" distL="0" distR="0" wp14:anchorId="4CA01D72" wp14:editId="35967050">
            <wp:extent cx="6697683" cy="2628900"/>
            <wp:effectExtent l="0" t="0" r="825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В резултат на извършените проверки Одитният орган установи общо 285 нередности в 152 от проверените поръчки (в някои от поръчките броят на отклоненията е повече от едно). Предложено е прилагане на финансови корекции върху разходите по 93 поръчки проверени за възлагане на доставки, услуги или строителство. По тези възлагания нарушенията не са били </w:t>
      </w:r>
      <w:r w:rsidRPr="00047BE1">
        <w:rPr>
          <w:rFonts w:ascii="Times New Roman" w:hAnsi="Times New Roman"/>
          <w:color w:val="000000" w:themeColor="text1"/>
          <w:szCs w:val="24"/>
          <w:lang w:val="bg-BG"/>
        </w:rPr>
        <w:lastRenderedPageBreak/>
        <w:t>констатирани от Управляващите органи в процеса по верификация на разходите</w:t>
      </w:r>
      <w:r w:rsidRPr="00047BE1">
        <w:rPr>
          <w:rFonts w:ascii="Times New Roman" w:hAnsi="Times New Roman"/>
          <w:szCs w:val="24"/>
          <w:lang w:val="bg-BG"/>
        </w:rPr>
        <w:t xml:space="preserve">, в резултат на което е установена грешка в одитираните разходи. 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>При изпълнение на одитните ангажименти сме констатирали и множество допуснати от бенефициентите нарушения, които са били установени и от Управляващите органи в процеса по верификация и разходите по засегнатите договори са били коригирани преди включването им в доклади по сертификация.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Следва да се отбележи, че в проверените процедури са налични повече от едно нарушения, като в съответствие с принципа за </w:t>
      </w:r>
      <w:proofErr w:type="spellStart"/>
      <w:r w:rsidRPr="00047BE1">
        <w:rPr>
          <w:rFonts w:ascii="Times New Roman" w:hAnsi="Times New Roman"/>
          <w:color w:val="000000" w:themeColor="text1"/>
          <w:szCs w:val="24"/>
          <w:lang w:val="bg-BG"/>
        </w:rPr>
        <w:t>некумулиране</w:t>
      </w:r>
      <w:proofErr w:type="spellEnd"/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 на корекциите в докладите за резултатите от проверките сме препоръчали налагане на финансова корекция по засегнатия договор, съответстваща на най-тежкото нарушение. В случаите, в които Управляващият орган е установил същото нарушение или за друго отклонение е приложил финансова корекция, не е налице грешка в одитираните разходи, поради което Одитният орган само е констатирал нарушението, но не е направил препоръка за прилагане на финансова корекция.  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szCs w:val="24"/>
          <w:lang w:val="bg-BG"/>
        </w:rPr>
        <w:t xml:space="preserve">Нередностите извън областта на обществените поръчки са 78 на брой. Те </w:t>
      </w: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са свързани с: изплатени и верифицирани недопустими разходи по проверявания проект, неспазване на изискванията за одитна следа, </w:t>
      </w:r>
      <w:proofErr w:type="spellStart"/>
      <w:r w:rsidRPr="00047BE1">
        <w:rPr>
          <w:rFonts w:ascii="Times New Roman" w:hAnsi="Times New Roman"/>
          <w:color w:val="000000" w:themeColor="text1"/>
          <w:szCs w:val="24"/>
          <w:lang w:val="bg-BG"/>
        </w:rPr>
        <w:t>несъблюдаване</w:t>
      </w:r>
      <w:proofErr w:type="spellEnd"/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 на законоустановения срок за извършване на плащане към бенефициента, липса на добро финансово управление, както и пропуски, свързани с физическото изпълнение.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noProof/>
          <w:color w:val="000000" w:themeColor="text1"/>
          <w:szCs w:val="24"/>
          <w:lang w:val="bg-BG" w:eastAsia="bg-BG"/>
        </w:rPr>
        <w:drawing>
          <wp:inline distT="0" distB="0" distL="0" distR="0" wp14:anchorId="675F74FE" wp14:editId="54181C7F">
            <wp:extent cx="6929252" cy="3200400"/>
            <wp:effectExtent l="0" t="0" r="508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В допълнение към анализа е документа </w:t>
      </w:r>
      <w:r w:rsidRPr="00047BE1">
        <w:rPr>
          <w:rFonts w:ascii="Times New Roman" w:hAnsi="Times New Roman"/>
          <w:b/>
          <w:i/>
          <w:color w:val="000000" w:themeColor="text1"/>
          <w:szCs w:val="24"/>
          <w:lang w:val="bg-BG"/>
        </w:rPr>
        <w:t>„Обобщение на срещаните в практиката на Одитния орган нарушения за ограничителни изисквания и насоки за избягването им“</w:t>
      </w: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, който е обновен и актуализиран. </w:t>
      </w:r>
    </w:p>
    <w:p w:rsidR="00047BE1" w:rsidRPr="00047BE1" w:rsidRDefault="00047BE1" w:rsidP="00047BE1">
      <w:pPr>
        <w:spacing w:before="120" w:after="0" w:line="240" w:lineRule="auto"/>
        <w:rPr>
          <w:rFonts w:ascii="Times New Roman" w:hAnsi="Times New Roman"/>
          <w:color w:val="000000" w:themeColor="text1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Обръщаме внимание, че анализът и обобщението нямат изчерпателен характер и не съдържат всички възможни отклонения, представляващи нередности. </w:t>
      </w:r>
    </w:p>
    <w:p w:rsidR="008164DB" w:rsidRPr="00047BE1" w:rsidRDefault="00047BE1" w:rsidP="00047BE1">
      <w:pPr>
        <w:spacing w:before="120" w:after="0" w:line="240" w:lineRule="auto"/>
        <w:rPr>
          <w:rFonts w:ascii="Times New Roman" w:eastAsia="Calibri" w:hAnsi="Times New Roman"/>
          <w:szCs w:val="24"/>
          <w:lang w:val="bg-BG"/>
        </w:rPr>
      </w:pPr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Анализът и обобщението са налични на интернет страницата на Агенцията на адрес: </w:t>
      </w:r>
      <w:hyperlink r:id="rId11" w:history="1">
        <w:r w:rsidRPr="00047BE1">
          <w:rPr>
            <w:rStyle w:val="Hyperlink"/>
            <w:rFonts w:ascii="Times New Roman" w:hAnsi="Times New Roman"/>
            <w:szCs w:val="24"/>
            <w:lang w:val="bg-BG"/>
          </w:rPr>
          <w:t>https://aeuf.minfin.bg/bg/25</w:t>
        </w:r>
      </w:hyperlink>
      <w:r w:rsidRPr="00047BE1">
        <w:rPr>
          <w:rFonts w:ascii="Times New Roman" w:hAnsi="Times New Roman"/>
          <w:color w:val="000000" w:themeColor="text1"/>
          <w:szCs w:val="24"/>
          <w:lang w:val="bg-BG"/>
        </w:rPr>
        <w:t xml:space="preserve">  </w:t>
      </w:r>
      <w:bookmarkStart w:id="1" w:name="_Toc526323830"/>
      <w:bookmarkStart w:id="2" w:name="_Toc163117675"/>
      <w:bookmarkEnd w:id="1"/>
      <w:bookmarkEnd w:id="2"/>
    </w:p>
    <w:p w:rsidR="008164DB" w:rsidRPr="00047BE1" w:rsidRDefault="008164DB" w:rsidP="00933222">
      <w:pPr>
        <w:spacing w:before="120" w:after="0" w:line="240" w:lineRule="auto"/>
        <w:ind w:left="357" w:firstLine="0"/>
        <w:rPr>
          <w:rFonts w:ascii="Times New Roman" w:eastAsia="Calibri" w:hAnsi="Times New Roman"/>
          <w:szCs w:val="24"/>
          <w:lang w:val="bg-BG"/>
        </w:rPr>
      </w:pPr>
    </w:p>
    <w:p w:rsidR="008164DB" w:rsidRPr="00047BE1" w:rsidRDefault="008164DB" w:rsidP="00933222">
      <w:pPr>
        <w:spacing w:before="120" w:after="0" w:line="240" w:lineRule="auto"/>
        <w:ind w:left="357" w:firstLine="0"/>
        <w:rPr>
          <w:rFonts w:ascii="Times New Roman" w:eastAsia="Calibri" w:hAnsi="Times New Roman"/>
          <w:szCs w:val="24"/>
          <w:lang w:val="bg-BG"/>
        </w:rPr>
      </w:pPr>
    </w:p>
    <w:sectPr w:rsidR="008164DB" w:rsidRPr="00047BE1" w:rsidSect="009D12CA">
      <w:headerReference w:type="first" r:id="rId12"/>
      <w:footerReference w:type="first" r:id="rId13"/>
      <w:pgSz w:w="11906" w:h="16838" w:code="9"/>
      <w:pgMar w:top="1441" w:right="991" w:bottom="851" w:left="1276" w:header="507" w:footer="241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DF" w:rsidRDefault="001611DF">
      <w:r>
        <w:separator/>
      </w:r>
    </w:p>
  </w:endnote>
  <w:endnote w:type="continuationSeparator" w:id="0">
    <w:p w:rsidR="001611DF" w:rsidRDefault="0016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F9" w:rsidRDefault="007D31DE">
    <w:pPr>
      <w:pStyle w:val="Footer"/>
      <w:tabs>
        <w:tab w:val="clear" w:pos="4153"/>
        <w:tab w:val="clear" w:pos="8306"/>
        <w:tab w:val="center" w:pos="5358"/>
        <w:tab w:val="right" w:pos="9923"/>
      </w:tabs>
      <w:spacing w:after="0" w:line="240" w:lineRule="auto"/>
      <w:ind w:left="-855" w:firstLine="0"/>
      <w:jc w:val="left"/>
      <w:rPr>
        <w:rFonts w:ascii="Times New Roman CYR" w:hAnsi="Times New Roman CYR"/>
        <w:b/>
        <w:color w:val="000000"/>
        <w:sz w:val="16"/>
        <w:lang w:val="bg-BG"/>
      </w:rPr>
    </w:pPr>
    <w:r>
      <w:rPr>
        <w:rFonts w:ascii="Times New Roman CYR" w:hAnsi="Times New Roman CYR"/>
        <w:b/>
        <w:noProof/>
        <w:color w:val="000000"/>
        <w:sz w:val="20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81914</wp:posOffset>
              </wp:positionV>
              <wp:extent cx="687705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12251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75pt,6.45pt" to="498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V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mT0/p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" o:allowincell="f"/>
          </w:pict>
        </mc:Fallback>
      </mc:AlternateContent>
    </w:r>
  </w:p>
  <w:p w:rsidR="00CB1FF9" w:rsidRDefault="007D31DE">
    <w:pPr>
      <w:pStyle w:val="Footer"/>
      <w:tabs>
        <w:tab w:val="clear" w:pos="4153"/>
        <w:tab w:val="clear" w:pos="8306"/>
        <w:tab w:val="center" w:pos="4617"/>
        <w:tab w:val="right" w:pos="9923"/>
      </w:tabs>
      <w:spacing w:after="0" w:line="240" w:lineRule="auto"/>
      <w:ind w:left="-855" w:firstLine="0"/>
      <w:jc w:val="left"/>
      <w:rPr>
        <w:rFonts w:ascii="Times New Roman CYR" w:hAnsi="Times New Roman CYR"/>
        <w:b/>
        <w:color w:val="000000"/>
        <w:sz w:val="16"/>
        <w:lang w:val="bg-BG"/>
      </w:rPr>
    </w:pPr>
    <w:r>
      <w:rPr>
        <w:rFonts w:ascii="Times New Roman CYR" w:hAnsi="Times New Roman CYR"/>
        <w:b/>
        <w:color w:val="000000"/>
        <w:sz w:val="16"/>
        <w:lang w:val="bg-BG"/>
      </w:rPr>
      <w:t>София - 1000</w:t>
    </w:r>
    <w:r>
      <w:rPr>
        <w:rFonts w:ascii="Times New Roman CYR" w:hAnsi="Times New Roman CYR"/>
        <w:b/>
        <w:color w:val="000000"/>
        <w:sz w:val="16"/>
        <w:lang w:val="bg-BG"/>
      </w:rPr>
      <w:tab/>
      <w:t xml:space="preserve"> тел.: (02) 9859 5200; 9859 5201</w:t>
    </w:r>
    <w:r>
      <w:rPr>
        <w:rFonts w:ascii="Times New Roman CYR" w:hAnsi="Times New Roman CYR"/>
        <w:b/>
        <w:color w:val="000000"/>
        <w:sz w:val="16"/>
        <w:lang w:val="bg-BG"/>
      </w:rPr>
      <w:tab/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aeuf</w:t>
    </w:r>
    <w:proofErr w:type="spellEnd"/>
    <w:r>
      <w:rPr>
        <w:rFonts w:ascii="Times New Roman CYR" w:hAnsi="Times New Roman CYR"/>
        <w:b/>
        <w:color w:val="000000"/>
        <w:sz w:val="16"/>
        <w:lang w:val="bg-BG"/>
      </w:rPr>
      <w:t>@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minfin</w:t>
    </w:r>
    <w:proofErr w:type="spellEnd"/>
    <w:r>
      <w:rPr>
        <w:rFonts w:ascii="Times New Roman CYR" w:hAnsi="Times New Roman CYR"/>
        <w:b/>
        <w:color w:val="000000"/>
        <w:sz w:val="16"/>
        <w:lang w:val="bg-BG"/>
      </w:rPr>
      <w:t>.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bg</w:t>
    </w:r>
    <w:proofErr w:type="spellEnd"/>
    <w:r>
      <w:rPr>
        <w:rFonts w:ascii="Times New Roman CYR" w:hAnsi="Times New Roman CYR"/>
        <w:b/>
        <w:color w:val="000000"/>
        <w:sz w:val="16"/>
        <w:lang w:val="bg-BG"/>
      </w:rPr>
      <w:t xml:space="preserve"> </w:t>
    </w:r>
  </w:p>
  <w:p w:rsidR="00CB1FF9" w:rsidRDefault="007D31DE">
    <w:pPr>
      <w:pStyle w:val="Footer"/>
      <w:tabs>
        <w:tab w:val="clear" w:pos="4153"/>
        <w:tab w:val="clear" w:pos="8306"/>
        <w:tab w:val="center" w:pos="4617"/>
        <w:tab w:val="right" w:pos="9923"/>
      </w:tabs>
      <w:spacing w:after="0" w:line="240" w:lineRule="auto"/>
      <w:ind w:left="-855" w:firstLine="0"/>
      <w:jc w:val="left"/>
      <w:rPr>
        <w:rFonts w:ascii="Times New Roman CYR" w:hAnsi="Times New Roman CYR"/>
        <w:b/>
        <w:color w:val="000000"/>
        <w:sz w:val="16"/>
        <w:lang w:val="bg-BG"/>
      </w:rPr>
    </w:pPr>
    <w:r>
      <w:rPr>
        <w:rFonts w:ascii="Times New Roman CYR" w:hAnsi="Times New Roman CYR"/>
        <w:b/>
        <w:color w:val="000000"/>
        <w:sz w:val="16"/>
        <w:lang w:val="bg-BG"/>
      </w:rPr>
      <w:t>ул. ”Славянска” № 4</w:t>
    </w:r>
    <w:r>
      <w:rPr>
        <w:rFonts w:ascii="Times New Roman CYR" w:hAnsi="Times New Roman CYR"/>
        <w:b/>
        <w:color w:val="000000"/>
        <w:sz w:val="16"/>
        <w:lang w:val="bg-BG"/>
      </w:rPr>
      <w:tab/>
      <w:t>факс: (02) 9859 5202</w:t>
    </w:r>
    <w:r>
      <w:rPr>
        <w:rFonts w:ascii="Times New Roman CYR" w:hAnsi="Times New Roman CYR"/>
        <w:b/>
        <w:color w:val="000000"/>
        <w:sz w:val="16"/>
        <w:lang w:val="bg-BG"/>
      </w:rPr>
      <w:tab/>
    </w:r>
    <w:r>
      <w:rPr>
        <w:rFonts w:ascii="Times New Roman" w:hAnsi="Times New Roman"/>
        <w:b/>
        <w:color w:val="000000"/>
        <w:sz w:val="16"/>
        <w:lang w:val="en-US"/>
      </w:rPr>
      <w:t>www</w:t>
    </w:r>
    <w:r>
      <w:rPr>
        <w:rFonts w:ascii="Times New Roman" w:hAnsi="Times New Roman"/>
        <w:b/>
        <w:color w:val="000000"/>
        <w:sz w:val="16"/>
        <w:lang w:val="bg-BG"/>
      </w:rPr>
      <w:t>.</w:t>
    </w:r>
    <w:proofErr w:type="spellStart"/>
    <w:r>
      <w:rPr>
        <w:rFonts w:ascii="Times New Roman" w:hAnsi="Times New Roman"/>
        <w:b/>
        <w:color w:val="000000"/>
        <w:sz w:val="16"/>
        <w:lang w:val="en-US"/>
      </w:rPr>
      <w:t>aeuf.</w:t>
    </w:r>
    <w:r>
      <w:rPr>
        <w:rFonts w:ascii="Times New Roman CYR" w:hAnsi="Times New Roman CYR"/>
        <w:b/>
        <w:color w:val="000000"/>
        <w:sz w:val="16"/>
        <w:lang w:val="en-US"/>
      </w:rPr>
      <w:t>minfin</w:t>
    </w:r>
    <w:proofErr w:type="spellEnd"/>
    <w:r>
      <w:rPr>
        <w:rFonts w:ascii="Times New Roman CYR" w:hAnsi="Times New Roman CYR"/>
        <w:b/>
        <w:color w:val="000000"/>
        <w:sz w:val="16"/>
        <w:lang w:val="bg-BG"/>
      </w:rPr>
      <w:t>.</w:t>
    </w:r>
    <w:proofErr w:type="spellStart"/>
    <w:r>
      <w:rPr>
        <w:rFonts w:ascii="Times New Roman CYR" w:hAnsi="Times New Roman CYR"/>
        <w:b/>
        <w:color w:val="000000"/>
        <w:sz w:val="16"/>
        <w:lang w:val="en-US"/>
      </w:rPr>
      <w:t>bg</w:t>
    </w:r>
    <w:proofErr w:type="spellEnd"/>
    <w:r>
      <w:rPr>
        <w:rFonts w:ascii="Times New Roman CYR" w:hAnsi="Times New Roman CYR"/>
        <w:b/>
        <w:color w:val="000000"/>
        <w:sz w:val="16"/>
        <w:lang w:val="bg-BG"/>
      </w:rPr>
      <w:t xml:space="preserve"> </w:t>
    </w:r>
  </w:p>
  <w:p w:rsidR="00CB1FF9" w:rsidRDefault="007D31DE">
    <w:pPr>
      <w:pStyle w:val="Footer"/>
      <w:tabs>
        <w:tab w:val="clear" w:pos="4153"/>
        <w:tab w:val="clear" w:pos="8306"/>
        <w:tab w:val="center" w:pos="4617"/>
        <w:tab w:val="right" w:pos="10773"/>
      </w:tabs>
      <w:spacing w:after="0" w:line="240" w:lineRule="auto"/>
      <w:ind w:firstLine="0"/>
      <w:jc w:val="left"/>
      <w:rPr>
        <w:lang w:val="bg-BG"/>
      </w:rPr>
    </w:pPr>
    <w:r>
      <w:rPr>
        <w:rFonts w:ascii="Times New Roman CYR" w:hAnsi="Times New Roman CYR"/>
        <w:b/>
        <w:color w:val="000000"/>
        <w:sz w:val="16"/>
        <w:lang w:val="bg-BG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DF" w:rsidRDefault="001611DF">
      <w:r>
        <w:separator/>
      </w:r>
    </w:p>
  </w:footnote>
  <w:footnote w:type="continuationSeparator" w:id="0">
    <w:p w:rsidR="001611DF" w:rsidRDefault="0016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F9" w:rsidRDefault="007D31DE">
    <w:pPr>
      <w:pStyle w:val="Header"/>
      <w:ind w:left="-456" w:firstLine="0"/>
      <w:rPr>
        <w:rFonts w:ascii="Times New Roman CYR" w:hAnsi="Times New Roman CYR"/>
        <w:color w:val="000000"/>
        <w:sz w:val="28"/>
        <w:lang w:val="bg-BG"/>
      </w:rPr>
    </w:pPr>
    <w:r>
      <w:rPr>
        <w:rFonts w:ascii="Times New Roman CYR" w:hAnsi="Times New Roman CYR"/>
        <w:noProof/>
        <w:color w:val="000000"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margin">
                <wp:posOffset>192405</wp:posOffset>
              </wp:positionH>
              <wp:positionV relativeFrom="paragraph">
                <wp:posOffset>102235</wp:posOffset>
              </wp:positionV>
              <wp:extent cx="5732145" cy="751205"/>
              <wp:effectExtent l="1905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2145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FF9" w:rsidRDefault="007D31DE">
                          <w:pPr>
                            <w:pStyle w:val="Heading1"/>
                            <w:spacing w:after="90"/>
                            <w:rPr>
                              <w:rStyle w:val="Emphasis"/>
                              <w:i w:val="0"/>
                              <w:iCs w:val="0"/>
                              <w:spacing w:val="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Emphasis"/>
                              <w:i w:val="0"/>
                              <w:iCs w:val="0"/>
                              <w:spacing w:val="10"/>
                              <w:sz w:val="22"/>
                              <w:szCs w:val="22"/>
                            </w:rPr>
                            <w:t>РЕПУБЛИКА БЪЛГАРИЯ</w:t>
                          </w:r>
                        </w:p>
                        <w:p w:rsidR="00CB1FF9" w:rsidRDefault="007D31DE">
                          <w:pPr>
                            <w:pStyle w:val="Heading1"/>
                            <w:spacing w:after="90"/>
                            <w:rPr>
                              <w:rStyle w:val="Emphasis"/>
                              <w:i w:val="0"/>
                              <w:iCs w:val="0"/>
                              <w:spacing w:val="10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Emphasis"/>
                              <w:i w:val="0"/>
                              <w:iCs w:val="0"/>
                              <w:spacing w:val="10"/>
                              <w:sz w:val="22"/>
                              <w:szCs w:val="22"/>
                            </w:rPr>
                            <w:t>МИНИСТЕРСТВО НА ФИНАНСИТЕ</w:t>
                          </w:r>
                        </w:p>
                        <w:p w:rsidR="00CB1FF9" w:rsidRDefault="007D31DE">
                          <w:pPr>
                            <w:pStyle w:val="Heading1"/>
                            <w:spacing w:after="90"/>
                            <w:rPr>
                              <w:rStyle w:val="Emphasis"/>
                              <w:i w:val="0"/>
                              <w:iCs w:val="0"/>
                              <w:spacing w:val="10"/>
                              <w:sz w:val="24"/>
                            </w:rPr>
                          </w:pPr>
                          <w:r>
                            <w:rPr>
                              <w:rStyle w:val="Emphasis"/>
                              <w:i w:val="0"/>
                              <w:iCs w:val="0"/>
                              <w:spacing w:val="10"/>
                              <w:sz w:val="22"/>
                              <w:szCs w:val="22"/>
                            </w:rPr>
                            <w:t xml:space="preserve">ИА „ОДИТ НА СРЕДСТВАТА ОТ ЕВРОПЕЙСКИЯ </w:t>
                          </w:r>
                          <w:r>
                            <w:rPr>
                              <w:rStyle w:val="Emphasis"/>
                              <w:i w:val="0"/>
                              <w:iCs w:val="0"/>
                              <w:spacing w:val="10"/>
                              <w:sz w:val="22"/>
                              <w:szCs w:val="22"/>
                              <w:lang w:val="bg-BG"/>
                            </w:rPr>
                            <w:t>СЪЮЗ“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.15pt;margin-top:8.05pt;width:451.35pt;height:59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YwtA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" o:allowincell="f" filled="f" stroked="f">
              <v:textbox>
                <w:txbxContent>
                  <w:p w:rsidR="00CB1FF9" w:rsidRDefault="007D31DE">
                    <w:pPr>
                      <w:pStyle w:val="Heading1"/>
                      <w:spacing w:after="90"/>
                      <w:rPr>
                        <w:rStyle w:val="Emphasis"/>
                        <w:i w:val="0"/>
                        <w:iCs w:val="0"/>
                        <w:spacing w:val="10"/>
                        <w:sz w:val="22"/>
                        <w:szCs w:val="22"/>
                      </w:rPr>
                    </w:pPr>
                    <w:r>
                      <w:rPr>
                        <w:rStyle w:val="Emphasis"/>
                        <w:i w:val="0"/>
                        <w:iCs w:val="0"/>
                        <w:spacing w:val="10"/>
                        <w:sz w:val="22"/>
                        <w:szCs w:val="22"/>
                      </w:rPr>
                      <w:t>РЕПУБЛИКА БЪЛГАРИЯ</w:t>
                    </w:r>
                  </w:p>
                  <w:p w:rsidR="00CB1FF9" w:rsidRDefault="007D31DE">
                    <w:pPr>
                      <w:pStyle w:val="Heading1"/>
                      <w:spacing w:after="90"/>
                      <w:rPr>
                        <w:rStyle w:val="Emphasis"/>
                        <w:i w:val="0"/>
                        <w:iCs w:val="0"/>
                        <w:spacing w:val="10"/>
                        <w:sz w:val="22"/>
                        <w:szCs w:val="22"/>
                      </w:rPr>
                    </w:pPr>
                    <w:r>
                      <w:rPr>
                        <w:rStyle w:val="Emphasis"/>
                        <w:i w:val="0"/>
                        <w:iCs w:val="0"/>
                        <w:spacing w:val="10"/>
                        <w:sz w:val="22"/>
                        <w:szCs w:val="22"/>
                      </w:rPr>
                      <w:t>МИНИСТЕРСТВО НА ФИНАНСИТЕ</w:t>
                    </w:r>
                  </w:p>
                  <w:p w:rsidR="00CB1FF9" w:rsidRDefault="007D31DE">
                    <w:pPr>
                      <w:pStyle w:val="Heading1"/>
                      <w:spacing w:after="90"/>
                      <w:rPr>
                        <w:rStyle w:val="Emphasis"/>
                        <w:i w:val="0"/>
                        <w:iCs w:val="0"/>
                        <w:spacing w:val="10"/>
                        <w:sz w:val="24"/>
                      </w:rPr>
                    </w:pPr>
                    <w:r>
                      <w:rPr>
                        <w:rStyle w:val="Emphasis"/>
                        <w:i w:val="0"/>
                        <w:iCs w:val="0"/>
                        <w:spacing w:val="10"/>
                        <w:sz w:val="22"/>
                        <w:szCs w:val="22"/>
                      </w:rPr>
                      <w:t xml:space="preserve">ИА „ОДИТ НА СРЕДСТВАТА ОТ ЕВРОПЕЙСКИЯ </w:t>
                    </w:r>
                    <w:r>
                      <w:rPr>
                        <w:rStyle w:val="Emphasis"/>
                        <w:i w:val="0"/>
                        <w:iCs w:val="0"/>
                        <w:spacing w:val="10"/>
                        <w:sz w:val="22"/>
                        <w:szCs w:val="22"/>
                        <w:lang w:val="bg-BG"/>
                      </w:rPr>
                      <w:t>СЪЮЗ“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 CYR" w:hAnsi="Times New Roman CYR"/>
        <w:noProof/>
        <w:color w:val="000000"/>
        <w:sz w:val="20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964564</wp:posOffset>
              </wp:positionV>
              <wp:extent cx="6446520" cy="0"/>
              <wp:effectExtent l="0" t="0" r="1143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6520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ED4D3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65pt,75.95pt" to="481.9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D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" o:allowincell="f" strokeweight=".15pt"/>
          </w:pict>
        </mc:Fallback>
      </mc:AlternateContent>
    </w:r>
    <w:r>
      <w:rPr>
        <w:rFonts w:ascii="Times New Roman CYR" w:hAnsi="Times New Roman CYR"/>
        <w:noProof/>
        <w:color w:val="000000"/>
        <w:sz w:val="28"/>
        <w:lang w:val="bg-BG" w:eastAsia="bg-BG"/>
      </w:rPr>
      <w:drawing>
        <wp:inline distT="0" distB="0" distL="0" distR="0">
          <wp:extent cx="657225" cy="819150"/>
          <wp:effectExtent l="1905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37C"/>
    <w:multiLevelType w:val="multilevel"/>
    <w:tmpl w:val="58CCE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62441"/>
    <w:multiLevelType w:val="hybridMultilevel"/>
    <w:tmpl w:val="AEFA18D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6472"/>
    <w:multiLevelType w:val="hybridMultilevel"/>
    <w:tmpl w:val="4A6A1BCA"/>
    <w:lvl w:ilvl="0" w:tplc="4AD2D0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5E163B5"/>
    <w:multiLevelType w:val="hybridMultilevel"/>
    <w:tmpl w:val="67CA1606"/>
    <w:lvl w:ilvl="0" w:tplc="D4D6A5A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3557C15"/>
    <w:multiLevelType w:val="hybridMultilevel"/>
    <w:tmpl w:val="DD64C976"/>
    <w:lvl w:ilvl="0" w:tplc="A274B0B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3AD2BFD"/>
    <w:multiLevelType w:val="hybridMultilevel"/>
    <w:tmpl w:val="98CC779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6451A"/>
    <w:multiLevelType w:val="hybridMultilevel"/>
    <w:tmpl w:val="0C44ED4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306E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92F2F"/>
    <w:multiLevelType w:val="hybridMultilevel"/>
    <w:tmpl w:val="2DB25D0E"/>
    <w:lvl w:ilvl="0" w:tplc="5072BBE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93CFC"/>
    <w:multiLevelType w:val="hybridMultilevel"/>
    <w:tmpl w:val="AF1AF4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55749"/>
    <w:multiLevelType w:val="hybridMultilevel"/>
    <w:tmpl w:val="836C6DDC"/>
    <w:lvl w:ilvl="0" w:tplc="8BE40E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A5ED6"/>
    <w:multiLevelType w:val="hybridMultilevel"/>
    <w:tmpl w:val="414091CA"/>
    <w:lvl w:ilvl="0" w:tplc="09E84556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F9"/>
    <w:rsid w:val="00023ED8"/>
    <w:rsid w:val="00042D02"/>
    <w:rsid w:val="00047BE1"/>
    <w:rsid w:val="00055871"/>
    <w:rsid w:val="00086A4D"/>
    <w:rsid w:val="000A50A0"/>
    <w:rsid w:val="000D7A21"/>
    <w:rsid w:val="00147001"/>
    <w:rsid w:val="00150553"/>
    <w:rsid w:val="001611DF"/>
    <w:rsid w:val="00193D27"/>
    <w:rsid w:val="001A6425"/>
    <w:rsid w:val="001D2FF4"/>
    <w:rsid w:val="001E08BE"/>
    <w:rsid w:val="002169E4"/>
    <w:rsid w:val="00223A1D"/>
    <w:rsid w:val="00235F62"/>
    <w:rsid w:val="00252D66"/>
    <w:rsid w:val="0026208D"/>
    <w:rsid w:val="002854C2"/>
    <w:rsid w:val="00290050"/>
    <w:rsid w:val="002928B2"/>
    <w:rsid w:val="002A4DB3"/>
    <w:rsid w:val="002B3C5F"/>
    <w:rsid w:val="002C1F39"/>
    <w:rsid w:val="002C7B46"/>
    <w:rsid w:val="002D6E90"/>
    <w:rsid w:val="0032563D"/>
    <w:rsid w:val="00344735"/>
    <w:rsid w:val="00384199"/>
    <w:rsid w:val="003B65A0"/>
    <w:rsid w:val="003E6D5A"/>
    <w:rsid w:val="00415B48"/>
    <w:rsid w:val="00417CD9"/>
    <w:rsid w:val="004235FA"/>
    <w:rsid w:val="004342BF"/>
    <w:rsid w:val="00472F72"/>
    <w:rsid w:val="00475A07"/>
    <w:rsid w:val="00483538"/>
    <w:rsid w:val="0049514C"/>
    <w:rsid w:val="004A7FAE"/>
    <w:rsid w:val="0050073A"/>
    <w:rsid w:val="00503D9C"/>
    <w:rsid w:val="00507DFF"/>
    <w:rsid w:val="00526F65"/>
    <w:rsid w:val="005432F3"/>
    <w:rsid w:val="005538F0"/>
    <w:rsid w:val="005B3BD8"/>
    <w:rsid w:val="005C1660"/>
    <w:rsid w:val="005C24FF"/>
    <w:rsid w:val="005E7C17"/>
    <w:rsid w:val="005F5454"/>
    <w:rsid w:val="006156B2"/>
    <w:rsid w:val="00636ACE"/>
    <w:rsid w:val="006646E7"/>
    <w:rsid w:val="006758A1"/>
    <w:rsid w:val="00681E20"/>
    <w:rsid w:val="006A32C3"/>
    <w:rsid w:val="006D1BB6"/>
    <w:rsid w:val="006D6364"/>
    <w:rsid w:val="006E253C"/>
    <w:rsid w:val="006F24A6"/>
    <w:rsid w:val="0075113B"/>
    <w:rsid w:val="0076032C"/>
    <w:rsid w:val="007649C7"/>
    <w:rsid w:val="007C4848"/>
    <w:rsid w:val="007D2AA3"/>
    <w:rsid w:val="007D31DE"/>
    <w:rsid w:val="007F3271"/>
    <w:rsid w:val="008164DB"/>
    <w:rsid w:val="0083732B"/>
    <w:rsid w:val="00865BF0"/>
    <w:rsid w:val="00875B58"/>
    <w:rsid w:val="008B2595"/>
    <w:rsid w:val="008B704D"/>
    <w:rsid w:val="008E44A2"/>
    <w:rsid w:val="00910452"/>
    <w:rsid w:val="00923156"/>
    <w:rsid w:val="00933222"/>
    <w:rsid w:val="00957E79"/>
    <w:rsid w:val="00964B56"/>
    <w:rsid w:val="0097025A"/>
    <w:rsid w:val="00985F27"/>
    <w:rsid w:val="00996934"/>
    <w:rsid w:val="00996A34"/>
    <w:rsid w:val="00996D41"/>
    <w:rsid w:val="009A64B0"/>
    <w:rsid w:val="009C658C"/>
    <w:rsid w:val="009D12CA"/>
    <w:rsid w:val="009D1C41"/>
    <w:rsid w:val="009D30E6"/>
    <w:rsid w:val="009D5813"/>
    <w:rsid w:val="009E236B"/>
    <w:rsid w:val="00A40D9D"/>
    <w:rsid w:val="00A70E65"/>
    <w:rsid w:val="00AB258F"/>
    <w:rsid w:val="00AC437B"/>
    <w:rsid w:val="00AD2A9E"/>
    <w:rsid w:val="00AD2F4A"/>
    <w:rsid w:val="00B004CF"/>
    <w:rsid w:val="00B45FF5"/>
    <w:rsid w:val="00C10791"/>
    <w:rsid w:val="00C14E4C"/>
    <w:rsid w:val="00C40694"/>
    <w:rsid w:val="00C45A4F"/>
    <w:rsid w:val="00C475DA"/>
    <w:rsid w:val="00C57160"/>
    <w:rsid w:val="00C6631F"/>
    <w:rsid w:val="00C8209A"/>
    <w:rsid w:val="00CB1FF9"/>
    <w:rsid w:val="00CB5346"/>
    <w:rsid w:val="00CB5F39"/>
    <w:rsid w:val="00CD78B4"/>
    <w:rsid w:val="00CE2663"/>
    <w:rsid w:val="00CF3895"/>
    <w:rsid w:val="00D0352C"/>
    <w:rsid w:val="00D42ADD"/>
    <w:rsid w:val="00D452A4"/>
    <w:rsid w:val="00D60138"/>
    <w:rsid w:val="00D6290B"/>
    <w:rsid w:val="00D8338B"/>
    <w:rsid w:val="00DA3A77"/>
    <w:rsid w:val="00E1449D"/>
    <w:rsid w:val="00E46E1B"/>
    <w:rsid w:val="00ED1AEC"/>
    <w:rsid w:val="00EF1720"/>
    <w:rsid w:val="00F07A93"/>
    <w:rsid w:val="00F541C7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BBC472C-D10E-4351-85F1-20E5DBC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60" w:lineRule="auto"/>
      <w:ind w:firstLine="720"/>
      <w:jc w:val="both"/>
    </w:pPr>
    <w:rPr>
      <w:rFonts w:ascii="Arial" w:hAnsi="Arial"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spacing w:after="0" w:line="240" w:lineRule="auto"/>
      <w:ind w:firstLine="0"/>
      <w:jc w:val="center"/>
      <w:outlineLvl w:val="0"/>
    </w:pPr>
    <w:rPr>
      <w:rFonts w:ascii="Times New Roman CYR" w:hAnsi="Times New Roman CYR"/>
      <w:b/>
      <w:bCs/>
      <w:sz w:val="20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ind w:firstLine="5040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line="240" w:lineRule="auto"/>
      <w:ind w:left="1026" w:firstLine="0"/>
      <w:jc w:val="center"/>
      <w:outlineLvl w:val="2"/>
    </w:pPr>
    <w:rPr>
      <w:rFonts w:ascii="Times New Roman" w:hAnsi="Times New Roman"/>
      <w:b/>
      <w:color w:val="000000"/>
      <w:spacing w:val="20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  <w:lang w:val="en-AU" w:eastAsia="en-US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HeaderChar">
    <w:name w:val="Header Char"/>
    <w:basedOn w:val="DefaultParagraphFont"/>
    <w:link w:val="Header"/>
    <w:locked/>
    <w:rPr>
      <w:rFonts w:ascii="Arial" w:hAnsi="Arial"/>
      <w:sz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ind w:firstLine="0"/>
      <w:jc w:val="left"/>
    </w:pPr>
    <w:rPr>
      <w:sz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Pr>
      <w:b/>
      <w:bCs/>
      <w:spacing w:val="10"/>
      <w:sz w:val="22"/>
      <w:szCs w:val="22"/>
      <w:shd w:val="clear" w:color="auto" w:fill="FFFFFF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346" w:lineRule="exact"/>
      <w:ind w:firstLine="0"/>
      <w:jc w:val="center"/>
    </w:pPr>
    <w:rPr>
      <w:rFonts w:ascii="Times New Roman" w:hAnsi="Times New Roman"/>
      <w:b/>
      <w:bCs/>
      <w:spacing w:val="10"/>
      <w:sz w:val="22"/>
      <w:szCs w:val="22"/>
      <w:lang w:val="bg-BG" w:eastAsia="bg-BG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after="0" w:line="0" w:lineRule="atLeast"/>
      <w:ind w:firstLine="0"/>
      <w:jc w:val="left"/>
    </w:pPr>
    <w:rPr>
      <w:rFonts w:ascii="Times New Roman" w:hAnsi="Times New Roman"/>
      <w:sz w:val="22"/>
      <w:szCs w:val="22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49514C"/>
    <w:rPr>
      <w:rFonts w:ascii="Times New Roman CYR" w:hAnsi="Times New Roman CYR"/>
      <w:b/>
      <w:bCs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C6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euf.minfin.bg/bg/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SMA\&#1041;&#1051;&#1040;&#1053;&#1050;&#1048;\&#1041;&#1083;&#1072;&#1085;&#1082;&#1072;%20&#1085;&#1072;%20&#1075;&#1083;&#1072;&#1074;&#1085;&#1080;&#1103;%20&#1089;&#1077;&#1082;&#1088;&#1077;&#1090;&#1072;&#1088;%20&#1052;&#1060;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Проверени през 202</a:t>
            </a: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3</a:t>
            </a:r>
            <a:r>
              <a:rPr lang="bg-BG" sz="1200">
                <a:latin typeface="Times New Roman" panose="02020603050405020304" pitchFamily="18" charset="0"/>
                <a:cs typeface="Times New Roman" panose="02020603050405020304" pitchFamily="18" charset="0"/>
              </a:rPr>
              <a:t> г. проекти и установените по тях нередности </a:t>
            </a:r>
            <a:endParaRPr lang="en-GB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брой проекти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Sheet1!$A$2:$A$14</c:f>
              <c:strCache>
                <c:ptCount val="13"/>
                <c:pt idx="0">
                  <c:v>ОП „Транспорт и транспортна инфраструктура“ 2014-2020</c:v>
                </c:pt>
                <c:pt idx="1">
                  <c:v>ОП „Околна среда“ 2014-2020</c:v>
                </c:pt>
                <c:pt idx="2">
                  <c:v>ОП „Добро управление“ 2014-2020</c:v>
                </c:pt>
                <c:pt idx="3">
                  <c:v>ОП „Региони в растеж” 2014-2020</c:v>
                </c:pt>
                <c:pt idx="4">
                  <c:v>ОП „Развитие на човешките ресурси“ 2014-2020</c:v>
                </c:pt>
                <c:pt idx="5">
                  <c:v>ОП „Иновации и конкурентоспособност“ 2014-2020</c:v>
                </c:pt>
                <c:pt idx="6">
                  <c:v>ОП „Наука и образование за интелигентен растеж 2014-2020“</c:v>
                </c:pt>
                <c:pt idx="7">
                  <c:v>Балкани - Средиземно море 2014-2020</c:v>
                </c:pt>
                <c:pt idx="8">
                  <c:v>Интеррег Гърция - България 2014-2020</c:v>
                </c:pt>
                <c:pt idx="9">
                  <c:v>Интеррег Румъния- България 2014-2020</c:v>
                </c:pt>
                <c:pt idx="10">
                  <c:v>Финансов механизъм на ЕИП и НФМ 2014-2021</c:v>
                </c:pt>
                <c:pt idx="11">
                  <c:v>ТГС „България - Северна Македония“, „България - Сърбия“ и „България - Турция“ 2014-2020</c:v>
                </c:pt>
                <c:pt idx="12">
                  <c:v>Оперативна програма за храни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7</c:v>
                </c:pt>
                <c:pt idx="1">
                  <c:v>18</c:v>
                </c:pt>
                <c:pt idx="2">
                  <c:v>21</c:v>
                </c:pt>
                <c:pt idx="3">
                  <c:v>28</c:v>
                </c:pt>
                <c:pt idx="4">
                  <c:v>26</c:v>
                </c:pt>
                <c:pt idx="5">
                  <c:v>32</c:v>
                </c:pt>
                <c:pt idx="6">
                  <c:v>21</c:v>
                </c:pt>
                <c:pt idx="7">
                  <c:v>1</c:v>
                </c:pt>
                <c:pt idx="8">
                  <c:v>3</c:v>
                </c:pt>
                <c:pt idx="9">
                  <c:v>15</c:v>
                </c:pt>
                <c:pt idx="10">
                  <c:v>44</c:v>
                </c:pt>
                <c:pt idx="11">
                  <c:v>25</c:v>
                </c:pt>
                <c:pt idx="1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59-420B-9AEF-87388E19383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брой нередности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Sheet1!$A$2:$A$14</c:f>
              <c:strCache>
                <c:ptCount val="13"/>
                <c:pt idx="0">
                  <c:v>ОП „Транспорт и транспортна инфраструктура“ 2014-2020</c:v>
                </c:pt>
                <c:pt idx="1">
                  <c:v>ОП „Околна среда“ 2014-2020</c:v>
                </c:pt>
                <c:pt idx="2">
                  <c:v>ОП „Добро управление“ 2014-2020</c:v>
                </c:pt>
                <c:pt idx="3">
                  <c:v>ОП „Региони в растеж” 2014-2020</c:v>
                </c:pt>
                <c:pt idx="4">
                  <c:v>ОП „Развитие на човешките ресурси“ 2014-2020</c:v>
                </c:pt>
                <c:pt idx="5">
                  <c:v>ОП „Иновации и конкурентоспособност“ 2014-2020</c:v>
                </c:pt>
                <c:pt idx="6">
                  <c:v>ОП „Наука и образование за интелигентен растеж 2014-2020“</c:v>
                </c:pt>
                <c:pt idx="7">
                  <c:v>Балкани - Средиземно море 2014-2020</c:v>
                </c:pt>
                <c:pt idx="8">
                  <c:v>Интеррег Гърция - България 2014-2020</c:v>
                </c:pt>
                <c:pt idx="9">
                  <c:v>Интеррег Румъния- България 2014-2020</c:v>
                </c:pt>
                <c:pt idx="10">
                  <c:v>Финансов механизъм на ЕИП и НФМ 2014-2021</c:v>
                </c:pt>
                <c:pt idx="11">
                  <c:v>ТГС „България - Северна Македония“, „България - Сърбия“ и „България - Турция“ 2014-2020</c:v>
                </c:pt>
                <c:pt idx="12">
                  <c:v>Оперативна програма за храни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11</c:v>
                </c:pt>
                <c:pt idx="1">
                  <c:v>44</c:v>
                </c:pt>
                <c:pt idx="2">
                  <c:v>10</c:v>
                </c:pt>
                <c:pt idx="3">
                  <c:v>154</c:v>
                </c:pt>
                <c:pt idx="4">
                  <c:v>15</c:v>
                </c:pt>
                <c:pt idx="5">
                  <c:v>27</c:v>
                </c:pt>
                <c:pt idx="6">
                  <c:v>28</c:v>
                </c:pt>
                <c:pt idx="7">
                  <c:v>0</c:v>
                </c:pt>
                <c:pt idx="8">
                  <c:v>4</c:v>
                </c:pt>
                <c:pt idx="9">
                  <c:v>33</c:v>
                </c:pt>
                <c:pt idx="10">
                  <c:v>28</c:v>
                </c:pt>
                <c:pt idx="11">
                  <c:v>9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59-420B-9AEF-87388E1938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6555408"/>
        <c:axId val="2046554160"/>
        <c:axId val="0"/>
      </c:bar3DChart>
      <c:catAx>
        <c:axId val="204655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046554160"/>
        <c:crosses val="autoZero"/>
        <c:auto val="1"/>
        <c:lblAlgn val="ctr"/>
        <c:lblOffset val="100"/>
        <c:noMultiLvlLbl val="0"/>
      </c:catAx>
      <c:valAx>
        <c:axId val="204655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04655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Извършени проверки </c:v>
                </c:pt>
              </c:strCache>
            </c:strRef>
          </c:tx>
          <c:dPt>
            <c:idx val="0"/>
            <c:bubble3D val="0"/>
            <c:explosion val="88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F78-4FBE-8830-1B99F2CEC8C2}"/>
              </c:ext>
            </c:extLst>
          </c:dPt>
          <c:dPt>
            <c:idx val="1"/>
            <c:bubble3D val="0"/>
            <c:explosion val="56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F78-4FBE-8830-1B99F2CEC8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F78-4FBE-8830-1B99F2CEC8C2}"/>
              </c:ext>
            </c:extLst>
          </c:dPt>
          <c:dPt>
            <c:idx val="3"/>
            <c:bubble3D val="0"/>
            <c:explosion val="15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F78-4FBE-8830-1B99F2CEC8C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F78-4FBE-8830-1B99F2CEC8C2}"/>
                </c:ext>
              </c:extLst>
            </c:dLbl>
            <c:dLbl>
              <c:idx val="1"/>
              <c:layout>
                <c:manualLayout>
                  <c:x val="-8.3436048165355076E-2"/>
                  <c:y val="2.89855072463768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F78-4FBE-8830-1B99F2CEC8C2}"/>
                </c:ext>
              </c:extLst>
            </c:dLbl>
            <c:dLbl>
              <c:idx val="2"/>
              <c:layout>
                <c:manualLayout>
                  <c:x val="-0.12325779842609275"/>
                  <c:y val="-0.1159420289855072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F78-4FBE-8830-1B99F2CEC8C2}"/>
                </c:ext>
              </c:extLst>
            </c:dLbl>
            <c:dLbl>
              <c:idx val="3"/>
              <c:layout>
                <c:manualLayout>
                  <c:x val="-6.0680762302076419E-2"/>
                  <c:y val="-0.1207729468599033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F78-4FBE-8830-1B99F2CEC8C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проверки по ЗОП</c:v>
                </c:pt>
                <c:pt idx="1">
                  <c:v>проверки по ПМС № 160/2016</c:v>
                </c:pt>
                <c:pt idx="2">
                  <c:v>проверки по ПМС № 118/2014</c:v>
                </c:pt>
                <c:pt idx="3">
                  <c:v>проверки по PRAG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328</c:v>
                </c:pt>
                <c:pt idx="1">
                  <c:v>16</c:v>
                </c:pt>
                <c:pt idx="2">
                  <c:v>3</c:v>
                </c:pt>
                <c:pt idx="3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78-4FBE-8830-1B99F2CEC8C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39661708953049E-2"/>
          <c:y val="4.3650793650793648E-2"/>
          <c:w val="0.72702172645086027"/>
          <c:h val="0.5013279590051242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брой нередности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Sheet1!$A$2:$A$14</c:f>
              <c:strCache>
                <c:ptCount val="13"/>
                <c:pt idx="0">
                  <c:v>ОПТТИ</c:v>
                </c:pt>
                <c:pt idx="1">
                  <c:v>ОПОС</c:v>
                </c:pt>
                <c:pt idx="2">
                  <c:v>ОПДУ</c:v>
                </c:pt>
                <c:pt idx="3">
                  <c:v>ОПРР</c:v>
                </c:pt>
                <c:pt idx="4">
                  <c:v>ОПРЧР</c:v>
                </c:pt>
                <c:pt idx="5">
                  <c:v>ОПИК</c:v>
                </c:pt>
                <c:pt idx="6">
                  <c:v>ОПНОИР</c:v>
                </c:pt>
                <c:pt idx="7">
                  <c:v>Балкани - Средиземно море 2014-2020</c:v>
                </c:pt>
                <c:pt idx="8">
                  <c:v>Гърция - България </c:v>
                </c:pt>
                <c:pt idx="9">
                  <c:v>Румъния- България</c:v>
                </c:pt>
                <c:pt idx="10">
                  <c:v>ЕИП </c:v>
                </c:pt>
                <c:pt idx="11">
                  <c:v>ТГС</c:v>
                </c:pt>
                <c:pt idx="12">
                  <c:v>ОПХ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11</c:v>
                </c:pt>
                <c:pt idx="1">
                  <c:v>44</c:v>
                </c:pt>
                <c:pt idx="2">
                  <c:v>10</c:v>
                </c:pt>
                <c:pt idx="3">
                  <c:v>154</c:v>
                </c:pt>
                <c:pt idx="4">
                  <c:v>15</c:v>
                </c:pt>
                <c:pt idx="5">
                  <c:v>27</c:v>
                </c:pt>
                <c:pt idx="6">
                  <c:v>28</c:v>
                </c:pt>
                <c:pt idx="7">
                  <c:v>0</c:v>
                </c:pt>
                <c:pt idx="8">
                  <c:v>4</c:v>
                </c:pt>
                <c:pt idx="9">
                  <c:v>33</c:v>
                </c:pt>
                <c:pt idx="10">
                  <c:v>28</c:v>
                </c:pt>
                <c:pt idx="11">
                  <c:v>9</c:v>
                </c:pt>
                <c:pt idx="12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983-474C-AB51-1C1EE803E07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свързани с избор на изпълнител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Sheet1!$A$2:$A$14</c:f>
              <c:strCache>
                <c:ptCount val="13"/>
                <c:pt idx="0">
                  <c:v>ОПТТИ</c:v>
                </c:pt>
                <c:pt idx="1">
                  <c:v>ОПОС</c:v>
                </c:pt>
                <c:pt idx="2">
                  <c:v>ОПДУ</c:v>
                </c:pt>
                <c:pt idx="3">
                  <c:v>ОПРР</c:v>
                </c:pt>
                <c:pt idx="4">
                  <c:v>ОПРЧР</c:v>
                </c:pt>
                <c:pt idx="5">
                  <c:v>ОПИК</c:v>
                </c:pt>
                <c:pt idx="6">
                  <c:v>ОПНОИР</c:v>
                </c:pt>
                <c:pt idx="7">
                  <c:v>Балкани - Средиземно море 2014-2020</c:v>
                </c:pt>
                <c:pt idx="8">
                  <c:v>Гърция - България </c:v>
                </c:pt>
                <c:pt idx="9">
                  <c:v>Румъния- България</c:v>
                </c:pt>
                <c:pt idx="10">
                  <c:v>ЕИП </c:v>
                </c:pt>
                <c:pt idx="11">
                  <c:v>ТГС</c:v>
                </c:pt>
                <c:pt idx="12">
                  <c:v>ОПХ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7</c:v>
                </c:pt>
                <c:pt idx="1">
                  <c:v>42</c:v>
                </c:pt>
                <c:pt idx="2">
                  <c:v>8</c:v>
                </c:pt>
                <c:pt idx="3">
                  <c:v>123</c:v>
                </c:pt>
                <c:pt idx="4">
                  <c:v>10</c:v>
                </c:pt>
                <c:pt idx="5">
                  <c:v>11</c:v>
                </c:pt>
                <c:pt idx="6">
                  <c:v>19</c:v>
                </c:pt>
                <c:pt idx="7">
                  <c:v>0</c:v>
                </c:pt>
                <c:pt idx="8">
                  <c:v>3</c:v>
                </c:pt>
                <c:pt idx="9">
                  <c:v>27</c:v>
                </c:pt>
                <c:pt idx="10">
                  <c:v>26</c:v>
                </c:pt>
                <c:pt idx="11">
                  <c:v>9</c:v>
                </c:pt>
                <c:pt idx="12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E983-474C-AB51-1C1EE803E07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извън избора на изпълнител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Sheet1!$A$2:$A$14</c:f>
              <c:strCache>
                <c:ptCount val="13"/>
                <c:pt idx="0">
                  <c:v>ОПТТИ</c:v>
                </c:pt>
                <c:pt idx="1">
                  <c:v>ОПОС</c:v>
                </c:pt>
                <c:pt idx="2">
                  <c:v>ОПДУ</c:v>
                </c:pt>
                <c:pt idx="3">
                  <c:v>ОПРР</c:v>
                </c:pt>
                <c:pt idx="4">
                  <c:v>ОПРЧР</c:v>
                </c:pt>
                <c:pt idx="5">
                  <c:v>ОПИК</c:v>
                </c:pt>
                <c:pt idx="6">
                  <c:v>ОПНОИР</c:v>
                </c:pt>
                <c:pt idx="7">
                  <c:v>Балкани - Средиземно море 2014-2020</c:v>
                </c:pt>
                <c:pt idx="8">
                  <c:v>Гърция - България </c:v>
                </c:pt>
                <c:pt idx="9">
                  <c:v>Румъния- България</c:v>
                </c:pt>
                <c:pt idx="10">
                  <c:v>ЕИП </c:v>
                </c:pt>
                <c:pt idx="11">
                  <c:v>ТГС</c:v>
                </c:pt>
                <c:pt idx="12">
                  <c:v>ОПХ</c:v>
                </c:pt>
              </c:strCache>
            </c: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31</c:v>
                </c:pt>
                <c:pt idx="4">
                  <c:v>5</c:v>
                </c:pt>
                <c:pt idx="5">
                  <c:v>16</c:v>
                </c:pt>
                <c:pt idx="6">
                  <c:v>9</c:v>
                </c:pt>
                <c:pt idx="7">
                  <c:v>0</c:v>
                </c:pt>
                <c:pt idx="8">
                  <c:v>1</c:v>
                </c:pt>
                <c:pt idx="9">
                  <c:v>6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E983-474C-AB51-1C1EE803E0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6554992"/>
        <c:axId val="2046553744"/>
        <c:axId val="2133670432"/>
      </c:bar3DChart>
      <c:catAx>
        <c:axId val="204655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046553744"/>
        <c:crosses val="autoZero"/>
        <c:auto val="1"/>
        <c:lblAlgn val="ctr"/>
        <c:lblOffset val="100"/>
        <c:noMultiLvlLbl val="0"/>
      </c:catAx>
      <c:valAx>
        <c:axId val="204655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046554992"/>
        <c:crosses val="autoZero"/>
        <c:crossBetween val="between"/>
      </c:valAx>
      <c:serAx>
        <c:axId val="2133670432"/>
        <c:scaling>
          <c:orientation val="minMax"/>
        </c:scaling>
        <c:delete val="1"/>
        <c:axPos val="b"/>
        <c:majorTickMark val="none"/>
        <c:minorTickMark val="none"/>
        <c:tickLblPos val="nextTo"/>
        <c:crossAx val="2046553744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C91C-6DEE-4196-8E97-A55B9C5A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на главния секретар МФ</Template>
  <TotalTime>0</TotalTime>
  <Pages>3</Pages>
  <Words>641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дилиана иванова</dc:creator>
  <cp:lastModifiedBy>Mariyana Treneva</cp:lastModifiedBy>
  <cp:revision>2</cp:revision>
  <cp:lastPrinted>2020-03-10T07:48:00Z</cp:lastPrinted>
  <dcterms:created xsi:type="dcterms:W3CDTF">2024-07-30T07:38:00Z</dcterms:created>
  <dcterms:modified xsi:type="dcterms:W3CDTF">2024-07-30T07:38:00Z</dcterms:modified>
</cp:coreProperties>
</file>