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60EC1" w:rsidRDefault="003258F1" w:rsidP="001B410C">
      <w:pPr>
        <w:spacing w:before="240" w:after="240" w:line="240" w:lineRule="auto"/>
        <w:jc w:val="center"/>
        <w:outlineLvl w:val="0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</w:pPr>
      <w:bookmarkStart w:id="0" w:name="_Toc479775682"/>
      <w:bookmarkStart w:id="1" w:name="_Toc140150233"/>
      <w:r w:rsidRPr="003258F1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  <w:t>ГЛАВА 4</w:t>
      </w:r>
      <w:r w:rsidRPr="003258F1"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  <w:br/>
        <w:t>ОБЩЕСТВЕНИ ПОРЪЧКИ</w:t>
      </w:r>
      <w:bookmarkEnd w:id="0"/>
      <w:bookmarkEnd w:id="1"/>
    </w:p>
    <w:p w:rsidR="00401613" w:rsidRPr="00CC6EDD" w:rsidRDefault="008942B2" w:rsidP="00330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99CCFF"/>
        <w:spacing w:before="120" w:after="120" w:line="240" w:lineRule="auto"/>
        <w:ind w:right="141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  <w:t>1.</w:t>
      </w:r>
      <w:r w:rsidR="00F438D4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 </w:t>
      </w:r>
      <w:r w:rsidR="002A1F3B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Функции на </w:t>
      </w:r>
      <w:r w:rsidR="00460EC1" w:rsidRPr="00CC6EDD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отдел „Контрол по обществени поръчки“</w:t>
      </w:r>
    </w:p>
    <w:p w:rsidR="00401613" w:rsidRPr="00401613" w:rsidRDefault="00401613" w:rsidP="0033052F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Осъществява контрол на процедурите от проведените обществени поръчк</w:t>
      </w:r>
      <w:r w:rsidR="008D44EE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и при изпълнение на проекти по </w:t>
      </w:r>
      <w:r w:rsidR="0033052F">
        <w:rPr>
          <w:rFonts w:ascii="Times New Roman" w:eastAsia="Times New Roman" w:hAnsi="Times New Roman" w:cs="Times New Roman"/>
          <w:sz w:val="24"/>
          <w:szCs w:val="20"/>
          <w:lang w:eastAsia="pl-PL"/>
        </w:rPr>
        <w:t>П</w:t>
      </w:r>
      <w:r w:rsidR="008D44EE">
        <w:rPr>
          <w:rFonts w:ascii="Times New Roman" w:eastAsia="Times New Roman" w:hAnsi="Times New Roman" w:cs="Times New Roman"/>
          <w:sz w:val="24"/>
          <w:szCs w:val="20"/>
          <w:lang w:eastAsia="pl-PL"/>
        </w:rPr>
        <w:t>рограма</w:t>
      </w: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„Транспорт</w:t>
      </w:r>
      <w:r w:rsidR="008D44EE">
        <w:rPr>
          <w:rFonts w:ascii="Times New Roman" w:eastAsia="Times New Roman" w:hAnsi="Times New Roman" w:cs="Times New Roman"/>
          <w:sz w:val="24"/>
          <w:szCs w:val="20"/>
          <w:lang w:eastAsia="pl-PL"/>
        </w:rPr>
        <w:t>на свързаност</w:t>
      </w: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”</w:t>
      </w:r>
      <w:r w:rsidR="004E3891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</w:t>
      </w:r>
      <w:r w:rsidR="00FB427A">
        <w:rPr>
          <w:rFonts w:ascii="Times New Roman" w:eastAsia="Times New Roman" w:hAnsi="Times New Roman" w:cs="Times New Roman"/>
          <w:sz w:val="24"/>
          <w:szCs w:val="20"/>
          <w:lang w:val="en-US" w:eastAsia="pl-PL"/>
        </w:rPr>
        <w:t>(</w:t>
      </w:r>
      <w:r w:rsidR="00FB427A">
        <w:rPr>
          <w:rFonts w:ascii="Times New Roman" w:eastAsia="Times New Roman" w:hAnsi="Times New Roman" w:cs="Times New Roman"/>
          <w:sz w:val="24"/>
          <w:szCs w:val="20"/>
          <w:lang w:eastAsia="pl-PL"/>
        </w:rPr>
        <w:t>ПТС</w:t>
      </w:r>
      <w:r w:rsidR="00FB427A">
        <w:rPr>
          <w:rFonts w:ascii="Times New Roman" w:eastAsia="Times New Roman" w:hAnsi="Times New Roman" w:cs="Times New Roman"/>
          <w:sz w:val="24"/>
          <w:szCs w:val="20"/>
          <w:lang w:val="en-US" w:eastAsia="pl-PL"/>
        </w:rPr>
        <w:t>)</w:t>
      </w:r>
      <w:r w:rsidR="00FB427A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</w:t>
      </w:r>
      <w:r w:rsidR="004E3891">
        <w:rPr>
          <w:rFonts w:ascii="Times New Roman" w:eastAsia="Times New Roman" w:hAnsi="Times New Roman" w:cs="Times New Roman"/>
          <w:sz w:val="24"/>
          <w:szCs w:val="20"/>
          <w:lang w:eastAsia="pl-PL"/>
        </w:rPr>
        <w:t>2021-2027</w:t>
      </w: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и върху подписаните договори за обществени поръчки с избраните изпълнители преди верифициране на разходите декларирани от бенефициентите;</w:t>
      </w:r>
    </w:p>
    <w:p w:rsidR="00401613" w:rsidRPr="00401613" w:rsidRDefault="00401613" w:rsidP="0033052F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Осъществява контрол върху подписаните от бенефициентите изменения на договор за обществена поръчка в хипотезите на Закона за обществени поръчки;</w:t>
      </w:r>
    </w:p>
    <w:p w:rsidR="00401613" w:rsidRPr="00401613" w:rsidRDefault="00401613" w:rsidP="0033052F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При констатирано нарушение на правилата за възлагане на обществени поръчки, изготвя от името на Ръководителя на УО сигнал с описание на нарушението до съответния бенефициент;</w:t>
      </w:r>
    </w:p>
    <w:p w:rsidR="00401613" w:rsidRPr="00401613" w:rsidRDefault="00401613" w:rsidP="0033052F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Подпомага Ръководителя на УО при изготвяне на решение за налагане на финансова корекция съгласно приложимото законодателство;</w:t>
      </w:r>
    </w:p>
    <w:p w:rsidR="00401613" w:rsidRPr="00401613" w:rsidRDefault="00401613" w:rsidP="0033052F">
      <w:pPr>
        <w:numPr>
          <w:ilvl w:val="0"/>
          <w:numId w:val="13"/>
        </w:numPr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Подпомага изготвянето на годи</w:t>
      </w:r>
      <w:r w:rsidR="004E3891">
        <w:rPr>
          <w:rFonts w:ascii="Times New Roman" w:eastAsia="Times New Roman" w:hAnsi="Times New Roman" w:cs="Times New Roman"/>
          <w:sz w:val="24"/>
          <w:szCs w:val="20"/>
          <w:lang w:eastAsia="pl-PL"/>
        </w:rPr>
        <w:t>шния доклад за изпълнението на ПТС</w:t>
      </w: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с</w:t>
      </w:r>
      <w:r w:rsidR="004B1709">
        <w:rPr>
          <w:rFonts w:ascii="Times New Roman" w:eastAsia="Times New Roman" w:hAnsi="Times New Roman" w:cs="Times New Roman"/>
          <w:sz w:val="24"/>
          <w:szCs w:val="20"/>
          <w:lang w:eastAsia="pl-PL"/>
        </w:rPr>
        <w:t>ъгласно компетенциите на отдела;</w:t>
      </w:r>
    </w:p>
    <w:p w:rsidR="00401613" w:rsidRDefault="00401613" w:rsidP="0033052F">
      <w:pPr>
        <w:numPr>
          <w:ilvl w:val="0"/>
          <w:numId w:val="13"/>
        </w:numPr>
        <w:tabs>
          <w:tab w:val="left" w:pos="426"/>
        </w:tabs>
        <w:spacing w:after="0" w:line="240" w:lineRule="auto"/>
        <w:ind w:left="0" w:firstLine="709"/>
        <w:contextualSpacing/>
        <w:jc w:val="both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401613">
        <w:rPr>
          <w:rFonts w:ascii="Times New Roman" w:eastAsia="Times New Roman" w:hAnsi="Times New Roman" w:cs="Times New Roman"/>
          <w:sz w:val="24"/>
          <w:szCs w:val="20"/>
          <w:lang w:eastAsia="pl-PL"/>
        </w:rPr>
        <w:t>Участва в провежданите в МТС периодични срещи за наблюдение на</w:t>
      </w:r>
      <w:r w:rsidR="008D44EE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проектите, финансирани по ПТС</w:t>
      </w:r>
      <w:r w:rsidR="008814E0">
        <w:rPr>
          <w:rFonts w:ascii="Times New Roman" w:eastAsia="Times New Roman" w:hAnsi="Times New Roman" w:cs="Times New Roman"/>
          <w:sz w:val="24"/>
          <w:szCs w:val="20"/>
          <w:lang w:eastAsia="pl-PL"/>
        </w:rPr>
        <w:t>, при необходимост.</w:t>
      </w:r>
    </w:p>
    <w:p w:rsidR="00761554" w:rsidRPr="00CC6EDD" w:rsidRDefault="00761554" w:rsidP="00CC6EDD">
      <w:pPr>
        <w:tabs>
          <w:tab w:val="left" w:pos="709"/>
        </w:tabs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</w:p>
    <w:p w:rsidR="003258F1" w:rsidRPr="008942B2" w:rsidRDefault="008942B2" w:rsidP="0033052F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99CCFF"/>
        <w:spacing w:before="120" w:after="120" w:line="240" w:lineRule="auto"/>
        <w:ind w:right="141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2" w:name="_Toc479775683"/>
      <w:bookmarkStart w:id="3" w:name="_Toc140150234"/>
      <w:r>
        <w:rPr>
          <w:rFonts w:ascii="Times New Roman" w:eastAsia="Times New Roman" w:hAnsi="Times New Roman" w:cs="Times New Roman"/>
          <w:b/>
          <w:sz w:val="24"/>
          <w:szCs w:val="24"/>
          <w:lang w:val="en-US" w:eastAsia="pl-PL"/>
        </w:rPr>
        <w:t xml:space="preserve">2. </w:t>
      </w:r>
      <w:r w:rsidR="003258F1" w:rsidRPr="008942B2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Нормативна уредба в областта на възлагането на обществените поръчки</w:t>
      </w:r>
      <w:bookmarkEnd w:id="2"/>
      <w:bookmarkEnd w:id="3"/>
    </w:p>
    <w:p w:rsidR="003258F1" w:rsidRPr="003258F1" w:rsidRDefault="003258F1" w:rsidP="0033052F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Правната рамка на възлагането на обществените поръчки се формира на ниво европейско законодателство и на ниво национално законодателство: </w:t>
      </w:r>
    </w:p>
    <w:p w:rsidR="003258F1" w:rsidRPr="003258F1" w:rsidRDefault="003258F1" w:rsidP="0033052F">
      <w:pPr>
        <w:numPr>
          <w:ilvl w:val="0"/>
          <w:numId w:val="2"/>
        </w:numPr>
        <w:spacing w:before="60" w:after="6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Ниво ЕО:</w:t>
      </w:r>
    </w:p>
    <w:p w:rsidR="003258F1" w:rsidRPr="003258F1" w:rsidRDefault="003258F1" w:rsidP="003258F1">
      <w:pPr>
        <w:numPr>
          <w:ilvl w:val="0"/>
          <w:numId w:val="1"/>
        </w:numPr>
        <w:tabs>
          <w:tab w:val="clear" w:pos="360"/>
          <w:tab w:val="num" w:pos="1276"/>
          <w:tab w:val="left" w:pos="1560"/>
        </w:tabs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Директивите на ЕС в областта на възлагане на обществени поръчки;</w:t>
      </w:r>
    </w:p>
    <w:p w:rsidR="003258F1" w:rsidRPr="003258F1" w:rsidRDefault="003258F1" w:rsidP="003258F1">
      <w:pPr>
        <w:numPr>
          <w:ilvl w:val="0"/>
          <w:numId w:val="1"/>
        </w:numPr>
        <w:tabs>
          <w:tab w:val="clear" w:pos="360"/>
          <w:tab w:val="num" w:pos="1276"/>
          <w:tab w:val="left" w:pos="1560"/>
        </w:tabs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Решения на съда на Европейските общности;</w:t>
      </w:r>
    </w:p>
    <w:p w:rsidR="003258F1" w:rsidRPr="003258F1" w:rsidRDefault="003258F1" w:rsidP="0033052F">
      <w:pPr>
        <w:numPr>
          <w:ilvl w:val="0"/>
          <w:numId w:val="2"/>
        </w:numPr>
        <w:spacing w:before="60" w:after="6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Национално ниво:</w:t>
      </w:r>
    </w:p>
    <w:p w:rsidR="003258F1" w:rsidRPr="003258F1" w:rsidRDefault="003258F1" w:rsidP="003258F1">
      <w:pPr>
        <w:numPr>
          <w:ilvl w:val="0"/>
          <w:numId w:val="1"/>
        </w:numPr>
        <w:tabs>
          <w:tab w:val="clear" w:pos="360"/>
          <w:tab w:val="num" w:pos="1276"/>
          <w:tab w:val="left" w:pos="1560"/>
        </w:tabs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Закон за обществените поръчки (ЗОП);</w:t>
      </w:r>
    </w:p>
    <w:p w:rsidR="003258F1" w:rsidRPr="003258F1" w:rsidRDefault="003258F1" w:rsidP="003258F1">
      <w:pPr>
        <w:numPr>
          <w:ilvl w:val="0"/>
          <w:numId w:val="1"/>
        </w:numPr>
        <w:tabs>
          <w:tab w:val="clear" w:pos="360"/>
          <w:tab w:val="num" w:pos="1276"/>
          <w:tab w:val="left" w:pos="1560"/>
        </w:tabs>
        <w:spacing w:after="0" w:line="240" w:lineRule="auto"/>
        <w:ind w:left="1134" w:hanging="283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Правилник за прилагане на ЗОП;</w:t>
      </w:r>
    </w:p>
    <w:p w:rsidR="003258F1" w:rsidRPr="003258F1" w:rsidRDefault="003258F1" w:rsidP="003258F1">
      <w:pPr>
        <w:spacing w:after="0" w:line="240" w:lineRule="auto"/>
        <w:ind w:left="600"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258F1" w:rsidP="0033052F">
      <w:pPr>
        <w:spacing w:after="240" w:line="240" w:lineRule="auto"/>
        <w:ind w:firstLine="708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 xml:space="preserve">Прилагането на Закона за обществени поръчки е условие за осигуряване приемливост за финансиране на разходите от </w:t>
      </w:r>
      <w:r w:rsidR="0033052F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П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рограма „Транспортна свърза</w:t>
      </w:r>
      <w:bookmarkStart w:id="4" w:name="_GoBack"/>
      <w:bookmarkEnd w:id="4"/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</w:rPr>
        <w:t>ност”.</w:t>
      </w:r>
    </w:p>
    <w:p w:rsidR="003258F1" w:rsidRPr="003258F1" w:rsidRDefault="003258F1" w:rsidP="0033052F">
      <w:pPr>
        <w:spacing w:before="120"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Целта на Закона за обществените поръчки е осигуряването на ефективност и ефикасност при разходване на публичните средства – чрез неговото прилагане се гарантира, че публичните средства се разходват по най-ефективния начин с оглед на целта и предмета на обществената поръчка чрез изпълнение на публична процедура за сключване на договор и избор на оферта. В Закона за обществените поръчки са регламентирани основните принципи, които се спазват при провеждане на процедурите за възлагане на обществени поръчки, а именно: </w:t>
      </w:r>
    </w:p>
    <w:p w:rsidR="003258F1" w:rsidRPr="003258F1" w:rsidRDefault="003258F1" w:rsidP="0033052F">
      <w:pPr>
        <w:numPr>
          <w:ilvl w:val="0"/>
          <w:numId w:val="3"/>
        </w:numPr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Равнопоставеност и недопускане на дискриминация; </w:t>
      </w:r>
    </w:p>
    <w:p w:rsidR="003258F1" w:rsidRPr="003258F1" w:rsidRDefault="003258F1" w:rsidP="0033052F">
      <w:pPr>
        <w:numPr>
          <w:ilvl w:val="0"/>
          <w:numId w:val="3"/>
        </w:numPr>
        <w:tabs>
          <w:tab w:val="clear" w:pos="360"/>
          <w:tab w:val="num" w:pos="851"/>
        </w:tabs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Свободна конкуренция; </w:t>
      </w:r>
    </w:p>
    <w:p w:rsidR="003258F1" w:rsidRPr="003258F1" w:rsidRDefault="003258F1" w:rsidP="0033052F">
      <w:pPr>
        <w:numPr>
          <w:ilvl w:val="0"/>
          <w:numId w:val="3"/>
        </w:numPr>
        <w:tabs>
          <w:tab w:val="clear" w:pos="360"/>
          <w:tab w:val="num" w:pos="851"/>
        </w:tabs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Пропорционалност;</w:t>
      </w:r>
    </w:p>
    <w:p w:rsidR="003258F1" w:rsidRDefault="003258F1" w:rsidP="0033052F">
      <w:pPr>
        <w:numPr>
          <w:ilvl w:val="0"/>
          <w:numId w:val="3"/>
        </w:numPr>
        <w:tabs>
          <w:tab w:val="clear" w:pos="360"/>
          <w:tab w:val="num" w:pos="851"/>
        </w:tabs>
        <w:spacing w:after="0" w:line="240" w:lineRule="auto"/>
        <w:ind w:left="851" w:firstLine="0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Публичност и прозрачност</w:t>
      </w:r>
    </w:p>
    <w:p w:rsidR="0033052F" w:rsidRPr="0033052F" w:rsidRDefault="0033052F" w:rsidP="0033052F">
      <w:pPr>
        <w:spacing w:after="0" w:line="240" w:lineRule="auto"/>
        <w:ind w:left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3052F" w:rsidP="0033052F">
      <w:pPr>
        <w:spacing w:after="24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</w:pPr>
      <w:r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>Обект</w:t>
      </w:r>
      <w:r w:rsidR="003258F1"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u w:val="single"/>
        </w:rPr>
        <w:t xml:space="preserve"> на обществени поръчки са:  </w:t>
      </w:r>
    </w:p>
    <w:p w:rsidR="003258F1" w:rsidRPr="003258F1" w:rsidRDefault="0033052F" w:rsidP="0033052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lastRenderedPageBreak/>
        <w:t xml:space="preserve">1. 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Строителството, включително:</w:t>
      </w:r>
    </w:p>
    <w:p w:rsidR="003258F1" w:rsidRPr="003258F1" w:rsidRDefault="003258F1" w:rsidP="0033052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а) изпълнение или проектиране и изпълнение на строителство, свързано с една от дейностите по приложение № 1 на ЗОП;</w:t>
      </w:r>
    </w:p>
    <w:p w:rsidR="003258F1" w:rsidRPr="003258F1" w:rsidRDefault="003258F1" w:rsidP="0033052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б) изпълнение или проектиране и изпълнение на строеж;</w:t>
      </w:r>
    </w:p>
    <w:p w:rsidR="003258F1" w:rsidRPr="003258F1" w:rsidRDefault="003258F1" w:rsidP="0033052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2. Доставките на стоки, осъществявани чрез покупка, лизинг, наем или финансов лизинг, със или без право на закупуване, както и всички необходими предварителни дейности по употребата на стоката, като инсталационни или монтажни работи, тестване на машини и съоръжения и други;</w:t>
      </w:r>
    </w:p>
    <w:p w:rsidR="003258F1" w:rsidRPr="003258F1" w:rsidRDefault="003258F1" w:rsidP="0033052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3. Предоставянето на услуги.</w:t>
      </w:r>
    </w:p>
    <w:p w:rsidR="003258F1" w:rsidRPr="003258F1" w:rsidRDefault="003258F1" w:rsidP="003258F1">
      <w:pPr>
        <w:spacing w:after="0" w:line="240" w:lineRule="auto"/>
        <w:ind w:firstLine="1134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</w:p>
    <w:p w:rsidR="003258F1" w:rsidRPr="008814E0" w:rsidRDefault="003258F1" w:rsidP="0033052F">
      <w:pPr>
        <w:tabs>
          <w:tab w:val="left" w:pos="709"/>
        </w:tabs>
        <w:autoSpaceDE w:val="0"/>
        <w:autoSpaceDN w:val="0"/>
        <w:adjustRightInd w:val="0"/>
        <w:spacing w:after="24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Процедурите, предвидени в нормативната уредба по обществени поръчки, са система от действия на възложителя и участниците в процедурата, чиято крайна цел е определянето на изпълнител на обществената поръчка и сключването на договор с него. </w:t>
      </w:r>
    </w:p>
    <w:p w:rsidR="003258F1" w:rsidRPr="00CC6EDD" w:rsidRDefault="003258F1" w:rsidP="008942B2">
      <w:pPr>
        <w:pStyle w:val="ListParagraph"/>
        <w:numPr>
          <w:ilvl w:val="0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99CCFF"/>
        <w:spacing w:before="120" w:after="120" w:line="240" w:lineRule="auto"/>
        <w:ind w:hanging="720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5" w:name="_Toc479775684"/>
      <w:bookmarkStart w:id="6" w:name="_Toc140150235"/>
      <w:r w:rsidRPr="00CC6EDD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Осъществяване на ко</w:t>
      </w:r>
      <w:r w:rsidR="00E35FF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нтрол от Управляващия орган по П</w:t>
      </w:r>
      <w:r w:rsidRPr="00CC6EDD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рограма „Транспортна свързаност”</w:t>
      </w:r>
      <w:bookmarkEnd w:id="5"/>
      <w:bookmarkEnd w:id="6"/>
    </w:p>
    <w:p w:rsidR="003258F1" w:rsidRPr="003258F1" w:rsidRDefault="003258F1" w:rsidP="0033052F">
      <w:pPr>
        <w:spacing w:after="12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Целта на контрола е постигането на разумна увереност за законосъобразност при възлагането на обществените поръчки, финансирани напълно или частично от ПТС.</w:t>
      </w:r>
    </w:p>
    <w:p w:rsidR="003258F1" w:rsidRPr="003258F1" w:rsidRDefault="003258F1" w:rsidP="0033052F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Контролните дейности на Управляващия орган в процеса на възлагане на обществени поръчки се извършват по отношение приемливостта за финансиране на разходите по сключените договори от ПТС. Бенефициентите на програма</w:t>
      </w:r>
      <w:r w:rsidR="009471B4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та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са възложители на обществените поръчки. Контролът от страна на Управляващия орган се осъществява по отношение на</w:t>
      </w:r>
      <w:r w:rsidR="0033052F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проведената обществена поръчка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с оглед възстановяване на разходите по нея от средствата по ПТС, но не и по отношение на поемане на задължения от възложителя в процеса на възлагане и изпълнение на обществената поръчка. Независимо от този контрол, бенефициентите по програмата, като разпоредители с бюджетни средства, прилагат свои вътрешни правила и процедури за финансово управление и контрол.</w:t>
      </w:r>
    </w:p>
    <w:p w:rsidR="003258F1" w:rsidRPr="003258F1" w:rsidRDefault="003258F1" w:rsidP="003258F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</w:p>
    <w:p w:rsidR="003258F1" w:rsidRPr="003258F1" w:rsidRDefault="003258F1" w:rsidP="00FB427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  <w:t>Контролът от Управляващия орган се осъществява за съответствие с нормативните актове в тази област и съгласно процедурите, разписани в настоящия Наръчник, и вътрешните правила за възлагане на обществени поръчки в Министерството на транспорта и съобщенията (в случаите, когато бенефициент по проектите е Управляващият орган).</w:t>
      </w:r>
    </w:p>
    <w:p w:rsidR="003258F1" w:rsidRPr="003258F1" w:rsidRDefault="003258F1" w:rsidP="00FB427A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bg-BG"/>
        </w:rPr>
      </w:pPr>
    </w:p>
    <w:p w:rsidR="003258F1" w:rsidRPr="003258F1" w:rsidRDefault="003258F1" w:rsidP="00FB427A">
      <w:pPr>
        <w:tabs>
          <w:tab w:val="left" w:pos="709"/>
        </w:tabs>
        <w:autoSpaceDE w:val="0"/>
        <w:autoSpaceDN w:val="0"/>
        <w:adjustRightInd w:val="0"/>
        <w:spacing w:after="24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За дейности в обхвата на проектите по ПТС, които не са обект на обществени поръчки съгласно действащия ЗОП, както и за договори, сключени в хипотезите на изключения на ЗОП, не се осъществява контрол за законосъобразност от Управляващия орган, освен в изрично предвиден</w:t>
      </w:r>
      <w:r w:rsidR="00E35F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 случаи в настоящия Наръчник. </w:t>
      </w:r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Бенефициенти по ПТС са както институции извън рамките на Министерство н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а транспорта и съобщенията (ДП 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Национална компания „Железопътна инфраструктура”, Агенция „Пътна инфраструктура”, „Метрополитен” ЕАД, ИА „Проучван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е и поддържане на река Дунав“, 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ДП „Пристанищна инфраструктура”, ИА „Морска администрация”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pl-PL"/>
        </w:rPr>
        <w:t>)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, така и самото Министерство на транспорта и съобщенията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val="en-US" w:eastAsia="pl-PL"/>
        </w:rPr>
        <w:t>,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чрез Управляващия орган</w:t>
      </w:r>
      <w:r w:rsidR="00FB427A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,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в качеството му на </w:t>
      </w:r>
      <w:r w:rsidRPr="00E35F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бенефициент по </w:t>
      </w:r>
      <w:r w:rsidR="00E35FF1" w:rsidRPr="00E35F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>Програма</w:t>
      </w:r>
      <w:r w:rsidRPr="00E35F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„Транспортна свързаност”.</w:t>
      </w: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</w:t>
      </w:r>
    </w:p>
    <w:p w:rsidR="003258F1" w:rsidRPr="003258F1" w:rsidRDefault="003258F1" w:rsidP="003258F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  <w:t xml:space="preserve"> </w:t>
      </w:r>
    </w:p>
    <w:p w:rsidR="003258F1" w:rsidRPr="008942B2" w:rsidRDefault="003258F1" w:rsidP="0033052F">
      <w:pPr>
        <w:pStyle w:val="ListParagraph"/>
        <w:numPr>
          <w:ilvl w:val="0"/>
          <w:numId w:val="19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99CCFF"/>
        <w:spacing w:before="120" w:after="120" w:line="240" w:lineRule="auto"/>
        <w:ind w:hanging="720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7" w:name="_Toc479775685"/>
      <w:bookmarkStart w:id="8" w:name="_Toc140150236"/>
      <w:r w:rsidRPr="008942B2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Контрол върху документация от проведена обществена поръчка</w:t>
      </w:r>
      <w:bookmarkEnd w:id="7"/>
      <w:bookmarkEnd w:id="8"/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>В случаите, когато бенефициентите са извън Управляващия орган, процедурата по възлагане на о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бществените поръчки се провежда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от съответния бенефициент, който е и възложител на поръчката. Всички взаимодействия с бенефициентите по отношение на процедурите по контрол при възлагане на поръчки са регламентирани и в „Условия за изпълнение на одобрени проекти по 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рограма „Транспо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ртна свързаност“ 2021-2027 г.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към Насоките по ПТС.</w:t>
      </w:r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Контрол за законосъобразност върх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 документацията от проведената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обществена поръчка се осъществява за всички поръчки над стойностните прагове по ЗОП за възлагане, преди верифициране на докладваните от бенефициента разходи.</w:t>
      </w:r>
    </w:p>
    <w:p w:rsidR="003258F1" w:rsidRPr="003258F1" w:rsidRDefault="003258F1" w:rsidP="00FB427A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Бенефициентът, възложител на поръчката, изпраща за контрол в УО документацията в тридесет (30) дневен срок преди  първото включване на разходи по сключения договор за верификация в искане за плащане. Документите, които следва да се представят на електронен носител са: 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Предварително обявление (ако има такова, поотделно от ОВ и от АОП);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Обявление за обществената поръчка (поотделно от ОВ и от АОП);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Документация за участие, вкл. кореспонденцията и разясненията на възложителя по получени въпроси от участниците (ако има такива);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Актове от външен контрол, осъществяван от АОП  (ако има такива);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Решения за промяна на обявлението или документацията за участие (ако има такива, (поотделно от ОВ и от АОП);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Протоколи за работата на комисията, вкл. оценителни листове;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Заповед за назначаване на комисия за провеждане на процедурата;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Декларации по чл.103 от ЗОП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др. подобни (ако има такива); 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Cs/>
          <w:color w:val="000000"/>
          <w:sz w:val="24"/>
          <w:szCs w:val="24"/>
          <w:lang w:eastAsia="pl-PL"/>
        </w:rPr>
        <w:t>Разменена кореспонденция между участниците и комисията за оценка по време на процедурата, вкл. допълнително представени документи и др. подобни;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Решение за определяне на изпълнител;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Договор за обществена поръчка/рамково споразумение и договор по него;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Актове на КЗК и ВАС във връзка с процедурата;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Копие от офертата на спечелилия участник и копия от офертите на останалите участници;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Посочените по-горе документи следва да са налични в ИСУН 2020 към датата на изпращане за контрол в УО на документацията;</w:t>
      </w:r>
    </w:p>
    <w:p w:rsidR="003258F1" w:rsidRPr="003258F1" w:rsidRDefault="003258F1" w:rsidP="00FB427A">
      <w:pPr>
        <w:numPr>
          <w:ilvl w:val="0"/>
          <w:numId w:val="4"/>
        </w:numPr>
        <w:spacing w:after="0" w:line="240" w:lineRule="auto"/>
        <w:ind w:hanging="11"/>
        <w:contextualSpacing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Бенефициентът представя и други документи, извън гор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ните – при необходимост (напр.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справка, попълнена и подписана от възложителя за проведени процедури със сходен предмет за съответната календарна година, както и график за планираните по проекта).</w:t>
      </w:r>
    </w:p>
    <w:p w:rsidR="003258F1" w:rsidRPr="003258F1" w:rsidRDefault="003258F1" w:rsidP="003258F1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258F1" w:rsidP="00FB427A">
      <w:pPr>
        <w:tabs>
          <w:tab w:val="left" w:pos="709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УО извършва контрол върху получените документи с общ контролен лист, който се попълва в И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СУН 2020 и приложения към него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(в зависимост от вида на процедурата), част от Наръчника, които се публикуват в ИСУН 2020. Срокът за проверка н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 документацията от проведената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обществена поръчка е до 20 работни дни от получаването в УО на гореописаните документи. </w:t>
      </w:r>
    </w:p>
    <w:p w:rsidR="003258F1" w:rsidRPr="003258F1" w:rsidRDefault="003258F1" w:rsidP="00FB427A">
      <w:pPr>
        <w:tabs>
          <w:tab w:val="left" w:pos="709"/>
        </w:tabs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на документацията се установят пропуски в представените документи, съответно наличните такива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в ИСУН 2020, експерт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писм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ено от бенефициента (официално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или по ел. поща) представянето на допълнителни документи, информация или разяснения, като същите следва да се публикуват и в ИСУН 2020. </w:t>
      </w:r>
    </w:p>
    <w:p w:rsidR="003258F1" w:rsidRPr="003258F1" w:rsidRDefault="003258F1" w:rsidP="003258F1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>Срокът за изпращане/публикуване в ИСУН 2020 на документите/допълнителната информация от бенефициента е до 3 работни дни от получаване на писмено запитване. До получаване на отговор/изпращането на документи от страна на бенефициента в УО, се прекъсва срокът за проверка на документацията от проведената процедура.</w:t>
      </w:r>
    </w:p>
    <w:p w:rsidR="003258F1" w:rsidRPr="003258F1" w:rsidRDefault="003258F1" w:rsidP="003258F1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Гореописаните проверки се финализират с попълването на общ КЛ в ИСУН 2020 и публикуването на приложенията към него от експерта, и одобрението му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  <w:t xml:space="preserve"> от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началника на отдел „Контрол по обществени поръчки“ в ИСУН 2020. За резултатите от проверката се изпраща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уведомление по електроне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 път до началниците на отдели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ИК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ФУ (писмо, в случаите по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54119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8 </w:t>
      </w:r>
      <w:r w:rsidR="006569B3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наръчника</w:t>
      </w:r>
      <w:r w:rsidR="00DC1D2F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)</w:t>
      </w:r>
    </w:p>
    <w:p w:rsidR="003258F1" w:rsidRPr="003258F1" w:rsidRDefault="003258F1" w:rsidP="003258F1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pl-PL"/>
        </w:rPr>
      </w:pPr>
    </w:p>
    <w:p w:rsidR="003258F1" w:rsidRPr="008942B2" w:rsidRDefault="003258F1" w:rsidP="00E35FF1">
      <w:pPr>
        <w:pStyle w:val="ListParagraph"/>
        <w:numPr>
          <w:ilvl w:val="1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DD6EE" w:themeFill="accent1" w:themeFillTint="66"/>
        <w:spacing w:before="120" w:after="120" w:line="240" w:lineRule="auto"/>
        <w:ind w:left="709" w:hanging="709"/>
        <w:jc w:val="both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9" w:name="_Toc479775686"/>
      <w:bookmarkStart w:id="10" w:name="_Toc140150237"/>
      <w:r w:rsidRPr="008942B2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Контрол за разделяне на поръчка под стойностните прагове на ЗОП</w:t>
      </w:r>
      <w:bookmarkEnd w:id="9"/>
      <w:bookmarkEnd w:id="10"/>
      <w:r w:rsidRPr="008942B2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 </w:t>
      </w:r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За поръчки под стойностните прагове за възлагане по ЗОП възложителите прилагат собствените си утвърдени контролни процедури за осигуряване на законосъобразност.</w:t>
      </w:r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DC1D2F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.1.1. В случаите, когато бенефициентът иска верификация на средства по сключен договор под стойностните прагове за възлагане на ЗОП, същият представя следната информация:</w:t>
      </w:r>
    </w:p>
    <w:p w:rsidR="003258F1" w:rsidRPr="00CC6EDD" w:rsidRDefault="003258F1" w:rsidP="00FB427A">
      <w:pPr>
        <w:pStyle w:val="ListParagraph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pl-PL"/>
        </w:rPr>
        <w:t>първо искане за верификация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на средства по договора, бенефициентът следва да попълни справка с информация за сключени други договори със същия или сходен предмет, независимо от източника им на финансиране, от началната дата на допустимост на разходите по ПТС до момента (ако е приложимо). Справката е приложение към искането за междинно плащане;</w:t>
      </w:r>
    </w:p>
    <w:p w:rsidR="003258F1" w:rsidRPr="00CC6EDD" w:rsidRDefault="003258F1" w:rsidP="00FB427A">
      <w:pPr>
        <w:pStyle w:val="ListParagraph"/>
        <w:numPr>
          <w:ilvl w:val="0"/>
          <w:numId w:val="8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всяко следващо искане за верификация, бенефициентът следва да попълва справката с информация за сключени други договори със същия или сходен предмет, независимо от източника им на финансиране 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pl-PL"/>
        </w:rPr>
        <w:t>за периода от предходното искане</w:t>
      </w: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до момента (ако е приложимо).</w:t>
      </w:r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случай, че няма сключени такива договори, бенефициентът следва да посочи изрично това обстоятелство.</w:t>
      </w:r>
    </w:p>
    <w:p w:rsidR="003258F1" w:rsidRPr="003258F1" w:rsidRDefault="003258F1" w:rsidP="00FB427A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получаване в УО на искане за междинно плащане, в което са докладвани за верификация разходи по договор на стойност под праговете за възлагане на ЗОП и с попълнено Приложение № 3 от искане за междинно плащане, отдел „Финансово управление“ препраща Приложение 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№ 3 за становище за евентуално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неправомерно р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азделяне на поръчката до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. </w:t>
      </w:r>
    </w:p>
    <w:p w:rsidR="003258F1" w:rsidRPr="003258F1" w:rsidRDefault="003258F1" w:rsidP="00FB427A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срок от 3 р</w:t>
      </w:r>
      <w:r w:rsidR="0033052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аботни дни началникът на отдел КОП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уведомява по електронна поща началника на отдел „Финансово управление“ (с копие до началника на отдел „Изпълнение и координация“) за договорите за изпълнение, включени в Приложение № 3, подлежащи на проверка, както и за необходимостта същите да бъдат изискани от бенефициента. </w:t>
      </w:r>
    </w:p>
    <w:p w:rsidR="003258F1" w:rsidRPr="003258F1" w:rsidRDefault="0033052F" w:rsidP="00FB427A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Отдел КОП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от бенефициента необходимите документи за проверка, съгласно </w:t>
      </w:r>
      <w:r w:rsidR="003258F1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т. 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4 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от настоящата глава. </w:t>
      </w:r>
    </w:p>
    <w:p w:rsidR="003258F1" w:rsidRPr="003258F1" w:rsidRDefault="003258F1" w:rsidP="00FB427A">
      <w:pPr>
        <w:tabs>
          <w:tab w:val="left" w:pos="709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срок от 15 работни дни от получаване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на изисканите документи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следва да излезе със становище от извършената проверка. В случай, че бенефициентите не представят необходимата за проверката информация, срокът за проверката се увеличава със съответния брой дни на забавата на бенефициента.</w:t>
      </w:r>
    </w:p>
    <w:p w:rsidR="003258F1" w:rsidRPr="003258F1" w:rsidRDefault="00FB427A" w:rsidP="00FB427A">
      <w:pPr>
        <w:tabs>
          <w:tab w:val="left" w:pos="709"/>
        </w:tabs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Началникът на отдел КОП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уведомява по електронна поща началника на отдел „Финансово управление“ (с копие до началника на отдел „Изпълнение и координация“) за резултатите от извършената проверка.</w:t>
      </w:r>
    </w:p>
    <w:p w:rsidR="003258F1" w:rsidRPr="003258F1" w:rsidRDefault="003258F1" w:rsidP="003258F1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163BD9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>4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.1.2</w:t>
      </w:r>
      <w:r w:rsidR="00493C30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В случаите, когато 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u w:val="single"/>
          <w:lang w:eastAsia="pl-PL"/>
        </w:rPr>
        <w:t>бенефициентът по проекта е Управляващият орган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се иска верификация на средства по сключен договор под стойностните прагове за възлагане на ЗОП, същият представя следната информация:</w:t>
      </w:r>
    </w:p>
    <w:p w:rsidR="003258F1" w:rsidRPr="00CC6EDD" w:rsidRDefault="003258F1" w:rsidP="00FB427A">
      <w:pPr>
        <w:pStyle w:val="ListParagraph"/>
        <w:numPr>
          <w:ilvl w:val="1"/>
          <w:numId w:val="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подготовка на първо искане за верификация на средства по договора, бенефициентът следва да попълни справка с информация за сключени други договори със същия или сходен предмет, независимо от източника им на финансиране, от началната дата на допустимост на разходите по ПТС до момента (ако е приложимо). Справката е приложение към искането за междинно плащане;</w:t>
      </w:r>
    </w:p>
    <w:p w:rsidR="003258F1" w:rsidRPr="00CC6EDD" w:rsidRDefault="003258F1" w:rsidP="00FB427A">
      <w:pPr>
        <w:pStyle w:val="ListParagraph"/>
        <w:numPr>
          <w:ilvl w:val="1"/>
          <w:numId w:val="9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CC6EDD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всяко следващо искане за верификация, бенефициентът следва да попълва справката с информация за сключени други договори със същия или сходен предмет, независимо от източника им на финансиране, за периода от предходното искане до момента (ако е приложимо).</w:t>
      </w:r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случай, че няма сключени такива договори, бенефициентът следва да посочи изрично това обстоятелство.</w:t>
      </w:r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258F1" w:rsidP="00FB427A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подготовка на искане за верификация на средства, с включен договор на стойност под праговете за възлагане на ЗОП с попълнена справка Приложение № 3</w:t>
      </w:r>
      <w:r w:rsidRPr="003258F1">
        <w:rPr>
          <w:rFonts w:ascii="Times New Roman" w:eastAsia="Times New Roman" w:hAnsi="Times New Roman" w:cs="Times New Roman"/>
          <w:sz w:val="24"/>
          <w:szCs w:val="20"/>
          <w:lang w:eastAsia="pl-PL"/>
        </w:rPr>
        <w:t xml:space="preserve">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искане за междинно плащане, Ръководителят на ЗИП го изпр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аща за становище за евентуално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неправомерно р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азделяне на поръчката до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 В случай, че бенефициентът УО изрично е посочил, че няма сключени други договори, не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се изисква становище от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 В срок от 3 р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аботни дни началникът на отдел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уведомява по електронна поща Ръководителя на ЗИП за договорите за изпълнение, включени в Приложение № 3, подлежащи на проверка, както и за необходимостта същите да бъдат представени за проверка, съгласно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т. </w:t>
      </w:r>
      <w:r w:rsidR="00163BD9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настоящата глава.</w:t>
      </w:r>
    </w:p>
    <w:p w:rsidR="003258F1" w:rsidRPr="003258F1" w:rsidRDefault="003258F1" w:rsidP="003258F1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FB427A" w:rsidP="003258F1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Отдел КОП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следва да излезе със становище в срок от 15 работни дни от получаване на документите за проверка. В случай, че бенефициентът УО не представи необходимата за проверката информация, срокът за проверката се увеличава със съответния брой дни на забавата на бенефициента. </w:t>
      </w:r>
    </w:p>
    <w:p w:rsidR="003258F1" w:rsidRPr="003258F1" w:rsidRDefault="00FB427A" w:rsidP="003258F1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Отдел КОП</w:t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уведомява по електронна поща Ръководителя на ЗИП за резултатите от извършената проверка.</w:t>
      </w:r>
    </w:p>
    <w:p w:rsidR="003258F1" w:rsidRPr="003258F1" w:rsidRDefault="003258F1" w:rsidP="003258F1">
      <w:pPr>
        <w:spacing w:after="0" w:line="240" w:lineRule="auto"/>
        <w:ind w:firstLine="851"/>
        <w:jc w:val="both"/>
        <w:rPr>
          <w:rFonts w:ascii="Times New Roman" w:eastAsia="Times New Roman" w:hAnsi="Times New Roman" w:cs="Times New Roman"/>
          <w:b/>
          <w:bCs/>
          <w:i/>
          <w:color w:val="000000"/>
          <w:sz w:val="24"/>
          <w:szCs w:val="24"/>
          <w:lang w:eastAsia="pl-PL"/>
        </w:rPr>
      </w:pPr>
    </w:p>
    <w:p w:rsidR="003258F1" w:rsidRPr="008942B2" w:rsidRDefault="00FB427A" w:rsidP="00E35FF1">
      <w:pPr>
        <w:pStyle w:val="ListParagraph"/>
        <w:numPr>
          <w:ilvl w:val="1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DD6EE" w:themeFill="accent1" w:themeFillTint="66"/>
        <w:spacing w:before="120" w:after="120" w:line="240" w:lineRule="auto"/>
        <w:jc w:val="both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11" w:name="_Toc479775687"/>
      <w:bookmarkStart w:id="12" w:name="_Toc140150238"/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 </w:t>
      </w:r>
      <w:r w:rsidR="003258F1" w:rsidRPr="008942B2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Контрол от страна на УО на измененията на договор за обществена поръчка</w:t>
      </w:r>
      <w:bookmarkEnd w:id="11"/>
      <w:bookmarkEnd w:id="12"/>
    </w:p>
    <w:p w:rsidR="003258F1" w:rsidRPr="003258F1" w:rsidRDefault="003258F1" w:rsidP="00FB427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случай, че възникне някоя от предвидените в ЗОП хипотези, по</w:t>
      </w:r>
      <w:r w:rsidR="00FB427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дписаното изменение на договора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копие от документацията, обосноваваща изменението на договора, се представя за последващ контрол в Управляващия орган за осъществяване на проверка за съответствие със законовите изисквания и клаузите на договора в срок от 5 работни дни от сключването му. Към датата на представянето му за проверката, същото следва да е публикувано и в ИСУН 2020, заедно с документацията, обосноваваща изменението.</w:t>
      </w:r>
    </w:p>
    <w:p w:rsidR="003258F1" w:rsidRPr="003258F1" w:rsidRDefault="003258F1" w:rsidP="00FB427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проверката се извършват консултации и се изисква становище от отдел „Изпълнение и координация” (официално или по електронна поща) във връзка с актуалния статус на изпълнение на проекта/договора и обстоятелствата, наложили изменението.</w:t>
      </w:r>
    </w:p>
    <w:p w:rsidR="003258F1" w:rsidRPr="003258F1" w:rsidRDefault="003258F1" w:rsidP="00FB427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258F1" w:rsidP="00FB427A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случаите, когато при преобразуване на изпълнителя в съответствие със законодателството на държавата, в която е установен, Възложителя сключва договор за продължаване на договора за обществена поръчка с правоприемни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ка, Възложителят уведомява УО.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 договора с правоприемника не могат да се правят промени в договора за обществена поръчка.</w:t>
      </w:r>
    </w:p>
    <w:p w:rsidR="003258F1" w:rsidRPr="003258F1" w:rsidRDefault="003258F1" w:rsidP="00DE3DB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lastRenderedPageBreak/>
        <w:t xml:space="preserve">Заедно с уведомлението Възложителят представя на УО доказателства, че не са налице обстоятелствата, изискващи задължително отстраняване по ЗОП, както и такива обстоятелства посочени от Възложителя (основания за незадължително отстраняване), и че правоприемникът покрива изискванията относно критериите за подбор. </w:t>
      </w:r>
    </w:p>
    <w:p w:rsidR="00C15EDA" w:rsidRDefault="003258F1" w:rsidP="00C15EDA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Проверката на допълнителното споразумение се извършва в срок от 7 работни дни след получава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нето му в отдел КОП, с приложение 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pl-PL"/>
        </w:rPr>
        <w:t>(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контролен лист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pl-PL"/>
        </w:rPr>
        <w:t>)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, част от Наръчника, 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 се финализира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 попълването на</w:t>
      </w:r>
      <w:r w:rsidR="008708C6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 КЛ в ИСУН 2020 от експерта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одобрението му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  <w:t xml:space="preserve"> от </w:t>
      </w:r>
      <w:r w:rsidR="00C15EDA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началника на отдел „Контрол по обществени поръчки“ в ИСУН 2020. За резултатите от проверката се изпраща </w:t>
      </w:r>
      <w:r w:rsidR="00C15EDA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уведомление по електроне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 път до началниците на отдели </w:t>
      </w:r>
      <w:r w:rsidR="00C15EDA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ИК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ФУ (писмо, в случаите по </w:t>
      </w:r>
      <w:r w:rsidR="00C15EDA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8 </w:t>
      </w:r>
      <w:r w:rsidR="00C15EDA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наръчника)</w:t>
      </w:r>
    </w:p>
    <w:p w:rsidR="003258F1" w:rsidRDefault="003258F1" w:rsidP="00DE3DBB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констатирано нарушение се прилагат процедурите съгласно </w:t>
      </w:r>
      <w:r w:rsidR="00163BD9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54119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8</w:t>
      </w:r>
      <w:r w:rsidR="00541194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="006569B3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наръчника</w:t>
      </w:r>
      <w:r w:rsidR="00163BD9"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.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се установят пропуски в пр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едставените д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окументи, експерт от отдел КОП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изисква писмено от бенефициента (официално, по факс или по ел. поща) представянето на допълнителни документи, информация или разяснения. Срокът за изпращане на документите/допълнителната информация от бенефициента е до 2 работни дни от получаване на писмено запитване. </w:t>
      </w:r>
    </w:p>
    <w:p w:rsidR="00952526" w:rsidRPr="003258F1" w:rsidRDefault="00952526" w:rsidP="00952526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се установят пропуски в представени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те документи, експерт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писмено от бенефициента (официално, по факс или по ел. поща) представянето на допълнителни документи, информация или разяснения. Срокът за изпращане на документите/допълнителната информация от бенефициента е до 2 работни дни от получаване на писмено запитване.</w:t>
      </w:r>
    </w:p>
    <w:p w:rsidR="004767AD" w:rsidRPr="003258F1" w:rsidRDefault="004767AD" w:rsidP="003258F1">
      <w:pPr>
        <w:spacing w:before="120" w:after="12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CC6EDD" w:rsidRDefault="003258F1" w:rsidP="00E35FF1">
      <w:pPr>
        <w:pStyle w:val="ListParagraph"/>
        <w:numPr>
          <w:ilvl w:val="1"/>
          <w:numId w:val="2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DD6EE" w:themeFill="accent1" w:themeFillTint="66"/>
        <w:spacing w:before="120" w:after="120" w:line="240" w:lineRule="auto"/>
        <w:ind w:left="0" w:firstLine="0"/>
        <w:jc w:val="both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13" w:name="_Toc140150239"/>
      <w:r w:rsidRPr="00CC6EDD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Избягване на конфликт на интереси в обществените поръчки</w:t>
      </w:r>
      <w:bookmarkEnd w:id="13"/>
    </w:p>
    <w:p w:rsidR="003258F1" w:rsidRPr="003258F1" w:rsidRDefault="003258F1" w:rsidP="00DE3DBB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 xml:space="preserve">Във връзка с изискванията на чл.24 от директива 2014/24/ЕС,  параграф 21 от ДР на ЗОП и във връзка с чл. 61, </w:t>
      </w:r>
      <w:proofErr w:type="spellStart"/>
      <w:r w:rsidRPr="003258F1">
        <w:rPr>
          <w:rFonts w:ascii="Times New Roman" w:hAnsi="Times New Roman" w:cs="Times New Roman"/>
          <w:sz w:val="24"/>
          <w:szCs w:val="24"/>
        </w:rPr>
        <w:t>пар</w:t>
      </w:r>
      <w:proofErr w:type="spellEnd"/>
      <w:r w:rsidRPr="003258F1">
        <w:rPr>
          <w:rFonts w:ascii="Times New Roman" w:hAnsi="Times New Roman" w:cs="Times New Roman"/>
          <w:sz w:val="24"/>
          <w:szCs w:val="24"/>
        </w:rPr>
        <w:t xml:space="preserve">. 1 и 3 от Регламент (ЕС, </w:t>
      </w:r>
      <w:proofErr w:type="spellStart"/>
      <w:r w:rsidRPr="003258F1">
        <w:rPr>
          <w:rFonts w:ascii="Times New Roman" w:hAnsi="Times New Roman" w:cs="Times New Roman"/>
          <w:sz w:val="24"/>
          <w:szCs w:val="24"/>
        </w:rPr>
        <w:t>Евратом</w:t>
      </w:r>
      <w:proofErr w:type="spellEnd"/>
      <w:r w:rsidRPr="003258F1">
        <w:rPr>
          <w:rFonts w:ascii="Times New Roman" w:hAnsi="Times New Roman" w:cs="Times New Roman"/>
          <w:sz w:val="24"/>
          <w:szCs w:val="24"/>
        </w:rPr>
        <w:t>) № 1046/ 2018 на Европейския парламент и на Съвета, е необходимо:</w:t>
      </w:r>
    </w:p>
    <w:p w:rsidR="003258F1" w:rsidRPr="003258F1" w:rsidRDefault="003258F1" w:rsidP="00DE3DBB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 xml:space="preserve">Възложителят, членовете на управителните му органи, негови служители или наети от него лица извън неговата структура, които участват в подготовката на обществена поръчка да подават декларация за липса на конфликт на интереси по смисъла на горните разпоредби, касаеща провежданата обществена поръчка. </w:t>
      </w:r>
    </w:p>
    <w:p w:rsidR="003258F1" w:rsidRPr="003258F1" w:rsidRDefault="003258F1" w:rsidP="00DE3DBB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 xml:space="preserve">Декларациите следва да се подписват към момента на стартиране на действията по подготовка на съответната процедура - за лицата, които участват в подготовката на обществена поръчка) и преди одобряване на доклада/протокола от работата на комисията по чл. 60/чл. 60а от ППЗОП, от възложителя и членовете на управителните му органи. </w:t>
      </w:r>
      <w:r w:rsidRPr="00163BD9">
        <w:rPr>
          <w:rFonts w:ascii="Times New Roman" w:hAnsi="Times New Roman" w:cs="Times New Roman"/>
          <w:sz w:val="24"/>
          <w:szCs w:val="24"/>
        </w:rPr>
        <w:t xml:space="preserve">Декларацията е приложение към </w:t>
      </w:r>
      <w:r w:rsidR="00163BD9" w:rsidRPr="00163BD9">
        <w:rPr>
          <w:rFonts w:ascii="Times New Roman" w:hAnsi="Times New Roman" w:cs="Times New Roman"/>
          <w:sz w:val="24"/>
          <w:szCs w:val="24"/>
        </w:rPr>
        <w:t xml:space="preserve">настоящата </w:t>
      </w:r>
      <w:r w:rsidRPr="00163BD9">
        <w:rPr>
          <w:rFonts w:ascii="Times New Roman" w:hAnsi="Times New Roman" w:cs="Times New Roman"/>
          <w:sz w:val="24"/>
          <w:szCs w:val="24"/>
        </w:rPr>
        <w:t xml:space="preserve">глава 4 на </w:t>
      </w:r>
      <w:r w:rsidR="00163BD9" w:rsidRPr="00163BD9">
        <w:rPr>
          <w:rFonts w:ascii="Times New Roman" w:hAnsi="Times New Roman" w:cs="Times New Roman"/>
          <w:sz w:val="24"/>
          <w:szCs w:val="24"/>
        </w:rPr>
        <w:t>наръчника</w:t>
      </w:r>
    </w:p>
    <w:p w:rsidR="003258F1" w:rsidRPr="003258F1" w:rsidRDefault="003258F1" w:rsidP="00DE3DBB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 xml:space="preserve">Копия от декларациите се представят в УО заедно с документите по проведената процедура. </w:t>
      </w:r>
    </w:p>
    <w:p w:rsidR="003258F1" w:rsidRPr="003258F1" w:rsidRDefault="003258F1" w:rsidP="00DE3DBB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 xml:space="preserve">Декларацията не заменя </w:t>
      </w:r>
      <w:r w:rsidR="00EC79D5" w:rsidRPr="00EC79D5">
        <w:rPr>
          <w:rFonts w:ascii="Times New Roman" w:hAnsi="Times New Roman" w:cs="Times New Roman"/>
          <w:sz w:val="24"/>
          <w:szCs w:val="24"/>
        </w:rPr>
        <w:t xml:space="preserve">декларация за липса на конфликт на интереси по смисъла на чл. 61, </w:t>
      </w:r>
      <w:proofErr w:type="spellStart"/>
      <w:r w:rsidR="00EC79D5" w:rsidRPr="00EC79D5">
        <w:rPr>
          <w:rFonts w:ascii="Times New Roman" w:hAnsi="Times New Roman" w:cs="Times New Roman"/>
          <w:sz w:val="24"/>
          <w:szCs w:val="24"/>
        </w:rPr>
        <w:t>пар</w:t>
      </w:r>
      <w:proofErr w:type="spellEnd"/>
      <w:r w:rsidR="00EC79D5" w:rsidRPr="00EC79D5">
        <w:rPr>
          <w:rFonts w:ascii="Times New Roman" w:hAnsi="Times New Roman" w:cs="Times New Roman"/>
          <w:sz w:val="24"/>
          <w:szCs w:val="24"/>
        </w:rPr>
        <w:t xml:space="preserve">. 3 от Регламент (ЕС, </w:t>
      </w:r>
      <w:proofErr w:type="spellStart"/>
      <w:r w:rsidR="00EC79D5" w:rsidRPr="00EC79D5">
        <w:rPr>
          <w:rFonts w:ascii="Times New Roman" w:hAnsi="Times New Roman" w:cs="Times New Roman"/>
          <w:sz w:val="24"/>
          <w:szCs w:val="24"/>
        </w:rPr>
        <w:t>Евратом</w:t>
      </w:r>
      <w:proofErr w:type="spellEnd"/>
      <w:r w:rsidR="00EC79D5" w:rsidRPr="00EC79D5">
        <w:rPr>
          <w:rFonts w:ascii="Times New Roman" w:hAnsi="Times New Roman" w:cs="Times New Roman"/>
          <w:sz w:val="24"/>
          <w:szCs w:val="24"/>
        </w:rPr>
        <w:t>) № 1046 от 2018 на Европейския парламент и на Съвета</w:t>
      </w:r>
      <w:r w:rsidRPr="003258F1">
        <w:rPr>
          <w:rFonts w:ascii="Times New Roman" w:hAnsi="Times New Roman" w:cs="Times New Roman"/>
          <w:sz w:val="24"/>
          <w:szCs w:val="24"/>
        </w:rPr>
        <w:t xml:space="preserve">, която се подава по реда на </w:t>
      </w:r>
      <w:r w:rsidR="00EC79D5">
        <w:rPr>
          <w:rFonts w:ascii="Times New Roman" w:hAnsi="Times New Roman" w:cs="Times New Roman"/>
          <w:sz w:val="24"/>
          <w:szCs w:val="24"/>
        </w:rPr>
        <w:t xml:space="preserve">глава </w:t>
      </w:r>
      <w:r w:rsidR="00541194">
        <w:rPr>
          <w:rFonts w:ascii="Times New Roman" w:hAnsi="Times New Roman" w:cs="Times New Roman"/>
          <w:sz w:val="24"/>
          <w:szCs w:val="24"/>
        </w:rPr>
        <w:t xml:space="preserve">8 </w:t>
      </w:r>
      <w:r w:rsidRPr="003258F1">
        <w:rPr>
          <w:rFonts w:ascii="Times New Roman" w:hAnsi="Times New Roman" w:cs="Times New Roman"/>
          <w:sz w:val="24"/>
          <w:szCs w:val="24"/>
        </w:rPr>
        <w:t xml:space="preserve">от настоящия </w:t>
      </w:r>
      <w:r w:rsidR="00EC79D5">
        <w:rPr>
          <w:rFonts w:ascii="Times New Roman" w:hAnsi="Times New Roman" w:cs="Times New Roman"/>
          <w:sz w:val="24"/>
          <w:szCs w:val="24"/>
        </w:rPr>
        <w:t>наръчник</w:t>
      </w:r>
    </w:p>
    <w:p w:rsidR="00AB7DC7" w:rsidRPr="003258F1" w:rsidRDefault="003258F1" w:rsidP="00DE3DBB">
      <w:pPr>
        <w:spacing w:line="240" w:lineRule="auto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>Декларациите по чл.103 от ЗОП на членовете на оценителната комисия по съответната обществена поръчка се представят както до момента.</w:t>
      </w:r>
    </w:p>
    <w:p w:rsidR="003258F1" w:rsidRPr="003258F1" w:rsidRDefault="00EA0BB5" w:rsidP="00E35FF1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DD6EE" w:themeFill="accent1" w:themeFillTint="66"/>
        <w:spacing w:before="120" w:after="120" w:line="240" w:lineRule="auto"/>
        <w:contextualSpacing/>
        <w:jc w:val="both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14" w:name="_Toc140150240"/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4</w:t>
      </w:r>
      <w:r w:rsidR="003258F1" w:rsidRPr="003258F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.3.1.</w:t>
      </w:r>
      <w:r w:rsidR="003258F1" w:rsidRPr="003258F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ab/>
        <w:t>Видове проверки</w:t>
      </w:r>
      <w:bookmarkEnd w:id="14"/>
    </w:p>
    <w:p w:rsidR="003258F1" w:rsidRPr="003258F1" w:rsidRDefault="003258F1" w:rsidP="00DE3DBB">
      <w:pPr>
        <w:tabs>
          <w:tab w:val="left" w:pos="709"/>
        </w:tabs>
        <w:ind w:firstLine="708"/>
        <w:jc w:val="both"/>
        <w:rPr>
          <w:rFonts w:ascii="Times New Roman" w:hAnsi="Times New Roman" w:cs="Times New Roman"/>
          <w:sz w:val="24"/>
          <w:szCs w:val="24"/>
          <w:u w:val="single"/>
          <w:lang w:val="en-US"/>
        </w:rPr>
      </w:pPr>
      <w:r w:rsidRPr="003258F1">
        <w:rPr>
          <w:rFonts w:ascii="Times New Roman" w:hAnsi="Times New Roman" w:cs="Times New Roman"/>
          <w:sz w:val="24"/>
          <w:szCs w:val="24"/>
          <w:u w:val="single"/>
        </w:rPr>
        <w:t>А)</w:t>
      </w:r>
      <w:r w:rsidRPr="003258F1">
        <w:rPr>
          <w:rFonts w:ascii="Times New Roman" w:hAnsi="Times New Roman" w:cs="Times New Roman"/>
          <w:sz w:val="24"/>
          <w:szCs w:val="24"/>
        </w:rPr>
        <w:t xml:space="preserve"> За всички процедури за обществени поръчки, чийто стойностен праг е над праговете заложени в Директива 2014/24 ЕС за съответната година, експертите проверяват наличието на декларации и данните в тях , използвайки регистри, в които се съдържат данни за юридически лица и физически лица, напр. </w:t>
      </w:r>
      <w:proofErr w:type="spellStart"/>
      <w:r w:rsidRPr="003258F1">
        <w:rPr>
          <w:rFonts w:ascii="Times New Roman" w:hAnsi="Times New Roman" w:cs="Times New Roman"/>
          <w:sz w:val="24"/>
          <w:szCs w:val="24"/>
        </w:rPr>
        <w:t>Апис</w:t>
      </w:r>
      <w:proofErr w:type="spellEnd"/>
      <w:r w:rsidRPr="003258F1">
        <w:rPr>
          <w:rFonts w:ascii="Times New Roman" w:hAnsi="Times New Roman" w:cs="Times New Roman"/>
          <w:sz w:val="24"/>
          <w:szCs w:val="24"/>
        </w:rPr>
        <w:t xml:space="preserve"> +/ регистър БУЛСТАТ/ Търговски регистър или електронна система </w:t>
      </w:r>
      <w:r w:rsidRPr="003258F1">
        <w:rPr>
          <w:rFonts w:ascii="Times New Roman" w:hAnsi="Times New Roman" w:cs="Times New Roman"/>
          <w:sz w:val="24"/>
          <w:szCs w:val="24"/>
          <w:lang w:val="en-US"/>
        </w:rPr>
        <w:t>ARACHNE</w:t>
      </w:r>
      <w:r w:rsidRPr="003258F1">
        <w:rPr>
          <w:rFonts w:ascii="Times New Roman" w:hAnsi="Times New Roman" w:cs="Times New Roman"/>
          <w:sz w:val="24"/>
          <w:szCs w:val="24"/>
        </w:rPr>
        <w:t>, или други общодостъпни източници на информация. Към проверките на процедурата за обществена поръчка се прилагат и резултатите от горепосочените проверки.</w:t>
      </w:r>
    </w:p>
    <w:p w:rsidR="003258F1" w:rsidRPr="003258F1" w:rsidRDefault="003258F1" w:rsidP="00DE3DBB">
      <w:pPr>
        <w:tabs>
          <w:tab w:val="left" w:pos="709"/>
        </w:tabs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>Б) За поръчки под прагове заложени в Директива 2014/24 ЕС за съответната година се осъществява проверка на данните в декларациите в случаите, когато има подадена само една оферта или до етап класиране е допусната само една оферта.</w:t>
      </w:r>
    </w:p>
    <w:p w:rsidR="00D70E42" w:rsidRPr="003258F1" w:rsidRDefault="00DE3DBB" w:rsidP="00DE3DBB">
      <w:pPr>
        <w:tabs>
          <w:tab w:val="left" w:pos="709"/>
        </w:tabs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ab/>
      </w:r>
      <w:r w:rsidR="003258F1" w:rsidRPr="003258F1">
        <w:rPr>
          <w:rFonts w:ascii="Times New Roman" w:hAnsi="Times New Roman" w:cs="Times New Roman"/>
          <w:sz w:val="24"/>
          <w:szCs w:val="24"/>
        </w:rPr>
        <w:t xml:space="preserve">С документите по </w:t>
      </w:r>
      <w:r w:rsidR="003258F1" w:rsidRPr="00163BD9">
        <w:rPr>
          <w:rFonts w:ascii="Times New Roman" w:hAnsi="Times New Roman" w:cs="Times New Roman"/>
          <w:sz w:val="24"/>
          <w:szCs w:val="24"/>
        </w:rPr>
        <w:t>т.</w:t>
      </w:r>
      <w:r w:rsidR="00163BD9" w:rsidRPr="00163BD9">
        <w:rPr>
          <w:rFonts w:ascii="Times New Roman" w:hAnsi="Times New Roman" w:cs="Times New Roman"/>
          <w:sz w:val="24"/>
          <w:szCs w:val="24"/>
        </w:rPr>
        <w:t>4</w:t>
      </w:r>
      <w:r w:rsidR="003258F1" w:rsidRPr="00163BD9">
        <w:rPr>
          <w:rFonts w:ascii="Times New Roman" w:hAnsi="Times New Roman" w:cs="Times New Roman"/>
          <w:sz w:val="24"/>
          <w:szCs w:val="24"/>
        </w:rPr>
        <w:t xml:space="preserve"> от </w:t>
      </w:r>
      <w:r w:rsidR="00163BD9" w:rsidRPr="00163BD9">
        <w:rPr>
          <w:rFonts w:ascii="Times New Roman" w:hAnsi="Times New Roman" w:cs="Times New Roman"/>
          <w:sz w:val="24"/>
          <w:szCs w:val="24"/>
        </w:rPr>
        <w:t>глава 4 на наръчника</w:t>
      </w:r>
      <w:r w:rsidR="003258F1" w:rsidRPr="00163BD9">
        <w:rPr>
          <w:rFonts w:ascii="Times New Roman" w:hAnsi="Times New Roman" w:cs="Times New Roman"/>
          <w:sz w:val="24"/>
          <w:szCs w:val="24"/>
        </w:rPr>
        <w:t>, бенефициентът подава и попълнена справка, относно</w:t>
      </w:r>
      <w:r w:rsidR="003258F1" w:rsidRPr="00163BD9">
        <w:t xml:space="preserve"> </w:t>
      </w:r>
      <w:r w:rsidR="003258F1" w:rsidRPr="00163BD9">
        <w:rPr>
          <w:rFonts w:ascii="Times New Roman" w:hAnsi="Times New Roman" w:cs="Times New Roman"/>
          <w:sz w:val="24"/>
          <w:szCs w:val="24"/>
        </w:rPr>
        <w:t xml:space="preserve">провеждани пазарни консултации и/или външно участие при подготовка на документацията на обществена поръчка по приложен образец към глава 4 на </w:t>
      </w:r>
      <w:r w:rsidR="00163BD9" w:rsidRPr="00163BD9">
        <w:rPr>
          <w:rFonts w:ascii="Times New Roman" w:hAnsi="Times New Roman" w:cs="Times New Roman"/>
          <w:sz w:val="24"/>
          <w:szCs w:val="24"/>
        </w:rPr>
        <w:t>наръчника</w:t>
      </w:r>
      <w:r w:rsidR="00EC79D5">
        <w:rPr>
          <w:rFonts w:ascii="Times New Roman" w:hAnsi="Times New Roman" w:cs="Times New Roman"/>
          <w:sz w:val="24"/>
          <w:szCs w:val="24"/>
        </w:rPr>
        <w:t xml:space="preserve">. </w:t>
      </w:r>
      <w:r w:rsidR="003258F1" w:rsidRPr="00163BD9">
        <w:rPr>
          <w:rFonts w:ascii="Times New Roman" w:hAnsi="Times New Roman" w:cs="Times New Roman"/>
          <w:sz w:val="24"/>
          <w:szCs w:val="24"/>
        </w:rPr>
        <w:t>Същата служи освен за преценка на обстоятелствата по ЗОП, касаещи провеждането на пазарни проучвания, така и за проверка на наличие на потенциален конфликт на интереси.</w:t>
      </w:r>
      <w:r w:rsidR="003258F1" w:rsidRPr="003258F1">
        <w:rPr>
          <w:rFonts w:ascii="Times New Roman" w:hAnsi="Times New Roman" w:cs="Times New Roman"/>
          <w:sz w:val="24"/>
          <w:szCs w:val="24"/>
        </w:rPr>
        <w:t xml:space="preserve"> </w:t>
      </w:r>
    </w:p>
    <w:p w:rsidR="003258F1" w:rsidRPr="00EA0BB5" w:rsidRDefault="003258F1" w:rsidP="00E35FF1">
      <w:pPr>
        <w:pStyle w:val="ListParagraph"/>
        <w:numPr>
          <w:ilvl w:val="2"/>
          <w:numId w:val="1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BDD6EE" w:themeFill="accent1" w:themeFillTint="66"/>
        <w:tabs>
          <w:tab w:val="left" w:pos="0"/>
        </w:tabs>
        <w:spacing w:before="120" w:after="120" w:line="240" w:lineRule="auto"/>
        <w:ind w:left="0" w:firstLine="0"/>
        <w:jc w:val="both"/>
        <w:outlineLvl w:val="2"/>
        <w:rPr>
          <w:rFonts w:ascii="Times New Roman" w:hAnsi="Times New Roman" w:cs="Times New Roman"/>
          <w:sz w:val="24"/>
          <w:szCs w:val="24"/>
          <w:u w:val="single"/>
        </w:rPr>
      </w:pPr>
      <w:bookmarkStart w:id="15" w:name="_Toc140150241"/>
      <w:r w:rsidRPr="00EA0BB5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Процедура по самоотвод на експерти, осъществяващи последващ контрол на ОП в УО</w:t>
      </w:r>
      <w:bookmarkEnd w:id="15"/>
    </w:p>
    <w:p w:rsidR="003258F1" w:rsidRPr="003258F1" w:rsidRDefault="003258F1" w:rsidP="003258F1">
      <w:pPr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 xml:space="preserve">Във връзка с чл. 61, </w:t>
      </w:r>
      <w:proofErr w:type="spellStart"/>
      <w:r w:rsidRPr="003258F1">
        <w:rPr>
          <w:rFonts w:ascii="Times New Roman" w:hAnsi="Times New Roman" w:cs="Times New Roman"/>
          <w:sz w:val="24"/>
          <w:szCs w:val="24"/>
        </w:rPr>
        <w:t>пар</w:t>
      </w:r>
      <w:proofErr w:type="spellEnd"/>
      <w:r w:rsidR="00DE3DBB">
        <w:rPr>
          <w:rFonts w:ascii="Times New Roman" w:hAnsi="Times New Roman" w:cs="Times New Roman"/>
          <w:sz w:val="24"/>
          <w:szCs w:val="24"/>
        </w:rPr>
        <w:t>. 2</w:t>
      </w:r>
      <w:r w:rsidRPr="003258F1">
        <w:rPr>
          <w:rFonts w:ascii="Times New Roman" w:hAnsi="Times New Roman" w:cs="Times New Roman"/>
          <w:sz w:val="24"/>
          <w:szCs w:val="24"/>
        </w:rPr>
        <w:t xml:space="preserve"> от Регламент (ЕС, </w:t>
      </w:r>
      <w:proofErr w:type="spellStart"/>
      <w:r w:rsidRPr="003258F1">
        <w:rPr>
          <w:rFonts w:ascii="Times New Roman" w:hAnsi="Times New Roman" w:cs="Times New Roman"/>
          <w:sz w:val="24"/>
          <w:szCs w:val="24"/>
        </w:rPr>
        <w:t>Евратом</w:t>
      </w:r>
      <w:proofErr w:type="spellEnd"/>
      <w:r w:rsidRPr="003258F1">
        <w:rPr>
          <w:rFonts w:ascii="Times New Roman" w:hAnsi="Times New Roman" w:cs="Times New Roman"/>
          <w:sz w:val="24"/>
          <w:szCs w:val="24"/>
        </w:rPr>
        <w:t>) № 1046 от 2018 на Европейския парламент и на Съвета, когато има риск от конфликт на интереси с участието на служител, осъществяващ последващ контрол на обществена поръчка, след узнаване на кандидатите или участниците, същият следва да си направи самоотвод, когато установи, че е налице или в хода на проверката е възникнал конфликт на интереси.</w:t>
      </w:r>
    </w:p>
    <w:p w:rsidR="003258F1" w:rsidRPr="003258F1" w:rsidRDefault="00786691" w:rsidP="00DE3D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Самоотводът </w:t>
      </w:r>
      <w:r w:rsidR="003258F1" w:rsidRPr="003258F1">
        <w:rPr>
          <w:rFonts w:ascii="Times New Roman" w:hAnsi="Times New Roman" w:cs="Times New Roman"/>
          <w:sz w:val="24"/>
          <w:szCs w:val="24"/>
        </w:rPr>
        <w:t>се прави в писмен вид</w:t>
      </w:r>
      <w:r>
        <w:rPr>
          <w:rFonts w:ascii="Times New Roman" w:hAnsi="Times New Roman" w:cs="Times New Roman"/>
          <w:sz w:val="24"/>
          <w:szCs w:val="24"/>
        </w:rPr>
        <w:t>,</w:t>
      </w:r>
      <w:r w:rsidR="003258F1" w:rsidRPr="003258F1">
        <w:rPr>
          <w:rFonts w:ascii="Times New Roman" w:hAnsi="Times New Roman" w:cs="Times New Roman"/>
          <w:sz w:val="24"/>
          <w:szCs w:val="24"/>
        </w:rPr>
        <w:t xml:space="preserve"> в свободен текст до началника на отдел</w:t>
      </w:r>
      <w:r>
        <w:rPr>
          <w:rFonts w:ascii="Times New Roman" w:hAnsi="Times New Roman" w:cs="Times New Roman"/>
          <w:sz w:val="24"/>
          <w:szCs w:val="24"/>
        </w:rPr>
        <w:t>а</w:t>
      </w:r>
      <w:r w:rsidR="003258F1" w:rsidRPr="003258F1">
        <w:rPr>
          <w:rFonts w:ascii="Times New Roman" w:hAnsi="Times New Roman" w:cs="Times New Roman"/>
          <w:sz w:val="24"/>
          <w:szCs w:val="24"/>
        </w:rPr>
        <w:t>, който определя друг експерт, който да осъществи проверката на съответната процедура.</w:t>
      </w:r>
    </w:p>
    <w:p w:rsidR="003258F1" w:rsidRPr="00DE3DBB" w:rsidRDefault="003258F1" w:rsidP="00DE3DBB">
      <w:pPr>
        <w:ind w:firstLine="708"/>
        <w:jc w:val="both"/>
        <w:rPr>
          <w:rFonts w:ascii="Times New Roman" w:hAnsi="Times New Roman" w:cs="Times New Roman"/>
          <w:sz w:val="24"/>
          <w:szCs w:val="24"/>
        </w:rPr>
      </w:pPr>
      <w:r w:rsidRPr="003258F1">
        <w:rPr>
          <w:rFonts w:ascii="Times New Roman" w:hAnsi="Times New Roman" w:cs="Times New Roman"/>
          <w:sz w:val="24"/>
          <w:szCs w:val="24"/>
        </w:rPr>
        <w:t>Експертите, осъществяващи последващ контрол на ОП в УО, декларират липсата на конфликт на интереси по проверяваната от тях процедура по подходящ начин.</w:t>
      </w:r>
    </w:p>
    <w:p w:rsidR="003258F1" w:rsidRPr="00CC6EDD" w:rsidRDefault="003258F1" w:rsidP="00DE3DBB">
      <w:pPr>
        <w:pStyle w:val="ListParagraph"/>
        <w:numPr>
          <w:ilvl w:val="0"/>
          <w:numId w:val="1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99CCFF"/>
        <w:spacing w:before="120" w:after="120" w:line="240" w:lineRule="auto"/>
        <w:ind w:hanging="398"/>
        <w:jc w:val="both"/>
        <w:outlineLvl w:val="1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bookmarkStart w:id="16" w:name="_Toc431992229"/>
      <w:bookmarkStart w:id="17" w:name="_Toc432165960"/>
      <w:bookmarkStart w:id="18" w:name="_Toc431992230"/>
      <w:bookmarkStart w:id="19" w:name="_Toc432165961"/>
      <w:bookmarkStart w:id="20" w:name="_Toc431992231"/>
      <w:bookmarkStart w:id="21" w:name="_Toc432165962"/>
      <w:bookmarkStart w:id="22" w:name="_Toc431992232"/>
      <w:bookmarkStart w:id="23" w:name="_Toc432165963"/>
      <w:bookmarkStart w:id="24" w:name="_Toc431992233"/>
      <w:bookmarkStart w:id="25" w:name="_Toc432165964"/>
      <w:bookmarkStart w:id="26" w:name="_Toc431992234"/>
      <w:bookmarkStart w:id="27" w:name="_Toc432165965"/>
      <w:bookmarkStart w:id="28" w:name="_Toc431992235"/>
      <w:bookmarkStart w:id="29" w:name="_Toc432165966"/>
      <w:bookmarkStart w:id="30" w:name="_Toc431992236"/>
      <w:bookmarkStart w:id="31" w:name="_Toc432165967"/>
      <w:bookmarkStart w:id="32" w:name="_Toc431992237"/>
      <w:bookmarkStart w:id="33" w:name="_Toc432165968"/>
      <w:bookmarkStart w:id="34" w:name="_Toc431992238"/>
      <w:bookmarkStart w:id="35" w:name="_Toc432165969"/>
      <w:bookmarkStart w:id="36" w:name="_Toc431992239"/>
      <w:bookmarkStart w:id="37" w:name="_Toc432165970"/>
      <w:bookmarkStart w:id="38" w:name="_Toc431992240"/>
      <w:bookmarkStart w:id="39" w:name="_Toc432165971"/>
      <w:bookmarkStart w:id="40" w:name="_Toc431992241"/>
      <w:bookmarkStart w:id="41" w:name="_Toc432165972"/>
      <w:bookmarkStart w:id="42" w:name="_Toc431992242"/>
      <w:bookmarkStart w:id="43" w:name="_Toc432165973"/>
      <w:bookmarkStart w:id="44" w:name="_Toc431992243"/>
      <w:bookmarkStart w:id="45" w:name="_Toc432165974"/>
      <w:bookmarkStart w:id="46" w:name="_Toc431992244"/>
      <w:bookmarkStart w:id="47" w:name="_Toc432165975"/>
      <w:bookmarkStart w:id="48" w:name="_Toc431992245"/>
      <w:bookmarkStart w:id="49" w:name="_Toc432165976"/>
      <w:bookmarkStart w:id="50" w:name="_Toc431992246"/>
      <w:bookmarkStart w:id="51" w:name="_Toc432165977"/>
      <w:bookmarkStart w:id="52" w:name="_Toc431992247"/>
      <w:bookmarkStart w:id="53" w:name="_Toc432165978"/>
      <w:bookmarkStart w:id="54" w:name="_Toc431992248"/>
      <w:bookmarkStart w:id="55" w:name="_Toc432165979"/>
      <w:bookmarkStart w:id="56" w:name="_Toc431992249"/>
      <w:bookmarkStart w:id="57" w:name="_Toc432165980"/>
      <w:bookmarkStart w:id="58" w:name="_Toc431992250"/>
      <w:bookmarkStart w:id="59" w:name="_Toc432165981"/>
      <w:bookmarkStart w:id="60" w:name="_Toc431992251"/>
      <w:bookmarkStart w:id="61" w:name="_Toc432165982"/>
      <w:bookmarkStart w:id="62" w:name="_Toc431992252"/>
      <w:bookmarkStart w:id="63" w:name="_Toc432165983"/>
      <w:bookmarkStart w:id="64" w:name="_Toc431992253"/>
      <w:bookmarkStart w:id="65" w:name="_Toc432165984"/>
      <w:bookmarkStart w:id="66" w:name="_Toc431992254"/>
      <w:bookmarkStart w:id="67" w:name="_Toc432165985"/>
      <w:bookmarkStart w:id="68" w:name="_Toc431992255"/>
      <w:bookmarkStart w:id="69" w:name="_Toc432165986"/>
      <w:bookmarkStart w:id="70" w:name="_Toc431992256"/>
      <w:bookmarkStart w:id="71" w:name="_Toc432165987"/>
      <w:bookmarkStart w:id="72" w:name="_Toc431992257"/>
      <w:bookmarkStart w:id="73" w:name="_Toc432165988"/>
      <w:bookmarkStart w:id="74" w:name="_Toc431992258"/>
      <w:bookmarkStart w:id="75" w:name="_Toc432165989"/>
      <w:bookmarkStart w:id="76" w:name="_Toc431992259"/>
      <w:bookmarkStart w:id="77" w:name="_Toc432165990"/>
      <w:bookmarkStart w:id="78" w:name="_Toc431992260"/>
      <w:bookmarkStart w:id="79" w:name="_Toc432165991"/>
      <w:bookmarkStart w:id="80" w:name="_Toc431992261"/>
      <w:bookmarkStart w:id="81" w:name="_Toc432165992"/>
      <w:bookmarkStart w:id="82" w:name="_Toc431992262"/>
      <w:bookmarkStart w:id="83" w:name="_Toc432165993"/>
      <w:bookmarkStart w:id="84" w:name="_Toc431992263"/>
      <w:bookmarkStart w:id="85" w:name="_Toc432165994"/>
      <w:bookmarkStart w:id="86" w:name="_Toc431992264"/>
      <w:bookmarkStart w:id="87" w:name="_Toc432165995"/>
      <w:bookmarkStart w:id="88" w:name="_Toc431992265"/>
      <w:bookmarkStart w:id="89" w:name="_Toc432165996"/>
      <w:bookmarkStart w:id="90" w:name="_Toc431992266"/>
      <w:bookmarkStart w:id="91" w:name="_Toc432165997"/>
      <w:bookmarkStart w:id="92" w:name="_Toc431992267"/>
      <w:bookmarkStart w:id="93" w:name="_Toc432165998"/>
      <w:bookmarkStart w:id="94" w:name="_Toc431992268"/>
      <w:bookmarkStart w:id="95" w:name="_Toc432165999"/>
      <w:bookmarkStart w:id="96" w:name="_Toc431992269"/>
      <w:bookmarkStart w:id="97" w:name="_Toc432166000"/>
      <w:bookmarkStart w:id="98" w:name="_Toc431992270"/>
      <w:bookmarkStart w:id="99" w:name="_Toc432166001"/>
      <w:bookmarkStart w:id="100" w:name="_Toc431992271"/>
      <w:bookmarkStart w:id="101" w:name="_Toc432166002"/>
      <w:bookmarkStart w:id="102" w:name="_Toc431992272"/>
      <w:bookmarkStart w:id="103" w:name="_Toc432166003"/>
      <w:bookmarkStart w:id="104" w:name="_Toc431992273"/>
      <w:bookmarkStart w:id="105" w:name="_Toc432166004"/>
      <w:bookmarkStart w:id="106" w:name="_Toc431992274"/>
      <w:bookmarkStart w:id="107" w:name="_Toc432166005"/>
      <w:bookmarkStart w:id="108" w:name="_Toc431992275"/>
      <w:bookmarkStart w:id="109" w:name="_Toc432166006"/>
      <w:bookmarkStart w:id="110" w:name="_Toc431992276"/>
      <w:bookmarkStart w:id="111" w:name="_Toc432166007"/>
      <w:bookmarkStart w:id="112" w:name="_Toc431992277"/>
      <w:bookmarkStart w:id="113" w:name="_Toc432166008"/>
      <w:bookmarkStart w:id="114" w:name="_Toc431992278"/>
      <w:bookmarkStart w:id="115" w:name="_Toc432166009"/>
      <w:bookmarkStart w:id="116" w:name="_Toc431992279"/>
      <w:bookmarkStart w:id="117" w:name="_Toc432166010"/>
      <w:bookmarkStart w:id="118" w:name="_Toc431992280"/>
      <w:bookmarkStart w:id="119" w:name="_Toc432166011"/>
      <w:bookmarkStart w:id="120" w:name="_Toc431992281"/>
      <w:bookmarkStart w:id="121" w:name="_Toc432166012"/>
      <w:bookmarkStart w:id="122" w:name="_Toc431992282"/>
      <w:bookmarkStart w:id="123" w:name="_Toc432166013"/>
      <w:bookmarkStart w:id="124" w:name="_Toc431992283"/>
      <w:bookmarkStart w:id="125" w:name="_Toc432166014"/>
      <w:bookmarkStart w:id="126" w:name="_Toc431992284"/>
      <w:bookmarkStart w:id="127" w:name="_Toc432166015"/>
      <w:bookmarkStart w:id="128" w:name="_Toc431992285"/>
      <w:bookmarkStart w:id="129" w:name="_Toc432166016"/>
      <w:bookmarkStart w:id="130" w:name="_Toc431992286"/>
      <w:bookmarkStart w:id="131" w:name="_Toc432166017"/>
      <w:bookmarkStart w:id="132" w:name="_Toc431992287"/>
      <w:bookmarkStart w:id="133" w:name="_Toc432166018"/>
      <w:bookmarkStart w:id="134" w:name="_Toc431992288"/>
      <w:bookmarkStart w:id="135" w:name="_Toc432166019"/>
      <w:bookmarkStart w:id="136" w:name="_Toc431992289"/>
      <w:bookmarkStart w:id="137" w:name="_Toc432166020"/>
      <w:bookmarkStart w:id="138" w:name="_Toc431992290"/>
      <w:bookmarkStart w:id="139" w:name="_Toc432166021"/>
      <w:bookmarkStart w:id="140" w:name="_Toc431992291"/>
      <w:bookmarkStart w:id="141" w:name="_Toc432166022"/>
      <w:bookmarkStart w:id="142" w:name="_Toc431992292"/>
      <w:bookmarkStart w:id="143" w:name="_Toc432166023"/>
      <w:bookmarkStart w:id="144" w:name="_Toc431992293"/>
      <w:bookmarkStart w:id="145" w:name="_Toc432166024"/>
      <w:bookmarkStart w:id="146" w:name="_Toc431992294"/>
      <w:bookmarkStart w:id="147" w:name="_Toc432166025"/>
      <w:bookmarkStart w:id="148" w:name="_Toc431992295"/>
      <w:bookmarkStart w:id="149" w:name="_Toc432166026"/>
      <w:bookmarkStart w:id="150" w:name="_Toc431992296"/>
      <w:bookmarkStart w:id="151" w:name="_Toc432166027"/>
      <w:bookmarkStart w:id="152" w:name="_Toc431992297"/>
      <w:bookmarkStart w:id="153" w:name="_Toc432166028"/>
      <w:bookmarkStart w:id="154" w:name="_Toc431992298"/>
      <w:bookmarkStart w:id="155" w:name="_Toc432166029"/>
      <w:bookmarkStart w:id="156" w:name="_Toc431992299"/>
      <w:bookmarkStart w:id="157" w:name="_Toc432166030"/>
      <w:bookmarkStart w:id="158" w:name="_Toc431992300"/>
      <w:bookmarkStart w:id="159" w:name="_Toc432166031"/>
      <w:bookmarkStart w:id="160" w:name="_Toc431992301"/>
      <w:bookmarkStart w:id="161" w:name="_Toc432166032"/>
      <w:bookmarkStart w:id="162" w:name="_Toc431992302"/>
      <w:bookmarkStart w:id="163" w:name="_Toc432166033"/>
      <w:bookmarkStart w:id="164" w:name="_Toc431992303"/>
      <w:bookmarkStart w:id="165" w:name="_Toc432166034"/>
      <w:bookmarkStart w:id="166" w:name="_Toc431992304"/>
      <w:bookmarkStart w:id="167" w:name="_Toc432166035"/>
      <w:bookmarkStart w:id="168" w:name="_Toc431992305"/>
      <w:bookmarkStart w:id="169" w:name="_Toc432166036"/>
      <w:bookmarkStart w:id="170" w:name="_Toc431992306"/>
      <w:bookmarkStart w:id="171" w:name="_Toc432166037"/>
      <w:bookmarkStart w:id="172" w:name="_Toc431992307"/>
      <w:bookmarkStart w:id="173" w:name="_Toc432166038"/>
      <w:bookmarkStart w:id="174" w:name="_Toc431992308"/>
      <w:bookmarkStart w:id="175" w:name="_Toc432166039"/>
      <w:bookmarkStart w:id="176" w:name="_Toc431992309"/>
      <w:bookmarkStart w:id="177" w:name="_Toc432166040"/>
      <w:bookmarkStart w:id="178" w:name="_Toc431992310"/>
      <w:bookmarkStart w:id="179" w:name="_Toc432166041"/>
      <w:bookmarkStart w:id="180" w:name="_Toc431992311"/>
      <w:bookmarkStart w:id="181" w:name="_Toc432166042"/>
      <w:bookmarkStart w:id="182" w:name="_Toc431992312"/>
      <w:bookmarkStart w:id="183" w:name="_Toc432166043"/>
      <w:bookmarkStart w:id="184" w:name="_Toc431992313"/>
      <w:bookmarkStart w:id="185" w:name="_Toc432166044"/>
      <w:bookmarkStart w:id="186" w:name="_Toc431992314"/>
      <w:bookmarkStart w:id="187" w:name="_Toc432166045"/>
      <w:bookmarkStart w:id="188" w:name="_Toc431992315"/>
      <w:bookmarkStart w:id="189" w:name="_Toc432166046"/>
      <w:bookmarkStart w:id="190" w:name="_Toc431992316"/>
      <w:bookmarkStart w:id="191" w:name="_Toc432166047"/>
      <w:bookmarkStart w:id="192" w:name="_Toc431992317"/>
      <w:bookmarkStart w:id="193" w:name="_Toc432166048"/>
      <w:bookmarkStart w:id="194" w:name="_Toc431992318"/>
      <w:bookmarkStart w:id="195" w:name="_Toc432166049"/>
      <w:bookmarkStart w:id="196" w:name="_Toc431992319"/>
      <w:bookmarkStart w:id="197" w:name="_Toc432166050"/>
      <w:bookmarkStart w:id="198" w:name="_Toc431992320"/>
      <w:bookmarkStart w:id="199" w:name="_Toc432166051"/>
      <w:bookmarkStart w:id="200" w:name="_Toc431992321"/>
      <w:bookmarkStart w:id="201" w:name="_Toc432166052"/>
      <w:bookmarkStart w:id="202" w:name="_Toc431992322"/>
      <w:bookmarkStart w:id="203" w:name="_Toc432166053"/>
      <w:bookmarkStart w:id="204" w:name="_Toc431992323"/>
      <w:bookmarkStart w:id="205" w:name="_Toc432166054"/>
      <w:bookmarkStart w:id="206" w:name="_Toc431992324"/>
      <w:bookmarkStart w:id="207" w:name="_Toc432166055"/>
      <w:bookmarkStart w:id="208" w:name="_Toc431992325"/>
      <w:bookmarkStart w:id="209" w:name="_Toc432166056"/>
      <w:bookmarkStart w:id="210" w:name="_Toc431992326"/>
      <w:bookmarkStart w:id="211" w:name="_Toc432166057"/>
      <w:bookmarkStart w:id="212" w:name="_Toc431992327"/>
      <w:bookmarkStart w:id="213" w:name="_Toc432166058"/>
      <w:bookmarkStart w:id="214" w:name="_Toc431992328"/>
      <w:bookmarkStart w:id="215" w:name="_Toc432166059"/>
      <w:bookmarkStart w:id="216" w:name="_Toc431992329"/>
      <w:bookmarkStart w:id="217" w:name="_Toc432166060"/>
      <w:bookmarkStart w:id="218" w:name="_Toc431992330"/>
      <w:bookmarkStart w:id="219" w:name="_Toc432166061"/>
      <w:bookmarkStart w:id="220" w:name="_Toc431992331"/>
      <w:bookmarkStart w:id="221" w:name="_Toc432166062"/>
      <w:bookmarkStart w:id="222" w:name="_Toc431992332"/>
      <w:bookmarkStart w:id="223" w:name="_Toc432166063"/>
      <w:bookmarkStart w:id="224" w:name="_Toc431992333"/>
      <w:bookmarkStart w:id="225" w:name="_Toc432166064"/>
      <w:bookmarkStart w:id="226" w:name="_Toc431992334"/>
      <w:bookmarkStart w:id="227" w:name="_Toc432166065"/>
      <w:bookmarkStart w:id="228" w:name="_Toc431992335"/>
      <w:bookmarkStart w:id="229" w:name="_Toc432166066"/>
      <w:bookmarkStart w:id="230" w:name="_Toc431992336"/>
      <w:bookmarkStart w:id="231" w:name="_Toc432166067"/>
      <w:bookmarkStart w:id="232" w:name="_Toc431992337"/>
      <w:bookmarkStart w:id="233" w:name="_Toc432166068"/>
      <w:bookmarkStart w:id="234" w:name="_Toc479775688"/>
      <w:bookmarkStart w:id="235" w:name="_Toc140150242"/>
      <w:bookmarkEnd w:id="16"/>
      <w:bookmarkEnd w:id="17"/>
      <w:bookmarkEnd w:id="18"/>
      <w:bookmarkEnd w:id="19"/>
      <w:bookmarkEnd w:id="20"/>
      <w:bookmarkEnd w:id="21"/>
      <w:bookmarkEnd w:id="22"/>
      <w:bookmarkEnd w:id="23"/>
      <w:bookmarkEnd w:id="24"/>
      <w:bookmarkEnd w:id="25"/>
      <w:bookmarkEnd w:id="26"/>
      <w:bookmarkEnd w:id="27"/>
      <w:bookmarkEnd w:id="28"/>
      <w:bookmarkEnd w:id="29"/>
      <w:bookmarkEnd w:id="30"/>
      <w:bookmarkEnd w:id="31"/>
      <w:bookmarkEnd w:id="32"/>
      <w:bookmarkEnd w:id="33"/>
      <w:bookmarkEnd w:id="34"/>
      <w:bookmarkEnd w:id="35"/>
      <w:bookmarkEnd w:id="36"/>
      <w:bookmarkEnd w:id="37"/>
      <w:bookmarkEnd w:id="38"/>
      <w:bookmarkEnd w:id="39"/>
      <w:bookmarkEnd w:id="40"/>
      <w:bookmarkEnd w:id="41"/>
      <w:bookmarkEnd w:id="42"/>
      <w:bookmarkEnd w:id="43"/>
      <w:bookmarkEnd w:id="44"/>
      <w:bookmarkEnd w:id="45"/>
      <w:bookmarkEnd w:id="46"/>
      <w:bookmarkEnd w:id="47"/>
      <w:bookmarkEnd w:id="48"/>
      <w:bookmarkEnd w:id="49"/>
      <w:bookmarkEnd w:id="50"/>
      <w:bookmarkEnd w:id="51"/>
      <w:bookmarkEnd w:id="52"/>
      <w:bookmarkEnd w:id="53"/>
      <w:bookmarkEnd w:id="54"/>
      <w:bookmarkEnd w:id="55"/>
      <w:bookmarkEnd w:id="56"/>
      <w:bookmarkEnd w:id="57"/>
      <w:bookmarkEnd w:id="58"/>
      <w:bookmarkEnd w:id="59"/>
      <w:bookmarkEnd w:id="60"/>
      <w:bookmarkEnd w:id="61"/>
      <w:bookmarkEnd w:id="62"/>
      <w:bookmarkEnd w:id="63"/>
      <w:bookmarkEnd w:id="64"/>
      <w:bookmarkEnd w:id="65"/>
      <w:bookmarkEnd w:id="66"/>
      <w:bookmarkEnd w:id="67"/>
      <w:bookmarkEnd w:id="68"/>
      <w:bookmarkEnd w:id="69"/>
      <w:bookmarkEnd w:id="70"/>
      <w:bookmarkEnd w:id="71"/>
      <w:bookmarkEnd w:id="72"/>
      <w:bookmarkEnd w:id="73"/>
      <w:bookmarkEnd w:id="74"/>
      <w:bookmarkEnd w:id="75"/>
      <w:bookmarkEnd w:id="76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bookmarkEnd w:id="103"/>
      <w:bookmarkEnd w:id="104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bookmarkEnd w:id="169"/>
      <w:bookmarkEnd w:id="170"/>
      <w:bookmarkEnd w:id="171"/>
      <w:bookmarkEnd w:id="172"/>
      <w:bookmarkEnd w:id="173"/>
      <w:bookmarkEnd w:id="174"/>
      <w:bookmarkEnd w:id="175"/>
      <w:bookmarkEnd w:id="176"/>
      <w:bookmarkEnd w:id="177"/>
      <w:bookmarkEnd w:id="178"/>
      <w:bookmarkEnd w:id="179"/>
      <w:bookmarkEnd w:id="180"/>
      <w:bookmarkEnd w:id="181"/>
      <w:bookmarkEnd w:id="182"/>
      <w:bookmarkEnd w:id="183"/>
      <w:bookmarkEnd w:id="184"/>
      <w:bookmarkEnd w:id="185"/>
      <w:bookmarkEnd w:id="186"/>
      <w:bookmarkEnd w:id="187"/>
      <w:bookmarkEnd w:id="188"/>
      <w:bookmarkEnd w:id="189"/>
      <w:bookmarkEnd w:id="190"/>
      <w:bookmarkEnd w:id="191"/>
      <w:bookmarkEnd w:id="192"/>
      <w:bookmarkEnd w:id="193"/>
      <w:bookmarkEnd w:id="194"/>
      <w:bookmarkEnd w:id="195"/>
      <w:bookmarkEnd w:id="196"/>
      <w:bookmarkEnd w:id="197"/>
      <w:bookmarkEnd w:id="198"/>
      <w:bookmarkEnd w:id="199"/>
      <w:bookmarkEnd w:id="200"/>
      <w:bookmarkEnd w:id="201"/>
      <w:bookmarkEnd w:id="202"/>
      <w:bookmarkEnd w:id="203"/>
      <w:bookmarkEnd w:id="204"/>
      <w:bookmarkEnd w:id="205"/>
      <w:bookmarkEnd w:id="206"/>
      <w:bookmarkEnd w:id="207"/>
      <w:bookmarkEnd w:id="208"/>
      <w:bookmarkEnd w:id="209"/>
      <w:bookmarkEnd w:id="210"/>
      <w:bookmarkEnd w:id="211"/>
      <w:bookmarkEnd w:id="212"/>
      <w:bookmarkEnd w:id="213"/>
      <w:bookmarkEnd w:id="214"/>
      <w:bookmarkEnd w:id="215"/>
      <w:bookmarkEnd w:id="216"/>
      <w:bookmarkEnd w:id="217"/>
      <w:bookmarkEnd w:id="218"/>
      <w:bookmarkEnd w:id="219"/>
      <w:bookmarkEnd w:id="220"/>
      <w:bookmarkEnd w:id="221"/>
      <w:bookmarkEnd w:id="222"/>
      <w:bookmarkEnd w:id="223"/>
      <w:bookmarkEnd w:id="224"/>
      <w:bookmarkEnd w:id="225"/>
      <w:bookmarkEnd w:id="226"/>
      <w:bookmarkEnd w:id="227"/>
      <w:bookmarkEnd w:id="228"/>
      <w:bookmarkEnd w:id="229"/>
      <w:bookmarkEnd w:id="230"/>
      <w:bookmarkEnd w:id="231"/>
      <w:bookmarkEnd w:id="232"/>
      <w:bookmarkEnd w:id="233"/>
      <w:r w:rsidRPr="00CC6EDD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Основни контролни дейности при възлагане на обществени </w:t>
      </w:r>
      <w:r w:rsidR="00897ADF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поръчки за проекти по </w:t>
      </w:r>
      <w:r w:rsidRPr="00CC6EDD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ПТС, при които бенефициент по проектите е Управляващият орган</w:t>
      </w:r>
      <w:bookmarkEnd w:id="234"/>
      <w:bookmarkEnd w:id="235"/>
    </w:p>
    <w:p w:rsidR="003258F1" w:rsidRDefault="003258F1" w:rsidP="00DE3DBB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случаите на изпълнение на проекти, финансирани по приоритетна ос „Техническа помощ”, бенефициент може да бъде Управляващият орган. В тези случаи, процедурата за възлагане на обществена поръчка се осъществява в рамките на Министерството на транспорта и съобщенията в съответствие с утвърдените от Министъра на транспорта и съобщенията „Вътрешни правила за реда и организацията за възлагане на обществени поръчки в Министерството на транспорта и съобщенията”.</w:t>
      </w:r>
    </w:p>
    <w:p w:rsidR="003258F1" w:rsidRPr="003258F1" w:rsidRDefault="003258F1" w:rsidP="003258F1">
      <w:pPr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5A4F56" w:rsidP="00DE3DBB">
      <w:pPr>
        <w:numPr>
          <w:ilvl w:val="1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1" w:themeFillTint="33"/>
        <w:spacing w:before="120" w:after="120" w:line="240" w:lineRule="auto"/>
        <w:ind w:left="792" w:hanging="650"/>
        <w:contextualSpacing/>
        <w:jc w:val="both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236" w:name="_Toc431992339"/>
      <w:bookmarkStart w:id="237" w:name="_Toc432166070"/>
      <w:bookmarkStart w:id="238" w:name="_Toc431992340"/>
      <w:bookmarkStart w:id="239" w:name="_Toc432166071"/>
      <w:bookmarkStart w:id="240" w:name="_Toc431992341"/>
      <w:bookmarkStart w:id="241" w:name="_Toc432166072"/>
      <w:bookmarkStart w:id="242" w:name="_Toc431992342"/>
      <w:bookmarkStart w:id="243" w:name="_Toc432166073"/>
      <w:bookmarkStart w:id="244" w:name="_Toc431992343"/>
      <w:bookmarkStart w:id="245" w:name="_Toc432166074"/>
      <w:bookmarkStart w:id="246" w:name="_Toc431992344"/>
      <w:bookmarkStart w:id="247" w:name="_Toc432166075"/>
      <w:bookmarkStart w:id="248" w:name="_Toc431992345"/>
      <w:bookmarkStart w:id="249" w:name="_Toc432166076"/>
      <w:bookmarkStart w:id="250" w:name="_Toc479775689"/>
      <w:bookmarkStart w:id="251" w:name="_Toc140150243"/>
      <w:bookmarkEnd w:id="236"/>
      <w:bookmarkEnd w:id="237"/>
      <w:bookmarkEnd w:id="238"/>
      <w:bookmarkEnd w:id="239"/>
      <w:bookmarkEnd w:id="240"/>
      <w:bookmarkEnd w:id="241"/>
      <w:bookmarkEnd w:id="242"/>
      <w:bookmarkEnd w:id="243"/>
      <w:bookmarkEnd w:id="244"/>
      <w:bookmarkEnd w:id="245"/>
      <w:bookmarkEnd w:id="246"/>
      <w:bookmarkEnd w:id="247"/>
      <w:bookmarkEnd w:id="248"/>
      <w:bookmarkEnd w:id="249"/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5</w:t>
      </w:r>
      <w:r w:rsidR="00897D99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.1. </w:t>
      </w:r>
      <w:r w:rsidR="003258F1" w:rsidRPr="003258F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Контрол върху документацията от проведената обществена поръчка</w:t>
      </w:r>
      <w:bookmarkEnd w:id="250"/>
      <w:bookmarkEnd w:id="251"/>
    </w:p>
    <w:p w:rsidR="00DE3DBB" w:rsidRDefault="00DE3DBB" w:rsidP="00DE3DBB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258F1" w:rsidP="00DE3DBB">
      <w:pPr>
        <w:tabs>
          <w:tab w:val="left" w:pos="709"/>
        </w:tabs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Контрол за законосъобразност върх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 документацията от проведената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обществена п</w:t>
      </w:r>
      <w:r w:rsidR="0078669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оръчка се осъществява за всички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поръчки над стойностните праговете по ЗОП.</w:t>
      </w:r>
    </w:p>
    <w:p w:rsidR="003258F1" w:rsidRPr="003258F1" w:rsidRDefault="003258F1" w:rsidP="00DE3DBB">
      <w:pPr>
        <w:tabs>
          <w:tab w:val="left" w:pos="709"/>
        </w:tabs>
        <w:spacing w:before="120" w:after="12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Бенефициентът/Ръководителят на ЗИП в УО изпраща за контрол в отдел „Контрол по обществени поръчки“ документацията в 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тридесет (30) дневен срок преди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първото включване на разходи по сключения договор за верификация в искане за плащане. Документите, които следва да се пр</w:t>
      </w:r>
      <w:r w:rsidR="00C15EDA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едставят на електронен носител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са: </w:t>
      </w:r>
    </w:p>
    <w:p w:rsidR="003258F1" w:rsidRPr="003258F1" w:rsidRDefault="003258F1" w:rsidP="00DE3DBB">
      <w:pPr>
        <w:tabs>
          <w:tab w:val="left" w:pos="709"/>
        </w:tabs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Предварително обявление (ако има такова, поотделно от ОВ и от АОП);</w:t>
      </w:r>
    </w:p>
    <w:p w:rsidR="003258F1" w:rsidRPr="003258F1" w:rsidRDefault="003258F1" w:rsidP="00DE3DBB">
      <w:pPr>
        <w:tabs>
          <w:tab w:val="left" w:pos="709"/>
        </w:tabs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Обявление за обществената поръчка (по отделно от ОВ и от АОП);</w:t>
      </w:r>
    </w:p>
    <w:p w:rsidR="003258F1" w:rsidRPr="003258F1" w:rsidRDefault="003258F1" w:rsidP="00DE3DBB">
      <w:pPr>
        <w:tabs>
          <w:tab w:val="left" w:pos="709"/>
        </w:tabs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Документация за участие, вкл. кореспонденцията и разясненията на възл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ожителя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по получени въпроси от участниците (ако има такива);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Актове от външе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 контрол, осъществяван на АОП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(ако има такива);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Решения за промяна на обявлението или документацията за участие (ако има такива) (поотделно от ОВ и от АОП);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 xml:space="preserve">Протоколи за работата на комисията, вкл. оценителни листове; 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Заповед за назначаване на комисия за провеждане на процедурата;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Декларации по чл.103 от ЗОП и др. подобни (ако има такива);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Разменена кореспонденция между участниците и комисията за оценка по време на процедурата вкл. допълнително представени документи и др. подобни;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Решение за определяне на изпълнител;</w:t>
      </w:r>
    </w:p>
    <w:p w:rsidR="003258F1" w:rsidRPr="003258F1" w:rsidRDefault="00DE3DBB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</w:r>
      <w:r w:rsidR="003258F1"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Договор за обществена поръчка/рамково споразумение и договор по него;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Актове на КЗК и ВАС във връзка с процедурата;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•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ab/>
        <w:t>Копие от офертата на спечелилия участник и копия от офертите на останалите участници;</w:t>
      </w:r>
    </w:p>
    <w:p w:rsidR="003258F1" w:rsidRPr="003258F1" w:rsidRDefault="003258F1" w:rsidP="00DE3DBB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Посочените по-горе документи следва да са налични в ИСУН 2020 към датата на изпращане за контрол на документацията. </w:t>
      </w:r>
    </w:p>
    <w:p w:rsidR="003258F1" w:rsidRPr="003258F1" w:rsidRDefault="003258F1" w:rsidP="00DE3D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Бенефициентът/Ръководителят на ЗИП в УО представя и други документи, извън горнит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е – при необходимост (напр.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справка, попълнена и подписана от възложителя за проведени процедури със сходен предмет за съответната календарна година).</w:t>
      </w:r>
    </w:p>
    <w:p w:rsidR="003258F1" w:rsidRPr="003258F1" w:rsidRDefault="003258F1" w:rsidP="00DE3DBB">
      <w:pPr>
        <w:spacing w:after="0" w:line="240" w:lineRule="auto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258F1" w:rsidP="00DE3D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УО извършва контрол върху получените документи с п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риложим към настоящия Наръчник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общ контролен лист, който се попълва в 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ИСУН 2020 и приложения към него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(в зависимост от вида на процедурата), също част от Наръчника, които се публикуват в ИСУН 2020. Срокът за проверка на документацията от проведената обществена поръчка е до 20 работни дни от получаването в УО на гореописаните документи. 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на документацията се установят пропуски в представени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те документи, експерт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писмено от Ръководителя на ЗИП в УО (официално или по ел. поща) представянето на допълнителни документи, информация или разяснения. 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Срокът за изпращане на документите/допълнителната информация е до 3 работни дни от получаване на писмено запитване. До получаване на отговор/изпращането на документи от страна на бенефициента в УО, се прекъсва срокът от 20 работни дни за проверка на документацията от проведената процедура.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За поръчки под стойностните прагове за възлагане по ЗОП възложителят прилага утвърдени в рамките на МТС контролни процедури за осигуряване на законосъобразност. По отношение на контрол за разделяне на поръчка под стойностните прагове за възлагане по ЗОП се прилагат правилата на </w:t>
      </w:r>
      <w:r w:rsidRPr="00EC79D5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т.</w:t>
      </w:r>
      <w:r w:rsidR="00EC79D5" w:rsidRPr="00EC79D5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4</w:t>
      </w:r>
      <w:r w:rsidRPr="00EC79D5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.1.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от настоящата глава на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наръчник.</w:t>
      </w:r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Гореописаните проверки се финализират с попълването на общ КЛ в ИСУН 2020 и публикуването на приложенията към него от експерта, и одобрението му от началника на отдел „Контрол по обществени поръчки“ в ИСУН. За резултатите от проверката се изпраща уведомление по електроне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н път до началниците на отдели ИК и ФУ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(п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исмо, в случаите по 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54119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8</w:t>
      </w:r>
      <w:r w:rsidR="00163BD9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) к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акто и до Ръководителят на ЗИП в УО.</w:t>
      </w:r>
    </w:p>
    <w:p w:rsidR="003258F1" w:rsidRPr="003258F1" w:rsidRDefault="003258F1" w:rsidP="00DE3DBB">
      <w:pPr>
        <w:spacing w:after="0" w:line="240" w:lineRule="auto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5A4F56" w:rsidP="00DE3DBB">
      <w:pPr>
        <w:numPr>
          <w:ilvl w:val="1"/>
          <w:numId w:val="0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DEEAF6" w:themeFill="accent1" w:themeFillTint="33"/>
        <w:tabs>
          <w:tab w:val="left" w:pos="993"/>
        </w:tabs>
        <w:spacing w:before="120" w:after="120" w:line="240" w:lineRule="auto"/>
        <w:ind w:left="792" w:hanging="650"/>
        <w:contextualSpacing/>
        <w:jc w:val="both"/>
        <w:outlineLvl w:val="2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252" w:name="_Toc479775690"/>
      <w:bookmarkStart w:id="253" w:name="_Toc140150244"/>
      <w:r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5</w:t>
      </w:r>
      <w:r w:rsidR="00CC610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 xml:space="preserve">.2. </w:t>
      </w:r>
      <w:r w:rsidR="003258F1" w:rsidRPr="003258F1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Контрол от страна на УО на измененията на договор за обществена поръчка</w:t>
      </w:r>
      <w:bookmarkEnd w:id="252"/>
      <w:bookmarkEnd w:id="253"/>
    </w:p>
    <w:p w:rsidR="00DE3DBB" w:rsidRDefault="00DE3DBB" w:rsidP="003258F1">
      <w:pPr>
        <w:spacing w:after="0" w:line="240" w:lineRule="auto"/>
        <w:ind w:firstLine="567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</w:p>
    <w:p w:rsidR="003258F1" w:rsidRPr="003258F1" w:rsidRDefault="003258F1" w:rsidP="00DE3D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случай, че възникне някоя от предвидените в ЗОП хипотези, подписаното изменение на договора и копие от документацията, обосноваваща изменението на договора, се представя за контрол в Управляващия орган (отдел „Контрол по обществени поръчки“) за осъществяване на проверка за съответствие със законовите изисквания и клаузите на договора в срок от 5 работни дни след сключването му. Към датата на представянето му за проверката, същото следва да е публикувано и в ИСУН 2020, заедно с документацията, обосноваваща изменението.</w:t>
      </w:r>
    </w:p>
    <w:p w:rsidR="003258F1" w:rsidRPr="003258F1" w:rsidRDefault="003258F1" w:rsidP="00DE3D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4"/>
          <w:szCs w:val="20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При проверката се извършват консултации и се изисква становище от отдел „Изпълнение и координация” (официално или по електронна поща) във връзка с актуалния статус на изпълнение на проекта/договора и обстоятелствата, наложили изменението.</w:t>
      </w:r>
    </w:p>
    <w:p w:rsidR="00952526" w:rsidRDefault="003258F1" w:rsidP="00DE3DBB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В случаите, когато при преобразуване на изпълнителя в съответствие със законодателството на държавата, в която е установен, Възложителя сключва договор за продължаване на договора за обществена поръчка с правоприемни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ка, Възложителят уведомява УО.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С договора с правоприемника не могат да се правят промени в договора за обществена поръчка. </w:t>
      </w:r>
    </w:p>
    <w:p w:rsidR="003258F1" w:rsidRPr="003258F1" w:rsidRDefault="003258F1" w:rsidP="00DE3DBB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Заедно с уведомлението Възложителят представя на УО и доказателства, че не са налице обстоятелствата изискващи задължително отстраняване по ЗОП, както и такива обстоятелства посочени от Възложителя (основания за незадължително отстраняване) и че правоприемникът покрива изискванията относно критериите за подбор. </w:t>
      </w:r>
    </w:p>
    <w:p w:rsidR="00952526" w:rsidRDefault="00952526" w:rsidP="00952526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Проверката на допълнителното споразумение се извършва в срок от 7 работни дни след получава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нето му в отдел КОП, с приложение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pl-PL"/>
        </w:rPr>
        <w:t>(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контролен лист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val="en-US" w:eastAsia="pl-PL"/>
        </w:rPr>
        <w:t>)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, част от Наръчника,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 се финализира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 попълването на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общ КЛ в ИСУН 2020 от експерта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одобрението му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  <w:t xml:space="preserve"> от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началника на отдел „Контрол по обществени поръчки“ в ИСУН 2020. За резултатите от проверката се изпраща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уведомление по електроне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н път до началниците на отдели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ИК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 ФУ (писмо, в случаите по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8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наръчника)</w:t>
      </w:r>
    </w:p>
    <w:p w:rsidR="00952526" w:rsidRDefault="00952526" w:rsidP="00952526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При констатирано нарушение се прилагат процедурите съгласно 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8</w:t>
      </w:r>
      <w:r w:rsidRPr="006569B3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от наръчника. Ако в процеса на проверка се установят пропуски в пр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едставените д</w:t>
      </w:r>
      <w:r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окументи, експерт от отдел КОП 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изисква писмено от бенефициента (официално, по факс или по ел. поща) представянето на допълнителни документи, информация или разяснения. Срокът за изпращане на документите/допълнителната информация от бенефициента е до 2 работни дни от получаване на писмено запитване. </w:t>
      </w:r>
    </w:p>
    <w:p w:rsidR="003258F1" w:rsidRPr="003258F1" w:rsidRDefault="003258F1" w:rsidP="003258F1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процеса на проверка се установят пропуски в представени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те документи, експерт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изисква писмено от бенефициента (официално, по факс или по ел. поща) представянето на допълнителни документи, информация или разяснения. Срокът за изпращане на документите/допълнителната информация от бенефициента е до 2 работни дни от получаване на писмено запитване.</w:t>
      </w:r>
    </w:p>
    <w:p w:rsidR="00D70E42" w:rsidRDefault="003258F1" w:rsidP="006569B3">
      <w:pPr>
        <w:spacing w:before="120" w:after="120" w:line="240" w:lineRule="auto"/>
        <w:ind w:firstLine="709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b/>
          <w:sz w:val="24"/>
          <w:szCs w:val="20"/>
          <w:lang w:eastAsia="pl-PL"/>
        </w:rPr>
        <w:t>Описаната в т.</w:t>
      </w:r>
      <w:r w:rsidR="00163BD9">
        <w:rPr>
          <w:rFonts w:ascii="Times New Roman" w:eastAsia="Times New Roman" w:hAnsi="Times New Roman" w:cs="Times New Roman"/>
          <w:b/>
          <w:sz w:val="24"/>
          <w:szCs w:val="20"/>
          <w:lang w:eastAsia="pl-PL"/>
        </w:rPr>
        <w:t>4</w:t>
      </w:r>
      <w:r w:rsidRPr="003258F1">
        <w:rPr>
          <w:rFonts w:ascii="Times New Roman" w:eastAsia="Times New Roman" w:hAnsi="Times New Roman" w:cs="Times New Roman"/>
          <w:b/>
          <w:sz w:val="24"/>
          <w:szCs w:val="20"/>
          <w:lang w:eastAsia="pl-PL"/>
        </w:rPr>
        <w:t>.3. процедура и изисквания, касаещи избягване на конфликт на интереси в обществените поръчки, се прилага и в случаите, когато бенефициент по проектите е Управляващият орган.</w:t>
      </w:r>
    </w:p>
    <w:p w:rsidR="006569B3" w:rsidRPr="006569B3" w:rsidRDefault="006569B3" w:rsidP="00DE3DBB">
      <w:pPr>
        <w:spacing w:before="120" w:after="120" w:line="240" w:lineRule="auto"/>
        <w:jc w:val="both"/>
        <w:rPr>
          <w:rFonts w:ascii="Times New Roman" w:eastAsia="Times New Roman" w:hAnsi="Times New Roman" w:cs="Times New Roman"/>
          <w:b/>
          <w:color w:val="000000"/>
          <w:sz w:val="24"/>
          <w:szCs w:val="24"/>
          <w:lang w:eastAsia="pl-PL"/>
        </w:rPr>
      </w:pPr>
    </w:p>
    <w:p w:rsidR="003258F1" w:rsidRPr="00DE3DBB" w:rsidRDefault="003258F1" w:rsidP="00DE3DBB">
      <w:pPr>
        <w:pStyle w:val="ListParagraph"/>
        <w:numPr>
          <w:ilvl w:val="0"/>
          <w:numId w:val="17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99CCFF"/>
        <w:spacing w:before="120" w:after="120" w:line="240" w:lineRule="auto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bookmarkStart w:id="254" w:name="_Toc431992348"/>
      <w:bookmarkStart w:id="255" w:name="_Toc431992349"/>
      <w:bookmarkStart w:id="256" w:name="_Toc431992351"/>
      <w:bookmarkStart w:id="257" w:name="_Toc479775691"/>
      <w:bookmarkStart w:id="258" w:name="_Toc140150245"/>
      <w:bookmarkEnd w:id="254"/>
      <w:bookmarkEnd w:id="255"/>
      <w:bookmarkEnd w:id="256"/>
      <w:r w:rsidRPr="00DE3DBB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Резултати от контрола на обществените поръчки</w:t>
      </w:r>
      <w:bookmarkEnd w:id="257"/>
      <w:bookmarkEnd w:id="258"/>
    </w:p>
    <w:p w:rsidR="003258F1" w:rsidRPr="003258F1" w:rsidRDefault="003258F1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</w:pP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Ако в резултат на извършени</w:t>
      </w:r>
      <w:r w:rsidR="00DE3DBB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я контрол от експерта от отдел КОП</w:t>
      </w:r>
      <w:r w:rsidRPr="003258F1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се констатират нарушения, в контролния лист в ИСУН 2020 и приложенията към него, се описват установените нарушения и се дава препоръчителен процентен показател на финансова корекция за съответния вид нарушение, свързано с възлагането на обществената поръчка по „Насоките за определяне на финансовите корекции, които следва да бъдат направени спрямо разходите, съфинансирани от Структурните и Кохезионния фонд при неспазване на правилата за обществени поръчки“. В този случай се прилагат процедурите съгласно </w:t>
      </w:r>
      <w:r w:rsidR="00163BD9" w:rsidRPr="0089127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Глава </w:t>
      </w:r>
      <w:r w:rsidR="00541194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8</w:t>
      </w:r>
      <w:r w:rsidR="00541194" w:rsidRPr="0089127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 xml:space="preserve"> </w:t>
      </w:r>
      <w:r w:rsidRPr="0089127F">
        <w:rPr>
          <w:rFonts w:ascii="Times New Roman" w:eastAsia="Times New Roman" w:hAnsi="Times New Roman" w:cs="Times New Roman"/>
          <w:color w:val="000000"/>
          <w:sz w:val="24"/>
          <w:szCs w:val="24"/>
          <w:lang w:eastAsia="pl-PL"/>
        </w:rPr>
        <w:t>от настоящия наръчник.</w:t>
      </w:r>
    </w:p>
    <w:p w:rsidR="00A55304" w:rsidRDefault="00A55304" w:rsidP="003258F1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</w:pPr>
    </w:p>
    <w:p w:rsidR="001C643D" w:rsidRPr="006569B3" w:rsidRDefault="00D563CC" w:rsidP="00DE3DBB">
      <w:pPr>
        <w:pStyle w:val="ListParagraph"/>
        <w:numPr>
          <w:ilvl w:val="0"/>
          <w:numId w:val="22"/>
        </w:num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hd w:val="clear" w:color="auto" w:fill="99CCFF"/>
        <w:spacing w:before="120" w:after="120" w:line="240" w:lineRule="auto"/>
        <w:ind w:left="0" w:right="141" w:firstLine="0"/>
        <w:jc w:val="both"/>
        <w:outlineLvl w:val="1"/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</w:pPr>
      <w:r w:rsidRPr="006569B3">
        <w:rPr>
          <w:rFonts w:ascii="Times New Roman" w:eastAsia="Times New Roman" w:hAnsi="Times New Roman" w:cs="Times New Roman"/>
          <w:b/>
          <w:sz w:val="24"/>
          <w:szCs w:val="24"/>
          <w:lang w:eastAsia="pl-PL"/>
        </w:rPr>
        <w:t>Осигуряване на одитна пътека по процедури от компетенциите на отдел „Контрол по обществени поръчки“</w:t>
      </w:r>
    </w:p>
    <w:p w:rsidR="00960DFA" w:rsidRDefault="00960DFA" w:rsidP="00CC6EDD">
      <w:pPr>
        <w:pStyle w:val="ListParagraph"/>
        <w:tabs>
          <w:tab w:val="left" w:pos="0"/>
        </w:tabs>
        <w:spacing w:after="0" w:line="240" w:lineRule="auto"/>
        <w:ind w:left="0"/>
        <w:jc w:val="both"/>
        <w:rPr>
          <w:szCs w:val="24"/>
        </w:rPr>
      </w:pPr>
    </w:p>
    <w:p w:rsidR="003A248B" w:rsidRPr="00D60033" w:rsidRDefault="003A248B" w:rsidP="00DE3DBB">
      <w:pPr>
        <w:pStyle w:val="ListParagraph"/>
        <w:numPr>
          <w:ilvl w:val="0"/>
          <w:numId w:val="21"/>
        </w:numPr>
        <w:spacing w:after="0" w:line="240" w:lineRule="auto"/>
        <w:ind w:left="0"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</w:pPr>
      <w:r w:rsidRPr="00D60033">
        <w:rPr>
          <w:rFonts w:ascii="Times New Roman" w:hAnsi="Times New Roman" w:cs="Times New Roman"/>
          <w:sz w:val="24"/>
          <w:szCs w:val="24"/>
        </w:rPr>
        <w:t>Всички документации за възлагане на обществена поръчка, представени от възложителите на Управляващия орган (когато е представено на електронен носител, а не е внесено</w:t>
      </w:r>
      <w:r w:rsidRPr="00D60033">
        <w:t xml:space="preserve"> </w:t>
      </w:r>
      <w:r w:rsidRPr="00D60033">
        <w:rPr>
          <w:rFonts w:ascii="Times New Roman" w:hAnsi="Times New Roman" w:cs="Times New Roman"/>
          <w:sz w:val="24"/>
          <w:szCs w:val="24"/>
        </w:rPr>
        <w:t>в ИСУН 2020 );</w:t>
      </w:r>
    </w:p>
    <w:p w:rsidR="003A248B" w:rsidRPr="00CC6EDD" w:rsidRDefault="003A248B" w:rsidP="00DE3DBB">
      <w:pPr>
        <w:pStyle w:val="ListParagraph"/>
        <w:numPr>
          <w:ilvl w:val="0"/>
          <w:numId w:val="15"/>
        </w:numPr>
        <w:tabs>
          <w:tab w:val="left" w:pos="0"/>
        </w:tabs>
        <w:spacing w:after="0" w:line="240" w:lineRule="auto"/>
        <w:ind w:left="0" w:firstLine="709"/>
        <w:jc w:val="both"/>
        <w:rPr>
          <w:rFonts w:ascii="Times New Roman" w:hAnsi="Times New Roman" w:cs="Times New Roman"/>
          <w:sz w:val="24"/>
          <w:szCs w:val="24"/>
          <w:lang w:eastAsia="fr-FR"/>
        </w:rPr>
      </w:pPr>
      <w:r w:rsidRPr="00CC6EDD">
        <w:rPr>
          <w:rFonts w:ascii="Times New Roman" w:hAnsi="Times New Roman" w:cs="Times New Roman"/>
          <w:sz w:val="24"/>
          <w:szCs w:val="24"/>
        </w:rPr>
        <w:t>Писма</w:t>
      </w:r>
      <w:r>
        <w:rPr>
          <w:rFonts w:ascii="Times New Roman" w:hAnsi="Times New Roman" w:cs="Times New Roman"/>
          <w:sz w:val="24"/>
          <w:szCs w:val="24"/>
        </w:rPr>
        <w:t xml:space="preserve"> и кореспонденция</w:t>
      </w:r>
      <w:r w:rsidRPr="00CC6EDD">
        <w:rPr>
          <w:rFonts w:ascii="Times New Roman" w:hAnsi="Times New Roman" w:cs="Times New Roman"/>
          <w:sz w:val="24"/>
          <w:szCs w:val="24"/>
          <w:lang w:eastAsia="fr-FR"/>
        </w:rPr>
        <w:t>, касаещи открити нарушения на обществени поръч</w:t>
      </w:r>
      <w:r>
        <w:rPr>
          <w:rFonts w:ascii="Times New Roman" w:hAnsi="Times New Roman" w:cs="Times New Roman"/>
          <w:sz w:val="24"/>
          <w:szCs w:val="24"/>
          <w:lang w:eastAsia="fr-FR"/>
        </w:rPr>
        <w:t>ки и налагане на финансови корекции, изпратени до бенефициентите (на хартиен или електронен носител, каквото е приложимо)</w:t>
      </w:r>
    </w:p>
    <w:p w:rsidR="00DE3DBB" w:rsidRDefault="00DE3DBB" w:rsidP="00DE3DBB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</w:pPr>
    </w:p>
    <w:p w:rsidR="0037104F" w:rsidRDefault="0037104F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</w:pP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>Документите се съхраняват под формата на оригинали или заверени копия на оригиналите</w:t>
      </w:r>
      <w:r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 xml:space="preserve"> (ако е приложими)</w:t>
      </w: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 xml:space="preserve"> или на общоприети носители на информация, включително електронни версии на оригинални документи или документи, съществуващи единствено в електронна версия. </w:t>
      </w:r>
    </w:p>
    <w:p w:rsidR="0037104F" w:rsidRPr="0037104F" w:rsidRDefault="0037104F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</w:pP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>Електронните документи, внесени в ИСУН 2020, се считат за внесени в електронна система за архивиране.</w:t>
      </w:r>
    </w:p>
    <w:p w:rsidR="00D60033" w:rsidRDefault="0037104F" w:rsidP="00DE3DBB">
      <w:pPr>
        <w:spacing w:before="60" w:after="60" w:line="240" w:lineRule="auto"/>
        <w:ind w:firstLine="709"/>
        <w:jc w:val="both"/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</w:pP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bg-BG"/>
        </w:rPr>
        <w:t>Когато документите съществуват единствено в електронна форма, използваните компютърни системи отговарят на приетите стандарти за сигурност, които гарантират, че съхраняваните</w:t>
      </w:r>
      <w:r w:rsidRPr="0037104F">
        <w:rPr>
          <w:rFonts w:ascii="Times New Roman" w:eastAsia="Times New Roman" w:hAnsi="Times New Roman" w:cs="Times New Roman"/>
          <w:color w:val="000000"/>
          <w:sz w:val="24"/>
          <w:szCs w:val="20"/>
          <w:lang w:eastAsia="pl-PL"/>
        </w:rPr>
        <w:t xml:space="preserve"> документи отговарят на националните законови изисквания и на тях може да се разчита за целите на одита.</w:t>
      </w:r>
    </w:p>
    <w:p w:rsidR="001C643D" w:rsidRPr="002208FF" w:rsidRDefault="001C643D" w:rsidP="003258F1">
      <w:pPr>
        <w:spacing w:after="0" w:line="240" w:lineRule="auto"/>
        <w:rPr>
          <w:rFonts w:ascii="Times New Roman" w:eastAsia="Times New Roman" w:hAnsi="Times New Roman" w:cs="Times New Roman"/>
          <w:b/>
          <w:bCs/>
          <w:kern w:val="28"/>
          <w:sz w:val="24"/>
          <w:szCs w:val="24"/>
          <w:lang w:eastAsia="bg-BG"/>
        </w:rPr>
      </w:pPr>
    </w:p>
    <w:sectPr w:rsidR="001C643D" w:rsidRPr="002208FF" w:rsidSect="0033052F">
      <w:headerReference w:type="default" r:id="rId8"/>
      <w:footerReference w:type="default" r:id="rId9"/>
      <w:pgSz w:w="11906" w:h="16838"/>
      <w:pgMar w:top="1417" w:right="1133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BA0446" w:rsidRDefault="00BA0446" w:rsidP="00BA0446">
      <w:pPr>
        <w:spacing w:after="0" w:line="240" w:lineRule="auto"/>
      </w:pPr>
      <w:r>
        <w:separator/>
      </w:r>
    </w:p>
  </w:endnote>
  <w:endnote w:type="continuationSeparator" w:id="0">
    <w:p w:rsidR="00BA0446" w:rsidRDefault="00BA0446" w:rsidP="00BA04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BA0446" w:rsidRDefault="00BA0446" w:rsidP="00BA0446">
    <w:pPr>
      <w:pStyle w:val="Footer"/>
      <w:jc w:val="right"/>
      <w:rPr>
        <w:caps/>
        <w:noProof/>
        <w:color w:val="5B9BD5" w:themeColor="accent1"/>
      </w:rPr>
    </w:pPr>
    <w:r>
      <w:rPr>
        <w:color w:val="5B9BD5" w:themeColor="accent1"/>
      </w:rPr>
      <w:t>стр.</w:t>
    </w:r>
    <w:r>
      <w:rPr>
        <w:caps/>
        <w:color w:val="5B9BD5" w:themeColor="accent1"/>
      </w:rPr>
      <w:fldChar w:fldCharType="begin"/>
    </w:r>
    <w:r>
      <w:rPr>
        <w:caps/>
        <w:color w:val="5B9BD5" w:themeColor="accent1"/>
      </w:rPr>
      <w:instrText xml:space="preserve"> PAGE   \* MERGEFORMAT </w:instrText>
    </w:r>
    <w:r>
      <w:rPr>
        <w:caps/>
        <w:color w:val="5B9BD5" w:themeColor="accent1"/>
      </w:rPr>
      <w:fldChar w:fldCharType="separate"/>
    </w:r>
    <w:r w:rsidRPr="00BA0446">
      <w:rPr>
        <w:noProof/>
        <w:color w:val="5B9BD5" w:themeColor="accent1"/>
      </w:rPr>
      <w:t>2</w:t>
    </w:r>
    <w:r>
      <w:rPr>
        <w:caps/>
        <w:noProof/>
        <w:color w:val="5B9BD5" w:themeColor="accent1"/>
      </w:rPr>
      <w:fldChar w:fldCharType="end"/>
    </w:r>
  </w:p>
  <w:p w:rsidR="00BA0446" w:rsidRDefault="00BA044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BA0446" w:rsidRDefault="00BA0446" w:rsidP="00BA0446">
      <w:pPr>
        <w:spacing w:after="0" w:line="240" w:lineRule="auto"/>
      </w:pPr>
      <w:r>
        <w:separator/>
      </w:r>
    </w:p>
  </w:footnote>
  <w:footnote w:type="continuationSeparator" w:id="0">
    <w:p w:rsidR="00BA0446" w:rsidRDefault="00BA0446" w:rsidP="00BA04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tbl>
    <w:tblPr>
      <w:tblW w:w="9635" w:type="dxa"/>
      <w:jc w:val="center"/>
      <w:tblLayout w:type="fixed"/>
      <w:tblLook w:val="0000" w:firstRow="0" w:lastRow="0" w:firstColumn="0" w:lastColumn="0" w:noHBand="0" w:noVBand="0"/>
    </w:tblPr>
    <w:tblGrid>
      <w:gridCol w:w="1413"/>
      <w:gridCol w:w="3685"/>
      <w:gridCol w:w="3174"/>
      <w:gridCol w:w="1363"/>
    </w:tblGrid>
    <w:tr w:rsidR="00BA0446" w:rsidRPr="00D42086" w:rsidTr="004E7699">
      <w:trPr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BA0446" w:rsidRPr="00D42086" w:rsidRDefault="00BA0446" w:rsidP="00BA0446">
          <w:pPr>
            <w:spacing w:before="40" w:after="40"/>
            <w:jc w:val="center"/>
            <w:rPr>
              <w:rFonts w:cstheme="minorHAnsi"/>
            </w:rPr>
          </w:pPr>
          <w:r w:rsidRPr="00D42086">
            <w:rPr>
              <w:rFonts w:cstheme="minorHAnsi"/>
              <w:b/>
            </w:rPr>
            <w:t>МТС</w:t>
          </w:r>
        </w:p>
      </w:tc>
      <w:tc>
        <w:tcPr>
          <w:tcW w:w="3685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BA0446" w:rsidP="00BA0446">
          <w:pPr>
            <w:tabs>
              <w:tab w:val="left" w:pos="1725"/>
            </w:tabs>
            <w:ind w:left="-158" w:right="-108"/>
            <w:jc w:val="center"/>
            <w:rPr>
              <w:rFonts w:cstheme="minorHAnsi"/>
              <w:color w:val="003399"/>
              <w:lang w:val="en-US"/>
            </w:rPr>
          </w:pPr>
          <w:r w:rsidRPr="00D42086">
            <w:rPr>
              <w:lang w:val="en-US"/>
            </w:rPr>
            <w:object w:dxaOrig="3150" w:dyaOrig="2895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i1025" type="#_x0000_t75" style="width:78pt;height:1in">
                <v:imagedata r:id="rId1" o:title=""/>
              </v:shape>
              <o:OLEObject Type="Embed" ProgID="Acrobat.Document.DC" ShapeID="_x0000_i1025" DrawAspect="Content" ObjectID="_1794311435" r:id="rId2"/>
            </w:object>
          </w:r>
        </w:p>
      </w:tc>
      <w:tc>
        <w:tcPr>
          <w:tcW w:w="3174" w:type="dxa"/>
          <w:vMerge w:val="restart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BA0446" w:rsidP="00BA0446">
          <w:pPr>
            <w:ind w:left="-117" w:right="-189"/>
            <w:jc w:val="center"/>
            <w:rPr>
              <w:rFonts w:cstheme="minorHAnsi"/>
              <w:b/>
            </w:rPr>
          </w:pPr>
          <w:r w:rsidRPr="00D42086">
            <w:rPr>
              <w:lang w:val="en-US"/>
            </w:rPr>
            <w:object w:dxaOrig="3570" w:dyaOrig="2550">
              <v:shape id="_x0000_i1026" type="#_x0000_t75" style="width:100.5pt;height:1in">
                <v:imagedata r:id="rId3" o:title=""/>
              </v:shape>
              <o:OLEObject Type="Embed" ProgID="Acrobat.Document.DC" ShapeID="_x0000_i1026" DrawAspect="Content" ObjectID="_1794311436" r:id="rId4"/>
            </w:object>
          </w: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BA0446" w:rsidP="00BA0446">
          <w:pPr>
            <w:autoSpaceDE w:val="0"/>
            <w:autoSpaceDN w:val="0"/>
            <w:adjustRightInd w:val="0"/>
            <w:spacing w:line="241" w:lineRule="atLeast"/>
            <w:jc w:val="center"/>
            <w:rPr>
              <w:rFonts w:cstheme="minorHAnsi"/>
              <w:b/>
              <w:noProof/>
              <w:lang w:val="en-US" w:eastAsia="bg-BG"/>
            </w:rPr>
          </w:pPr>
          <w:r>
            <w:rPr>
              <w:rFonts w:ascii="Calibri" w:hAnsi="Calibri" w:cs="Calibri"/>
              <w:b/>
              <w:noProof/>
              <w:lang w:val="en-US" w:eastAsia="bg-BG"/>
            </w:rPr>
            <w:t xml:space="preserve">XI </w:t>
          </w:r>
          <w:r w:rsidRPr="00D42086">
            <w:rPr>
              <w:rFonts w:cstheme="minorHAnsi"/>
              <w:b/>
              <w:noProof/>
              <w:lang w:eastAsia="bg-BG"/>
            </w:rPr>
            <w:t>202</w:t>
          </w:r>
          <w:r>
            <w:rPr>
              <w:rFonts w:cstheme="minorHAnsi"/>
              <w:b/>
              <w:noProof/>
              <w:lang w:val="en-US" w:eastAsia="bg-BG"/>
            </w:rPr>
            <w:t>4</w:t>
          </w:r>
        </w:p>
      </w:tc>
    </w:tr>
    <w:tr w:rsidR="00BA0446" w:rsidRPr="00D42086" w:rsidTr="00BA0446">
      <w:trPr>
        <w:trHeight w:val="1394"/>
        <w:jc w:val="center"/>
      </w:trPr>
      <w:tc>
        <w:tcPr>
          <w:tcW w:w="141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shd w:val="clear" w:color="auto" w:fill="auto"/>
          <w:vAlign w:val="center"/>
        </w:tcPr>
        <w:p w:rsidR="00BA0446" w:rsidRPr="00D42086" w:rsidRDefault="00BA0446" w:rsidP="00BA0446">
          <w:pPr>
            <w:autoSpaceDE w:val="0"/>
            <w:autoSpaceDN w:val="0"/>
            <w:adjustRightInd w:val="0"/>
            <w:spacing w:before="40"/>
            <w:jc w:val="center"/>
            <w:rPr>
              <w:rFonts w:cstheme="minorHAnsi"/>
              <w:b/>
              <w:lang w:eastAsia="bg-BG"/>
            </w:rPr>
          </w:pPr>
          <w:r w:rsidRPr="00D42086">
            <w:rPr>
              <w:rFonts w:cstheme="minorHAnsi"/>
              <w:b/>
              <w:lang w:eastAsia="bg-BG"/>
            </w:rPr>
            <w:t>ПНУИ</w:t>
          </w:r>
        </w:p>
        <w:p w:rsidR="00BA0446" w:rsidRPr="00D42086" w:rsidRDefault="00BA0446" w:rsidP="00BA0446">
          <w:pPr>
            <w:autoSpaceDE w:val="0"/>
            <w:autoSpaceDN w:val="0"/>
            <w:adjustRightInd w:val="0"/>
            <w:jc w:val="center"/>
            <w:rPr>
              <w:rFonts w:cstheme="minorHAnsi"/>
              <w:b/>
              <w:lang w:eastAsia="bg-BG"/>
            </w:rPr>
          </w:pPr>
          <w:r w:rsidRPr="00D42086">
            <w:rPr>
              <w:rFonts w:cstheme="minorHAnsi"/>
              <w:b/>
              <w:lang w:eastAsia="bg-BG"/>
            </w:rPr>
            <w:t>на</w:t>
          </w:r>
        </w:p>
        <w:p w:rsidR="00BA0446" w:rsidRPr="00D42086" w:rsidRDefault="00BA0446" w:rsidP="00BA0446">
          <w:pPr>
            <w:autoSpaceDE w:val="0"/>
            <w:autoSpaceDN w:val="0"/>
            <w:adjustRightInd w:val="0"/>
            <w:jc w:val="center"/>
            <w:rPr>
              <w:rFonts w:cstheme="minorHAnsi"/>
              <w:b/>
              <w:lang w:eastAsia="bg-BG"/>
            </w:rPr>
          </w:pPr>
          <w:r w:rsidRPr="00D42086">
            <w:rPr>
              <w:rFonts w:cstheme="minorHAnsi"/>
              <w:b/>
              <w:lang w:eastAsia="bg-BG"/>
            </w:rPr>
            <w:t>ПТС</w:t>
          </w:r>
        </w:p>
        <w:p w:rsidR="00BA0446" w:rsidRPr="00D42086" w:rsidRDefault="00BA0446" w:rsidP="00BA0446">
          <w:pPr>
            <w:autoSpaceDE w:val="0"/>
            <w:autoSpaceDN w:val="0"/>
            <w:adjustRightInd w:val="0"/>
            <w:spacing w:after="40"/>
            <w:jc w:val="center"/>
            <w:rPr>
              <w:rFonts w:cstheme="minorHAnsi"/>
              <w:color w:val="000000"/>
              <w:lang w:eastAsia="bg-BG"/>
            </w:rPr>
          </w:pPr>
          <w:r w:rsidRPr="00D42086">
            <w:rPr>
              <w:rFonts w:cstheme="minorHAnsi"/>
              <w:b/>
              <w:lang w:eastAsia="bg-BG"/>
            </w:rPr>
            <w:t>2021-2027</w:t>
          </w:r>
        </w:p>
      </w:tc>
      <w:tc>
        <w:tcPr>
          <w:tcW w:w="3685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BA0446" w:rsidP="00BA0446">
          <w:pPr>
            <w:autoSpaceDE w:val="0"/>
            <w:autoSpaceDN w:val="0"/>
            <w:adjustRightInd w:val="0"/>
            <w:spacing w:line="241" w:lineRule="atLeast"/>
            <w:jc w:val="center"/>
            <w:rPr>
              <w:rFonts w:cstheme="minorHAnsi"/>
              <w:color w:val="000000"/>
              <w:lang w:eastAsia="bg-BG"/>
            </w:rPr>
          </w:pPr>
        </w:p>
      </w:tc>
      <w:tc>
        <w:tcPr>
          <w:tcW w:w="3174" w:type="dxa"/>
          <w:vMerge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BA0446" w:rsidP="00BA0446">
          <w:pPr>
            <w:autoSpaceDE w:val="0"/>
            <w:autoSpaceDN w:val="0"/>
            <w:adjustRightInd w:val="0"/>
            <w:spacing w:line="241" w:lineRule="atLeast"/>
            <w:jc w:val="center"/>
            <w:rPr>
              <w:rFonts w:cstheme="minorHAnsi"/>
            </w:rPr>
          </w:pPr>
        </w:p>
      </w:tc>
      <w:tc>
        <w:tcPr>
          <w:tcW w:w="1363" w:type="dxa"/>
          <w:tcBorders>
            <w:top w:val="single" w:sz="4" w:space="0" w:color="999999"/>
            <w:left w:val="single" w:sz="4" w:space="0" w:color="999999"/>
            <w:bottom w:val="single" w:sz="4" w:space="0" w:color="999999"/>
            <w:right w:val="single" w:sz="4" w:space="0" w:color="999999"/>
          </w:tcBorders>
          <w:vAlign w:val="center"/>
        </w:tcPr>
        <w:p w:rsidR="00BA0446" w:rsidRPr="00D42086" w:rsidRDefault="00BA0446" w:rsidP="00BA0446">
          <w:pPr>
            <w:autoSpaceDE w:val="0"/>
            <w:autoSpaceDN w:val="0"/>
            <w:adjustRightInd w:val="0"/>
            <w:spacing w:line="241" w:lineRule="atLeast"/>
            <w:jc w:val="center"/>
            <w:rPr>
              <w:rFonts w:cstheme="minorHAnsi"/>
              <w:b/>
              <w:noProof/>
              <w:lang w:val="en-US" w:eastAsia="bg-BG"/>
            </w:rPr>
          </w:pPr>
          <w:r w:rsidRPr="00D42086">
            <w:rPr>
              <w:rFonts w:cstheme="minorHAnsi"/>
              <w:b/>
              <w:noProof/>
              <w:lang w:eastAsia="bg-BG"/>
            </w:rPr>
            <w:t>Версия 1</w:t>
          </w:r>
          <w:r w:rsidRPr="00D42086">
            <w:rPr>
              <w:rFonts w:cstheme="minorHAnsi"/>
              <w:b/>
              <w:noProof/>
              <w:lang w:val="en-US" w:eastAsia="bg-BG"/>
            </w:rPr>
            <w:t>.</w:t>
          </w:r>
          <w:r>
            <w:rPr>
              <w:rFonts w:cstheme="minorHAnsi"/>
              <w:b/>
              <w:noProof/>
              <w:lang w:val="en-US" w:eastAsia="bg-BG"/>
            </w:rPr>
            <w:t>2</w:t>
          </w:r>
        </w:p>
      </w:tc>
    </w:tr>
  </w:tbl>
  <w:p w:rsidR="00BA0446" w:rsidRDefault="00BA044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49A3378"/>
    <w:multiLevelType w:val="hybridMultilevel"/>
    <w:tmpl w:val="F092C7FC"/>
    <w:lvl w:ilvl="0" w:tplc="04020011">
      <w:start w:val="1"/>
      <w:numFmt w:val="decimal"/>
      <w:lvlText w:val="%1)"/>
      <w:lvlJc w:val="left"/>
      <w:pPr>
        <w:ind w:left="2279" w:hanging="360"/>
      </w:pPr>
      <w:rPr>
        <w:rFonts w:cs="Times New Roman" w:hint="default"/>
      </w:rPr>
    </w:lvl>
    <w:lvl w:ilvl="1" w:tplc="04020019" w:tentative="1">
      <w:start w:val="1"/>
      <w:numFmt w:val="lowerLetter"/>
      <w:lvlText w:val="%2."/>
      <w:lvlJc w:val="left"/>
      <w:pPr>
        <w:ind w:left="2999" w:hanging="360"/>
      </w:pPr>
    </w:lvl>
    <w:lvl w:ilvl="2" w:tplc="0402001B" w:tentative="1">
      <w:start w:val="1"/>
      <w:numFmt w:val="lowerRoman"/>
      <w:lvlText w:val="%3."/>
      <w:lvlJc w:val="right"/>
      <w:pPr>
        <w:ind w:left="3719" w:hanging="180"/>
      </w:pPr>
    </w:lvl>
    <w:lvl w:ilvl="3" w:tplc="0402000F" w:tentative="1">
      <w:start w:val="1"/>
      <w:numFmt w:val="decimal"/>
      <w:lvlText w:val="%4."/>
      <w:lvlJc w:val="left"/>
      <w:pPr>
        <w:ind w:left="4439" w:hanging="360"/>
      </w:pPr>
    </w:lvl>
    <w:lvl w:ilvl="4" w:tplc="04020019" w:tentative="1">
      <w:start w:val="1"/>
      <w:numFmt w:val="lowerLetter"/>
      <w:lvlText w:val="%5."/>
      <w:lvlJc w:val="left"/>
      <w:pPr>
        <w:ind w:left="5159" w:hanging="360"/>
      </w:pPr>
    </w:lvl>
    <w:lvl w:ilvl="5" w:tplc="0402001B" w:tentative="1">
      <w:start w:val="1"/>
      <w:numFmt w:val="lowerRoman"/>
      <w:lvlText w:val="%6."/>
      <w:lvlJc w:val="right"/>
      <w:pPr>
        <w:ind w:left="5879" w:hanging="180"/>
      </w:pPr>
    </w:lvl>
    <w:lvl w:ilvl="6" w:tplc="0402000F" w:tentative="1">
      <w:start w:val="1"/>
      <w:numFmt w:val="decimal"/>
      <w:lvlText w:val="%7."/>
      <w:lvlJc w:val="left"/>
      <w:pPr>
        <w:ind w:left="6599" w:hanging="360"/>
      </w:pPr>
    </w:lvl>
    <w:lvl w:ilvl="7" w:tplc="04020019" w:tentative="1">
      <w:start w:val="1"/>
      <w:numFmt w:val="lowerLetter"/>
      <w:lvlText w:val="%8."/>
      <w:lvlJc w:val="left"/>
      <w:pPr>
        <w:ind w:left="7319" w:hanging="360"/>
      </w:pPr>
    </w:lvl>
    <w:lvl w:ilvl="8" w:tplc="0402001B" w:tentative="1">
      <w:start w:val="1"/>
      <w:numFmt w:val="lowerRoman"/>
      <w:lvlText w:val="%9."/>
      <w:lvlJc w:val="right"/>
      <w:pPr>
        <w:ind w:left="8039" w:hanging="180"/>
      </w:pPr>
    </w:lvl>
  </w:abstractNum>
  <w:abstractNum w:abstractNumId="1" w15:restartNumberingAfterBreak="0">
    <w:nsid w:val="08F007F9"/>
    <w:multiLevelType w:val="multilevel"/>
    <w:tmpl w:val="C73CDBD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" w15:restartNumberingAfterBreak="0">
    <w:nsid w:val="08F1477E"/>
    <w:multiLevelType w:val="hybridMultilevel"/>
    <w:tmpl w:val="D47066FA"/>
    <w:lvl w:ilvl="0" w:tplc="FBC41044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71B6E428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93AC9F02">
      <w:start w:val="159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7E6C71DC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AE64336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BCAC8BE2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248A7DC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34C60B00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C9211CC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90B0B21"/>
    <w:multiLevelType w:val="hybridMultilevel"/>
    <w:tmpl w:val="DA3A5D96"/>
    <w:lvl w:ilvl="0" w:tplc="0402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EA15899"/>
    <w:multiLevelType w:val="hybridMultilevel"/>
    <w:tmpl w:val="CCCAE522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1FFF2B8D"/>
    <w:multiLevelType w:val="hybridMultilevel"/>
    <w:tmpl w:val="16B0C4E6"/>
    <w:lvl w:ilvl="0" w:tplc="6BEEEDE6">
      <w:start w:val="1"/>
      <w:numFmt w:val="decimal"/>
      <w:lvlText w:val="%1)"/>
      <w:lvlJc w:val="left"/>
      <w:pPr>
        <w:ind w:left="8157" w:hanging="360"/>
      </w:pPr>
      <w:rPr>
        <w:rFonts w:cs="Times New Roman"/>
        <w:b/>
        <w:i w:val="0"/>
      </w:rPr>
    </w:lvl>
    <w:lvl w:ilvl="1" w:tplc="04020019" w:tentative="1">
      <w:start w:val="1"/>
      <w:numFmt w:val="lowerLetter"/>
      <w:lvlText w:val="%2."/>
      <w:lvlJc w:val="left"/>
      <w:pPr>
        <w:ind w:left="2291" w:hanging="360"/>
      </w:pPr>
    </w:lvl>
    <w:lvl w:ilvl="2" w:tplc="0402001B" w:tentative="1">
      <w:start w:val="1"/>
      <w:numFmt w:val="lowerRoman"/>
      <w:lvlText w:val="%3."/>
      <w:lvlJc w:val="right"/>
      <w:pPr>
        <w:ind w:left="3011" w:hanging="180"/>
      </w:pPr>
    </w:lvl>
    <w:lvl w:ilvl="3" w:tplc="0402000F" w:tentative="1">
      <w:start w:val="1"/>
      <w:numFmt w:val="decimal"/>
      <w:lvlText w:val="%4."/>
      <w:lvlJc w:val="left"/>
      <w:pPr>
        <w:ind w:left="3731" w:hanging="360"/>
      </w:pPr>
    </w:lvl>
    <w:lvl w:ilvl="4" w:tplc="04020019" w:tentative="1">
      <w:start w:val="1"/>
      <w:numFmt w:val="lowerLetter"/>
      <w:lvlText w:val="%5."/>
      <w:lvlJc w:val="left"/>
      <w:pPr>
        <w:ind w:left="4451" w:hanging="360"/>
      </w:pPr>
    </w:lvl>
    <w:lvl w:ilvl="5" w:tplc="0402001B" w:tentative="1">
      <w:start w:val="1"/>
      <w:numFmt w:val="lowerRoman"/>
      <w:lvlText w:val="%6."/>
      <w:lvlJc w:val="right"/>
      <w:pPr>
        <w:ind w:left="5171" w:hanging="180"/>
      </w:pPr>
    </w:lvl>
    <w:lvl w:ilvl="6" w:tplc="0402000F" w:tentative="1">
      <w:start w:val="1"/>
      <w:numFmt w:val="decimal"/>
      <w:lvlText w:val="%7."/>
      <w:lvlJc w:val="left"/>
      <w:pPr>
        <w:ind w:left="5891" w:hanging="360"/>
      </w:pPr>
    </w:lvl>
    <w:lvl w:ilvl="7" w:tplc="04020019" w:tentative="1">
      <w:start w:val="1"/>
      <w:numFmt w:val="lowerLetter"/>
      <w:lvlText w:val="%8."/>
      <w:lvlJc w:val="left"/>
      <w:pPr>
        <w:ind w:left="6611" w:hanging="360"/>
      </w:pPr>
    </w:lvl>
    <w:lvl w:ilvl="8" w:tplc="0402001B" w:tentative="1">
      <w:start w:val="1"/>
      <w:numFmt w:val="lowerRoman"/>
      <w:lvlText w:val="%9."/>
      <w:lvlJc w:val="right"/>
      <w:pPr>
        <w:ind w:left="7331" w:hanging="180"/>
      </w:pPr>
    </w:lvl>
  </w:abstractNum>
  <w:abstractNum w:abstractNumId="6" w15:restartNumberingAfterBreak="0">
    <w:nsid w:val="205C2255"/>
    <w:multiLevelType w:val="hybridMultilevel"/>
    <w:tmpl w:val="5A4438BC"/>
    <w:lvl w:ilvl="0" w:tplc="0402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1492E08"/>
    <w:multiLevelType w:val="multilevel"/>
    <w:tmpl w:val="4350D574"/>
    <w:lvl w:ilvl="0">
      <w:start w:val="4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8" w15:restartNumberingAfterBreak="0">
    <w:nsid w:val="25FD275D"/>
    <w:multiLevelType w:val="multilevel"/>
    <w:tmpl w:val="8A5A341E"/>
    <w:lvl w:ilvl="0">
      <w:start w:val="1"/>
      <w:numFmt w:val="decimal"/>
      <w:lvlText w:val="%1."/>
      <w:lvlJc w:val="left"/>
      <w:pPr>
        <w:ind w:left="1571" w:hanging="360"/>
      </w:pPr>
    </w:lvl>
    <w:lvl w:ilvl="1">
      <w:start w:val="3"/>
      <w:numFmt w:val="decimal"/>
      <w:isLgl/>
      <w:lvlText w:val="%1.%2."/>
      <w:lvlJc w:val="left"/>
      <w:pPr>
        <w:ind w:left="1871" w:hanging="660"/>
      </w:pPr>
      <w:rPr>
        <w:rFonts w:hint="default"/>
      </w:rPr>
    </w:lvl>
    <w:lvl w:ilvl="2">
      <w:start w:val="2"/>
      <w:numFmt w:val="decimal"/>
      <w:isLgl/>
      <w:lvlText w:val="%1.%2.%3.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931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291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2291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2651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651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3011" w:hanging="1800"/>
      </w:pPr>
      <w:rPr>
        <w:rFonts w:hint="default"/>
      </w:rPr>
    </w:lvl>
  </w:abstractNum>
  <w:abstractNum w:abstractNumId="9" w15:restartNumberingAfterBreak="0">
    <w:nsid w:val="28CE0E2B"/>
    <w:multiLevelType w:val="hybridMultilevel"/>
    <w:tmpl w:val="F2041F62"/>
    <w:lvl w:ilvl="0" w:tplc="0402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FFFFFFFF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6D21B0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0" w15:restartNumberingAfterBreak="0">
    <w:nsid w:val="307E1D59"/>
    <w:multiLevelType w:val="multilevel"/>
    <w:tmpl w:val="ABA67BD2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  <w:b/>
      </w:rPr>
    </w:lvl>
    <w:lvl w:ilvl="1">
      <w:start w:val="3"/>
      <w:numFmt w:val="decimal"/>
      <w:lvlText w:val="%1.%2."/>
      <w:lvlJc w:val="left"/>
      <w:pPr>
        <w:ind w:left="1325" w:hanging="540"/>
      </w:pPr>
      <w:rPr>
        <w:rFonts w:hint="default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307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5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3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80" w:hanging="1800"/>
      </w:pPr>
      <w:rPr>
        <w:rFonts w:hint="default"/>
      </w:rPr>
    </w:lvl>
  </w:abstractNum>
  <w:abstractNum w:abstractNumId="11" w15:restartNumberingAfterBreak="0">
    <w:nsid w:val="329961FF"/>
    <w:multiLevelType w:val="hybridMultilevel"/>
    <w:tmpl w:val="F2041F62"/>
    <w:lvl w:ilvl="0" w:tplc="04020011">
      <w:start w:val="1"/>
      <w:numFmt w:val="decimal"/>
      <w:lvlText w:val="%1)"/>
      <w:lvlJc w:val="left"/>
      <w:pPr>
        <w:tabs>
          <w:tab w:val="num" w:pos="360"/>
        </w:tabs>
        <w:ind w:left="360" w:hanging="360"/>
      </w:pPr>
      <w:rPr>
        <w:rFonts w:cs="Times New Roman" w:hint="default"/>
      </w:rPr>
    </w:lvl>
    <w:lvl w:ilvl="1" w:tplc="FFFFFFFF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6D21B0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2" w15:restartNumberingAfterBreak="0">
    <w:nsid w:val="3582027F"/>
    <w:multiLevelType w:val="hybridMultilevel"/>
    <w:tmpl w:val="BF50101C"/>
    <w:lvl w:ilvl="0" w:tplc="0402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5832AE4"/>
    <w:multiLevelType w:val="hybridMultilevel"/>
    <w:tmpl w:val="D5A258EC"/>
    <w:lvl w:ilvl="0" w:tplc="0402000F">
      <w:start w:val="7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 w:tentative="1">
      <w:start w:val="1"/>
      <w:numFmt w:val="lowerLetter"/>
      <w:lvlText w:val="%2."/>
      <w:lvlJc w:val="left"/>
      <w:pPr>
        <w:ind w:left="144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3FE57610"/>
    <w:multiLevelType w:val="multilevel"/>
    <w:tmpl w:val="439E8044"/>
    <w:lvl w:ilvl="0">
      <w:start w:val="3"/>
      <w:numFmt w:val="decimal"/>
      <w:lvlText w:val="%1."/>
      <w:lvlJc w:val="left"/>
      <w:pPr>
        <w:ind w:left="540" w:hanging="540"/>
      </w:pPr>
      <w:rPr>
        <w:rFonts w:hint="default"/>
      </w:rPr>
    </w:lvl>
    <w:lvl w:ilvl="1">
      <w:start w:val="3"/>
      <w:numFmt w:val="decimal"/>
      <w:lvlText w:val="%1.%2."/>
      <w:lvlJc w:val="left"/>
      <w:pPr>
        <w:ind w:left="1325" w:hanging="540"/>
      </w:pPr>
      <w:rPr>
        <w:rFonts w:hint="default"/>
      </w:rPr>
    </w:lvl>
    <w:lvl w:ilvl="2">
      <w:start w:val="3"/>
      <w:numFmt w:val="decimal"/>
      <w:lvlText w:val="%1.%2.%3."/>
      <w:lvlJc w:val="left"/>
      <w:pPr>
        <w:ind w:left="229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075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422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5005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615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935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8080" w:hanging="1800"/>
      </w:pPr>
      <w:rPr>
        <w:rFonts w:hint="default"/>
      </w:rPr>
    </w:lvl>
  </w:abstractNum>
  <w:abstractNum w:abstractNumId="15" w15:restartNumberingAfterBreak="0">
    <w:nsid w:val="4D38345B"/>
    <w:multiLevelType w:val="hybridMultilevel"/>
    <w:tmpl w:val="2264DEFC"/>
    <w:lvl w:ilvl="0" w:tplc="FDF4FDD6">
      <w:start w:val="1"/>
      <w:numFmt w:val="ordinal"/>
      <w:lvlText w:val="%1)"/>
      <w:lvlJc w:val="left"/>
      <w:pPr>
        <w:ind w:left="1571" w:hanging="360"/>
      </w:pPr>
      <w:rPr>
        <w:rFonts w:cs="Times New Roman" w:hint="default"/>
      </w:rPr>
    </w:lvl>
    <w:lvl w:ilvl="1" w:tplc="04020011">
      <w:start w:val="1"/>
      <w:numFmt w:val="decimal"/>
      <w:lvlText w:val="%2)"/>
      <w:lvlJc w:val="left"/>
      <w:pPr>
        <w:ind w:left="1440" w:hanging="360"/>
      </w:pPr>
      <w:rPr>
        <w:rFonts w:cs="Times New Roman" w:hint="default"/>
      </w:r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4D8E7544"/>
    <w:multiLevelType w:val="multilevel"/>
    <w:tmpl w:val="1FBA6908"/>
    <w:lvl w:ilvl="0">
      <w:start w:val="22"/>
      <w:numFmt w:val="decimal"/>
      <w:lvlText w:val="%1"/>
      <w:lvlJc w:val="left"/>
      <w:pPr>
        <w:ind w:left="600" w:hanging="600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025" w:hanging="600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157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995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7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05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99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415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200" w:hanging="1800"/>
      </w:pPr>
      <w:rPr>
        <w:rFonts w:hint="default"/>
      </w:rPr>
    </w:lvl>
  </w:abstractNum>
  <w:abstractNum w:abstractNumId="17" w15:restartNumberingAfterBreak="0">
    <w:nsid w:val="4EB8227E"/>
    <w:multiLevelType w:val="hybridMultilevel"/>
    <w:tmpl w:val="539877BE"/>
    <w:lvl w:ilvl="0" w:tplc="04020001">
      <w:start w:val="1"/>
      <w:numFmt w:val="bullet"/>
      <w:lvlText w:val=""/>
      <w:lvlJc w:val="left"/>
      <w:pPr>
        <w:ind w:left="1260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198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270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42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14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486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58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30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020" w:hanging="360"/>
      </w:pPr>
      <w:rPr>
        <w:rFonts w:ascii="Wingdings" w:hAnsi="Wingdings" w:hint="default"/>
      </w:rPr>
    </w:lvl>
  </w:abstractNum>
  <w:abstractNum w:abstractNumId="18" w15:restartNumberingAfterBreak="0">
    <w:nsid w:val="54B02840"/>
    <w:multiLevelType w:val="hybridMultilevel"/>
    <w:tmpl w:val="F9C0EDD6"/>
    <w:lvl w:ilvl="0" w:tplc="0402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20019">
      <w:start w:val="1"/>
      <w:numFmt w:val="lowerLetter"/>
      <w:lvlText w:val="%2."/>
      <w:lvlJc w:val="left"/>
      <w:pPr>
        <w:ind w:left="360" w:hanging="360"/>
      </w:pPr>
    </w:lvl>
    <w:lvl w:ilvl="2" w:tplc="0402001B" w:tentative="1">
      <w:start w:val="1"/>
      <w:numFmt w:val="lowerRoman"/>
      <w:lvlText w:val="%3."/>
      <w:lvlJc w:val="right"/>
      <w:pPr>
        <w:ind w:left="2160" w:hanging="180"/>
      </w:pPr>
    </w:lvl>
    <w:lvl w:ilvl="3" w:tplc="0402000F" w:tentative="1">
      <w:start w:val="1"/>
      <w:numFmt w:val="decimal"/>
      <w:lvlText w:val="%4."/>
      <w:lvlJc w:val="left"/>
      <w:pPr>
        <w:ind w:left="2880" w:hanging="360"/>
      </w:pPr>
    </w:lvl>
    <w:lvl w:ilvl="4" w:tplc="04020019" w:tentative="1">
      <w:start w:val="1"/>
      <w:numFmt w:val="lowerLetter"/>
      <w:lvlText w:val="%5."/>
      <w:lvlJc w:val="left"/>
      <w:pPr>
        <w:ind w:left="3600" w:hanging="360"/>
      </w:pPr>
    </w:lvl>
    <w:lvl w:ilvl="5" w:tplc="0402001B" w:tentative="1">
      <w:start w:val="1"/>
      <w:numFmt w:val="lowerRoman"/>
      <w:lvlText w:val="%6."/>
      <w:lvlJc w:val="right"/>
      <w:pPr>
        <w:ind w:left="4320" w:hanging="180"/>
      </w:pPr>
    </w:lvl>
    <w:lvl w:ilvl="6" w:tplc="0402000F" w:tentative="1">
      <w:start w:val="1"/>
      <w:numFmt w:val="decimal"/>
      <w:lvlText w:val="%7."/>
      <w:lvlJc w:val="left"/>
      <w:pPr>
        <w:ind w:left="5040" w:hanging="360"/>
      </w:pPr>
    </w:lvl>
    <w:lvl w:ilvl="7" w:tplc="04020019" w:tentative="1">
      <w:start w:val="1"/>
      <w:numFmt w:val="lowerLetter"/>
      <w:lvlText w:val="%8."/>
      <w:lvlJc w:val="left"/>
      <w:pPr>
        <w:ind w:left="5760" w:hanging="360"/>
      </w:pPr>
    </w:lvl>
    <w:lvl w:ilvl="8" w:tplc="0402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68211986"/>
    <w:multiLevelType w:val="hybridMultilevel"/>
    <w:tmpl w:val="AC501332"/>
    <w:lvl w:ilvl="0" w:tplc="0402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 w15:restartNumberingAfterBreak="0">
    <w:nsid w:val="6FA27420"/>
    <w:multiLevelType w:val="multilevel"/>
    <w:tmpl w:val="7D467F94"/>
    <w:lvl w:ilvl="0">
      <w:start w:val="4"/>
      <w:numFmt w:val="decimal"/>
      <w:lvlText w:val="%1."/>
      <w:lvlJc w:val="left"/>
      <w:pPr>
        <w:ind w:left="540" w:hanging="540"/>
      </w:pPr>
      <w:rPr>
        <w:rFonts w:eastAsia="Times New Roman" w:hint="default"/>
        <w:b/>
        <w:u w:val="none"/>
      </w:rPr>
    </w:lvl>
    <w:lvl w:ilvl="1">
      <w:start w:val="3"/>
      <w:numFmt w:val="decimal"/>
      <w:lvlText w:val="%1.%2."/>
      <w:lvlJc w:val="left"/>
      <w:pPr>
        <w:ind w:left="682" w:hanging="540"/>
      </w:pPr>
      <w:rPr>
        <w:rFonts w:eastAsia="Times New Roman" w:hint="default"/>
        <w:b/>
        <w:u w:val="none"/>
      </w:rPr>
    </w:lvl>
    <w:lvl w:ilvl="2">
      <w:start w:val="2"/>
      <w:numFmt w:val="decimal"/>
      <w:lvlText w:val="%1.%2.%3."/>
      <w:lvlJc w:val="left"/>
      <w:pPr>
        <w:ind w:left="1004" w:hanging="720"/>
      </w:pPr>
      <w:rPr>
        <w:rFonts w:eastAsia="Times New Roman" w:hint="default"/>
        <w:b/>
        <w:u w:val="none"/>
      </w:rPr>
    </w:lvl>
    <w:lvl w:ilvl="3">
      <w:start w:val="1"/>
      <w:numFmt w:val="decimal"/>
      <w:lvlText w:val="%1.%2.%3.%4."/>
      <w:lvlJc w:val="left"/>
      <w:pPr>
        <w:ind w:left="1146" w:hanging="720"/>
      </w:pPr>
      <w:rPr>
        <w:rFonts w:eastAsia="Times New Roman" w:hint="default"/>
        <w:b/>
        <w:u w:val="none"/>
      </w:rPr>
    </w:lvl>
    <w:lvl w:ilvl="4">
      <w:start w:val="1"/>
      <w:numFmt w:val="decimal"/>
      <w:lvlText w:val="%1.%2.%3.%4.%5."/>
      <w:lvlJc w:val="left"/>
      <w:pPr>
        <w:ind w:left="1648" w:hanging="1080"/>
      </w:pPr>
      <w:rPr>
        <w:rFonts w:eastAsia="Times New Roman" w:hint="default"/>
        <w:b/>
        <w:u w:val="none"/>
      </w:rPr>
    </w:lvl>
    <w:lvl w:ilvl="5">
      <w:start w:val="1"/>
      <w:numFmt w:val="decimal"/>
      <w:lvlText w:val="%1.%2.%3.%4.%5.%6."/>
      <w:lvlJc w:val="left"/>
      <w:pPr>
        <w:ind w:left="1790" w:hanging="1080"/>
      </w:pPr>
      <w:rPr>
        <w:rFonts w:eastAsia="Times New Roman" w:hint="default"/>
        <w:b/>
        <w:u w:val="none"/>
      </w:rPr>
    </w:lvl>
    <w:lvl w:ilvl="6">
      <w:start w:val="1"/>
      <w:numFmt w:val="decimal"/>
      <w:lvlText w:val="%1.%2.%3.%4.%5.%6.%7."/>
      <w:lvlJc w:val="left"/>
      <w:pPr>
        <w:ind w:left="2292" w:hanging="1440"/>
      </w:pPr>
      <w:rPr>
        <w:rFonts w:eastAsia="Times New Roman" w:hint="default"/>
        <w:b/>
        <w:u w:val="none"/>
      </w:rPr>
    </w:lvl>
    <w:lvl w:ilvl="7">
      <w:start w:val="1"/>
      <w:numFmt w:val="decimal"/>
      <w:lvlText w:val="%1.%2.%3.%4.%5.%6.%7.%8."/>
      <w:lvlJc w:val="left"/>
      <w:pPr>
        <w:ind w:left="2434" w:hanging="1440"/>
      </w:pPr>
      <w:rPr>
        <w:rFonts w:eastAsia="Times New Roman" w:hint="default"/>
        <w:b/>
        <w:u w:val="none"/>
      </w:rPr>
    </w:lvl>
    <w:lvl w:ilvl="8">
      <w:start w:val="1"/>
      <w:numFmt w:val="decimal"/>
      <w:lvlText w:val="%1.%2.%3.%4.%5.%6.%7.%8.%9."/>
      <w:lvlJc w:val="left"/>
      <w:pPr>
        <w:ind w:left="2936" w:hanging="1800"/>
      </w:pPr>
      <w:rPr>
        <w:rFonts w:eastAsia="Times New Roman" w:hint="default"/>
        <w:b/>
        <w:u w:val="none"/>
      </w:rPr>
    </w:lvl>
  </w:abstractNum>
  <w:abstractNum w:abstractNumId="21" w15:restartNumberingAfterBreak="0">
    <w:nsid w:val="7D1E4EA1"/>
    <w:multiLevelType w:val="hybridMultilevel"/>
    <w:tmpl w:val="81785FBE"/>
    <w:lvl w:ilvl="0" w:tplc="B7385E5E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hint="default"/>
        <w:color w:val="auto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2"/>
  </w:num>
  <w:num w:numId="3">
    <w:abstractNumId w:val="11"/>
  </w:num>
  <w:num w:numId="4">
    <w:abstractNumId w:val="4"/>
  </w:num>
  <w:num w:numId="5">
    <w:abstractNumId w:val="8"/>
  </w:num>
  <w:num w:numId="6">
    <w:abstractNumId w:val="16"/>
  </w:num>
  <w:num w:numId="7">
    <w:abstractNumId w:val="1"/>
  </w:num>
  <w:num w:numId="8">
    <w:abstractNumId w:val="0"/>
  </w:num>
  <w:num w:numId="9">
    <w:abstractNumId w:val="15"/>
  </w:num>
  <w:num w:numId="10">
    <w:abstractNumId w:val="14"/>
  </w:num>
  <w:num w:numId="11">
    <w:abstractNumId w:val="10"/>
  </w:num>
  <w:num w:numId="12">
    <w:abstractNumId w:val="5"/>
  </w:num>
  <w:num w:numId="13">
    <w:abstractNumId w:val="19"/>
  </w:num>
  <w:num w:numId="14">
    <w:abstractNumId w:val="21"/>
  </w:num>
  <w:num w:numId="15">
    <w:abstractNumId w:val="17"/>
  </w:num>
  <w:num w:numId="16">
    <w:abstractNumId w:val="3"/>
  </w:num>
  <w:num w:numId="17">
    <w:abstractNumId w:val="20"/>
  </w:num>
  <w:num w:numId="18">
    <w:abstractNumId w:val="6"/>
  </w:num>
  <w:num w:numId="19">
    <w:abstractNumId w:val="18"/>
  </w:num>
  <w:num w:numId="20">
    <w:abstractNumId w:val="7"/>
  </w:num>
  <w:num w:numId="21">
    <w:abstractNumId w:val="12"/>
  </w:num>
  <w:num w:numId="22">
    <w:abstractNumId w:val="1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258F1"/>
    <w:rsid w:val="000B4B47"/>
    <w:rsid w:val="000C4764"/>
    <w:rsid w:val="00163BD9"/>
    <w:rsid w:val="00182619"/>
    <w:rsid w:val="001B410C"/>
    <w:rsid w:val="001C643D"/>
    <w:rsid w:val="002208FF"/>
    <w:rsid w:val="002A1F3B"/>
    <w:rsid w:val="00307976"/>
    <w:rsid w:val="00313FA9"/>
    <w:rsid w:val="003258F1"/>
    <w:rsid w:val="0033052F"/>
    <w:rsid w:val="0037104F"/>
    <w:rsid w:val="003917E8"/>
    <w:rsid w:val="003A248B"/>
    <w:rsid w:val="0040115D"/>
    <w:rsid w:val="00401613"/>
    <w:rsid w:val="00413658"/>
    <w:rsid w:val="00434505"/>
    <w:rsid w:val="00460EC1"/>
    <w:rsid w:val="004767AD"/>
    <w:rsid w:val="00493C30"/>
    <w:rsid w:val="004B1709"/>
    <w:rsid w:val="004B7B10"/>
    <w:rsid w:val="004E3891"/>
    <w:rsid w:val="00541194"/>
    <w:rsid w:val="00546AA7"/>
    <w:rsid w:val="005A4F56"/>
    <w:rsid w:val="005B0D4D"/>
    <w:rsid w:val="006569B3"/>
    <w:rsid w:val="00685FDE"/>
    <w:rsid w:val="006D4279"/>
    <w:rsid w:val="007579C1"/>
    <w:rsid w:val="00761554"/>
    <w:rsid w:val="007830A7"/>
    <w:rsid w:val="00786691"/>
    <w:rsid w:val="007E4763"/>
    <w:rsid w:val="00843B8B"/>
    <w:rsid w:val="00850B40"/>
    <w:rsid w:val="008708C6"/>
    <w:rsid w:val="0088020E"/>
    <w:rsid w:val="008814E0"/>
    <w:rsid w:val="0089127F"/>
    <w:rsid w:val="008942B2"/>
    <w:rsid w:val="00897ADF"/>
    <w:rsid w:val="00897D99"/>
    <w:rsid w:val="008D3F51"/>
    <w:rsid w:val="008D44EE"/>
    <w:rsid w:val="008F0861"/>
    <w:rsid w:val="009006A1"/>
    <w:rsid w:val="009471B4"/>
    <w:rsid w:val="00952526"/>
    <w:rsid w:val="00960DFA"/>
    <w:rsid w:val="0096382F"/>
    <w:rsid w:val="00973FC7"/>
    <w:rsid w:val="00974ACE"/>
    <w:rsid w:val="00A24E0D"/>
    <w:rsid w:val="00A34AE6"/>
    <w:rsid w:val="00A55304"/>
    <w:rsid w:val="00A76BF8"/>
    <w:rsid w:val="00AB7DC7"/>
    <w:rsid w:val="00BA0446"/>
    <w:rsid w:val="00BA61FE"/>
    <w:rsid w:val="00BF6D95"/>
    <w:rsid w:val="00C15EDA"/>
    <w:rsid w:val="00C5268C"/>
    <w:rsid w:val="00C6117B"/>
    <w:rsid w:val="00CC6101"/>
    <w:rsid w:val="00CC6EDD"/>
    <w:rsid w:val="00D5289B"/>
    <w:rsid w:val="00D563CC"/>
    <w:rsid w:val="00D60033"/>
    <w:rsid w:val="00D70E42"/>
    <w:rsid w:val="00DA786E"/>
    <w:rsid w:val="00DA7E67"/>
    <w:rsid w:val="00DB26BE"/>
    <w:rsid w:val="00DC1D2F"/>
    <w:rsid w:val="00DD47D0"/>
    <w:rsid w:val="00DE3DBB"/>
    <w:rsid w:val="00E024DA"/>
    <w:rsid w:val="00E35FF1"/>
    <w:rsid w:val="00EA0BB5"/>
    <w:rsid w:val="00EA1D9A"/>
    <w:rsid w:val="00EC79D5"/>
    <w:rsid w:val="00F438D4"/>
    <w:rsid w:val="00F80C60"/>
    <w:rsid w:val="00F9142E"/>
    <w:rsid w:val="00F96733"/>
    <w:rsid w:val="00FB0796"/>
    <w:rsid w:val="00FB427A"/>
    <w:rsid w:val="00FD37AF"/>
    <w:rsid w:val="00FE14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g-BG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F332E79"/>
  <w15:chartTrackingRefBased/>
  <w15:docId w15:val="{93C2685E-902E-4C9F-9BE8-DF31020C4CE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bg-BG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3258F1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0C476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C4764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BA04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A0446"/>
  </w:style>
  <w:style w:type="paragraph" w:styleId="Footer">
    <w:name w:val="footer"/>
    <w:basedOn w:val="Normal"/>
    <w:link w:val="FooterChar"/>
    <w:uiPriority w:val="99"/>
    <w:unhideWhenUsed/>
    <w:rsid w:val="00BA044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A04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emf"/><Relationship Id="rId2" Type="http://schemas.openxmlformats.org/officeDocument/2006/relationships/oleObject" Target="embeddings/oleObject1.bin"/><Relationship Id="rId1" Type="http://schemas.openxmlformats.org/officeDocument/2006/relationships/image" Target="media/image1.emf"/><Relationship Id="rId4" Type="http://schemas.openxmlformats.org/officeDocument/2006/relationships/oleObject" Target="embeddings/oleObject2.bin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ED945E-4CB0-4715-89F9-1966679C4C8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50</TotalTime>
  <Pages>12</Pages>
  <Words>4200</Words>
  <Characters>23944</Characters>
  <Application>Microsoft Office Word</Application>
  <DocSecurity>0</DocSecurity>
  <Lines>199</Lines>
  <Paragraphs>56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MTITC</Company>
  <LinksUpToDate>false</LinksUpToDate>
  <CharactersWithSpaces>28088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Maia Stoilova</dc:creator>
  <cp:keywords/>
  <dc:description/>
  <cp:lastModifiedBy>Daniela Kalaydzhiyska-Ivanova</cp:lastModifiedBy>
  <cp:revision>8</cp:revision>
  <dcterms:created xsi:type="dcterms:W3CDTF">2023-11-08T08:08:00Z</dcterms:created>
  <dcterms:modified xsi:type="dcterms:W3CDTF">2024-11-28T13:04:00Z</dcterms:modified>
</cp:coreProperties>
</file>