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F6A8CF" w14:textId="77777777" w:rsidR="00EC5B00" w:rsidRPr="00805152" w:rsidRDefault="00EC5B00" w:rsidP="00681C8B">
      <w:pPr>
        <w:spacing w:after="120" w:line="276" w:lineRule="auto"/>
        <w:rPr>
          <w:rFonts w:ascii="Times New Roman" w:hAnsi="Times New Roman"/>
          <w:sz w:val="24"/>
          <w:szCs w:val="24"/>
          <w:lang w:val="bg-BG" w:eastAsia="bg-BG"/>
        </w:rPr>
      </w:pPr>
    </w:p>
    <w:p w14:paraId="1DB6FF9E" w14:textId="77777777" w:rsidR="00EC5B00" w:rsidRPr="00805152" w:rsidRDefault="00EC5B00" w:rsidP="00EC5B00">
      <w:pPr>
        <w:spacing w:after="120" w:line="276" w:lineRule="auto"/>
        <w:jc w:val="center"/>
        <w:rPr>
          <w:rFonts w:ascii="Times New Roman" w:hAnsi="Times New Roman"/>
          <w:b/>
          <w:bCs/>
          <w:sz w:val="48"/>
          <w:szCs w:val="48"/>
          <w:lang w:val="bg-BG" w:eastAsia="bg-BG"/>
        </w:rPr>
      </w:pPr>
      <w:r w:rsidRPr="00805152">
        <w:rPr>
          <w:rFonts w:ascii="Times New Roman" w:hAnsi="Times New Roman"/>
          <w:b/>
          <w:bCs/>
          <w:sz w:val="48"/>
          <w:szCs w:val="48"/>
          <w:lang w:val="bg-BG" w:eastAsia="bg-BG"/>
        </w:rPr>
        <w:t>ПРЕДПРОЕКТНО ПРОУЧВАНЕ</w:t>
      </w:r>
    </w:p>
    <w:p w14:paraId="5507F34C" w14:textId="77777777" w:rsidR="00EC5B00" w:rsidRPr="00805152" w:rsidRDefault="00EC5B00" w:rsidP="00EC5B00">
      <w:pPr>
        <w:spacing w:after="120" w:line="276" w:lineRule="auto"/>
        <w:ind w:right="-142"/>
        <w:jc w:val="center"/>
        <w:rPr>
          <w:rFonts w:ascii="Times New Roman" w:hAnsi="Times New Roman"/>
          <w:b/>
          <w:bCs/>
          <w:sz w:val="36"/>
          <w:szCs w:val="36"/>
          <w:lang w:val="bg-BG" w:eastAsia="bg-BG"/>
        </w:rPr>
      </w:pPr>
      <w:r w:rsidRPr="00805152">
        <w:rPr>
          <w:rFonts w:ascii="Times New Roman" w:hAnsi="Times New Roman"/>
          <w:b/>
          <w:bCs/>
          <w:sz w:val="36"/>
          <w:szCs w:val="36"/>
          <w:lang w:val="bg-BG" w:eastAsia="bg-BG"/>
        </w:rPr>
        <w:t xml:space="preserve">за проект </w:t>
      </w:r>
    </w:p>
    <w:p w14:paraId="107911F7" w14:textId="0FAC0351" w:rsidR="00EC5B00" w:rsidRPr="00805152" w:rsidRDefault="00EC5B00" w:rsidP="00EC5B00">
      <w:pPr>
        <w:spacing w:after="120" w:line="276" w:lineRule="auto"/>
        <w:ind w:right="-142"/>
        <w:jc w:val="center"/>
        <w:rPr>
          <w:rFonts w:ascii="Times New Roman" w:hAnsi="Times New Roman"/>
          <w:sz w:val="24"/>
          <w:szCs w:val="24"/>
          <w:lang w:val="bg-BG" w:eastAsia="bg-BG"/>
        </w:rPr>
      </w:pPr>
      <w:r w:rsidRPr="00805152">
        <w:rPr>
          <w:rFonts w:ascii="Times New Roman" w:hAnsi="Times New Roman"/>
          <w:b/>
          <w:bCs/>
          <w:sz w:val="36"/>
          <w:szCs w:val="36"/>
          <w:lang w:val="bg-BG" w:eastAsia="bg-BG"/>
        </w:rPr>
        <w:t>„Рехабилитация на вълнолом в пристанище Бургас“</w:t>
      </w:r>
    </w:p>
    <w:p w14:paraId="0FB2E1BD" w14:textId="77777777" w:rsidR="00EC5B00" w:rsidRPr="00805152" w:rsidRDefault="00EC5B00" w:rsidP="00EC5B00">
      <w:pPr>
        <w:spacing w:after="120" w:line="276" w:lineRule="auto"/>
        <w:ind w:firstLine="720"/>
        <w:rPr>
          <w:rFonts w:ascii="Times New Roman" w:hAnsi="Times New Roman"/>
          <w:sz w:val="24"/>
          <w:szCs w:val="24"/>
          <w:lang w:val="bg-BG" w:eastAsia="bg-BG"/>
        </w:rPr>
      </w:pPr>
    </w:p>
    <w:p w14:paraId="5C8ABB31" w14:textId="77777777" w:rsidR="00EC5B00" w:rsidRPr="00805152" w:rsidRDefault="00EC5B00" w:rsidP="00EC5B00">
      <w:pPr>
        <w:spacing w:after="120" w:line="276" w:lineRule="auto"/>
        <w:ind w:firstLine="720"/>
        <w:rPr>
          <w:rFonts w:ascii="Times New Roman" w:hAnsi="Times New Roman"/>
          <w:sz w:val="24"/>
          <w:szCs w:val="24"/>
          <w:lang w:val="bg-BG" w:eastAsia="bg-BG"/>
        </w:rPr>
      </w:pPr>
    </w:p>
    <w:tbl>
      <w:tblPr>
        <w:tblW w:w="9493" w:type="dxa"/>
        <w:jc w:val="cente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shd w:val="clear" w:color="auto" w:fill="FFF2CC"/>
        <w:tblCellMar>
          <w:left w:w="0" w:type="dxa"/>
          <w:right w:w="0" w:type="dxa"/>
        </w:tblCellMar>
        <w:tblLook w:val="01E0" w:firstRow="1" w:lastRow="1" w:firstColumn="1" w:lastColumn="1" w:noHBand="0" w:noVBand="0"/>
      </w:tblPr>
      <w:tblGrid>
        <w:gridCol w:w="3681"/>
        <w:gridCol w:w="5812"/>
      </w:tblGrid>
      <w:tr w:rsidR="00EC5B00" w:rsidRPr="00805152" w14:paraId="29962DCB" w14:textId="77777777" w:rsidTr="00EC5B00">
        <w:trPr>
          <w:trHeight w:val="515"/>
          <w:jc w:val="center"/>
        </w:trPr>
        <w:tc>
          <w:tcPr>
            <w:tcW w:w="3681" w:type="dxa"/>
            <w:shd w:val="clear" w:color="auto" w:fill="FFF2CC"/>
            <w:vAlign w:val="center"/>
          </w:tcPr>
          <w:p w14:paraId="513C3518"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Договор</w:t>
            </w:r>
            <w:r w:rsidRPr="00805152">
              <w:rPr>
                <w:rFonts w:ascii="Times New Roman" w:hAnsi="Times New Roman"/>
                <w:i/>
                <w:color w:val="000000"/>
                <w:spacing w:val="-3"/>
                <w:sz w:val="24"/>
                <w:szCs w:val="24"/>
                <w:lang w:val="bg-BG"/>
              </w:rPr>
              <w:t xml:space="preserve"> </w:t>
            </w:r>
            <w:r w:rsidRPr="00805152">
              <w:rPr>
                <w:rFonts w:ascii="Times New Roman" w:hAnsi="Times New Roman"/>
                <w:i/>
                <w:color w:val="000000"/>
                <w:sz w:val="24"/>
                <w:szCs w:val="24"/>
                <w:lang w:val="bg-BG"/>
              </w:rPr>
              <w:t>№ и дата</w:t>
            </w:r>
          </w:p>
        </w:tc>
        <w:tc>
          <w:tcPr>
            <w:tcW w:w="5812" w:type="dxa"/>
            <w:shd w:val="clear" w:color="auto" w:fill="FFFFFF"/>
            <w:vAlign w:val="center"/>
          </w:tcPr>
          <w:p w14:paraId="0DCDC1F3"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ДЕП-4 от 31.05.2021 г.</w:t>
            </w:r>
          </w:p>
        </w:tc>
      </w:tr>
      <w:tr w:rsidR="00EC5B00" w:rsidRPr="00805152" w14:paraId="5B8C6E0A" w14:textId="77777777" w:rsidTr="00EC5B00">
        <w:trPr>
          <w:trHeight w:val="671"/>
          <w:jc w:val="center"/>
        </w:trPr>
        <w:tc>
          <w:tcPr>
            <w:tcW w:w="3681" w:type="dxa"/>
            <w:shd w:val="clear" w:color="auto" w:fill="FFF2CC"/>
            <w:vAlign w:val="center"/>
          </w:tcPr>
          <w:p w14:paraId="0167862A"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Възложител</w:t>
            </w:r>
          </w:p>
        </w:tc>
        <w:tc>
          <w:tcPr>
            <w:tcW w:w="5812" w:type="dxa"/>
            <w:shd w:val="clear" w:color="auto" w:fill="FFFFFF"/>
            <w:vAlign w:val="center"/>
          </w:tcPr>
          <w:p w14:paraId="7B929C52"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Държавно предприятие</w:t>
            </w:r>
          </w:p>
          <w:p w14:paraId="4283F64B"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„Пристанищна инфраструктура“ (ДППИ)</w:t>
            </w:r>
          </w:p>
        </w:tc>
      </w:tr>
      <w:tr w:rsidR="00EC5B00" w:rsidRPr="00805152" w14:paraId="2E8141F9" w14:textId="77777777" w:rsidTr="00EC5B00">
        <w:trPr>
          <w:trHeight w:val="945"/>
          <w:jc w:val="center"/>
        </w:trPr>
        <w:tc>
          <w:tcPr>
            <w:tcW w:w="3681" w:type="dxa"/>
            <w:shd w:val="clear" w:color="auto" w:fill="FFF2CC"/>
            <w:vAlign w:val="center"/>
          </w:tcPr>
          <w:p w14:paraId="35666AD2"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Предмет</w:t>
            </w:r>
            <w:r w:rsidRPr="00805152">
              <w:rPr>
                <w:rFonts w:ascii="Times New Roman" w:hAnsi="Times New Roman"/>
                <w:i/>
                <w:color w:val="000000"/>
                <w:spacing w:val="-3"/>
                <w:sz w:val="24"/>
                <w:szCs w:val="24"/>
                <w:lang w:val="bg-BG"/>
              </w:rPr>
              <w:t xml:space="preserve"> </w:t>
            </w:r>
            <w:r w:rsidRPr="00805152">
              <w:rPr>
                <w:rFonts w:ascii="Times New Roman" w:hAnsi="Times New Roman"/>
                <w:i/>
                <w:color w:val="000000"/>
                <w:sz w:val="24"/>
                <w:szCs w:val="24"/>
                <w:lang w:val="bg-BG"/>
              </w:rPr>
              <w:t>на</w:t>
            </w:r>
            <w:r w:rsidRPr="00805152">
              <w:rPr>
                <w:rFonts w:ascii="Times New Roman" w:hAnsi="Times New Roman"/>
                <w:i/>
                <w:color w:val="000000"/>
                <w:spacing w:val="-3"/>
                <w:sz w:val="24"/>
                <w:szCs w:val="24"/>
                <w:lang w:val="bg-BG"/>
              </w:rPr>
              <w:t xml:space="preserve"> </w:t>
            </w:r>
            <w:r w:rsidRPr="00805152">
              <w:rPr>
                <w:rFonts w:ascii="Times New Roman" w:hAnsi="Times New Roman"/>
                <w:i/>
                <w:color w:val="000000"/>
                <w:sz w:val="24"/>
                <w:szCs w:val="24"/>
                <w:lang w:val="bg-BG"/>
              </w:rPr>
              <w:t>договора</w:t>
            </w:r>
          </w:p>
        </w:tc>
        <w:tc>
          <w:tcPr>
            <w:tcW w:w="5812" w:type="dxa"/>
            <w:shd w:val="clear" w:color="auto" w:fill="FFFFFF"/>
            <w:vAlign w:val="center"/>
          </w:tcPr>
          <w:p w14:paraId="351CD76D" w14:textId="77777777" w:rsidR="00EC5B00" w:rsidRPr="00805152" w:rsidRDefault="00EC5B00" w:rsidP="00EC5B00">
            <w:pPr>
              <w:spacing w:after="0" w:line="276" w:lineRule="auto"/>
              <w:ind w:right="149"/>
              <w:contextualSpacing/>
              <w:jc w:val="center"/>
              <w:rPr>
                <w:rFonts w:ascii="Times New Roman" w:hAnsi="Times New Roman"/>
                <w:b/>
                <w:bCs/>
                <w:i/>
                <w:color w:val="000000"/>
                <w:sz w:val="24"/>
                <w:szCs w:val="24"/>
                <w:lang w:val="bg-BG"/>
              </w:rPr>
            </w:pPr>
            <w:r w:rsidRPr="00805152">
              <w:rPr>
                <w:rFonts w:ascii="Times New Roman" w:hAnsi="Times New Roman"/>
                <w:i/>
                <w:color w:val="000000"/>
                <w:sz w:val="24"/>
                <w:szCs w:val="24"/>
                <w:lang w:val="bg-BG"/>
              </w:rPr>
              <w:t>Осигуряване на техническа помощ за подготовка на проекти за следващия програмен период 2021-2027 г.</w:t>
            </w:r>
          </w:p>
        </w:tc>
      </w:tr>
      <w:tr w:rsidR="00EC5B00" w:rsidRPr="00805152" w14:paraId="667BC8DF" w14:textId="77777777" w:rsidTr="00EC5B00">
        <w:trPr>
          <w:trHeight w:val="518"/>
          <w:jc w:val="center"/>
        </w:trPr>
        <w:tc>
          <w:tcPr>
            <w:tcW w:w="3681" w:type="dxa"/>
            <w:shd w:val="clear" w:color="auto" w:fill="FFF2CC"/>
            <w:vAlign w:val="center"/>
          </w:tcPr>
          <w:p w14:paraId="2FCCAAF9"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Изпълнител</w:t>
            </w:r>
          </w:p>
        </w:tc>
        <w:tc>
          <w:tcPr>
            <w:tcW w:w="5812" w:type="dxa"/>
            <w:shd w:val="clear" w:color="auto" w:fill="FFFFFF"/>
            <w:vAlign w:val="center"/>
          </w:tcPr>
          <w:p w14:paraId="59C7F12A"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„Българска консултантска организация“ ЕООД</w:t>
            </w:r>
          </w:p>
        </w:tc>
      </w:tr>
      <w:tr w:rsidR="00EC5B00" w:rsidRPr="00805152" w14:paraId="5AF57BBA" w14:textId="77777777" w:rsidTr="00EC5B00">
        <w:trPr>
          <w:trHeight w:val="518"/>
          <w:jc w:val="center"/>
        </w:trPr>
        <w:tc>
          <w:tcPr>
            <w:tcW w:w="3681" w:type="dxa"/>
            <w:shd w:val="clear" w:color="auto" w:fill="FFF2CC"/>
            <w:vAlign w:val="center"/>
          </w:tcPr>
          <w:p w14:paraId="35D61371"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Дата на подписване на договора</w:t>
            </w:r>
          </w:p>
        </w:tc>
        <w:tc>
          <w:tcPr>
            <w:tcW w:w="5812" w:type="dxa"/>
            <w:shd w:val="clear" w:color="auto" w:fill="FFFFFF"/>
            <w:vAlign w:val="center"/>
          </w:tcPr>
          <w:p w14:paraId="70B49643"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31.05.2021 г.</w:t>
            </w:r>
          </w:p>
        </w:tc>
      </w:tr>
      <w:tr w:rsidR="00EC5B00" w:rsidRPr="00805152" w14:paraId="4A3CEBA4" w14:textId="77777777" w:rsidTr="00EC5B00">
        <w:trPr>
          <w:trHeight w:val="791"/>
          <w:jc w:val="center"/>
        </w:trPr>
        <w:tc>
          <w:tcPr>
            <w:tcW w:w="3681" w:type="dxa"/>
            <w:shd w:val="clear" w:color="auto" w:fill="FFF2CC"/>
            <w:vAlign w:val="center"/>
          </w:tcPr>
          <w:p w14:paraId="16988449"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Срок за изпълнение на договора</w:t>
            </w:r>
          </w:p>
        </w:tc>
        <w:tc>
          <w:tcPr>
            <w:tcW w:w="5812" w:type="dxa"/>
            <w:shd w:val="clear" w:color="auto" w:fill="FFFFFF"/>
            <w:vAlign w:val="center"/>
          </w:tcPr>
          <w:p w14:paraId="7417A5B4"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31.10.2023 г.</w:t>
            </w:r>
          </w:p>
        </w:tc>
      </w:tr>
      <w:tr w:rsidR="00EC5B00" w:rsidRPr="00805152" w14:paraId="6EE7F5F9" w14:textId="77777777" w:rsidTr="00EC5B00">
        <w:trPr>
          <w:trHeight w:val="1583"/>
          <w:jc w:val="center"/>
        </w:trPr>
        <w:tc>
          <w:tcPr>
            <w:tcW w:w="3681" w:type="dxa"/>
            <w:shd w:val="clear" w:color="auto" w:fill="FFF2CC"/>
            <w:vAlign w:val="center"/>
          </w:tcPr>
          <w:p w14:paraId="1E28D928"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 xml:space="preserve">Представляващ </w:t>
            </w:r>
            <w:r w:rsidRPr="00805152">
              <w:rPr>
                <w:rFonts w:ascii="Times New Roman" w:hAnsi="Times New Roman"/>
                <w:i/>
                <w:color w:val="000000"/>
                <w:spacing w:val="-57"/>
                <w:sz w:val="24"/>
                <w:szCs w:val="24"/>
                <w:lang w:val="bg-BG"/>
              </w:rPr>
              <w:t xml:space="preserve"> </w:t>
            </w:r>
            <w:r w:rsidRPr="00805152">
              <w:rPr>
                <w:rFonts w:ascii="Times New Roman" w:hAnsi="Times New Roman"/>
                <w:i/>
                <w:color w:val="000000"/>
                <w:sz w:val="24"/>
                <w:szCs w:val="24"/>
                <w:lang w:val="bg-BG"/>
              </w:rPr>
              <w:t>изпълнителя</w:t>
            </w:r>
          </w:p>
          <w:p w14:paraId="201FA08F"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Адрес,</w:t>
            </w:r>
            <w:r w:rsidRPr="00805152">
              <w:rPr>
                <w:rFonts w:ascii="Times New Roman" w:hAnsi="Times New Roman"/>
                <w:i/>
                <w:color w:val="000000"/>
                <w:spacing w:val="-3"/>
                <w:sz w:val="24"/>
                <w:szCs w:val="24"/>
                <w:lang w:val="bg-BG"/>
              </w:rPr>
              <w:t xml:space="preserve"> </w:t>
            </w:r>
            <w:r w:rsidRPr="00805152">
              <w:rPr>
                <w:rFonts w:ascii="Times New Roman" w:hAnsi="Times New Roman"/>
                <w:i/>
                <w:color w:val="000000"/>
                <w:sz w:val="24"/>
                <w:szCs w:val="24"/>
                <w:lang w:val="bg-BG"/>
              </w:rPr>
              <w:t>телефон,</w:t>
            </w:r>
            <w:r w:rsidRPr="00805152">
              <w:rPr>
                <w:rFonts w:ascii="Times New Roman" w:hAnsi="Times New Roman"/>
                <w:i/>
                <w:color w:val="000000"/>
                <w:spacing w:val="-2"/>
                <w:sz w:val="24"/>
                <w:szCs w:val="24"/>
                <w:lang w:val="bg-BG"/>
              </w:rPr>
              <w:t xml:space="preserve"> </w:t>
            </w:r>
            <w:r w:rsidRPr="00805152">
              <w:rPr>
                <w:rFonts w:ascii="Times New Roman" w:hAnsi="Times New Roman"/>
                <w:i/>
                <w:color w:val="000000"/>
                <w:sz w:val="24"/>
                <w:szCs w:val="24"/>
                <w:lang w:val="bg-BG"/>
              </w:rPr>
              <w:t>е-mail</w:t>
            </w:r>
          </w:p>
        </w:tc>
        <w:tc>
          <w:tcPr>
            <w:tcW w:w="5812" w:type="dxa"/>
            <w:shd w:val="clear" w:color="auto" w:fill="FFFFFF"/>
            <w:vAlign w:val="center"/>
          </w:tcPr>
          <w:p w14:paraId="785F5D4C"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Стоян Ставрев</w:t>
            </w:r>
          </w:p>
          <w:p w14:paraId="7D8B1428"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bCs/>
                <w:i/>
                <w:color w:val="000000"/>
                <w:sz w:val="24"/>
                <w:szCs w:val="24"/>
                <w:lang w:val="bg-BG"/>
              </w:rPr>
              <w:t>София</w:t>
            </w:r>
            <w:r w:rsidRPr="00805152">
              <w:rPr>
                <w:rFonts w:ascii="Times New Roman" w:hAnsi="Times New Roman"/>
                <w:bCs/>
                <w:i/>
                <w:color w:val="000000"/>
                <w:spacing w:val="-4"/>
                <w:sz w:val="24"/>
                <w:szCs w:val="24"/>
                <w:lang w:val="bg-BG"/>
              </w:rPr>
              <w:t xml:space="preserve"> </w:t>
            </w:r>
            <w:r w:rsidRPr="00805152">
              <w:rPr>
                <w:rFonts w:ascii="Times New Roman" w:hAnsi="Times New Roman"/>
                <w:bCs/>
                <w:i/>
                <w:color w:val="000000"/>
                <w:sz w:val="24"/>
                <w:szCs w:val="24"/>
                <w:lang w:val="bg-BG"/>
              </w:rPr>
              <w:t>1407,</w:t>
            </w:r>
            <w:r w:rsidRPr="00805152">
              <w:rPr>
                <w:rFonts w:ascii="Times New Roman" w:hAnsi="Times New Roman"/>
                <w:bCs/>
                <w:i/>
                <w:color w:val="000000"/>
                <w:spacing w:val="-1"/>
                <w:sz w:val="24"/>
                <w:szCs w:val="24"/>
                <w:lang w:val="bg-BG"/>
              </w:rPr>
              <w:t xml:space="preserve"> </w:t>
            </w:r>
            <w:r w:rsidRPr="00805152">
              <w:rPr>
                <w:rFonts w:ascii="Times New Roman" w:hAnsi="Times New Roman"/>
                <w:bCs/>
                <w:i/>
                <w:color w:val="000000"/>
                <w:sz w:val="24"/>
                <w:szCs w:val="24"/>
                <w:lang w:val="bg-BG"/>
              </w:rPr>
              <w:t>бул.</w:t>
            </w:r>
            <w:r w:rsidRPr="00805152">
              <w:rPr>
                <w:rFonts w:ascii="Times New Roman" w:hAnsi="Times New Roman"/>
                <w:bCs/>
                <w:i/>
                <w:color w:val="000000"/>
                <w:spacing w:val="-1"/>
                <w:sz w:val="24"/>
                <w:szCs w:val="24"/>
                <w:lang w:val="bg-BG"/>
              </w:rPr>
              <w:t xml:space="preserve"> </w:t>
            </w:r>
            <w:r w:rsidRPr="00805152">
              <w:rPr>
                <w:rFonts w:ascii="Times New Roman" w:hAnsi="Times New Roman"/>
                <w:bCs/>
                <w:i/>
                <w:color w:val="000000"/>
                <w:sz w:val="24"/>
                <w:szCs w:val="24"/>
                <w:lang w:val="bg-BG"/>
              </w:rPr>
              <w:t>„Черни връх“</w:t>
            </w:r>
            <w:r w:rsidRPr="00805152">
              <w:rPr>
                <w:rFonts w:ascii="Times New Roman" w:hAnsi="Times New Roman"/>
                <w:bCs/>
                <w:i/>
                <w:color w:val="000000"/>
                <w:spacing w:val="-1"/>
                <w:sz w:val="24"/>
                <w:szCs w:val="24"/>
                <w:lang w:val="bg-BG"/>
              </w:rPr>
              <w:t xml:space="preserve"> </w:t>
            </w:r>
            <w:r w:rsidRPr="00805152">
              <w:rPr>
                <w:rFonts w:ascii="Times New Roman" w:hAnsi="Times New Roman"/>
                <w:bCs/>
                <w:i/>
                <w:color w:val="000000"/>
                <w:sz w:val="24"/>
                <w:szCs w:val="24"/>
                <w:lang w:val="bg-BG"/>
              </w:rPr>
              <w:t>№32Г</w:t>
            </w:r>
            <w:r w:rsidRPr="00805152">
              <w:rPr>
                <w:rFonts w:ascii="Times New Roman" w:hAnsi="Times New Roman"/>
                <w:i/>
                <w:color w:val="000000"/>
                <w:sz w:val="24"/>
                <w:szCs w:val="24"/>
                <w:lang w:val="bg-BG"/>
              </w:rPr>
              <w:t xml:space="preserve">, ет. 1, ап. </w:t>
            </w:r>
            <w:r w:rsidRPr="00805152">
              <w:rPr>
                <w:rFonts w:ascii="Times New Roman" w:hAnsi="Times New Roman"/>
                <w:i/>
                <w:color w:val="000000"/>
                <w:spacing w:val="-57"/>
                <w:sz w:val="24"/>
                <w:szCs w:val="24"/>
                <w:lang w:val="bg-BG"/>
              </w:rPr>
              <w:t xml:space="preserve">1А       </w:t>
            </w:r>
            <w:r w:rsidRPr="00805152">
              <w:rPr>
                <w:rFonts w:ascii="Times New Roman" w:hAnsi="Times New Roman"/>
                <w:i/>
                <w:color w:val="000000"/>
                <w:sz w:val="24"/>
                <w:szCs w:val="24"/>
                <w:lang w:val="bg-BG"/>
              </w:rPr>
              <w:t>Тел.:</w:t>
            </w:r>
            <w:r w:rsidRPr="00805152">
              <w:rPr>
                <w:rFonts w:ascii="Times New Roman" w:hAnsi="Times New Roman"/>
                <w:i/>
                <w:color w:val="000000"/>
                <w:spacing w:val="-2"/>
                <w:sz w:val="24"/>
                <w:szCs w:val="24"/>
                <w:lang w:val="bg-BG"/>
              </w:rPr>
              <w:t xml:space="preserve"> +359 879 481 565</w:t>
            </w:r>
          </w:p>
          <w:p w14:paraId="5B9143EE"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stoyan.stavrev@bco.bg</w:t>
            </w:r>
          </w:p>
        </w:tc>
      </w:tr>
      <w:tr w:rsidR="00EC5B00" w:rsidRPr="00805152" w14:paraId="16A4F408" w14:textId="77777777" w:rsidTr="00EC5B00">
        <w:trPr>
          <w:trHeight w:val="517"/>
          <w:jc w:val="center"/>
        </w:trPr>
        <w:tc>
          <w:tcPr>
            <w:tcW w:w="3681" w:type="dxa"/>
            <w:shd w:val="clear" w:color="auto" w:fill="FFF2CC"/>
            <w:vAlign w:val="center"/>
          </w:tcPr>
          <w:p w14:paraId="53D43C9B"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Вид</w:t>
            </w:r>
            <w:r w:rsidRPr="00805152">
              <w:rPr>
                <w:rFonts w:ascii="Times New Roman" w:hAnsi="Times New Roman"/>
                <w:i/>
                <w:color w:val="000000"/>
                <w:spacing w:val="-1"/>
                <w:sz w:val="24"/>
                <w:szCs w:val="24"/>
                <w:lang w:val="bg-BG"/>
              </w:rPr>
              <w:t xml:space="preserve"> </w:t>
            </w:r>
            <w:r w:rsidRPr="00805152">
              <w:rPr>
                <w:rFonts w:ascii="Times New Roman" w:hAnsi="Times New Roman"/>
                <w:i/>
                <w:color w:val="000000"/>
                <w:sz w:val="24"/>
                <w:szCs w:val="24"/>
                <w:lang w:val="bg-BG"/>
              </w:rPr>
              <w:t>документ</w:t>
            </w:r>
          </w:p>
        </w:tc>
        <w:tc>
          <w:tcPr>
            <w:tcW w:w="5812" w:type="dxa"/>
            <w:shd w:val="clear" w:color="auto" w:fill="FFFFFF"/>
            <w:vAlign w:val="center"/>
          </w:tcPr>
          <w:p w14:paraId="1025D68F"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ПРЕДПРОЕКТНО ПРОУЧВАНЕ</w:t>
            </w:r>
          </w:p>
        </w:tc>
      </w:tr>
      <w:tr w:rsidR="00EC5B00" w:rsidRPr="00805152" w14:paraId="63C3E87D" w14:textId="77777777" w:rsidTr="00EC5B00">
        <w:trPr>
          <w:trHeight w:val="515"/>
          <w:jc w:val="center"/>
        </w:trPr>
        <w:tc>
          <w:tcPr>
            <w:tcW w:w="3681" w:type="dxa"/>
            <w:shd w:val="clear" w:color="auto" w:fill="FFF2CC"/>
            <w:vAlign w:val="center"/>
          </w:tcPr>
          <w:p w14:paraId="5132A6B4"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 xml:space="preserve">Проект </w:t>
            </w:r>
          </w:p>
        </w:tc>
        <w:tc>
          <w:tcPr>
            <w:tcW w:w="5812" w:type="dxa"/>
            <w:shd w:val="clear" w:color="auto" w:fill="FFFFFF"/>
            <w:vAlign w:val="center"/>
          </w:tcPr>
          <w:p w14:paraId="1F323264" w14:textId="42FBB085"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„Рехабилитация на вълнолом в пристанище Бургас““</w:t>
            </w:r>
          </w:p>
        </w:tc>
      </w:tr>
      <w:tr w:rsidR="00EC5B00" w:rsidRPr="00805152" w14:paraId="7E60D470" w14:textId="77777777" w:rsidTr="00EC5B00">
        <w:trPr>
          <w:trHeight w:val="791"/>
          <w:jc w:val="center"/>
        </w:trPr>
        <w:tc>
          <w:tcPr>
            <w:tcW w:w="3681" w:type="dxa"/>
            <w:shd w:val="clear" w:color="auto" w:fill="FFF2CC"/>
            <w:vAlign w:val="center"/>
          </w:tcPr>
          <w:p w14:paraId="6DBAEC28" w14:textId="77777777" w:rsidR="00EC5B00" w:rsidRPr="00805152" w:rsidRDefault="00EC5B00" w:rsidP="00EC5B00">
            <w:pPr>
              <w:spacing w:after="0" w:line="276" w:lineRule="auto"/>
              <w:ind w:right="149"/>
              <w:contextualSpacing/>
              <w:jc w:val="center"/>
              <w:rPr>
                <w:rFonts w:ascii="Times New Roman" w:hAnsi="Times New Roman"/>
                <w:i/>
                <w:color w:val="000000"/>
                <w:sz w:val="24"/>
                <w:szCs w:val="24"/>
                <w:lang w:val="bg-BG"/>
              </w:rPr>
            </w:pPr>
            <w:r w:rsidRPr="00805152">
              <w:rPr>
                <w:rFonts w:ascii="Times New Roman" w:hAnsi="Times New Roman"/>
                <w:i/>
                <w:color w:val="000000"/>
                <w:sz w:val="24"/>
                <w:szCs w:val="24"/>
                <w:lang w:val="bg-BG"/>
              </w:rPr>
              <w:t>Дата</w:t>
            </w:r>
            <w:r w:rsidRPr="00805152">
              <w:rPr>
                <w:rFonts w:ascii="Times New Roman" w:hAnsi="Times New Roman"/>
                <w:i/>
                <w:color w:val="000000"/>
                <w:sz w:val="24"/>
                <w:szCs w:val="24"/>
                <w:lang w:val="bg-BG"/>
              </w:rPr>
              <w:tab/>
              <w:t xml:space="preserve">на представяне </w:t>
            </w:r>
            <w:r w:rsidRPr="00805152">
              <w:rPr>
                <w:rFonts w:ascii="Times New Roman" w:hAnsi="Times New Roman"/>
                <w:i/>
                <w:color w:val="000000"/>
                <w:spacing w:val="-2"/>
                <w:sz w:val="24"/>
                <w:szCs w:val="24"/>
                <w:lang w:val="bg-BG"/>
              </w:rPr>
              <w:t xml:space="preserve">на </w:t>
            </w:r>
            <w:r w:rsidRPr="00805152">
              <w:rPr>
                <w:rFonts w:ascii="Times New Roman" w:hAnsi="Times New Roman"/>
                <w:i/>
                <w:color w:val="000000"/>
                <w:spacing w:val="-57"/>
                <w:sz w:val="24"/>
                <w:szCs w:val="24"/>
                <w:lang w:val="bg-BG"/>
              </w:rPr>
              <w:t xml:space="preserve"> </w:t>
            </w:r>
            <w:r w:rsidRPr="00805152">
              <w:rPr>
                <w:rFonts w:ascii="Times New Roman" w:hAnsi="Times New Roman"/>
                <w:i/>
                <w:color w:val="000000"/>
                <w:sz w:val="24"/>
                <w:szCs w:val="24"/>
                <w:lang w:val="bg-BG"/>
              </w:rPr>
              <w:t>доклада</w:t>
            </w:r>
          </w:p>
        </w:tc>
        <w:tc>
          <w:tcPr>
            <w:tcW w:w="5812" w:type="dxa"/>
            <w:shd w:val="clear" w:color="auto" w:fill="FFFFFF"/>
            <w:vAlign w:val="center"/>
          </w:tcPr>
          <w:p w14:paraId="3702B830" w14:textId="29D20568" w:rsidR="00EC5B00" w:rsidRPr="00805152" w:rsidRDefault="00F76D3C" w:rsidP="00F76D3C">
            <w:pPr>
              <w:spacing w:after="0" w:line="276" w:lineRule="auto"/>
              <w:ind w:right="149"/>
              <w:contextualSpacing/>
              <w:jc w:val="center"/>
              <w:rPr>
                <w:rFonts w:ascii="Times New Roman" w:hAnsi="Times New Roman"/>
                <w:i/>
                <w:color w:val="000000"/>
                <w:sz w:val="24"/>
                <w:szCs w:val="24"/>
                <w:lang w:val="bg-BG"/>
              </w:rPr>
            </w:pPr>
            <w:r>
              <w:rPr>
                <w:rFonts w:ascii="Times New Roman" w:hAnsi="Times New Roman"/>
                <w:i/>
                <w:color w:val="000000"/>
                <w:sz w:val="24"/>
                <w:szCs w:val="24"/>
                <w:lang w:val="en-US"/>
              </w:rPr>
              <w:t>15</w:t>
            </w:r>
            <w:r w:rsidR="00EC5B00" w:rsidRPr="00805152">
              <w:rPr>
                <w:rFonts w:ascii="Times New Roman" w:hAnsi="Times New Roman"/>
                <w:i/>
                <w:color w:val="000000"/>
                <w:sz w:val="24"/>
                <w:szCs w:val="24"/>
                <w:lang w:val="bg-BG"/>
              </w:rPr>
              <w:t>.0</w:t>
            </w:r>
            <w:r>
              <w:rPr>
                <w:rFonts w:ascii="Times New Roman" w:hAnsi="Times New Roman"/>
                <w:i/>
                <w:color w:val="000000"/>
                <w:sz w:val="24"/>
                <w:szCs w:val="24"/>
                <w:lang w:val="en-US"/>
              </w:rPr>
              <w:t>8.</w:t>
            </w:r>
            <w:r w:rsidR="00EC5B00" w:rsidRPr="00805152">
              <w:rPr>
                <w:rFonts w:ascii="Times New Roman" w:hAnsi="Times New Roman"/>
                <w:i/>
                <w:color w:val="000000"/>
                <w:sz w:val="24"/>
                <w:szCs w:val="24"/>
                <w:lang w:val="bg-BG"/>
              </w:rPr>
              <w:t>2023 г.</w:t>
            </w:r>
          </w:p>
        </w:tc>
      </w:tr>
    </w:tbl>
    <w:p w14:paraId="63C2C612" w14:textId="77777777" w:rsidR="00EC5B00" w:rsidRPr="00805152" w:rsidRDefault="00EC5B00" w:rsidP="00EC5B00">
      <w:pPr>
        <w:spacing w:after="120" w:line="276" w:lineRule="auto"/>
        <w:ind w:firstLine="720"/>
        <w:rPr>
          <w:rFonts w:ascii="Times New Roman" w:hAnsi="Times New Roman"/>
          <w:sz w:val="24"/>
          <w:szCs w:val="24"/>
          <w:lang w:val="bg-BG" w:eastAsia="bg-BG"/>
        </w:rPr>
      </w:pPr>
    </w:p>
    <w:p w14:paraId="02E48919" w14:textId="146C2DD2" w:rsidR="009A4ADE" w:rsidRPr="00805152" w:rsidRDefault="009A4ADE" w:rsidP="009A4ADE">
      <w:pPr>
        <w:tabs>
          <w:tab w:val="left" w:pos="1842"/>
        </w:tabs>
        <w:suppressAutoHyphens/>
        <w:spacing w:after="0" w:line="360" w:lineRule="auto"/>
        <w:jc w:val="center"/>
        <w:rPr>
          <w:rFonts w:ascii="Times New Roman" w:hAnsi="Times New Roman"/>
          <w:b/>
          <w:sz w:val="22"/>
          <w:lang w:val="bg-BG"/>
        </w:rPr>
      </w:pPr>
    </w:p>
    <w:p w14:paraId="15268B70" w14:textId="77777777" w:rsidR="009A4ADE" w:rsidRPr="00805152" w:rsidRDefault="009A4ADE" w:rsidP="009A4ADE">
      <w:pPr>
        <w:tabs>
          <w:tab w:val="left" w:pos="1842"/>
        </w:tabs>
        <w:suppressAutoHyphens/>
        <w:spacing w:after="0" w:line="360" w:lineRule="auto"/>
        <w:jc w:val="center"/>
        <w:rPr>
          <w:rFonts w:ascii="Times New Roman" w:hAnsi="Times New Roman"/>
          <w:sz w:val="22"/>
          <w:lang w:val="bg-BG"/>
        </w:rPr>
      </w:pPr>
    </w:p>
    <w:p w14:paraId="6318A0E5" w14:textId="77777777" w:rsidR="000E1644" w:rsidRPr="00805152" w:rsidRDefault="000E1644">
      <w:pPr>
        <w:rPr>
          <w:rFonts w:ascii="Times New Roman" w:hAnsi="Times New Roman"/>
          <w:lang w:val="bg-BG"/>
        </w:rPr>
      </w:pPr>
      <w:r w:rsidRPr="00805152">
        <w:rPr>
          <w:rFonts w:ascii="Times New Roman" w:hAnsi="Times New Roman"/>
          <w:lang w:val="bg-BG"/>
        </w:rPr>
        <w:br w:type="page"/>
      </w:r>
    </w:p>
    <w:p w14:paraId="5AFC4190" w14:textId="4140FD49" w:rsidR="00811740" w:rsidRPr="00805152" w:rsidRDefault="009357ED" w:rsidP="000C41FF">
      <w:pPr>
        <w:pStyle w:val="Caption"/>
        <w:spacing w:line="360" w:lineRule="auto"/>
        <w:rPr>
          <w:rFonts w:ascii="Times New Roman" w:hAnsi="Times New Roman"/>
          <w:sz w:val="22"/>
          <w:lang w:val="bg-BG"/>
        </w:rPr>
      </w:pPr>
      <w:r w:rsidRPr="00805152">
        <w:rPr>
          <w:rFonts w:ascii="Times New Roman" w:hAnsi="Times New Roman"/>
          <w:sz w:val="22"/>
          <w:szCs w:val="22"/>
          <w:lang w:val="bg-BG"/>
        </w:rPr>
        <w:lastRenderedPageBreak/>
        <w:t>СЪДЪРЖАНИЕ</w:t>
      </w:r>
    </w:p>
    <w:p w14:paraId="7CA5CD50" w14:textId="6CEB0C29" w:rsidR="00321D24" w:rsidRDefault="006740D0">
      <w:pPr>
        <w:pStyle w:val="TOC1"/>
        <w:tabs>
          <w:tab w:val="left" w:pos="460"/>
          <w:tab w:val="right" w:leader="dot" w:pos="9770"/>
        </w:tabs>
        <w:rPr>
          <w:rFonts w:asciiTheme="minorHAnsi" w:eastAsiaTheme="minorEastAsia" w:hAnsiTheme="minorHAnsi" w:cstheme="minorBidi"/>
          <w:noProof/>
          <w:sz w:val="22"/>
          <w:lang w:val="en-US"/>
        </w:rPr>
      </w:pPr>
      <w:r w:rsidRPr="00805152">
        <w:rPr>
          <w:rStyle w:val="Hyperlink"/>
          <w:rFonts w:ascii="Times New Roman" w:hAnsi="Times New Roman"/>
          <w:color w:val="auto"/>
          <w:lang w:val="bg-BG"/>
        </w:rPr>
        <w:fldChar w:fldCharType="begin"/>
      </w:r>
      <w:r w:rsidR="009357ED" w:rsidRPr="00805152">
        <w:rPr>
          <w:rStyle w:val="Hyperlink"/>
          <w:rFonts w:ascii="Times New Roman" w:hAnsi="Times New Roman"/>
          <w:color w:val="auto"/>
          <w:lang w:val="bg-BG"/>
        </w:rPr>
        <w:instrText xml:space="preserve"> TOC \o "1-3" \h \z \u </w:instrText>
      </w:r>
      <w:r w:rsidRPr="00805152">
        <w:rPr>
          <w:rStyle w:val="Hyperlink"/>
          <w:rFonts w:ascii="Times New Roman" w:hAnsi="Times New Roman"/>
          <w:color w:val="auto"/>
          <w:lang w:val="bg-BG"/>
        </w:rPr>
        <w:fldChar w:fldCharType="separate"/>
      </w:r>
      <w:hyperlink w:anchor="_Toc136961074" w:history="1">
        <w:r w:rsidR="00321D24" w:rsidRPr="00326717">
          <w:rPr>
            <w:rStyle w:val="Hyperlink"/>
            <w:rFonts w:ascii="Times New Roman" w:hAnsi="Times New Roman"/>
            <w:noProof/>
            <w:lang w:val="bg-BG"/>
          </w:rPr>
          <w:t>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УВОД</w:t>
        </w:r>
        <w:r w:rsidR="00321D24">
          <w:rPr>
            <w:noProof/>
            <w:webHidden/>
          </w:rPr>
          <w:tab/>
        </w:r>
        <w:r w:rsidR="00321D24">
          <w:rPr>
            <w:noProof/>
            <w:webHidden/>
          </w:rPr>
          <w:fldChar w:fldCharType="begin"/>
        </w:r>
        <w:r w:rsidR="00321D24">
          <w:rPr>
            <w:noProof/>
            <w:webHidden/>
          </w:rPr>
          <w:instrText xml:space="preserve"> PAGEREF _Toc136961074 \h </w:instrText>
        </w:r>
        <w:r w:rsidR="00321D24">
          <w:rPr>
            <w:noProof/>
            <w:webHidden/>
          </w:rPr>
        </w:r>
        <w:r w:rsidR="00321D24">
          <w:rPr>
            <w:noProof/>
            <w:webHidden/>
          </w:rPr>
          <w:fldChar w:fldCharType="separate"/>
        </w:r>
        <w:r w:rsidR="00B457AD">
          <w:rPr>
            <w:noProof/>
            <w:webHidden/>
          </w:rPr>
          <w:t>6</w:t>
        </w:r>
        <w:r w:rsidR="00321D24">
          <w:rPr>
            <w:noProof/>
            <w:webHidden/>
          </w:rPr>
          <w:fldChar w:fldCharType="end"/>
        </w:r>
      </w:hyperlink>
    </w:p>
    <w:p w14:paraId="7FC27822" w14:textId="30C1B2A4" w:rsidR="00321D24" w:rsidRDefault="00B457AD">
      <w:pPr>
        <w:pStyle w:val="TOC2"/>
        <w:tabs>
          <w:tab w:val="left" w:pos="880"/>
          <w:tab w:val="right" w:leader="dot" w:pos="9770"/>
        </w:tabs>
        <w:rPr>
          <w:noProof/>
          <w:lang w:val="en-US" w:eastAsia="en-US"/>
        </w:rPr>
      </w:pPr>
      <w:hyperlink w:anchor="_Toc136961075" w:history="1">
        <w:r w:rsidR="00321D24" w:rsidRPr="00326717">
          <w:rPr>
            <w:rStyle w:val="Hyperlink"/>
            <w:rFonts w:ascii="Times New Roman" w:hAnsi="Times New Roman"/>
            <w:noProof/>
            <w:lang w:val="bg-BG"/>
          </w:rPr>
          <w:t>1.1</w:t>
        </w:r>
        <w:r w:rsidR="00321D24">
          <w:rPr>
            <w:noProof/>
            <w:lang w:val="en-US" w:eastAsia="en-US"/>
          </w:rPr>
          <w:tab/>
        </w:r>
        <w:r w:rsidR="00321D24" w:rsidRPr="00326717">
          <w:rPr>
            <w:rStyle w:val="Hyperlink"/>
            <w:rFonts w:ascii="Times New Roman" w:hAnsi="Times New Roman"/>
            <w:noProof/>
            <w:lang w:val="bg-BG"/>
          </w:rPr>
          <w:t>Обща част</w:t>
        </w:r>
        <w:r w:rsidR="00321D24">
          <w:rPr>
            <w:noProof/>
            <w:webHidden/>
          </w:rPr>
          <w:tab/>
        </w:r>
        <w:r w:rsidR="00321D24">
          <w:rPr>
            <w:noProof/>
            <w:webHidden/>
          </w:rPr>
          <w:fldChar w:fldCharType="begin"/>
        </w:r>
        <w:r w:rsidR="00321D24">
          <w:rPr>
            <w:noProof/>
            <w:webHidden/>
          </w:rPr>
          <w:instrText xml:space="preserve"> PAGEREF _Toc136961075 \h </w:instrText>
        </w:r>
        <w:r w:rsidR="00321D24">
          <w:rPr>
            <w:noProof/>
            <w:webHidden/>
          </w:rPr>
        </w:r>
        <w:r w:rsidR="00321D24">
          <w:rPr>
            <w:noProof/>
            <w:webHidden/>
          </w:rPr>
          <w:fldChar w:fldCharType="separate"/>
        </w:r>
        <w:r>
          <w:rPr>
            <w:noProof/>
            <w:webHidden/>
          </w:rPr>
          <w:t>6</w:t>
        </w:r>
        <w:r w:rsidR="00321D24">
          <w:rPr>
            <w:noProof/>
            <w:webHidden/>
          </w:rPr>
          <w:fldChar w:fldCharType="end"/>
        </w:r>
      </w:hyperlink>
    </w:p>
    <w:p w14:paraId="6287BD24" w14:textId="025164FD" w:rsidR="00321D24" w:rsidRDefault="00B457AD">
      <w:pPr>
        <w:pStyle w:val="TOC2"/>
        <w:tabs>
          <w:tab w:val="left" w:pos="880"/>
          <w:tab w:val="right" w:leader="dot" w:pos="9770"/>
        </w:tabs>
        <w:rPr>
          <w:noProof/>
          <w:lang w:val="en-US" w:eastAsia="en-US"/>
        </w:rPr>
      </w:pPr>
      <w:hyperlink w:anchor="_Toc136961076" w:history="1">
        <w:r w:rsidR="00321D24" w:rsidRPr="00326717">
          <w:rPr>
            <w:rStyle w:val="Hyperlink"/>
            <w:rFonts w:ascii="Times New Roman" w:hAnsi="Times New Roman"/>
            <w:noProof/>
            <w:lang w:val="bg-BG"/>
          </w:rPr>
          <w:t>1.2</w:t>
        </w:r>
        <w:r w:rsidR="00321D24">
          <w:rPr>
            <w:noProof/>
            <w:lang w:val="en-US" w:eastAsia="en-US"/>
          </w:rPr>
          <w:tab/>
        </w:r>
        <w:r w:rsidR="00321D24" w:rsidRPr="00326717">
          <w:rPr>
            <w:rStyle w:val="Hyperlink"/>
            <w:rFonts w:ascii="Times New Roman" w:hAnsi="Times New Roman"/>
            <w:noProof/>
            <w:lang w:val="bg-BG"/>
          </w:rPr>
          <w:t>Необходимост от проекта и очаквани резултати</w:t>
        </w:r>
        <w:r w:rsidR="00321D24">
          <w:rPr>
            <w:noProof/>
            <w:webHidden/>
          </w:rPr>
          <w:tab/>
        </w:r>
        <w:r w:rsidR="00321D24">
          <w:rPr>
            <w:noProof/>
            <w:webHidden/>
          </w:rPr>
          <w:fldChar w:fldCharType="begin"/>
        </w:r>
        <w:r w:rsidR="00321D24">
          <w:rPr>
            <w:noProof/>
            <w:webHidden/>
          </w:rPr>
          <w:instrText xml:space="preserve"> PAGEREF _Toc136961076 \h </w:instrText>
        </w:r>
        <w:r w:rsidR="00321D24">
          <w:rPr>
            <w:noProof/>
            <w:webHidden/>
          </w:rPr>
        </w:r>
        <w:r w:rsidR="00321D24">
          <w:rPr>
            <w:noProof/>
            <w:webHidden/>
          </w:rPr>
          <w:fldChar w:fldCharType="separate"/>
        </w:r>
        <w:r>
          <w:rPr>
            <w:noProof/>
            <w:webHidden/>
          </w:rPr>
          <w:t>9</w:t>
        </w:r>
        <w:r w:rsidR="00321D24">
          <w:rPr>
            <w:noProof/>
            <w:webHidden/>
          </w:rPr>
          <w:fldChar w:fldCharType="end"/>
        </w:r>
      </w:hyperlink>
    </w:p>
    <w:p w14:paraId="0C6FF39C" w14:textId="321BFB1B" w:rsidR="00321D24" w:rsidRDefault="00B457AD">
      <w:pPr>
        <w:pStyle w:val="TOC2"/>
        <w:tabs>
          <w:tab w:val="left" w:pos="880"/>
          <w:tab w:val="right" w:leader="dot" w:pos="9770"/>
        </w:tabs>
        <w:rPr>
          <w:noProof/>
          <w:lang w:val="en-US" w:eastAsia="en-US"/>
        </w:rPr>
      </w:pPr>
      <w:hyperlink w:anchor="_Toc136961077" w:history="1">
        <w:r w:rsidR="00321D24" w:rsidRPr="00326717">
          <w:rPr>
            <w:rStyle w:val="Hyperlink"/>
            <w:rFonts w:ascii="Times New Roman" w:hAnsi="Times New Roman"/>
            <w:noProof/>
            <w:lang w:val="bg-BG"/>
          </w:rPr>
          <w:t>1.3</w:t>
        </w:r>
        <w:r w:rsidR="00321D24">
          <w:rPr>
            <w:noProof/>
            <w:lang w:val="en-US" w:eastAsia="en-US"/>
          </w:rPr>
          <w:tab/>
        </w:r>
        <w:r w:rsidR="00321D24" w:rsidRPr="00326717">
          <w:rPr>
            <w:rStyle w:val="Hyperlink"/>
            <w:rFonts w:ascii="Times New Roman" w:hAnsi="Times New Roman"/>
            <w:noProof/>
            <w:lang w:val="bg-BG"/>
          </w:rPr>
          <w:t>Класификация на обекта</w:t>
        </w:r>
        <w:r w:rsidR="00321D24">
          <w:rPr>
            <w:noProof/>
            <w:webHidden/>
          </w:rPr>
          <w:tab/>
        </w:r>
        <w:r w:rsidR="00321D24">
          <w:rPr>
            <w:noProof/>
            <w:webHidden/>
          </w:rPr>
          <w:fldChar w:fldCharType="begin"/>
        </w:r>
        <w:r w:rsidR="00321D24">
          <w:rPr>
            <w:noProof/>
            <w:webHidden/>
          </w:rPr>
          <w:instrText xml:space="preserve"> PAGEREF _Toc136961077 \h </w:instrText>
        </w:r>
        <w:r w:rsidR="00321D24">
          <w:rPr>
            <w:noProof/>
            <w:webHidden/>
          </w:rPr>
        </w:r>
        <w:r w:rsidR="00321D24">
          <w:rPr>
            <w:noProof/>
            <w:webHidden/>
          </w:rPr>
          <w:fldChar w:fldCharType="separate"/>
        </w:r>
        <w:r>
          <w:rPr>
            <w:noProof/>
            <w:webHidden/>
          </w:rPr>
          <w:t>10</w:t>
        </w:r>
        <w:r w:rsidR="00321D24">
          <w:rPr>
            <w:noProof/>
            <w:webHidden/>
          </w:rPr>
          <w:fldChar w:fldCharType="end"/>
        </w:r>
      </w:hyperlink>
    </w:p>
    <w:p w14:paraId="3DE15FDE" w14:textId="05616800" w:rsidR="00321D24" w:rsidRDefault="00B457AD">
      <w:pPr>
        <w:pStyle w:val="TOC1"/>
        <w:tabs>
          <w:tab w:val="left" w:pos="460"/>
          <w:tab w:val="right" w:leader="dot" w:pos="9770"/>
        </w:tabs>
        <w:rPr>
          <w:rFonts w:asciiTheme="minorHAnsi" w:eastAsiaTheme="minorEastAsia" w:hAnsiTheme="minorHAnsi" w:cstheme="minorBidi"/>
          <w:noProof/>
          <w:sz w:val="22"/>
          <w:lang w:val="en-US"/>
        </w:rPr>
      </w:pPr>
      <w:hyperlink w:anchor="_Toc136961078" w:history="1">
        <w:r w:rsidR="00321D24" w:rsidRPr="00326717">
          <w:rPr>
            <w:rStyle w:val="Hyperlink"/>
            <w:rFonts w:ascii="Times New Roman" w:hAnsi="Times New Roman"/>
            <w:noProof/>
            <w:lang w:val="bg-BG"/>
          </w:rPr>
          <w:t>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Съществуващото положение</w:t>
        </w:r>
        <w:r w:rsidR="00321D24">
          <w:rPr>
            <w:noProof/>
            <w:webHidden/>
          </w:rPr>
          <w:tab/>
        </w:r>
        <w:r w:rsidR="00321D24">
          <w:rPr>
            <w:noProof/>
            <w:webHidden/>
          </w:rPr>
          <w:fldChar w:fldCharType="begin"/>
        </w:r>
        <w:r w:rsidR="00321D24">
          <w:rPr>
            <w:noProof/>
            <w:webHidden/>
          </w:rPr>
          <w:instrText xml:space="preserve"> PAGEREF _Toc136961078 \h </w:instrText>
        </w:r>
        <w:r w:rsidR="00321D24">
          <w:rPr>
            <w:noProof/>
            <w:webHidden/>
          </w:rPr>
        </w:r>
        <w:r w:rsidR="00321D24">
          <w:rPr>
            <w:noProof/>
            <w:webHidden/>
          </w:rPr>
          <w:fldChar w:fldCharType="separate"/>
        </w:r>
        <w:r>
          <w:rPr>
            <w:noProof/>
            <w:webHidden/>
          </w:rPr>
          <w:t>11</w:t>
        </w:r>
        <w:r w:rsidR="00321D24">
          <w:rPr>
            <w:noProof/>
            <w:webHidden/>
          </w:rPr>
          <w:fldChar w:fldCharType="end"/>
        </w:r>
      </w:hyperlink>
    </w:p>
    <w:p w14:paraId="0A27AA55" w14:textId="538C412F" w:rsidR="00321D24" w:rsidRDefault="00B457AD">
      <w:pPr>
        <w:pStyle w:val="TOC2"/>
        <w:tabs>
          <w:tab w:val="left" w:pos="880"/>
          <w:tab w:val="right" w:leader="dot" w:pos="9770"/>
        </w:tabs>
        <w:rPr>
          <w:noProof/>
          <w:lang w:val="en-US" w:eastAsia="en-US"/>
        </w:rPr>
      </w:pPr>
      <w:hyperlink w:anchor="_Toc136961079" w:history="1">
        <w:r w:rsidR="00321D24" w:rsidRPr="00326717">
          <w:rPr>
            <w:rStyle w:val="Hyperlink"/>
            <w:rFonts w:ascii="Times New Roman" w:hAnsi="Times New Roman"/>
            <w:noProof/>
            <w:lang w:val="bg-BG"/>
          </w:rPr>
          <w:t>2.1</w:t>
        </w:r>
        <w:r w:rsidR="00321D24">
          <w:rPr>
            <w:noProof/>
            <w:lang w:val="en-US" w:eastAsia="en-US"/>
          </w:rPr>
          <w:tab/>
        </w:r>
        <w:r w:rsidR="00321D24" w:rsidRPr="00326717">
          <w:rPr>
            <w:rStyle w:val="Hyperlink"/>
            <w:rFonts w:ascii="Times New Roman" w:hAnsi="Times New Roman"/>
            <w:noProof/>
            <w:lang w:val="bg-BG"/>
          </w:rPr>
          <w:t>Местоположение/ Историко-географска справка</w:t>
        </w:r>
        <w:r w:rsidR="00321D24">
          <w:rPr>
            <w:noProof/>
            <w:webHidden/>
          </w:rPr>
          <w:tab/>
        </w:r>
        <w:r w:rsidR="00321D24">
          <w:rPr>
            <w:noProof/>
            <w:webHidden/>
          </w:rPr>
          <w:fldChar w:fldCharType="begin"/>
        </w:r>
        <w:r w:rsidR="00321D24">
          <w:rPr>
            <w:noProof/>
            <w:webHidden/>
          </w:rPr>
          <w:instrText xml:space="preserve"> PAGEREF _Toc136961079 \h </w:instrText>
        </w:r>
        <w:r w:rsidR="00321D24">
          <w:rPr>
            <w:noProof/>
            <w:webHidden/>
          </w:rPr>
        </w:r>
        <w:r w:rsidR="00321D24">
          <w:rPr>
            <w:noProof/>
            <w:webHidden/>
          </w:rPr>
          <w:fldChar w:fldCharType="separate"/>
        </w:r>
        <w:r>
          <w:rPr>
            <w:noProof/>
            <w:webHidden/>
          </w:rPr>
          <w:t>11</w:t>
        </w:r>
        <w:r w:rsidR="00321D24">
          <w:rPr>
            <w:noProof/>
            <w:webHidden/>
          </w:rPr>
          <w:fldChar w:fldCharType="end"/>
        </w:r>
      </w:hyperlink>
    </w:p>
    <w:p w14:paraId="2EBE3AD3" w14:textId="69B935A6" w:rsidR="00321D24" w:rsidRDefault="00B457AD">
      <w:pPr>
        <w:pStyle w:val="TOC2"/>
        <w:tabs>
          <w:tab w:val="left" w:pos="880"/>
          <w:tab w:val="right" w:leader="dot" w:pos="9770"/>
        </w:tabs>
        <w:rPr>
          <w:noProof/>
          <w:lang w:val="en-US" w:eastAsia="en-US"/>
        </w:rPr>
      </w:pPr>
      <w:hyperlink w:anchor="_Toc136961080" w:history="1">
        <w:r w:rsidR="00321D24" w:rsidRPr="00326717">
          <w:rPr>
            <w:rStyle w:val="Hyperlink"/>
            <w:rFonts w:ascii="Times New Roman" w:hAnsi="Times New Roman"/>
            <w:noProof/>
            <w:lang w:val="bg-BG"/>
          </w:rPr>
          <w:t>2.2</w:t>
        </w:r>
        <w:r w:rsidR="00321D24">
          <w:rPr>
            <w:noProof/>
            <w:lang w:val="en-US" w:eastAsia="en-US"/>
          </w:rPr>
          <w:tab/>
        </w:r>
        <w:r w:rsidR="00321D24" w:rsidRPr="00326717">
          <w:rPr>
            <w:rStyle w:val="Hyperlink"/>
            <w:rFonts w:ascii="Times New Roman" w:hAnsi="Times New Roman"/>
            <w:noProof/>
            <w:lang w:val="bg-BG"/>
          </w:rPr>
          <w:t>Геодезически условия</w:t>
        </w:r>
        <w:r w:rsidR="00321D24">
          <w:rPr>
            <w:noProof/>
            <w:webHidden/>
          </w:rPr>
          <w:tab/>
        </w:r>
        <w:r w:rsidR="00321D24">
          <w:rPr>
            <w:noProof/>
            <w:webHidden/>
          </w:rPr>
          <w:fldChar w:fldCharType="begin"/>
        </w:r>
        <w:r w:rsidR="00321D24">
          <w:rPr>
            <w:noProof/>
            <w:webHidden/>
          </w:rPr>
          <w:instrText xml:space="preserve"> PAGEREF _Toc136961080 \h </w:instrText>
        </w:r>
        <w:r w:rsidR="00321D24">
          <w:rPr>
            <w:noProof/>
            <w:webHidden/>
          </w:rPr>
        </w:r>
        <w:r w:rsidR="00321D24">
          <w:rPr>
            <w:noProof/>
            <w:webHidden/>
          </w:rPr>
          <w:fldChar w:fldCharType="separate"/>
        </w:r>
        <w:r>
          <w:rPr>
            <w:noProof/>
            <w:webHidden/>
          </w:rPr>
          <w:t>15</w:t>
        </w:r>
        <w:r w:rsidR="00321D24">
          <w:rPr>
            <w:noProof/>
            <w:webHidden/>
          </w:rPr>
          <w:fldChar w:fldCharType="end"/>
        </w:r>
      </w:hyperlink>
    </w:p>
    <w:p w14:paraId="52E3701E" w14:textId="5DBBE49C" w:rsidR="00321D24" w:rsidRDefault="00B457AD">
      <w:pPr>
        <w:pStyle w:val="TOC2"/>
        <w:tabs>
          <w:tab w:val="left" w:pos="880"/>
          <w:tab w:val="right" w:leader="dot" w:pos="9770"/>
        </w:tabs>
        <w:rPr>
          <w:noProof/>
          <w:lang w:val="en-US" w:eastAsia="en-US"/>
        </w:rPr>
      </w:pPr>
      <w:hyperlink w:anchor="_Toc136961081" w:history="1">
        <w:r w:rsidR="00321D24" w:rsidRPr="00326717">
          <w:rPr>
            <w:rStyle w:val="Hyperlink"/>
            <w:rFonts w:ascii="Times New Roman" w:hAnsi="Times New Roman"/>
            <w:noProof/>
            <w:lang w:val="bg-BG"/>
          </w:rPr>
          <w:t>2.3</w:t>
        </w:r>
        <w:r w:rsidR="00321D24">
          <w:rPr>
            <w:noProof/>
            <w:lang w:val="en-US" w:eastAsia="en-US"/>
          </w:rPr>
          <w:tab/>
        </w:r>
        <w:r w:rsidR="00321D24" w:rsidRPr="00326717">
          <w:rPr>
            <w:rStyle w:val="Hyperlink"/>
            <w:rFonts w:ascii="Times New Roman" w:hAnsi="Times New Roman"/>
            <w:noProof/>
            <w:lang w:val="bg-BG"/>
          </w:rPr>
          <w:t>Геоложки Условия</w:t>
        </w:r>
        <w:r w:rsidR="00321D24">
          <w:rPr>
            <w:noProof/>
            <w:webHidden/>
          </w:rPr>
          <w:tab/>
        </w:r>
        <w:r w:rsidR="00321D24">
          <w:rPr>
            <w:noProof/>
            <w:webHidden/>
          </w:rPr>
          <w:fldChar w:fldCharType="begin"/>
        </w:r>
        <w:r w:rsidR="00321D24">
          <w:rPr>
            <w:noProof/>
            <w:webHidden/>
          </w:rPr>
          <w:instrText xml:space="preserve"> PAGEREF _Toc136961081 \h </w:instrText>
        </w:r>
        <w:r w:rsidR="00321D24">
          <w:rPr>
            <w:noProof/>
            <w:webHidden/>
          </w:rPr>
        </w:r>
        <w:r w:rsidR="00321D24">
          <w:rPr>
            <w:noProof/>
            <w:webHidden/>
          </w:rPr>
          <w:fldChar w:fldCharType="separate"/>
        </w:r>
        <w:r>
          <w:rPr>
            <w:noProof/>
            <w:webHidden/>
          </w:rPr>
          <w:t>17</w:t>
        </w:r>
        <w:r w:rsidR="00321D24">
          <w:rPr>
            <w:noProof/>
            <w:webHidden/>
          </w:rPr>
          <w:fldChar w:fldCharType="end"/>
        </w:r>
      </w:hyperlink>
    </w:p>
    <w:p w14:paraId="7A5102F7" w14:textId="21239285"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82" w:history="1">
        <w:r w:rsidR="00321D24" w:rsidRPr="00326717">
          <w:rPr>
            <w:rStyle w:val="Hyperlink"/>
            <w:rFonts w:ascii="Times New Roman" w:hAnsi="Times New Roman"/>
            <w:noProof/>
            <w:lang w:val="bg-BG"/>
          </w:rPr>
          <w:t>2.3.1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Обща геоложка характеристика на района на Бургаския залив</w:t>
        </w:r>
        <w:r w:rsidR="00321D24">
          <w:rPr>
            <w:noProof/>
            <w:webHidden/>
          </w:rPr>
          <w:tab/>
        </w:r>
        <w:r w:rsidR="00321D24">
          <w:rPr>
            <w:noProof/>
            <w:webHidden/>
          </w:rPr>
          <w:fldChar w:fldCharType="begin"/>
        </w:r>
        <w:r w:rsidR="00321D24">
          <w:rPr>
            <w:noProof/>
            <w:webHidden/>
          </w:rPr>
          <w:instrText xml:space="preserve"> PAGEREF _Toc136961082 \h </w:instrText>
        </w:r>
        <w:r w:rsidR="00321D24">
          <w:rPr>
            <w:noProof/>
            <w:webHidden/>
          </w:rPr>
        </w:r>
        <w:r w:rsidR="00321D24">
          <w:rPr>
            <w:noProof/>
            <w:webHidden/>
          </w:rPr>
          <w:fldChar w:fldCharType="separate"/>
        </w:r>
        <w:r>
          <w:rPr>
            <w:noProof/>
            <w:webHidden/>
          </w:rPr>
          <w:t>17</w:t>
        </w:r>
        <w:r w:rsidR="00321D24">
          <w:rPr>
            <w:noProof/>
            <w:webHidden/>
          </w:rPr>
          <w:fldChar w:fldCharType="end"/>
        </w:r>
      </w:hyperlink>
    </w:p>
    <w:p w14:paraId="10EBB64B" w14:textId="7C440F56"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83" w:history="1">
        <w:r w:rsidR="00321D24" w:rsidRPr="00326717">
          <w:rPr>
            <w:rStyle w:val="Hyperlink"/>
            <w:rFonts w:ascii="Times New Roman" w:hAnsi="Times New Roman"/>
            <w:noProof/>
            <w:lang w:val="bg-BG"/>
          </w:rPr>
          <w:t>2.3.2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Инженерно-геоложко райониране на Бургаския залив</w:t>
        </w:r>
        <w:r w:rsidR="00321D24">
          <w:rPr>
            <w:noProof/>
            <w:webHidden/>
          </w:rPr>
          <w:tab/>
        </w:r>
        <w:r w:rsidR="00321D24">
          <w:rPr>
            <w:noProof/>
            <w:webHidden/>
          </w:rPr>
          <w:fldChar w:fldCharType="begin"/>
        </w:r>
        <w:r w:rsidR="00321D24">
          <w:rPr>
            <w:noProof/>
            <w:webHidden/>
          </w:rPr>
          <w:instrText xml:space="preserve"> PAGEREF _Toc136961083 \h </w:instrText>
        </w:r>
        <w:r w:rsidR="00321D24">
          <w:rPr>
            <w:noProof/>
            <w:webHidden/>
          </w:rPr>
        </w:r>
        <w:r w:rsidR="00321D24">
          <w:rPr>
            <w:noProof/>
            <w:webHidden/>
          </w:rPr>
          <w:fldChar w:fldCharType="separate"/>
        </w:r>
        <w:r>
          <w:rPr>
            <w:noProof/>
            <w:webHidden/>
          </w:rPr>
          <w:t>19</w:t>
        </w:r>
        <w:r w:rsidR="00321D24">
          <w:rPr>
            <w:noProof/>
            <w:webHidden/>
          </w:rPr>
          <w:fldChar w:fldCharType="end"/>
        </w:r>
      </w:hyperlink>
    </w:p>
    <w:p w14:paraId="3DBD18C3" w14:textId="5EB51B2C" w:rsidR="00321D24" w:rsidRDefault="00B457AD">
      <w:pPr>
        <w:pStyle w:val="TOC2"/>
        <w:tabs>
          <w:tab w:val="left" w:pos="880"/>
          <w:tab w:val="right" w:leader="dot" w:pos="9770"/>
        </w:tabs>
        <w:rPr>
          <w:noProof/>
          <w:lang w:val="en-US" w:eastAsia="en-US"/>
        </w:rPr>
      </w:pPr>
      <w:hyperlink w:anchor="_Toc136961084" w:history="1">
        <w:r w:rsidR="00321D24" w:rsidRPr="00326717">
          <w:rPr>
            <w:rStyle w:val="Hyperlink"/>
            <w:rFonts w:ascii="Times New Roman" w:hAnsi="Times New Roman"/>
            <w:noProof/>
            <w:lang w:val="bg-BG"/>
          </w:rPr>
          <w:t>2.4</w:t>
        </w:r>
        <w:r w:rsidR="00321D24">
          <w:rPr>
            <w:noProof/>
            <w:lang w:val="en-US" w:eastAsia="en-US"/>
          </w:rPr>
          <w:tab/>
        </w:r>
        <w:r w:rsidR="00321D24" w:rsidRPr="00326717">
          <w:rPr>
            <w:rStyle w:val="Hyperlink"/>
            <w:rFonts w:ascii="Times New Roman" w:hAnsi="Times New Roman"/>
            <w:noProof/>
            <w:lang w:val="bg-BG"/>
          </w:rPr>
          <w:t>Сеизмичност</w:t>
        </w:r>
        <w:r w:rsidR="00321D24">
          <w:rPr>
            <w:noProof/>
            <w:webHidden/>
          </w:rPr>
          <w:tab/>
        </w:r>
        <w:r w:rsidR="00321D24">
          <w:rPr>
            <w:noProof/>
            <w:webHidden/>
          </w:rPr>
          <w:fldChar w:fldCharType="begin"/>
        </w:r>
        <w:r w:rsidR="00321D24">
          <w:rPr>
            <w:noProof/>
            <w:webHidden/>
          </w:rPr>
          <w:instrText xml:space="preserve"> PAGEREF _Toc136961084 \h </w:instrText>
        </w:r>
        <w:r w:rsidR="00321D24">
          <w:rPr>
            <w:noProof/>
            <w:webHidden/>
          </w:rPr>
        </w:r>
        <w:r w:rsidR="00321D24">
          <w:rPr>
            <w:noProof/>
            <w:webHidden/>
          </w:rPr>
          <w:fldChar w:fldCharType="separate"/>
        </w:r>
        <w:r>
          <w:rPr>
            <w:noProof/>
            <w:webHidden/>
          </w:rPr>
          <w:t>21</w:t>
        </w:r>
        <w:r w:rsidR="00321D24">
          <w:rPr>
            <w:noProof/>
            <w:webHidden/>
          </w:rPr>
          <w:fldChar w:fldCharType="end"/>
        </w:r>
      </w:hyperlink>
    </w:p>
    <w:p w14:paraId="1A6BCF8D" w14:textId="119B12EA" w:rsidR="00321D24" w:rsidRDefault="00B457AD">
      <w:pPr>
        <w:pStyle w:val="TOC2"/>
        <w:tabs>
          <w:tab w:val="left" w:pos="880"/>
          <w:tab w:val="right" w:leader="dot" w:pos="9770"/>
        </w:tabs>
        <w:rPr>
          <w:noProof/>
          <w:lang w:val="en-US" w:eastAsia="en-US"/>
        </w:rPr>
      </w:pPr>
      <w:hyperlink w:anchor="_Toc136961085" w:history="1">
        <w:r w:rsidR="00321D24" w:rsidRPr="00326717">
          <w:rPr>
            <w:rStyle w:val="Hyperlink"/>
            <w:rFonts w:ascii="Times New Roman" w:hAnsi="Times New Roman"/>
            <w:noProof/>
            <w:lang w:val="bg-BG"/>
          </w:rPr>
          <w:t>2.5</w:t>
        </w:r>
        <w:r w:rsidR="00321D24">
          <w:rPr>
            <w:noProof/>
            <w:lang w:val="en-US" w:eastAsia="en-US"/>
          </w:rPr>
          <w:tab/>
        </w:r>
        <w:r w:rsidR="00321D24" w:rsidRPr="00326717">
          <w:rPr>
            <w:rStyle w:val="Hyperlink"/>
            <w:rFonts w:ascii="Times New Roman" w:hAnsi="Times New Roman"/>
            <w:noProof/>
            <w:lang w:val="bg-BG"/>
          </w:rPr>
          <w:t>Хидро-Метеорологични Условия</w:t>
        </w:r>
        <w:r w:rsidR="00321D24">
          <w:rPr>
            <w:noProof/>
            <w:webHidden/>
          </w:rPr>
          <w:tab/>
        </w:r>
        <w:r w:rsidR="00321D24">
          <w:rPr>
            <w:noProof/>
            <w:webHidden/>
          </w:rPr>
          <w:fldChar w:fldCharType="begin"/>
        </w:r>
        <w:r w:rsidR="00321D24">
          <w:rPr>
            <w:noProof/>
            <w:webHidden/>
          </w:rPr>
          <w:instrText xml:space="preserve"> PAGEREF _Toc136961085 \h </w:instrText>
        </w:r>
        <w:r w:rsidR="00321D24">
          <w:rPr>
            <w:noProof/>
            <w:webHidden/>
          </w:rPr>
        </w:r>
        <w:r w:rsidR="00321D24">
          <w:rPr>
            <w:noProof/>
            <w:webHidden/>
          </w:rPr>
          <w:fldChar w:fldCharType="separate"/>
        </w:r>
        <w:r>
          <w:rPr>
            <w:noProof/>
            <w:webHidden/>
          </w:rPr>
          <w:t>22</w:t>
        </w:r>
        <w:r w:rsidR="00321D24">
          <w:rPr>
            <w:noProof/>
            <w:webHidden/>
          </w:rPr>
          <w:fldChar w:fldCharType="end"/>
        </w:r>
      </w:hyperlink>
    </w:p>
    <w:p w14:paraId="35061E7A" w14:textId="7CE17C55"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86" w:history="1">
        <w:r w:rsidR="00321D24" w:rsidRPr="00326717">
          <w:rPr>
            <w:rStyle w:val="Hyperlink"/>
            <w:rFonts w:ascii="Times New Roman" w:hAnsi="Times New Roman"/>
            <w:noProof/>
            <w:lang w:val="bg-BG"/>
          </w:rPr>
          <w:t>2.5.1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Вятър</w:t>
        </w:r>
        <w:r w:rsidR="00321D24">
          <w:rPr>
            <w:noProof/>
            <w:webHidden/>
          </w:rPr>
          <w:tab/>
        </w:r>
        <w:r w:rsidR="00321D24">
          <w:rPr>
            <w:noProof/>
            <w:webHidden/>
          </w:rPr>
          <w:fldChar w:fldCharType="begin"/>
        </w:r>
        <w:r w:rsidR="00321D24">
          <w:rPr>
            <w:noProof/>
            <w:webHidden/>
          </w:rPr>
          <w:instrText xml:space="preserve"> PAGEREF _Toc136961086 \h </w:instrText>
        </w:r>
        <w:r w:rsidR="00321D24">
          <w:rPr>
            <w:noProof/>
            <w:webHidden/>
          </w:rPr>
        </w:r>
        <w:r w:rsidR="00321D24">
          <w:rPr>
            <w:noProof/>
            <w:webHidden/>
          </w:rPr>
          <w:fldChar w:fldCharType="separate"/>
        </w:r>
        <w:r>
          <w:rPr>
            <w:noProof/>
            <w:webHidden/>
          </w:rPr>
          <w:t>22</w:t>
        </w:r>
        <w:r w:rsidR="00321D24">
          <w:rPr>
            <w:noProof/>
            <w:webHidden/>
          </w:rPr>
          <w:fldChar w:fldCharType="end"/>
        </w:r>
      </w:hyperlink>
    </w:p>
    <w:p w14:paraId="46CC0862" w14:textId="0F4C2D64"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87" w:history="1">
        <w:r w:rsidR="00321D24" w:rsidRPr="00326717">
          <w:rPr>
            <w:rStyle w:val="Hyperlink"/>
            <w:rFonts w:ascii="Times New Roman" w:hAnsi="Times New Roman"/>
            <w:noProof/>
            <w:lang w:val="bg-BG"/>
          </w:rPr>
          <w:t>2.5.2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Вълнови Условия (SW)</w:t>
        </w:r>
        <w:r w:rsidR="00321D24">
          <w:rPr>
            <w:noProof/>
            <w:webHidden/>
          </w:rPr>
          <w:tab/>
        </w:r>
        <w:r w:rsidR="00321D24">
          <w:rPr>
            <w:noProof/>
            <w:webHidden/>
          </w:rPr>
          <w:fldChar w:fldCharType="begin"/>
        </w:r>
        <w:r w:rsidR="00321D24">
          <w:rPr>
            <w:noProof/>
            <w:webHidden/>
          </w:rPr>
          <w:instrText xml:space="preserve"> PAGEREF _Toc136961087 \h </w:instrText>
        </w:r>
        <w:r w:rsidR="00321D24">
          <w:rPr>
            <w:noProof/>
            <w:webHidden/>
          </w:rPr>
        </w:r>
        <w:r w:rsidR="00321D24">
          <w:rPr>
            <w:noProof/>
            <w:webHidden/>
          </w:rPr>
          <w:fldChar w:fldCharType="separate"/>
        </w:r>
        <w:r>
          <w:rPr>
            <w:noProof/>
            <w:webHidden/>
          </w:rPr>
          <w:t>23</w:t>
        </w:r>
        <w:r w:rsidR="00321D24">
          <w:rPr>
            <w:noProof/>
            <w:webHidden/>
          </w:rPr>
          <w:fldChar w:fldCharType="end"/>
        </w:r>
      </w:hyperlink>
    </w:p>
    <w:p w14:paraId="1C6A7E2E" w14:textId="3BCB5502"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88" w:history="1">
        <w:r w:rsidR="00321D24" w:rsidRPr="00326717">
          <w:rPr>
            <w:rStyle w:val="Hyperlink"/>
            <w:rFonts w:ascii="Times New Roman" w:hAnsi="Times New Roman"/>
            <w:noProof/>
            <w:lang w:val="bg-BG"/>
          </w:rPr>
          <w:t>2.5.3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Водни Нива</w:t>
        </w:r>
        <w:r w:rsidR="00321D24">
          <w:rPr>
            <w:noProof/>
            <w:webHidden/>
          </w:rPr>
          <w:tab/>
        </w:r>
        <w:r w:rsidR="00321D24">
          <w:rPr>
            <w:noProof/>
            <w:webHidden/>
          </w:rPr>
          <w:fldChar w:fldCharType="begin"/>
        </w:r>
        <w:r w:rsidR="00321D24">
          <w:rPr>
            <w:noProof/>
            <w:webHidden/>
          </w:rPr>
          <w:instrText xml:space="preserve"> PAGEREF _Toc136961088 \h </w:instrText>
        </w:r>
        <w:r w:rsidR="00321D24">
          <w:rPr>
            <w:noProof/>
            <w:webHidden/>
          </w:rPr>
        </w:r>
        <w:r w:rsidR="00321D24">
          <w:rPr>
            <w:noProof/>
            <w:webHidden/>
          </w:rPr>
          <w:fldChar w:fldCharType="separate"/>
        </w:r>
        <w:r>
          <w:rPr>
            <w:noProof/>
            <w:webHidden/>
          </w:rPr>
          <w:t>24</w:t>
        </w:r>
        <w:r w:rsidR="00321D24">
          <w:rPr>
            <w:noProof/>
            <w:webHidden/>
          </w:rPr>
          <w:fldChar w:fldCharType="end"/>
        </w:r>
      </w:hyperlink>
    </w:p>
    <w:p w14:paraId="3C7777BD" w14:textId="40C06DBE"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89" w:history="1">
        <w:r w:rsidR="00321D24" w:rsidRPr="00326717">
          <w:rPr>
            <w:rStyle w:val="Hyperlink"/>
            <w:rFonts w:ascii="Times New Roman" w:hAnsi="Times New Roman"/>
            <w:noProof/>
            <w:lang w:val="bg-BG"/>
          </w:rPr>
          <w:t>2.5.4</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Температура на въздуха</w:t>
        </w:r>
        <w:r w:rsidR="00321D24">
          <w:rPr>
            <w:noProof/>
            <w:webHidden/>
          </w:rPr>
          <w:tab/>
        </w:r>
        <w:r w:rsidR="00321D24">
          <w:rPr>
            <w:noProof/>
            <w:webHidden/>
          </w:rPr>
          <w:fldChar w:fldCharType="begin"/>
        </w:r>
        <w:r w:rsidR="00321D24">
          <w:rPr>
            <w:noProof/>
            <w:webHidden/>
          </w:rPr>
          <w:instrText xml:space="preserve"> PAGEREF _Toc136961089 \h </w:instrText>
        </w:r>
        <w:r w:rsidR="00321D24">
          <w:rPr>
            <w:noProof/>
            <w:webHidden/>
          </w:rPr>
        </w:r>
        <w:r w:rsidR="00321D24">
          <w:rPr>
            <w:noProof/>
            <w:webHidden/>
          </w:rPr>
          <w:fldChar w:fldCharType="separate"/>
        </w:r>
        <w:r>
          <w:rPr>
            <w:noProof/>
            <w:webHidden/>
          </w:rPr>
          <w:t>24</w:t>
        </w:r>
        <w:r w:rsidR="00321D24">
          <w:rPr>
            <w:noProof/>
            <w:webHidden/>
          </w:rPr>
          <w:fldChar w:fldCharType="end"/>
        </w:r>
      </w:hyperlink>
    </w:p>
    <w:p w14:paraId="4E395D02" w14:textId="7F96F2CD"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90" w:history="1">
        <w:r w:rsidR="00321D24" w:rsidRPr="00326717">
          <w:rPr>
            <w:rStyle w:val="Hyperlink"/>
            <w:rFonts w:ascii="Times New Roman" w:hAnsi="Times New Roman"/>
            <w:noProof/>
            <w:lang w:val="bg-BG"/>
          </w:rPr>
          <w:t>2.5.5</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Повишаване на морското ниво</w:t>
        </w:r>
        <w:r w:rsidR="00321D24">
          <w:rPr>
            <w:noProof/>
            <w:webHidden/>
          </w:rPr>
          <w:tab/>
        </w:r>
        <w:r w:rsidR="00321D24">
          <w:rPr>
            <w:noProof/>
            <w:webHidden/>
          </w:rPr>
          <w:fldChar w:fldCharType="begin"/>
        </w:r>
        <w:r w:rsidR="00321D24">
          <w:rPr>
            <w:noProof/>
            <w:webHidden/>
          </w:rPr>
          <w:instrText xml:space="preserve"> PAGEREF _Toc136961090 \h </w:instrText>
        </w:r>
        <w:r w:rsidR="00321D24">
          <w:rPr>
            <w:noProof/>
            <w:webHidden/>
          </w:rPr>
        </w:r>
        <w:r w:rsidR="00321D24">
          <w:rPr>
            <w:noProof/>
            <w:webHidden/>
          </w:rPr>
          <w:fldChar w:fldCharType="separate"/>
        </w:r>
        <w:r>
          <w:rPr>
            <w:noProof/>
            <w:webHidden/>
          </w:rPr>
          <w:t>24</w:t>
        </w:r>
        <w:r w:rsidR="00321D24">
          <w:rPr>
            <w:noProof/>
            <w:webHidden/>
          </w:rPr>
          <w:fldChar w:fldCharType="end"/>
        </w:r>
      </w:hyperlink>
    </w:p>
    <w:p w14:paraId="09B1FD48" w14:textId="79CC0304"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91" w:history="1">
        <w:r w:rsidR="00321D24" w:rsidRPr="00326717">
          <w:rPr>
            <w:rStyle w:val="Hyperlink"/>
            <w:rFonts w:ascii="Times New Roman" w:hAnsi="Times New Roman"/>
            <w:noProof/>
            <w:lang w:val="bg-BG"/>
          </w:rPr>
          <w:t>2.5.6</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Валежи – Дъжд</w:t>
        </w:r>
        <w:r w:rsidR="00321D24">
          <w:rPr>
            <w:noProof/>
            <w:webHidden/>
          </w:rPr>
          <w:tab/>
        </w:r>
        <w:r w:rsidR="00321D24">
          <w:rPr>
            <w:noProof/>
            <w:webHidden/>
          </w:rPr>
          <w:fldChar w:fldCharType="begin"/>
        </w:r>
        <w:r w:rsidR="00321D24">
          <w:rPr>
            <w:noProof/>
            <w:webHidden/>
          </w:rPr>
          <w:instrText xml:space="preserve"> PAGEREF _Toc136961091 \h </w:instrText>
        </w:r>
        <w:r w:rsidR="00321D24">
          <w:rPr>
            <w:noProof/>
            <w:webHidden/>
          </w:rPr>
        </w:r>
        <w:r w:rsidR="00321D24">
          <w:rPr>
            <w:noProof/>
            <w:webHidden/>
          </w:rPr>
          <w:fldChar w:fldCharType="separate"/>
        </w:r>
        <w:r>
          <w:rPr>
            <w:noProof/>
            <w:webHidden/>
          </w:rPr>
          <w:t>25</w:t>
        </w:r>
        <w:r w:rsidR="00321D24">
          <w:rPr>
            <w:noProof/>
            <w:webHidden/>
          </w:rPr>
          <w:fldChar w:fldCharType="end"/>
        </w:r>
      </w:hyperlink>
    </w:p>
    <w:p w14:paraId="0C4E67AF" w14:textId="3FE33B75" w:rsidR="00321D24" w:rsidRDefault="00B457AD">
      <w:pPr>
        <w:pStyle w:val="TOC2"/>
        <w:tabs>
          <w:tab w:val="left" w:pos="880"/>
          <w:tab w:val="right" w:leader="dot" w:pos="9770"/>
        </w:tabs>
        <w:rPr>
          <w:noProof/>
          <w:lang w:val="en-US" w:eastAsia="en-US"/>
        </w:rPr>
      </w:pPr>
      <w:hyperlink w:anchor="_Toc136961092" w:history="1">
        <w:r w:rsidR="00321D24" w:rsidRPr="00326717">
          <w:rPr>
            <w:rStyle w:val="Hyperlink"/>
            <w:rFonts w:ascii="Times New Roman" w:hAnsi="Times New Roman"/>
            <w:noProof/>
            <w:lang w:val="bg-BG"/>
          </w:rPr>
          <w:t>2.6</w:t>
        </w:r>
        <w:r w:rsidR="00321D24">
          <w:rPr>
            <w:noProof/>
            <w:lang w:val="en-US" w:eastAsia="en-US"/>
          </w:rPr>
          <w:tab/>
        </w:r>
        <w:r w:rsidR="00321D24" w:rsidRPr="00326717">
          <w:rPr>
            <w:rStyle w:val="Hyperlink"/>
            <w:rFonts w:ascii="Times New Roman" w:hAnsi="Times New Roman"/>
            <w:noProof/>
            <w:lang w:val="bg-BG"/>
          </w:rPr>
          <w:t>Въздействия (Натоварвания)</w:t>
        </w:r>
        <w:r w:rsidR="00321D24">
          <w:rPr>
            <w:noProof/>
            <w:webHidden/>
          </w:rPr>
          <w:tab/>
        </w:r>
        <w:r w:rsidR="00321D24">
          <w:rPr>
            <w:noProof/>
            <w:webHidden/>
          </w:rPr>
          <w:fldChar w:fldCharType="begin"/>
        </w:r>
        <w:r w:rsidR="00321D24">
          <w:rPr>
            <w:noProof/>
            <w:webHidden/>
          </w:rPr>
          <w:instrText xml:space="preserve"> PAGEREF _Toc136961092 \h </w:instrText>
        </w:r>
        <w:r w:rsidR="00321D24">
          <w:rPr>
            <w:noProof/>
            <w:webHidden/>
          </w:rPr>
        </w:r>
        <w:r w:rsidR="00321D24">
          <w:rPr>
            <w:noProof/>
            <w:webHidden/>
          </w:rPr>
          <w:fldChar w:fldCharType="separate"/>
        </w:r>
        <w:r>
          <w:rPr>
            <w:noProof/>
            <w:webHidden/>
          </w:rPr>
          <w:t>26</w:t>
        </w:r>
        <w:r w:rsidR="00321D24">
          <w:rPr>
            <w:noProof/>
            <w:webHidden/>
          </w:rPr>
          <w:fldChar w:fldCharType="end"/>
        </w:r>
      </w:hyperlink>
    </w:p>
    <w:p w14:paraId="36EC64B7" w14:textId="3F024A3A"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93" w:history="1">
        <w:r w:rsidR="00321D24" w:rsidRPr="00326717">
          <w:rPr>
            <w:rStyle w:val="Hyperlink"/>
            <w:rFonts w:ascii="Times New Roman" w:hAnsi="Times New Roman"/>
            <w:noProof/>
            <w:lang w:val="bg-BG"/>
          </w:rPr>
          <w:t>2.6.1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Собствено Тегло (G)</w:t>
        </w:r>
        <w:r w:rsidR="00321D24">
          <w:rPr>
            <w:noProof/>
            <w:webHidden/>
          </w:rPr>
          <w:tab/>
        </w:r>
        <w:r w:rsidR="00321D24">
          <w:rPr>
            <w:noProof/>
            <w:webHidden/>
          </w:rPr>
          <w:fldChar w:fldCharType="begin"/>
        </w:r>
        <w:r w:rsidR="00321D24">
          <w:rPr>
            <w:noProof/>
            <w:webHidden/>
          </w:rPr>
          <w:instrText xml:space="preserve"> PAGEREF _Toc136961093 \h </w:instrText>
        </w:r>
        <w:r w:rsidR="00321D24">
          <w:rPr>
            <w:noProof/>
            <w:webHidden/>
          </w:rPr>
        </w:r>
        <w:r w:rsidR="00321D24">
          <w:rPr>
            <w:noProof/>
            <w:webHidden/>
          </w:rPr>
          <w:fldChar w:fldCharType="separate"/>
        </w:r>
        <w:r>
          <w:rPr>
            <w:noProof/>
            <w:webHidden/>
          </w:rPr>
          <w:t>26</w:t>
        </w:r>
        <w:r w:rsidR="00321D24">
          <w:rPr>
            <w:noProof/>
            <w:webHidden/>
          </w:rPr>
          <w:fldChar w:fldCharType="end"/>
        </w:r>
      </w:hyperlink>
    </w:p>
    <w:p w14:paraId="25E0868A" w14:textId="11DAD9A1"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94" w:history="1">
        <w:r w:rsidR="00321D24" w:rsidRPr="00326717">
          <w:rPr>
            <w:rStyle w:val="Hyperlink"/>
            <w:rFonts w:ascii="Times New Roman" w:hAnsi="Times New Roman"/>
            <w:noProof/>
            <w:lang w:val="bg-BG"/>
          </w:rPr>
          <w:t>2.6.2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Хидростатични сили (SK)</w:t>
        </w:r>
        <w:r w:rsidR="00321D24">
          <w:rPr>
            <w:noProof/>
            <w:webHidden/>
          </w:rPr>
          <w:tab/>
        </w:r>
        <w:r w:rsidR="00321D24">
          <w:rPr>
            <w:noProof/>
            <w:webHidden/>
          </w:rPr>
          <w:fldChar w:fldCharType="begin"/>
        </w:r>
        <w:r w:rsidR="00321D24">
          <w:rPr>
            <w:noProof/>
            <w:webHidden/>
          </w:rPr>
          <w:instrText xml:space="preserve"> PAGEREF _Toc136961094 \h </w:instrText>
        </w:r>
        <w:r w:rsidR="00321D24">
          <w:rPr>
            <w:noProof/>
            <w:webHidden/>
          </w:rPr>
        </w:r>
        <w:r w:rsidR="00321D24">
          <w:rPr>
            <w:noProof/>
            <w:webHidden/>
          </w:rPr>
          <w:fldChar w:fldCharType="separate"/>
        </w:r>
        <w:r>
          <w:rPr>
            <w:noProof/>
            <w:webHidden/>
          </w:rPr>
          <w:t>26</w:t>
        </w:r>
        <w:r w:rsidR="00321D24">
          <w:rPr>
            <w:noProof/>
            <w:webHidden/>
          </w:rPr>
          <w:fldChar w:fldCharType="end"/>
        </w:r>
      </w:hyperlink>
    </w:p>
    <w:p w14:paraId="31962F9B" w14:textId="319A4072"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95" w:history="1">
        <w:r w:rsidR="00321D24" w:rsidRPr="00326717">
          <w:rPr>
            <w:rStyle w:val="Hyperlink"/>
            <w:rFonts w:ascii="Times New Roman" w:hAnsi="Times New Roman"/>
            <w:noProof/>
            <w:lang w:val="bg-BG"/>
          </w:rPr>
          <w:t>2.6.3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Земен натиск (E)</w:t>
        </w:r>
        <w:r w:rsidR="00321D24">
          <w:rPr>
            <w:noProof/>
            <w:webHidden/>
          </w:rPr>
          <w:tab/>
        </w:r>
        <w:r w:rsidR="00321D24">
          <w:rPr>
            <w:noProof/>
            <w:webHidden/>
          </w:rPr>
          <w:fldChar w:fldCharType="begin"/>
        </w:r>
        <w:r w:rsidR="00321D24">
          <w:rPr>
            <w:noProof/>
            <w:webHidden/>
          </w:rPr>
          <w:instrText xml:space="preserve"> PAGEREF _Toc136961095 \h </w:instrText>
        </w:r>
        <w:r w:rsidR="00321D24">
          <w:rPr>
            <w:noProof/>
            <w:webHidden/>
          </w:rPr>
        </w:r>
        <w:r w:rsidR="00321D24">
          <w:rPr>
            <w:noProof/>
            <w:webHidden/>
          </w:rPr>
          <w:fldChar w:fldCharType="separate"/>
        </w:r>
        <w:r>
          <w:rPr>
            <w:noProof/>
            <w:webHidden/>
          </w:rPr>
          <w:t>26</w:t>
        </w:r>
        <w:r w:rsidR="00321D24">
          <w:rPr>
            <w:noProof/>
            <w:webHidden/>
          </w:rPr>
          <w:fldChar w:fldCharType="end"/>
        </w:r>
      </w:hyperlink>
    </w:p>
    <w:p w14:paraId="69AD0E1F" w14:textId="786F9F97" w:rsidR="00321D24" w:rsidRDefault="00B457AD">
      <w:pPr>
        <w:pStyle w:val="TOC1"/>
        <w:tabs>
          <w:tab w:val="left" w:pos="460"/>
          <w:tab w:val="right" w:leader="dot" w:pos="9770"/>
        </w:tabs>
        <w:rPr>
          <w:rFonts w:asciiTheme="minorHAnsi" w:eastAsiaTheme="minorEastAsia" w:hAnsiTheme="minorHAnsi" w:cstheme="minorBidi"/>
          <w:noProof/>
          <w:sz w:val="22"/>
          <w:lang w:val="en-US"/>
        </w:rPr>
      </w:pPr>
      <w:hyperlink w:anchor="_Toc136961096" w:history="1">
        <w:r w:rsidR="00321D24" w:rsidRPr="00326717">
          <w:rPr>
            <w:rStyle w:val="Hyperlink"/>
            <w:rFonts w:ascii="Times New Roman" w:hAnsi="Times New Roman"/>
            <w:noProof/>
            <w:lang w:val="bg-BG"/>
          </w:rPr>
          <w:t>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Описание на отделните елементи на проекта</w:t>
        </w:r>
        <w:r w:rsidR="00321D24">
          <w:rPr>
            <w:noProof/>
            <w:webHidden/>
          </w:rPr>
          <w:tab/>
        </w:r>
        <w:r w:rsidR="00321D24">
          <w:rPr>
            <w:noProof/>
            <w:webHidden/>
          </w:rPr>
          <w:fldChar w:fldCharType="begin"/>
        </w:r>
        <w:r w:rsidR="00321D24">
          <w:rPr>
            <w:noProof/>
            <w:webHidden/>
          </w:rPr>
          <w:instrText xml:space="preserve"> PAGEREF _Toc136961096 \h </w:instrText>
        </w:r>
        <w:r w:rsidR="00321D24">
          <w:rPr>
            <w:noProof/>
            <w:webHidden/>
          </w:rPr>
        </w:r>
        <w:r w:rsidR="00321D24">
          <w:rPr>
            <w:noProof/>
            <w:webHidden/>
          </w:rPr>
          <w:fldChar w:fldCharType="separate"/>
        </w:r>
        <w:r>
          <w:rPr>
            <w:noProof/>
            <w:webHidden/>
          </w:rPr>
          <w:t>27</w:t>
        </w:r>
        <w:r w:rsidR="00321D24">
          <w:rPr>
            <w:noProof/>
            <w:webHidden/>
          </w:rPr>
          <w:fldChar w:fldCharType="end"/>
        </w:r>
      </w:hyperlink>
    </w:p>
    <w:p w14:paraId="2F0399AC" w14:textId="5BE2AFC4" w:rsidR="00321D24" w:rsidRDefault="00B457AD">
      <w:pPr>
        <w:pStyle w:val="TOC2"/>
        <w:tabs>
          <w:tab w:val="left" w:pos="880"/>
          <w:tab w:val="right" w:leader="dot" w:pos="9770"/>
        </w:tabs>
        <w:rPr>
          <w:noProof/>
          <w:lang w:val="en-US" w:eastAsia="en-US"/>
        </w:rPr>
      </w:pPr>
      <w:hyperlink w:anchor="_Toc136961097" w:history="1">
        <w:r w:rsidR="00321D24" w:rsidRPr="00326717">
          <w:rPr>
            <w:rStyle w:val="Hyperlink"/>
            <w:rFonts w:ascii="Times New Roman" w:hAnsi="Times New Roman"/>
            <w:noProof/>
            <w:lang w:val="bg-BG"/>
          </w:rPr>
          <w:t>3.1</w:t>
        </w:r>
        <w:r w:rsidR="00321D24">
          <w:rPr>
            <w:noProof/>
            <w:lang w:val="en-US" w:eastAsia="en-US"/>
          </w:rPr>
          <w:tab/>
        </w:r>
        <w:r w:rsidR="00321D24" w:rsidRPr="00326717">
          <w:rPr>
            <w:rStyle w:val="Hyperlink"/>
            <w:rFonts w:ascii="Times New Roman" w:hAnsi="Times New Roman"/>
            <w:noProof/>
            <w:lang w:val="bg-BG"/>
          </w:rPr>
          <w:t>Основни технически характеристики на проекта</w:t>
        </w:r>
        <w:r w:rsidR="00321D24">
          <w:rPr>
            <w:noProof/>
            <w:webHidden/>
          </w:rPr>
          <w:tab/>
        </w:r>
        <w:r w:rsidR="00321D24">
          <w:rPr>
            <w:noProof/>
            <w:webHidden/>
          </w:rPr>
          <w:fldChar w:fldCharType="begin"/>
        </w:r>
        <w:r w:rsidR="00321D24">
          <w:rPr>
            <w:noProof/>
            <w:webHidden/>
          </w:rPr>
          <w:instrText xml:space="preserve"> PAGEREF _Toc136961097 \h </w:instrText>
        </w:r>
        <w:r w:rsidR="00321D24">
          <w:rPr>
            <w:noProof/>
            <w:webHidden/>
          </w:rPr>
        </w:r>
        <w:r w:rsidR="00321D24">
          <w:rPr>
            <w:noProof/>
            <w:webHidden/>
          </w:rPr>
          <w:fldChar w:fldCharType="separate"/>
        </w:r>
        <w:r>
          <w:rPr>
            <w:noProof/>
            <w:webHidden/>
          </w:rPr>
          <w:t>27</w:t>
        </w:r>
        <w:r w:rsidR="00321D24">
          <w:rPr>
            <w:noProof/>
            <w:webHidden/>
          </w:rPr>
          <w:fldChar w:fldCharType="end"/>
        </w:r>
      </w:hyperlink>
    </w:p>
    <w:p w14:paraId="382B303B" w14:textId="4E2FDCCB" w:rsidR="00321D24" w:rsidRDefault="00B457AD">
      <w:pPr>
        <w:pStyle w:val="TOC2"/>
        <w:tabs>
          <w:tab w:val="left" w:pos="880"/>
          <w:tab w:val="right" w:leader="dot" w:pos="9770"/>
        </w:tabs>
        <w:rPr>
          <w:noProof/>
          <w:lang w:val="en-US" w:eastAsia="en-US"/>
        </w:rPr>
      </w:pPr>
      <w:hyperlink w:anchor="_Toc136961098" w:history="1">
        <w:r w:rsidR="00321D24" w:rsidRPr="00326717">
          <w:rPr>
            <w:rStyle w:val="Hyperlink"/>
            <w:rFonts w:ascii="Times New Roman" w:hAnsi="Times New Roman"/>
            <w:noProof/>
            <w:lang w:val="bg-BG"/>
          </w:rPr>
          <w:t>3.2</w:t>
        </w:r>
        <w:r w:rsidR="00321D24">
          <w:rPr>
            <w:noProof/>
            <w:lang w:val="en-US" w:eastAsia="en-US"/>
          </w:rPr>
          <w:tab/>
        </w:r>
        <w:r w:rsidR="00321D24" w:rsidRPr="00326717">
          <w:rPr>
            <w:rStyle w:val="Hyperlink"/>
            <w:rFonts w:ascii="Times New Roman" w:hAnsi="Times New Roman"/>
            <w:noProof/>
            <w:lang w:val="bg-BG"/>
          </w:rPr>
          <w:t>Конструктивно решение – Вариант 1</w:t>
        </w:r>
        <w:r w:rsidR="00321D24">
          <w:rPr>
            <w:noProof/>
            <w:webHidden/>
          </w:rPr>
          <w:tab/>
        </w:r>
        <w:r w:rsidR="00321D24">
          <w:rPr>
            <w:noProof/>
            <w:webHidden/>
          </w:rPr>
          <w:fldChar w:fldCharType="begin"/>
        </w:r>
        <w:r w:rsidR="00321D24">
          <w:rPr>
            <w:noProof/>
            <w:webHidden/>
          </w:rPr>
          <w:instrText xml:space="preserve"> PAGEREF _Toc136961098 \h </w:instrText>
        </w:r>
        <w:r w:rsidR="00321D24">
          <w:rPr>
            <w:noProof/>
            <w:webHidden/>
          </w:rPr>
        </w:r>
        <w:r w:rsidR="00321D24">
          <w:rPr>
            <w:noProof/>
            <w:webHidden/>
          </w:rPr>
          <w:fldChar w:fldCharType="separate"/>
        </w:r>
        <w:r>
          <w:rPr>
            <w:noProof/>
            <w:webHidden/>
          </w:rPr>
          <w:t>28</w:t>
        </w:r>
        <w:r w:rsidR="00321D24">
          <w:rPr>
            <w:noProof/>
            <w:webHidden/>
          </w:rPr>
          <w:fldChar w:fldCharType="end"/>
        </w:r>
      </w:hyperlink>
    </w:p>
    <w:p w14:paraId="6BE60B9E" w14:textId="0CA48A64"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099" w:history="1">
        <w:r w:rsidR="00321D24" w:rsidRPr="00326717">
          <w:rPr>
            <w:rStyle w:val="Hyperlink"/>
            <w:rFonts w:ascii="Times New Roman" w:hAnsi="Times New Roman"/>
            <w:noProof/>
            <w:lang w:val="bg-BG"/>
          </w:rPr>
          <w:t>3.2.1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Нов Вълнобой (Надстройка)</w:t>
        </w:r>
        <w:r w:rsidR="00321D24">
          <w:rPr>
            <w:noProof/>
            <w:webHidden/>
          </w:rPr>
          <w:tab/>
        </w:r>
        <w:r w:rsidR="00321D24">
          <w:rPr>
            <w:noProof/>
            <w:webHidden/>
          </w:rPr>
          <w:fldChar w:fldCharType="begin"/>
        </w:r>
        <w:r w:rsidR="00321D24">
          <w:rPr>
            <w:noProof/>
            <w:webHidden/>
          </w:rPr>
          <w:instrText xml:space="preserve"> PAGEREF _Toc136961099 \h </w:instrText>
        </w:r>
        <w:r w:rsidR="00321D24">
          <w:rPr>
            <w:noProof/>
            <w:webHidden/>
          </w:rPr>
        </w:r>
        <w:r w:rsidR="00321D24">
          <w:rPr>
            <w:noProof/>
            <w:webHidden/>
          </w:rPr>
          <w:fldChar w:fldCharType="separate"/>
        </w:r>
        <w:r>
          <w:rPr>
            <w:noProof/>
            <w:webHidden/>
          </w:rPr>
          <w:t>30</w:t>
        </w:r>
        <w:r w:rsidR="00321D24">
          <w:rPr>
            <w:noProof/>
            <w:webHidden/>
          </w:rPr>
          <w:fldChar w:fldCharType="end"/>
        </w:r>
      </w:hyperlink>
    </w:p>
    <w:p w14:paraId="73589179" w14:textId="6E17C651"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00" w:history="1">
        <w:r w:rsidR="00321D24" w:rsidRPr="00326717">
          <w:rPr>
            <w:rStyle w:val="Hyperlink"/>
            <w:rFonts w:ascii="Times New Roman" w:hAnsi="Times New Roman"/>
            <w:noProof/>
            <w:lang w:val="bg-BG"/>
          </w:rPr>
          <w:t>3.2.2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Пешеходна Зона</w:t>
        </w:r>
        <w:r w:rsidR="00321D24">
          <w:rPr>
            <w:noProof/>
            <w:webHidden/>
          </w:rPr>
          <w:tab/>
        </w:r>
        <w:r w:rsidR="00321D24">
          <w:rPr>
            <w:noProof/>
            <w:webHidden/>
          </w:rPr>
          <w:fldChar w:fldCharType="begin"/>
        </w:r>
        <w:r w:rsidR="00321D24">
          <w:rPr>
            <w:noProof/>
            <w:webHidden/>
          </w:rPr>
          <w:instrText xml:space="preserve"> PAGEREF _Toc136961100 \h </w:instrText>
        </w:r>
        <w:r w:rsidR="00321D24">
          <w:rPr>
            <w:noProof/>
            <w:webHidden/>
          </w:rPr>
        </w:r>
        <w:r w:rsidR="00321D24">
          <w:rPr>
            <w:noProof/>
            <w:webHidden/>
          </w:rPr>
          <w:fldChar w:fldCharType="separate"/>
        </w:r>
        <w:r>
          <w:rPr>
            <w:noProof/>
            <w:webHidden/>
          </w:rPr>
          <w:t>30</w:t>
        </w:r>
        <w:r w:rsidR="00321D24">
          <w:rPr>
            <w:noProof/>
            <w:webHidden/>
          </w:rPr>
          <w:fldChar w:fldCharType="end"/>
        </w:r>
      </w:hyperlink>
    </w:p>
    <w:p w14:paraId="27D1D083" w14:textId="247F340F"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01" w:history="1">
        <w:r w:rsidR="00321D24" w:rsidRPr="00326717">
          <w:rPr>
            <w:rStyle w:val="Hyperlink"/>
            <w:rFonts w:ascii="Times New Roman" w:hAnsi="Times New Roman"/>
            <w:noProof/>
            <w:lang w:val="bg-BG"/>
          </w:rPr>
          <w:t>3.2.3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Саниране на Настилки и видими повърхности</w:t>
        </w:r>
        <w:r w:rsidR="00321D24">
          <w:rPr>
            <w:noProof/>
            <w:webHidden/>
          </w:rPr>
          <w:tab/>
        </w:r>
        <w:r w:rsidR="00321D24">
          <w:rPr>
            <w:noProof/>
            <w:webHidden/>
          </w:rPr>
          <w:fldChar w:fldCharType="begin"/>
        </w:r>
        <w:r w:rsidR="00321D24">
          <w:rPr>
            <w:noProof/>
            <w:webHidden/>
          </w:rPr>
          <w:instrText xml:space="preserve"> PAGEREF _Toc136961101 \h </w:instrText>
        </w:r>
        <w:r w:rsidR="00321D24">
          <w:rPr>
            <w:noProof/>
            <w:webHidden/>
          </w:rPr>
        </w:r>
        <w:r w:rsidR="00321D24">
          <w:rPr>
            <w:noProof/>
            <w:webHidden/>
          </w:rPr>
          <w:fldChar w:fldCharType="separate"/>
        </w:r>
        <w:r>
          <w:rPr>
            <w:noProof/>
            <w:webHidden/>
          </w:rPr>
          <w:t>33</w:t>
        </w:r>
        <w:r w:rsidR="00321D24">
          <w:rPr>
            <w:noProof/>
            <w:webHidden/>
          </w:rPr>
          <w:fldChar w:fldCharType="end"/>
        </w:r>
      </w:hyperlink>
    </w:p>
    <w:p w14:paraId="3738E750" w14:textId="195150AA"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02" w:history="1">
        <w:r w:rsidR="00321D24" w:rsidRPr="00326717">
          <w:rPr>
            <w:rStyle w:val="Hyperlink"/>
            <w:rFonts w:ascii="Times New Roman" w:eastAsia="Times New Roman" w:hAnsi="Times New Roman"/>
            <w:noProof/>
            <w:lang w:val="bg-BG"/>
          </w:rPr>
          <w:t>3.2.4</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Тетраподи</w:t>
        </w:r>
        <w:r w:rsidR="00321D24">
          <w:rPr>
            <w:noProof/>
            <w:webHidden/>
          </w:rPr>
          <w:tab/>
        </w:r>
        <w:r w:rsidR="00321D24">
          <w:rPr>
            <w:noProof/>
            <w:webHidden/>
          </w:rPr>
          <w:fldChar w:fldCharType="begin"/>
        </w:r>
        <w:r w:rsidR="00321D24">
          <w:rPr>
            <w:noProof/>
            <w:webHidden/>
          </w:rPr>
          <w:instrText xml:space="preserve"> PAGEREF _Toc136961102 \h </w:instrText>
        </w:r>
        <w:r w:rsidR="00321D24">
          <w:rPr>
            <w:noProof/>
            <w:webHidden/>
          </w:rPr>
        </w:r>
        <w:r w:rsidR="00321D24">
          <w:rPr>
            <w:noProof/>
            <w:webHidden/>
          </w:rPr>
          <w:fldChar w:fldCharType="separate"/>
        </w:r>
        <w:r>
          <w:rPr>
            <w:noProof/>
            <w:webHidden/>
          </w:rPr>
          <w:t>34</w:t>
        </w:r>
        <w:r w:rsidR="00321D24">
          <w:rPr>
            <w:noProof/>
            <w:webHidden/>
          </w:rPr>
          <w:fldChar w:fldCharType="end"/>
        </w:r>
      </w:hyperlink>
    </w:p>
    <w:p w14:paraId="1D0ECAF8" w14:textId="3BD0358D" w:rsidR="00321D24" w:rsidRDefault="00B457AD">
      <w:pPr>
        <w:pStyle w:val="TOC2"/>
        <w:tabs>
          <w:tab w:val="left" w:pos="880"/>
          <w:tab w:val="right" w:leader="dot" w:pos="9770"/>
        </w:tabs>
        <w:rPr>
          <w:noProof/>
          <w:lang w:val="en-US" w:eastAsia="en-US"/>
        </w:rPr>
      </w:pPr>
      <w:hyperlink w:anchor="_Toc136961103" w:history="1">
        <w:r w:rsidR="00321D24" w:rsidRPr="00326717">
          <w:rPr>
            <w:rStyle w:val="Hyperlink"/>
            <w:rFonts w:ascii="Times New Roman" w:hAnsi="Times New Roman"/>
            <w:noProof/>
            <w:lang w:val="bg-BG"/>
          </w:rPr>
          <w:t>3.3</w:t>
        </w:r>
        <w:r w:rsidR="00321D24">
          <w:rPr>
            <w:noProof/>
            <w:lang w:val="en-US" w:eastAsia="en-US"/>
          </w:rPr>
          <w:tab/>
        </w:r>
        <w:r w:rsidR="00321D24" w:rsidRPr="00326717">
          <w:rPr>
            <w:rStyle w:val="Hyperlink"/>
            <w:rFonts w:ascii="Times New Roman" w:hAnsi="Times New Roman"/>
            <w:noProof/>
            <w:lang w:val="bg-BG"/>
          </w:rPr>
          <w:t>Технология на Изпълнение</w:t>
        </w:r>
        <w:r w:rsidR="00321D24">
          <w:rPr>
            <w:noProof/>
            <w:webHidden/>
          </w:rPr>
          <w:tab/>
        </w:r>
        <w:r w:rsidR="00321D24">
          <w:rPr>
            <w:noProof/>
            <w:webHidden/>
          </w:rPr>
          <w:fldChar w:fldCharType="begin"/>
        </w:r>
        <w:r w:rsidR="00321D24">
          <w:rPr>
            <w:noProof/>
            <w:webHidden/>
          </w:rPr>
          <w:instrText xml:space="preserve"> PAGEREF _Toc136961103 \h </w:instrText>
        </w:r>
        <w:r w:rsidR="00321D24">
          <w:rPr>
            <w:noProof/>
            <w:webHidden/>
          </w:rPr>
        </w:r>
        <w:r w:rsidR="00321D24">
          <w:rPr>
            <w:noProof/>
            <w:webHidden/>
          </w:rPr>
          <w:fldChar w:fldCharType="separate"/>
        </w:r>
        <w:r>
          <w:rPr>
            <w:noProof/>
            <w:webHidden/>
          </w:rPr>
          <w:t>34</w:t>
        </w:r>
        <w:r w:rsidR="00321D24">
          <w:rPr>
            <w:noProof/>
            <w:webHidden/>
          </w:rPr>
          <w:fldChar w:fldCharType="end"/>
        </w:r>
      </w:hyperlink>
    </w:p>
    <w:p w14:paraId="5B8D5CF1" w14:textId="3957D61B"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04" w:history="1">
        <w:r w:rsidR="00321D24" w:rsidRPr="00326717">
          <w:rPr>
            <w:rStyle w:val="Hyperlink"/>
            <w:rFonts w:ascii="Times New Roman" w:hAnsi="Times New Roman"/>
            <w:noProof/>
            <w:lang w:val="bg-BG"/>
          </w:rPr>
          <w:t>3.3.1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Дейности и СМР извършвани от сушата</w:t>
        </w:r>
        <w:r w:rsidR="00321D24">
          <w:rPr>
            <w:noProof/>
            <w:webHidden/>
          </w:rPr>
          <w:tab/>
        </w:r>
        <w:r w:rsidR="00321D24">
          <w:rPr>
            <w:noProof/>
            <w:webHidden/>
          </w:rPr>
          <w:fldChar w:fldCharType="begin"/>
        </w:r>
        <w:r w:rsidR="00321D24">
          <w:rPr>
            <w:noProof/>
            <w:webHidden/>
          </w:rPr>
          <w:instrText xml:space="preserve"> PAGEREF _Toc136961104 \h </w:instrText>
        </w:r>
        <w:r w:rsidR="00321D24">
          <w:rPr>
            <w:noProof/>
            <w:webHidden/>
          </w:rPr>
        </w:r>
        <w:r w:rsidR="00321D24">
          <w:rPr>
            <w:noProof/>
            <w:webHidden/>
          </w:rPr>
          <w:fldChar w:fldCharType="separate"/>
        </w:r>
        <w:r>
          <w:rPr>
            <w:noProof/>
            <w:webHidden/>
          </w:rPr>
          <w:t>34</w:t>
        </w:r>
        <w:r w:rsidR="00321D24">
          <w:rPr>
            <w:noProof/>
            <w:webHidden/>
          </w:rPr>
          <w:fldChar w:fldCharType="end"/>
        </w:r>
      </w:hyperlink>
    </w:p>
    <w:p w14:paraId="59336304" w14:textId="66265369"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05" w:history="1">
        <w:r w:rsidR="00321D24" w:rsidRPr="00326717">
          <w:rPr>
            <w:rStyle w:val="Hyperlink"/>
            <w:rFonts w:ascii="Times New Roman" w:hAnsi="Times New Roman"/>
            <w:noProof/>
            <w:lang w:val="bg-BG"/>
          </w:rPr>
          <w:t>3.3.2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Дейности и СМР извършвани от водата</w:t>
        </w:r>
        <w:r w:rsidR="00321D24">
          <w:rPr>
            <w:noProof/>
            <w:webHidden/>
          </w:rPr>
          <w:tab/>
        </w:r>
        <w:r w:rsidR="00321D24">
          <w:rPr>
            <w:noProof/>
            <w:webHidden/>
          </w:rPr>
          <w:fldChar w:fldCharType="begin"/>
        </w:r>
        <w:r w:rsidR="00321D24">
          <w:rPr>
            <w:noProof/>
            <w:webHidden/>
          </w:rPr>
          <w:instrText xml:space="preserve"> PAGEREF _Toc136961105 \h </w:instrText>
        </w:r>
        <w:r w:rsidR="00321D24">
          <w:rPr>
            <w:noProof/>
            <w:webHidden/>
          </w:rPr>
        </w:r>
        <w:r w:rsidR="00321D24">
          <w:rPr>
            <w:noProof/>
            <w:webHidden/>
          </w:rPr>
          <w:fldChar w:fldCharType="separate"/>
        </w:r>
        <w:r>
          <w:rPr>
            <w:noProof/>
            <w:webHidden/>
          </w:rPr>
          <w:t>37</w:t>
        </w:r>
        <w:r w:rsidR="00321D24">
          <w:rPr>
            <w:noProof/>
            <w:webHidden/>
          </w:rPr>
          <w:fldChar w:fldCharType="end"/>
        </w:r>
      </w:hyperlink>
    </w:p>
    <w:p w14:paraId="236A65A6" w14:textId="63699571" w:rsidR="00321D24" w:rsidRDefault="00B457AD">
      <w:pPr>
        <w:pStyle w:val="TOC2"/>
        <w:tabs>
          <w:tab w:val="left" w:pos="880"/>
          <w:tab w:val="right" w:leader="dot" w:pos="9770"/>
        </w:tabs>
        <w:rPr>
          <w:noProof/>
          <w:lang w:val="en-US" w:eastAsia="en-US"/>
        </w:rPr>
      </w:pPr>
      <w:hyperlink w:anchor="_Toc136961106" w:history="1">
        <w:r w:rsidR="00321D24" w:rsidRPr="00326717">
          <w:rPr>
            <w:rStyle w:val="Hyperlink"/>
            <w:rFonts w:ascii="Times New Roman" w:hAnsi="Times New Roman"/>
            <w:noProof/>
            <w:lang w:val="bg-BG"/>
          </w:rPr>
          <w:t>3.4</w:t>
        </w:r>
        <w:r w:rsidR="00321D24">
          <w:rPr>
            <w:noProof/>
            <w:lang w:val="en-US" w:eastAsia="en-US"/>
          </w:rPr>
          <w:tab/>
        </w:r>
        <w:r w:rsidR="00321D24" w:rsidRPr="00326717">
          <w:rPr>
            <w:rStyle w:val="Hyperlink"/>
            <w:rFonts w:ascii="Times New Roman" w:hAnsi="Times New Roman"/>
            <w:noProof/>
            <w:lang w:val="bg-BG"/>
          </w:rPr>
          <w:t>Конструктивното решение – Вариант 2:</w:t>
        </w:r>
        <w:r w:rsidR="00321D24">
          <w:rPr>
            <w:noProof/>
            <w:webHidden/>
          </w:rPr>
          <w:tab/>
        </w:r>
        <w:r w:rsidR="00321D24">
          <w:rPr>
            <w:noProof/>
            <w:webHidden/>
          </w:rPr>
          <w:fldChar w:fldCharType="begin"/>
        </w:r>
        <w:r w:rsidR="00321D24">
          <w:rPr>
            <w:noProof/>
            <w:webHidden/>
          </w:rPr>
          <w:instrText xml:space="preserve"> PAGEREF _Toc136961106 \h </w:instrText>
        </w:r>
        <w:r w:rsidR="00321D24">
          <w:rPr>
            <w:noProof/>
            <w:webHidden/>
          </w:rPr>
        </w:r>
        <w:r w:rsidR="00321D24">
          <w:rPr>
            <w:noProof/>
            <w:webHidden/>
          </w:rPr>
          <w:fldChar w:fldCharType="separate"/>
        </w:r>
        <w:r>
          <w:rPr>
            <w:noProof/>
            <w:webHidden/>
          </w:rPr>
          <w:t>40</w:t>
        </w:r>
        <w:r w:rsidR="00321D24">
          <w:rPr>
            <w:noProof/>
            <w:webHidden/>
          </w:rPr>
          <w:fldChar w:fldCharType="end"/>
        </w:r>
      </w:hyperlink>
    </w:p>
    <w:p w14:paraId="43CA58F0" w14:textId="15652AB2" w:rsidR="00321D24" w:rsidRDefault="00B457AD">
      <w:pPr>
        <w:pStyle w:val="TOC2"/>
        <w:tabs>
          <w:tab w:val="left" w:pos="880"/>
          <w:tab w:val="right" w:leader="dot" w:pos="9770"/>
        </w:tabs>
        <w:rPr>
          <w:noProof/>
          <w:lang w:val="en-US" w:eastAsia="en-US"/>
        </w:rPr>
      </w:pPr>
      <w:hyperlink w:anchor="_Toc136961107" w:history="1">
        <w:r w:rsidR="00321D24" w:rsidRPr="00326717">
          <w:rPr>
            <w:rStyle w:val="Hyperlink"/>
            <w:rFonts w:ascii="Times New Roman" w:hAnsi="Times New Roman"/>
            <w:noProof/>
            <w:lang w:val="bg-BG"/>
          </w:rPr>
          <w:t>3.5</w:t>
        </w:r>
        <w:r w:rsidR="00321D24">
          <w:rPr>
            <w:noProof/>
            <w:lang w:val="en-US" w:eastAsia="en-US"/>
          </w:rPr>
          <w:tab/>
        </w:r>
        <w:r w:rsidR="00321D24" w:rsidRPr="00326717">
          <w:rPr>
            <w:rStyle w:val="Hyperlink"/>
            <w:rFonts w:ascii="Times New Roman" w:hAnsi="Times New Roman"/>
            <w:noProof/>
            <w:lang w:val="bg-BG"/>
          </w:rPr>
          <w:t>Конструктивното решение – Вариант 3:</w:t>
        </w:r>
        <w:r w:rsidR="00321D24">
          <w:rPr>
            <w:noProof/>
            <w:webHidden/>
          </w:rPr>
          <w:tab/>
        </w:r>
        <w:r w:rsidR="00321D24">
          <w:rPr>
            <w:noProof/>
            <w:webHidden/>
          </w:rPr>
          <w:fldChar w:fldCharType="begin"/>
        </w:r>
        <w:r w:rsidR="00321D24">
          <w:rPr>
            <w:noProof/>
            <w:webHidden/>
          </w:rPr>
          <w:instrText xml:space="preserve"> PAGEREF _Toc136961107 \h </w:instrText>
        </w:r>
        <w:r w:rsidR="00321D24">
          <w:rPr>
            <w:noProof/>
            <w:webHidden/>
          </w:rPr>
        </w:r>
        <w:r w:rsidR="00321D24">
          <w:rPr>
            <w:noProof/>
            <w:webHidden/>
          </w:rPr>
          <w:fldChar w:fldCharType="separate"/>
        </w:r>
        <w:r>
          <w:rPr>
            <w:noProof/>
            <w:webHidden/>
          </w:rPr>
          <w:t>41</w:t>
        </w:r>
        <w:r w:rsidR="00321D24">
          <w:rPr>
            <w:noProof/>
            <w:webHidden/>
          </w:rPr>
          <w:fldChar w:fldCharType="end"/>
        </w:r>
      </w:hyperlink>
    </w:p>
    <w:p w14:paraId="44C2BB8A" w14:textId="451C11BB" w:rsidR="00321D24" w:rsidRDefault="00B457AD">
      <w:pPr>
        <w:pStyle w:val="TOC2"/>
        <w:tabs>
          <w:tab w:val="left" w:pos="880"/>
          <w:tab w:val="right" w:leader="dot" w:pos="9770"/>
        </w:tabs>
        <w:rPr>
          <w:noProof/>
          <w:lang w:val="en-US" w:eastAsia="en-US"/>
        </w:rPr>
      </w:pPr>
      <w:hyperlink w:anchor="_Toc136961108" w:history="1">
        <w:r w:rsidR="00321D24" w:rsidRPr="00326717">
          <w:rPr>
            <w:rStyle w:val="Hyperlink"/>
            <w:rFonts w:ascii="Times New Roman" w:hAnsi="Times New Roman"/>
            <w:noProof/>
            <w:lang w:val="bg-BG"/>
          </w:rPr>
          <w:t>3.6</w:t>
        </w:r>
        <w:r w:rsidR="00321D24">
          <w:rPr>
            <w:noProof/>
            <w:lang w:val="en-US" w:eastAsia="en-US"/>
          </w:rPr>
          <w:tab/>
        </w:r>
        <w:r w:rsidR="00321D24" w:rsidRPr="00326717">
          <w:rPr>
            <w:rStyle w:val="Hyperlink"/>
            <w:rFonts w:ascii="Times New Roman" w:hAnsi="Times New Roman"/>
            <w:noProof/>
            <w:lang w:val="bg-BG"/>
          </w:rPr>
          <w:t>Проучвания за осъществимост на проекта</w:t>
        </w:r>
        <w:r w:rsidR="00321D24">
          <w:rPr>
            <w:noProof/>
            <w:webHidden/>
          </w:rPr>
          <w:tab/>
        </w:r>
        <w:r w:rsidR="00321D24">
          <w:rPr>
            <w:noProof/>
            <w:webHidden/>
          </w:rPr>
          <w:fldChar w:fldCharType="begin"/>
        </w:r>
        <w:r w:rsidR="00321D24">
          <w:rPr>
            <w:noProof/>
            <w:webHidden/>
          </w:rPr>
          <w:instrText xml:space="preserve"> PAGEREF _Toc136961108 \h </w:instrText>
        </w:r>
        <w:r w:rsidR="00321D24">
          <w:rPr>
            <w:noProof/>
            <w:webHidden/>
          </w:rPr>
        </w:r>
        <w:r w:rsidR="00321D24">
          <w:rPr>
            <w:noProof/>
            <w:webHidden/>
          </w:rPr>
          <w:fldChar w:fldCharType="separate"/>
        </w:r>
        <w:r>
          <w:rPr>
            <w:noProof/>
            <w:webHidden/>
          </w:rPr>
          <w:t>43</w:t>
        </w:r>
        <w:r w:rsidR="00321D24">
          <w:rPr>
            <w:noProof/>
            <w:webHidden/>
          </w:rPr>
          <w:fldChar w:fldCharType="end"/>
        </w:r>
      </w:hyperlink>
    </w:p>
    <w:p w14:paraId="7DA17A7D" w14:textId="0DACDDC2"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09" w:history="1">
        <w:r w:rsidR="00321D24" w:rsidRPr="00326717">
          <w:rPr>
            <w:rStyle w:val="Hyperlink"/>
            <w:rFonts w:ascii="Times New Roman" w:hAnsi="Times New Roman"/>
            <w:noProof/>
            <w:lang w:val="bg-BG"/>
          </w:rPr>
          <w:t>3.6.1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Устройствени проучвания и разработки за допустимост на строителството</w:t>
        </w:r>
        <w:r w:rsidR="00321D24">
          <w:rPr>
            <w:noProof/>
            <w:webHidden/>
          </w:rPr>
          <w:tab/>
        </w:r>
        <w:r w:rsidR="00321D24">
          <w:rPr>
            <w:noProof/>
            <w:webHidden/>
          </w:rPr>
          <w:fldChar w:fldCharType="begin"/>
        </w:r>
        <w:r w:rsidR="00321D24">
          <w:rPr>
            <w:noProof/>
            <w:webHidden/>
          </w:rPr>
          <w:instrText xml:space="preserve"> PAGEREF _Toc136961109 \h </w:instrText>
        </w:r>
        <w:r w:rsidR="00321D24">
          <w:rPr>
            <w:noProof/>
            <w:webHidden/>
          </w:rPr>
        </w:r>
        <w:r w:rsidR="00321D24">
          <w:rPr>
            <w:noProof/>
            <w:webHidden/>
          </w:rPr>
          <w:fldChar w:fldCharType="separate"/>
        </w:r>
        <w:r>
          <w:rPr>
            <w:noProof/>
            <w:webHidden/>
          </w:rPr>
          <w:t>43</w:t>
        </w:r>
        <w:r w:rsidR="00321D24">
          <w:rPr>
            <w:noProof/>
            <w:webHidden/>
          </w:rPr>
          <w:fldChar w:fldCharType="end"/>
        </w:r>
      </w:hyperlink>
    </w:p>
    <w:p w14:paraId="36E51A0D" w14:textId="0F86D895"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10" w:history="1">
        <w:r w:rsidR="00321D24" w:rsidRPr="00326717">
          <w:rPr>
            <w:rStyle w:val="Hyperlink"/>
            <w:rFonts w:ascii="Times New Roman" w:hAnsi="Times New Roman"/>
            <w:noProof/>
            <w:lang w:val="bg-BG" w:eastAsia="bg-BG"/>
          </w:rPr>
          <w:t>3.6.2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Приложимо право</w:t>
        </w:r>
        <w:r w:rsidR="00321D24">
          <w:rPr>
            <w:noProof/>
            <w:webHidden/>
          </w:rPr>
          <w:tab/>
        </w:r>
        <w:r w:rsidR="00321D24">
          <w:rPr>
            <w:noProof/>
            <w:webHidden/>
          </w:rPr>
          <w:fldChar w:fldCharType="begin"/>
        </w:r>
        <w:r w:rsidR="00321D24">
          <w:rPr>
            <w:noProof/>
            <w:webHidden/>
          </w:rPr>
          <w:instrText xml:space="preserve"> PAGEREF _Toc136961110 \h </w:instrText>
        </w:r>
        <w:r w:rsidR="00321D24">
          <w:rPr>
            <w:noProof/>
            <w:webHidden/>
          </w:rPr>
        </w:r>
        <w:r w:rsidR="00321D24">
          <w:rPr>
            <w:noProof/>
            <w:webHidden/>
          </w:rPr>
          <w:fldChar w:fldCharType="separate"/>
        </w:r>
        <w:r>
          <w:rPr>
            <w:noProof/>
            <w:webHidden/>
          </w:rPr>
          <w:t>48</w:t>
        </w:r>
        <w:r w:rsidR="00321D24">
          <w:rPr>
            <w:noProof/>
            <w:webHidden/>
          </w:rPr>
          <w:fldChar w:fldCharType="end"/>
        </w:r>
      </w:hyperlink>
    </w:p>
    <w:p w14:paraId="0E253C51" w14:textId="5F78C4A6"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11" w:history="1">
        <w:r w:rsidR="00321D24" w:rsidRPr="00326717">
          <w:rPr>
            <w:rStyle w:val="Hyperlink"/>
            <w:rFonts w:ascii="Times New Roman" w:hAnsi="Times New Roman"/>
            <w:noProof/>
            <w:lang w:val="bg-BG" w:eastAsia="bg-BG"/>
          </w:rPr>
          <w:t>3.6.3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Установяване и анализ на собствеността върху пристанищен терминал „Бургас – Изток 1“, част от пристанище за обществен транспорт Бургас по см. на чл. 106а от ЗМПВВППРБ</w:t>
        </w:r>
        <w:r w:rsidR="00321D24">
          <w:rPr>
            <w:noProof/>
            <w:webHidden/>
          </w:rPr>
          <w:tab/>
        </w:r>
        <w:r w:rsidR="00321D24">
          <w:rPr>
            <w:noProof/>
            <w:webHidden/>
          </w:rPr>
          <w:fldChar w:fldCharType="begin"/>
        </w:r>
        <w:r w:rsidR="00321D24">
          <w:rPr>
            <w:noProof/>
            <w:webHidden/>
          </w:rPr>
          <w:instrText xml:space="preserve"> PAGEREF _Toc136961111 \h </w:instrText>
        </w:r>
        <w:r w:rsidR="00321D24">
          <w:rPr>
            <w:noProof/>
            <w:webHidden/>
          </w:rPr>
        </w:r>
        <w:r w:rsidR="00321D24">
          <w:rPr>
            <w:noProof/>
            <w:webHidden/>
          </w:rPr>
          <w:fldChar w:fldCharType="separate"/>
        </w:r>
        <w:r>
          <w:rPr>
            <w:noProof/>
            <w:webHidden/>
          </w:rPr>
          <w:t>49</w:t>
        </w:r>
        <w:r w:rsidR="00321D24">
          <w:rPr>
            <w:noProof/>
            <w:webHidden/>
          </w:rPr>
          <w:fldChar w:fldCharType="end"/>
        </w:r>
      </w:hyperlink>
    </w:p>
    <w:p w14:paraId="4587AFDD" w14:textId="61CB3F1E"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12" w:history="1">
        <w:r w:rsidR="00321D24" w:rsidRPr="00326717">
          <w:rPr>
            <w:rStyle w:val="Hyperlink"/>
            <w:rFonts w:ascii="Times New Roman" w:hAnsi="Times New Roman"/>
            <w:noProof/>
            <w:lang w:val="bg-BG" w:eastAsia="bg-BG"/>
          </w:rPr>
          <w:t>3.6.4</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Експлоатационна годност</w:t>
        </w:r>
        <w:r w:rsidR="00321D24">
          <w:rPr>
            <w:noProof/>
            <w:webHidden/>
          </w:rPr>
          <w:tab/>
        </w:r>
        <w:r w:rsidR="00321D24">
          <w:rPr>
            <w:noProof/>
            <w:webHidden/>
          </w:rPr>
          <w:fldChar w:fldCharType="begin"/>
        </w:r>
        <w:r w:rsidR="00321D24">
          <w:rPr>
            <w:noProof/>
            <w:webHidden/>
          </w:rPr>
          <w:instrText xml:space="preserve"> PAGEREF _Toc136961112 \h </w:instrText>
        </w:r>
        <w:r w:rsidR="00321D24">
          <w:rPr>
            <w:noProof/>
            <w:webHidden/>
          </w:rPr>
        </w:r>
        <w:r w:rsidR="00321D24">
          <w:rPr>
            <w:noProof/>
            <w:webHidden/>
          </w:rPr>
          <w:fldChar w:fldCharType="separate"/>
        </w:r>
        <w:r>
          <w:rPr>
            <w:noProof/>
            <w:webHidden/>
          </w:rPr>
          <w:t>88</w:t>
        </w:r>
        <w:r w:rsidR="00321D24">
          <w:rPr>
            <w:noProof/>
            <w:webHidden/>
          </w:rPr>
          <w:fldChar w:fldCharType="end"/>
        </w:r>
      </w:hyperlink>
    </w:p>
    <w:p w14:paraId="01729338" w14:textId="0ED998D2"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13" w:history="1">
        <w:r w:rsidR="00321D24" w:rsidRPr="00326717">
          <w:rPr>
            <w:rStyle w:val="Hyperlink"/>
            <w:rFonts w:ascii="Times New Roman" w:eastAsiaTheme="minorHAnsi" w:hAnsi="Times New Roman"/>
            <w:noProof/>
            <w:lang w:val="bg-BG"/>
          </w:rPr>
          <w:t>3.6.5</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 (ОВ L 187, 26.6.2014 г.)</w:t>
        </w:r>
        <w:r w:rsidR="00321D24" w:rsidRPr="00326717">
          <w:rPr>
            <w:rStyle w:val="Hyperlink"/>
            <w:rFonts w:ascii="Times New Roman" w:eastAsiaTheme="minorHAnsi" w:hAnsi="Times New Roman"/>
            <w:noProof/>
            <w:lang w:val="bg-BG"/>
          </w:rPr>
          <w:t xml:space="preserve"> или Общият Регламент за групово освобождаване (ОРГО)</w:t>
        </w:r>
        <w:r w:rsidR="00321D24">
          <w:rPr>
            <w:noProof/>
            <w:webHidden/>
          </w:rPr>
          <w:tab/>
        </w:r>
        <w:r w:rsidR="00321D24">
          <w:rPr>
            <w:noProof/>
            <w:webHidden/>
          </w:rPr>
          <w:fldChar w:fldCharType="begin"/>
        </w:r>
        <w:r w:rsidR="00321D24">
          <w:rPr>
            <w:noProof/>
            <w:webHidden/>
          </w:rPr>
          <w:instrText xml:space="preserve"> PAGEREF _Toc136961113 \h </w:instrText>
        </w:r>
        <w:r w:rsidR="00321D24">
          <w:rPr>
            <w:noProof/>
            <w:webHidden/>
          </w:rPr>
        </w:r>
        <w:r w:rsidR="00321D24">
          <w:rPr>
            <w:noProof/>
            <w:webHidden/>
          </w:rPr>
          <w:fldChar w:fldCharType="separate"/>
        </w:r>
        <w:r>
          <w:rPr>
            <w:noProof/>
            <w:webHidden/>
          </w:rPr>
          <w:t>89</w:t>
        </w:r>
        <w:r w:rsidR="00321D24">
          <w:rPr>
            <w:noProof/>
            <w:webHidden/>
          </w:rPr>
          <w:fldChar w:fldCharType="end"/>
        </w:r>
      </w:hyperlink>
    </w:p>
    <w:p w14:paraId="23868E55" w14:textId="0A9229FD" w:rsidR="00321D24" w:rsidRDefault="00B457AD">
      <w:pPr>
        <w:pStyle w:val="TOC1"/>
        <w:tabs>
          <w:tab w:val="left" w:pos="460"/>
          <w:tab w:val="right" w:leader="dot" w:pos="9770"/>
        </w:tabs>
        <w:rPr>
          <w:rFonts w:asciiTheme="minorHAnsi" w:eastAsiaTheme="minorEastAsia" w:hAnsiTheme="minorHAnsi" w:cstheme="minorBidi"/>
          <w:noProof/>
          <w:sz w:val="22"/>
          <w:lang w:val="en-US"/>
        </w:rPr>
      </w:pPr>
      <w:hyperlink w:anchor="_Toc136961114" w:history="1">
        <w:r w:rsidR="00321D24" w:rsidRPr="00326717">
          <w:rPr>
            <w:rStyle w:val="Hyperlink"/>
            <w:rFonts w:ascii="Times New Roman" w:hAnsi="Times New Roman"/>
            <w:noProof/>
            <w:lang w:val="bg-BG"/>
          </w:rPr>
          <w:t>4</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Анализ на търсенето</w:t>
        </w:r>
        <w:r w:rsidR="00321D24">
          <w:rPr>
            <w:noProof/>
            <w:webHidden/>
          </w:rPr>
          <w:tab/>
        </w:r>
        <w:r w:rsidR="00321D24">
          <w:rPr>
            <w:noProof/>
            <w:webHidden/>
          </w:rPr>
          <w:fldChar w:fldCharType="begin"/>
        </w:r>
        <w:r w:rsidR="00321D24">
          <w:rPr>
            <w:noProof/>
            <w:webHidden/>
          </w:rPr>
          <w:instrText xml:space="preserve"> PAGEREF _Toc136961114 \h </w:instrText>
        </w:r>
        <w:r w:rsidR="00321D24">
          <w:rPr>
            <w:noProof/>
            <w:webHidden/>
          </w:rPr>
        </w:r>
        <w:r w:rsidR="00321D24">
          <w:rPr>
            <w:noProof/>
            <w:webHidden/>
          </w:rPr>
          <w:fldChar w:fldCharType="separate"/>
        </w:r>
        <w:r>
          <w:rPr>
            <w:noProof/>
            <w:webHidden/>
          </w:rPr>
          <w:t>92</w:t>
        </w:r>
        <w:r w:rsidR="00321D24">
          <w:rPr>
            <w:noProof/>
            <w:webHidden/>
          </w:rPr>
          <w:fldChar w:fldCharType="end"/>
        </w:r>
      </w:hyperlink>
    </w:p>
    <w:p w14:paraId="7C0F1530" w14:textId="79A75919" w:rsidR="00321D24" w:rsidRDefault="00B457AD">
      <w:pPr>
        <w:pStyle w:val="TOC2"/>
        <w:tabs>
          <w:tab w:val="left" w:pos="880"/>
          <w:tab w:val="right" w:leader="dot" w:pos="9770"/>
        </w:tabs>
        <w:rPr>
          <w:noProof/>
          <w:lang w:val="en-US" w:eastAsia="en-US"/>
        </w:rPr>
      </w:pPr>
      <w:hyperlink w:anchor="_Toc136961115" w:history="1">
        <w:r w:rsidR="00321D24" w:rsidRPr="00326717">
          <w:rPr>
            <w:rStyle w:val="Hyperlink"/>
            <w:rFonts w:ascii="Times New Roman" w:hAnsi="Times New Roman"/>
            <w:noProof/>
            <w:lang w:val="bg-BG"/>
          </w:rPr>
          <w:t>4.1</w:t>
        </w:r>
        <w:r w:rsidR="00321D24">
          <w:rPr>
            <w:noProof/>
            <w:lang w:val="en-US" w:eastAsia="en-US"/>
          </w:rPr>
          <w:tab/>
        </w:r>
        <w:r w:rsidR="00321D24" w:rsidRPr="00326717">
          <w:rPr>
            <w:rStyle w:val="Hyperlink"/>
            <w:rFonts w:ascii="Times New Roman" w:hAnsi="Times New Roman"/>
            <w:noProof/>
            <w:lang w:val="bg-BG"/>
          </w:rPr>
          <w:t>Икономическа макрорамка и прогнози</w:t>
        </w:r>
        <w:r w:rsidR="00321D24">
          <w:rPr>
            <w:noProof/>
            <w:webHidden/>
          </w:rPr>
          <w:tab/>
        </w:r>
        <w:r w:rsidR="00321D24">
          <w:rPr>
            <w:noProof/>
            <w:webHidden/>
          </w:rPr>
          <w:fldChar w:fldCharType="begin"/>
        </w:r>
        <w:r w:rsidR="00321D24">
          <w:rPr>
            <w:noProof/>
            <w:webHidden/>
          </w:rPr>
          <w:instrText xml:space="preserve"> PAGEREF _Toc136961115 \h </w:instrText>
        </w:r>
        <w:r w:rsidR="00321D24">
          <w:rPr>
            <w:noProof/>
            <w:webHidden/>
          </w:rPr>
        </w:r>
        <w:r w:rsidR="00321D24">
          <w:rPr>
            <w:noProof/>
            <w:webHidden/>
          </w:rPr>
          <w:fldChar w:fldCharType="separate"/>
        </w:r>
        <w:r>
          <w:rPr>
            <w:noProof/>
            <w:webHidden/>
          </w:rPr>
          <w:t>92</w:t>
        </w:r>
        <w:r w:rsidR="00321D24">
          <w:rPr>
            <w:noProof/>
            <w:webHidden/>
          </w:rPr>
          <w:fldChar w:fldCharType="end"/>
        </w:r>
      </w:hyperlink>
    </w:p>
    <w:p w14:paraId="69ACD4A0" w14:textId="1539E5C4"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16" w:history="1">
        <w:r w:rsidR="00321D24" w:rsidRPr="00326717">
          <w:rPr>
            <w:rStyle w:val="Hyperlink"/>
            <w:rFonts w:ascii="Times New Roman" w:hAnsi="Times New Roman"/>
            <w:noProof/>
            <w:lang w:val="bg-BG" w:eastAsia="bg-BG"/>
          </w:rPr>
          <w:t>4.1.1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Анализ на развитието на икономиката</w:t>
        </w:r>
        <w:r w:rsidR="00321D24">
          <w:rPr>
            <w:noProof/>
            <w:webHidden/>
          </w:rPr>
          <w:tab/>
        </w:r>
        <w:r w:rsidR="00321D24">
          <w:rPr>
            <w:noProof/>
            <w:webHidden/>
          </w:rPr>
          <w:fldChar w:fldCharType="begin"/>
        </w:r>
        <w:r w:rsidR="00321D24">
          <w:rPr>
            <w:noProof/>
            <w:webHidden/>
          </w:rPr>
          <w:instrText xml:space="preserve"> PAGEREF _Toc136961116 \h </w:instrText>
        </w:r>
        <w:r w:rsidR="00321D24">
          <w:rPr>
            <w:noProof/>
            <w:webHidden/>
          </w:rPr>
        </w:r>
        <w:r w:rsidR="00321D24">
          <w:rPr>
            <w:noProof/>
            <w:webHidden/>
          </w:rPr>
          <w:fldChar w:fldCharType="separate"/>
        </w:r>
        <w:r>
          <w:rPr>
            <w:noProof/>
            <w:webHidden/>
          </w:rPr>
          <w:t>92</w:t>
        </w:r>
        <w:r w:rsidR="00321D24">
          <w:rPr>
            <w:noProof/>
            <w:webHidden/>
          </w:rPr>
          <w:fldChar w:fldCharType="end"/>
        </w:r>
      </w:hyperlink>
    </w:p>
    <w:p w14:paraId="2665DBDD" w14:textId="5E5D32D9"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17" w:history="1">
        <w:r w:rsidR="00321D24" w:rsidRPr="00326717">
          <w:rPr>
            <w:rStyle w:val="Hyperlink"/>
            <w:rFonts w:ascii="Times New Roman" w:hAnsi="Times New Roman"/>
            <w:noProof/>
            <w:lang w:val="bg-BG" w:eastAsia="bg-BG"/>
          </w:rPr>
          <w:t>4.1.2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Прогнози и допускания за развитие на макро-икономическите индикатори</w:t>
        </w:r>
        <w:r w:rsidR="00321D24">
          <w:rPr>
            <w:noProof/>
            <w:webHidden/>
          </w:rPr>
          <w:tab/>
        </w:r>
        <w:r w:rsidR="00321D24">
          <w:rPr>
            <w:noProof/>
            <w:webHidden/>
          </w:rPr>
          <w:fldChar w:fldCharType="begin"/>
        </w:r>
        <w:r w:rsidR="00321D24">
          <w:rPr>
            <w:noProof/>
            <w:webHidden/>
          </w:rPr>
          <w:instrText xml:space="preserve"> PAGEREF _Toc136961117 \h </w:instrText>
        </w:r>
        <w:r w:rsidR="00321D24">
          <w:rPr>
            <w:noProof/>
            <w:webHidden/>
          </w:rPr>
        </w:r>
        <w:r w:rsidR="00321D24">
          <w:rPr>
            <w:noProof/>
            <w:webHidden/>
          </w:rPr>
          <w:fldChar w:fldCharType="separate"/>
        </w:r>
        <w:r>
          <w:rPr>
            <w:noProof/>
            <w:webHidden/>
          </w:rPr>
          <w:t>97</w:t>
        </w:r>
        <w:r w:rsidR="00321D24">
          <w:rPr>
            <w:noProof/>
            <w:webHidden/>
          </w:rPr>
          <w:fldChar w:fldCharType="end"/>
        </w:r>
      </w:hyperlink>
    </w:p>
    <w:p w14:paraId="2CB069AE" w14:textId="376BAEC7" w:rsidR="00321D24" w:rsidRDefault="00B457AD">
      <w:pPr>
        <w:pStyle w:val="TOC2"/>
        <w:tabs>
          <w:tab w:val="left" w:pos="880"/>
          <w:tab w:val="right" w:leader="dot" w:pos="9770"/>
        </w:tabs>
        <w:rPr>
          <w:noProof/>
          <w:lang w:val="en-US" w:eastAsia="en-US"/>
        </w:rPr>
      </w:pPr>
      <w:hyperlink w:anchor="_Toc136961118" w:history="1">
        <w:r w:rsidR="00321D24" w:rsidRPr="00326717">
          <w:rPr>
            <w:rStyle w:val="Hyperlink"/>
            <w:rFonts w:ascii="Times New Roman" w:hAnsi="Times New Roman"/>
            <w:noProof/>
            <w:lang w:val="bg-BG"/>
          </w:rPr>
          <w:t>4.2</w:t>
        </w:r>
        <w:r w:rsidR="00321D24">
          <w:rPr>
            <w:noProof/>
            <w:lang w:val="en-US" w:eastAsia="en-US"/>
          </w:rPr>
          <w:tab/>
        </w:r>
        <w:r w:rsidR="00321D24" w:rsidRPr="00326717">
          <w:rPr>
            <w:rStyle w:val="Hyperlink"/>
            <w:rFonts w:ascii="Times New Roman" w:hAnsi="Times New Roman"/>
            <w:noProof/>
            <w:lang w:val="bg-BG"/>
          </w:rPr>
          <w:t>Социално-икономическо развитие на района на проекта</w:t>
        </w:r>
        <w:r w:rsidR="00321D24">
          <w:rPr>
            <w:noProof/>
            <w:webHidden/>
          </w:rPr>
          <w:tab/>
        </w:r>
        <w:r w:rsidR="00321D24">
          <w:rPr>
            <w:noProof/>
            <w:webHidden/>
          </w:rPr>
          <w:fldChar w:fldCharType="begin"/>
        </w:r>
        <w:r w:rsidR="00321D24">
          <w:rPr>
            <w:noProof/>
            <w:webHidden/>
          </w:rPr>
          <w:instrText xml:space="preserve"> PAGEREF _Toc136961118 \h </w:instrText>
        </w:r>
        <w:r w:rsidR="00321D24">
          <w:rPr>
            <w:noProof/>
            <w:webHidden/>
          </w:rPr>
        </w:r>
        <w:r w:rsidR="00321D24">
          <w:rPr>
            <w:noProof/>
            <w:webHidden/>
          </w:rPr>
          <w:fldChar w:fldCharType="separate"/>
        </w:r>
        <w:r>
          <w:rPr>
            <w:noProof/>
            <w:webHidden/>
          </w:rPr>
          <w:t>98</w:t>
        </w:r>
        <w:r w:rsidR="00321D24">
          <w:rPr>
            <w:noProof/>
            <w:webHidden/>
          </w:rPr>
          <w:fldChar w:fldCharType="end"/>
        </w:r>
      </w:hyperlink>
    </w:p>
    <w:p w14:paraId="06D2FB20" w14:textId="559A0404" w:rsidR="00321D24" w:rsidRDefault="00B457AD">
      <w:pPr>
        <w:pStyle w:val="TOC2"/>
        <w:tabs>
          <w:tab w:val="left" w:pos="880"/>
          <w:tab w:val="right" w:leader="dot" w:pos="9770"/>
        </w:tabs>
        <w:rPr>
          <w:noProof/>
          <w:lang w:val="en-US" w:eastAsia="en-US"/>
        </w:rPr>
      </w:pPr>
      <w:hyperlink w:anchor="_Toc136961119" w:history="1">
        <w:r w:rsidR="00321D24" w:rsidRPr="00326717">
          <w:rPr>
            <w:rStyle w:val="Hyperlink"/>
            <w:rFonts w:ascii="Times New Roman" w:hAnsi="Times New Roman"/>
            <w:noProof/>
            <w:lang w:val="bg-BG"/>
          </w:rPr>
          <w:t>4.3</w:t>
        </w:r>
        <w:r w:rsidR="00321D24">
          <w:rPr>
            <w:noProof/>
            <w:lang w:val="en-US" w:eastAsia="en-US"/>
          </w:rPr>
          <w:tab/>
        </w:r>
        <w:r w:rsidR="00321D24" w:rsidRPr="00326717">
          <w:rPr>
            <w:rStyle w:val="Hyperlink"/>
            <w:rFonts w:ascii="Times New Roman" w:hAnsi="Times New Roman"/>
            <w:noProof/>
            <w:lang w:val="bg-BG"/>
          </w:rPr>
          <w:t>Прогноза за търсенето</w:t>
        </w:r>
        <w:r w:rsidR="00321D24">
          <w:rPr>
            <w:noProof/>
            <w:webHidden/>
          </w:rPr>
          <w:tab/>
        </w:r>
        <w:r w:rsidR="00321D24">
          <w:rPr>
            <w:noProof/>
            <w:webHidden/>
          </w:rPr>
          <w:fldChar w:fldCharType="begin"/>
        </w:r>
        <w:r w:rsidR="00321D24">
          <w:rPr>
            <w:noProof/>
            <w:webHidden/>
          </w:rPr>
          <w:instrText xml:space="preserve"> PAGEREF _Toc136961119 \h </w:instrText>
        </w:r>
        <w:r w:rsidR="00321D24">
          <w:rPr>
            <w:noProof/>
            <w:webHidden/>
          </w:rPr>
        </w:r>
        <w:r w:rsidR="00321D24">
          <w:rPr>
            <w:noProof/>
            <w:webHidden/>
          </w:rPr>
          <w:fldChar w:fldCharType="separate"/>
        </w:r>
        <w:r>
          <w:rPr>
            <w:noProof/>
            <w:webHidden/>
          </w:rPr>
          <w:t>101</w:t>
        </w:r>
        <w:r w:rsidR="00321D24">
          <w:rPr>
            <w:noProof/>
            <w:webHidden/>
          </w:rPr>
          <w:fldChar w:fldCharType="end"/>
        </w:r>
      </w:hyperlink>
    </w:p>
    <w:p w14:paraId="66F8B5F7" w14:textId="12946D1E" w:rsidR="00321D24" w:rsidRDefault="00B457AD">
      <w:pPr>
        <w:pStyle w:val="TOC1"/>
        <w:tabs>
          <w:tab w:val="left" w:pos="460"/>
          <w:tab w:val="right" w:leader="dot" w:pos="9770"/>
        </w:tabs>
        <w:rPr>
          <w:rFonts w:asciiTheme="minorHAnsi" w:eastAsiaTheme="minorEastAsia" w:hAnsiTheme="minorHAnsi" w:cstheme="minorBidi"/>
          <w:noProof/>
          <w:sz w:val="22"/>
          <w:lang w:val="en-US"/>
        </w:rPr>
      </w:pPr>
      <w:hyperlink w:anchor="_Toc136961120" w:history="1">
        <w:r w:rsidR="00321D24" w:rsidRPr="00326717">
          <w:rPr>
            <w:rStyle w:val="Hyperlink"/>
            <w:rFonts w:ascii="Times New Roman" w:hAnsi="Times New Roman"/>
            <w:noProof/>
            <w:lang w:val="bg-BG"/>
          </w:rPr>
          <w:t>5</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Определяне на разходите</w:t>
        </w:r>
        <w:r w:rsidR="00321D24">
          <w:rPr>
            <w:noProof/>
            <w:webHidden/>
          </w:rPr>
          <w:tab/>
        </w:r>
        <w:r w:rsidR="00321D24">
          <w:rPr>
            <w:noProof/>
            <w:webHidden/>
          </w:rPr>
          <w:fldChar w:fldCharType="begin"/>
        </w:r>
        <w:r w:rsidR="00321D24">
          <w:rPr>
            <w:noProof/>
            <w:webHidden/>
          </w:rPr>
          <w:instrText xml:space="preserve"> PAGEREF _Toc136961120 \h </w:instrText>
        </w:r>
        <w:r w:rsidR="00321D24">
          <w:rPr>
            <w:noProof/>
            <w:webHidden/>
          </w:rPr>
        </w:r>
        <w:r w:rsidR="00321D24">
          <w:rPr>
            <w:noProof/>
            <w:webHidden/>
          </w:rPr>
          <w:fldChar w:fldCharType="separate"/>
        </w:r>
        <w:r>
          <w:rPr>
            <w:noProof/>
            <w:webHidden/>
          </w:rPr>
          <w:t>108</w:t>
        </w:r>
        <w:r w:rsidR="00321D24">
          <w:rPr>
            <w:noProof/>
            <w:webHidden/>
          </w:rPr>
          <w:fldChar w:fldCharType="end"/>
        </w:r>
      </w:hyperlink>
    </w:p>
    <w:p w14:paraId="6E69BF89" w14:textId="390CD1C9" w:rsidR="00321D24" w:rsidRDefault="00B457AD">
      <w:pPr>
        <w:pStyle w:val="TOC2"/>
        <w:tabs>
          <w:tab w:val="left" w:pos="880"/>
          <w:tab w:val="right" w:leader="dot" w:pos="9770"/>
        </w:tabs>
        <w:rPr>
          <w:noProof/>
          <w:lang w:val="en-US" w:eastAsia="en-US"/>
        </w:rPr>
      </w:pPr>
      <w:hyperlink w:anchor="_Toc136961121" w:history="1">
        <w:r w:rsidR="00321D24" w:rsidRPr="00326717">
          <w:rPr>
            <w:rStyle w:val="Hyperlink"/>
            <w:rFonts w:ascii="Times New Roman" w:hAnsi="Times New Roman"/>
            <w:noProof/>
            <w:lang w:val="bg-BG"/>
          </w:rPr>
          <w:t>5.1</w:t>
        </w:r>
        <w:r w:rsidR="00321D24">
          <w:rPr>
            <w:noProof/>
            <w:lang w:val="en-US" w:eastAsia="en-US"/>
          </w:rPr>
          <w:tab/>
        </w:r>
        <w:r w:rsidR="00321D24" w:rsidRPr="00326717">
          <w:rPr>
            <w:rStyle w:val="Hyperlink"/>
            <w:rFonts w:ascii="Times New Roman" w:hAnsi="Times New Roman"/>
            <w:noProof/>
            <w:lang w:val="bg-BG"/>
          </w:rPr>
          <w:t>Инвестиционни разходи</w:t>
        </w:r>
        <w:r w:rsidR="00321D24">
          <w:rPr>
            <w:noProof/>
            <w:webHidden/>
          </w:rPr>
          <w:tab/>
        </w:r>
        <w:r w:rsidR="00321D24">
          <w:rPr>
            <w:noProof/>
            <w:webHidden/>
          </w:rPr>
          <w:fldChar w:fldCharType="begin"/>
        </w:r>
        <w:r w:rsidR="00321D24">
          <w:rPr>
            <w:noProof/>
            <w:webHidden/>
          </w:rPr>
          <w:instrText xml:space="preserve"> PAGEREF _Toc136961121 \h </w:instrText>
        </w:r>
        <w:r w:rsidR="00321D24">
          <w:rPr>
            <w:noProof/>
            <w:webHidden/>
          </w:rPr>
        </w:r>
        <w:r w:rsidR="00321D24">
          <w:rPr>
            <w:noProof/>
            <w:webHidden/>
          </w:rPr>
          <w:fldChar w:fldCharType="separate"/>
        </w:r>
        <w:r>
          <w:rPr>
            <w:noProof/>
            <w:webHidden/>
          </w:rPr>
          <w:t>108</w:t>
        </w:r>
        <w:r w:rsidR="00321D24">
          <w:rPr>
            <w:noProof/>
            <w:webHidden/>
          </w:rPr>
          <w:fldChar w:fldCharType="end"/>
        </w:r>
      </w:hyperlink>
    </w:p>
    <w:p w14:paraId="69E5DFCE" w14:textId="57A0A2A1" w:rsidR="00321D24" w:rsidRDefault="00B457AD">
      <w:pPr>
        <w:pStyle w:val="TOC2"/>
        <w:tabs>
          <w:tab w:val="left" w:pos="880"/>
          <w:tab w:val="right" w:leader="dot" w:pos="9770"/>
        </w:tabs>
        <w:rPr>
          <w:noProof/>
          <w:lang w:val="en-US" w:eastAsia="en-US"/>
        </w:rPr>
      </w:pPr>
      <w:hyperlink w:anchor="_Toc136961122" w:history="1">
        <w:r w:rsidR="00321D24" w:rsidRPr="00326717">
          <w:rPr>
            <w:rStyle w:val="Hyperlink"/>
            <w:rFonts w:ascii="Times New Roman" w:hAnsi="Times New Roman"/>
            <w:noProof/>
            <w:lang w:val="bg-BG"/>
          </w:rPr>
          <w:t>5.2</w:t>
        </w:r>
        <w:r w:rsidR="00321D24">
          <w:rPr>
            <w:noProof/>
            <w:lang w:val="en-US" w:eastAsia="en-US"/>
          </w:rPr>
          <w:tab/>
        </w:r>
        <w:r w:rsidR="00321D24" w:rsidRPr="00326717">
          <w:rPr>
            <w:rStyle w:val="Hyperlink"/>
            <w:rFonts w:ascii="Times New Roman" w:hAnsi="Times New Roman"/>
            <w:noProof/>
            <w:lang w:val="bg-BG"/>
          </w:rPr>
          <w:t>Разходи за експлоатация и поддръжка</w:t>
        </w:r>
        <w:r w:rsidR="00321D24">
          <w:rPr>
            <w:noProof/>
            <w:webHidden/>
          </w:rPr>
          <w:tab/>
        </w:r>
        <w:r w:rsidR="00321D24">
          <w:rPr>
            <w:noProof/>
            <w:webHidden/>
          </w:rPr>
          <w:fldChar w:fldCharType="begin"/>
        </w:r>
        <w:r w:rsidR="00321D24">
          <w:rPr>
            <w:noProof/>
            <w:webHidden/>
          </w:rPr>
          <w:instrText xml:space="preserve"> PAGEREF _Toc136961122 \h </w:instrText>
        </w:r>
        <w:r w:rsidR="00321D24">
          <w:rPr>
            <w:noProof/>
            <w:webHidden/>
          </w:rPr>
        </w:r>
        <w:r w:rsidR="00321D24">
          <w:rPr>
            <w:noProof/>
            <w:webHidden/>
          </w:rPr>
          <w:fldChar w:fldCharType="separate"/>
        </w:r>
        <w:r>
          <w:rPr>
            <w:noProof/>
            <w:webHidden/>
          </w:rPr>
          <w:t>110</w:t>
        </w:r>
        <w:r w:rsidR="00321D24">
          <w:rPr>
            <w:noProof/>
            <w:webHidden/>
          </w:rPr>
          <w:fldChar w:fldCharType="end"/>
        </w:r>
      </w:hyperlink>
    </w:p>
    <w:p w14:paraId="32C7D78D" w14:textId="6E9A58C2" w:rsidR="00321D24" w:rsidRDefault="00B457AD">
      <w:pPr>
        <w:pStyle w:val="TOC1"/>
        <w:tabs>
          <w:tab w:val="left" w:pos="460"/>
          <w:tab w:val="right" w:leader="dot" w:pos="9770"/>
        </w:tabs>
        <w:rPr>
          <w:rFonts w:asciiTheme="minorHAnsi" w:eastAsiaTheme="minorEastAsia" w:hAnsiTheme="minorHAnsi" w:cstheme="minorBidi"/>
          <w:noProof/>
          <w:sz w:val="22"/>
          <w:lang w:val="en-US"/>
        </w:rPr>
      </w:pPr>
      <w:hyperlink w:anchor="_Toc136961123" w:history="1">
        <w:r w:rsidR="00321D24" w:rsidRPr="00326717">
          <w:rPr>
            <w:rStyle w:val="Hyperlink"/>
            <w:rFonts w:ascii="Times New Roman" w:hAnsi="Times New Roman"/>
            <w:noProof/>
            <w:lang w:val="bg-BG"/>
          </w:rPr>
          <w:t>6</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Анализ на алтернативите</w:t>
        </w:r>
        <w:r w:rsidR="00321D24">
          <w:rPr>
            <w:noProof/>
            <w:webHidden/>
          </w:rPr>
          <w:tab/>
        </w:r>
        <w:r w:rsidR="00321D24">
          <w:rPr>
            <w:noProof/>
            <w:webHidden/>
          </w:rPr>
          <w:fldChar w:fldCharType="begin"/>
        </w:r>
        <w:r w:rsidR="00321D24">
          <w:rPr>
            <w:noProof/>
            <w:webHidden/>
          </w:rPr>
          <w:instrText xml:space="preserve"> PAGEREF _Toc136961123 \h </w:instrText>
        </w:r>
        <w:r w:rsidR="00321D24">
          <w:rPr>
            <w:noProof/>
            <w:webHidden/>
          </w:rPr>
        </w:r>
        <w:r w:rsidR="00321D24">
          <w:rPr>
            <w:noProof/>
            <w:webHidden/>
          </w:rPr>
          <w:fldChar w:fldCharType="separate"/>
        </w:r>
        <w:r>
          <w:rPr>
            <w:noProof/>
            <w:webHidden/>
          </w:rPr>
          <w:t>112</w:t>
        </w:r>
        <w:r w:rsidR="00321D24">
          <w:rPr>
            <w:noProof/>
            <w:webHidden/>
          </w:rPr>
          <w:fldChar w:fldCharType="end"/>
        </w:r>
      </w:hyperlink>
    </w:p>
    <w:p w14:paraId="37A4FD69" w14:textId="034F4945" w:rsidR="00321D24" w:rsidRDefault="00B457AD">
      <w:pPr>
        <w:pStyle w:val="TOC2"/>
        <w:tabs>
          <w:tab w:val="left" w:pos="880"/>
          <w:tab w:val="right" w:leader="dot" w:pos="9770"/>
        </w:tabs>
        <w:rPr>
          <w:noProof/>
          <w:lang w:val="en-US" w:eastAsia="en-US"/>
        </w:rPr>
      </w:pPr>
      <w:hyperlink w:anchor="_Toc136961124" w:history="1">
        <w:r w:rsidR="00321D24" w:rsidRPr="00326717">
          <w:rPr>
            <w:rStyle w:val="Hyperlink"/>
            <w:rFonts w:ascii="Times New Roman" w:hAnsi="Times New Roman"/>
            <w:noProof/>
            <w:lang w:val="bg-BG"/>
          </w:rPr>
          <w:t>6.1</w:t>
        </w:r>
        <w:r w:rsidR="00321D24">
          <w:rPr>
            <w:noProof/>
            <w:lang w:val="en-US" w:eastAsia="en-US"/>
          </w:rPr>
          <w:tab/>
        </w:r>
        <w:r w:rsidR="00321D24" w:rsidRPr="00326717">
          <w:rPr>
            <w:rStyle w:val="Hyperlink"/>
            <w:rFonts w:ascii="Times New Roman" w:hAnsi="Times New Roman"/>
            <w:noProof/>
            <w:lang w:val="bg-BG"/>
          </w:rPr>
          <w:t>Описание на алтернативите</w:t>
        </w:r>
        <w:r w:rsidR="00321D24">
          <w:rPr>
            <w:noProof/>
            <w:webHidden/>
          </w:rPr>
          <w:tab/>
        </w:r>
        <w:r w:rsidR="00321D24">
          <w:rPr>
            <w:noProof/>
            <w:webHidden/>
          </w:rPr>
          <w:fldChar w:fldCharType="begin"/>
        </w:r>
        <w:r w:rsidR="00321D24">
          <w:rPr>
            <w:noProof/>
            <w:webHidden/>
          </w:rPr>
          <w:instrText xml:space="preserve"> PAGEREF _Toc136961124 \h </w:instrText>
        </w:r>
        <w:r w:rsidR="00321D24">
          <w:rPr>
            <w:noProof/>
            <w:webHidden/>
          </w:rPr>
        </w:r>
        <w:r w:rsidR="00321D24">
          <w:rPr>
            <w:noProof/>
            <w:webHidden/>
          </w:rPr>
          <w:fldChar w:fldCharType="separate"/>
        </w:r>
        <w:r>
          <w:rPr>
            <w:noProof/>
            <w:webHidden/>
          </w:rPr>
          <w:t>112</w:t>
        </w:r>
        <w:r w:rsidR="00321D24">
          <w:rPr>
            <w:noProof/>
            <w:webHidden/>
          </w:rPr>
          <w:fldChar w:fldCharType="end"/>
        </w:r>
      </w:hyperlink>
    </w:p>
    <w:p w14:paraId="4F9A8008" w14:textId="4C8290D2" w:rsidR="00321D24" w:rsidRDefault="00B457AD">
      <w:pPr>
        <w:pStyle w:val="TOC2"/>
        <w:tabs>
          <w:tab w:val="left" w:pos="880"/>
          <w:tab w:val="right" w:leader="dot" w:pos="9770"/>
        </w:tabs>
        <w:rPr>
          <w:noProof/>
          <w:lang w:val="en-US" w:eastAsia="en-US"/>
        </w:rPr>
      </w:pPr>
      <w:hyperlink w:anchor="_Toc136961125" w:history="1">
        <w:r w:rsidR="00321D24" w:rsidRPr="00326717">
          <w:rPr>
            <w:rStyle w:val="Hyperlink"/>
            <w:rFonts w:ascii="Times New Roman" w:hAnsi="Times New Roman"/>
            <w:noProof/>
            <w:lang w:val="bg-BG"/>
          </w:rPr>
          <w:t>6.2</w:t>
        </w:r>
        <w:r w:rsidR="00321D24">
          <w:rPr>
            <w:noProof/>
            <w:lang w:val="en-US" w:eastAsia="en-US"/>
          </w:rPr>
          <w:tab/>
        </w:r>
        <w:r w:rsidR="00321D24" w:rsidRPr="00326717">
          <w:rPr>
            <w:rStyle w:val="Hyperlink"/>
            <w:rFonts w:ascii="Times New Roman" w:hAnsi="Times New Roman"/>
            <w:noProof/>
            <w:lang w:val="bg-BG"/>
          </w:rPr>
          <w:t>SWОT анализ</w:t>
        </w:r>
        <w:r w:rsidR="00321D24">
          <w:rPr>
            <w:noProof/>
            <w:webHidden/>
          </w:rPr>
          <w:tab/>
        </w:r>
        <w:r w:rsidR="00321D24">
          <w:rPr>
            <w:noProof/>
            <w:webHidden/>
          </w:rPr>
          <w:fldChar w:fldCharType="begin"/>
        </w:r>
        <w:r w:rsidR="00321D24">
          <w:rPr>
            <w:noProof/>
            <w:webHidden/>
          </w:rPr>
          <w:instrText xml:space="preserve"> PAGEREF _Toc136961125 \h </w:instrText>
        </w:r>
        <w:r w:rsidR="00321D24">
          <w:rPr>
            <w:noProof/>
            <w:webHidden/>
          </w:rPr>
        </w:r>
        <w:r w:rsidR="00321D24">
          <w:rPr>
            <w:noProof/>
            <w:webHidden/>
          </w:rPr>
          <w:fldChar w:fldCharType="separate"/>
        </w:r>
        <w:r>
          <w:rPr>
            <w:noProof/>
            <w:webHidden/>
          </w:rPr>
          <w:t>112</w:t>
        </w:r>
        <w:r w:rsidR="00321D24">
          <w:rPr>
            <w:noProof/>
            <w:webHidden/>
          </w:rPr>
          <w:fldChar w:fldCharType="end"/>
        </w:r>
      </w:hyperlink>
    </w:p>
    <w:p w14:paraId="752E9968" w14:textId="418F471F" w:rsidR="00321D24" w:rsidRDefault="00B457AD">
      <w:pPr>
        <w:pStyle w:val="TOC2"/>
        <w:tabs>
          <w:tab w:val="left" w:pos="880"/>
          <w:tab w:val="right" w:leader="dot" w:pos="9770"/>
        </w:tabs>
        <w:rPr>
          <w:noProof/>
          <w:lang w:val="en-US" w:eastAsia="en-US"/>
        </w:rPr>
      </w:pPr>
      <w:hyperlink w:anchor="_Toc136961126" w:history="1">
        <w:r w:rsidR="00321D24" w:rsidRPr="00326717">
          <w:rPr>
            <w:rStyle w:val="Hyperlink"/>
            <w:rFonts w:ascii="Times New Roman" w:hAnsi="Times New Roman"/>
            <w:noProof/>
            <w:lang w:val="bg-BG"/>
          </w:rPr>
          <w:t>6.3</w:t>
        </w:r>
        <w:r w:rsidR="00321D24">
          <w:rPr>
            <w:noProof/>
            <w:lang w:val="en-US" w:eastAsia="en-US"/>
          </w:rPr>
          <w:tab/>
        </w:r>
        <w:r w:rsidR="00321D24" w:rsidRPr="00326717">
          <w:rPr>
            <w:rStyle w:val="Hyperlink"/>
            <w:rFonts w:ascii="Times New Roman" w:hAnsi="Times New Roman"/>
            <w:noProof/>
            <w:lang w:val="bg-BG"/>
          </w:rPr>
          <w:t>Мултикритериален Анализ (МКА) и Оценка на Вариантите</w:t>
        </w:r>
        <w:r w:rsidR="00321D24">
          <w:rPr>
            <w:noProof/>
            <w:webHidden/>
          </w:rPr>
          <w:tab/>
        </w:r>
        <w:r w:rsidR="00321D24">
          <w:rPr>
            <w:noProof/>
            <w:webHidden/>
          </w:rPr>
          <w:fldChar w:fldCharType="begin"/>
        </w:r>
        <w:r w:rsidR="00321D24">
          <w:rPr>
            <w:noProof/>
            <w:webHidden/>
          </w:rPr>
          <w:instrText xml:space="preserve"> PAGEREF _Toc136961126 \h </w:instrText>
        </w:r>
        <w:r w:rsidR="00321D24">
          <w:rPr>
            <w:noProof/>
            <w:webHidden/>
          </w:rPr>
        </w:r>
        <w:r w:rsidR="00321D24">
          <w:rPr>
            <w:noProof/>
            <w:webHidden/>
          </w:rPr>
          <w:fldChar w:fldCharType="separate"/>
        </w:r>
        <w:r>
          <w:rPr>
            <w:noProof/>
            <w:webHidden/>
          </w:rPr>
          <w:t>114</w:t>
        </w:r>
        <w:r w:rsidR="00321D24">
          <w:rPr>
            <w:noProof/>
            <w:webHidden/>
          </w:rPr>
          <w:fldChar w:fldCharType="end"/>
        </w:r>
      </w:hyperlink>
    </w:p>
    <w:p w14:paraId="17C01735" w14:textId="76472435"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27" w:history="1">
        <w:r w:rsidR="00321D24" w:rsidRPr="00326717">
          <w:rPr>
            <w:rStyle w:val="Hyperlink"/>
            <w:rFonts w:ascii="Times New Roman" w:hAnsi="Times New Roman"/>
            <w:noProof/>
            <w:lang w:val="bg-BG" w:eastAsia="bg-BG"/>
          </w:rPr>
          <w:t>6.3.1</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Дефиниране на основните критерии и избор на индикатори за тяхното измерване</w:t>
        </w:r>
        <w:r w:rsidR="00321D24">
          <w:rPr>
            <w:noProof/>
            <w:webHidden/>
          </w:rPr>
          <w:tab/>
        </w:r>
        <w:r w:rsidR="00321D24">
          <w:rPr>
            <w:noProof/>
            <w:webHidden/>
          </w:rPr>
          <w:fldChar w:fldCharType="begin"/>
        </w:r>
        <w:r w:rsidR="00321D24">
          <w:rPr>
            <w:noProof/>
            <w:webHidden/>
          </w:rPr>
          <w:instrText xml:space="preserve"> PAGEREF _Toc136961127 \h </w:instrText>
        </w:r>
        <w:r w:rsidR="00321D24">
          <w:rPr>
            <w:noProof/>
            <w:webHidden/>
          </w:rPr>
        </w:r>
        <w:r w:rsidR="00321D24">
          <w:rPr>
            <w:noProof/>
            <w:webHidden/>
          </w:rPr>
          <w:fldChar w:fldCharType="separate"/>
        </w:r>
        <w:r>
          <w:rPr>
            <w:noProof/>
            <w:webHidden/>
          </w:rPr>
          <w:t>114</w:t>
        </w:r>
        <w:r w:rsidR="00321D24">
          <w:rPr>
            <w:noProof/>
            <w:webHidden/>
          </w:rPr>
          <w:fldChar w:fldCharType="end"/>
        </w:r>
      </w:hyperlink>
    </w:p>
    <w:p w14:paraId="3F46F970" w14:textId="7348E827"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28" w:history="1">
        <w:r w:rsidR="00321D24" w:rsidRPr="00326717">
          <w:rPr>
            <w:rStyle w:val="Hyperlink"/>
            <w:rFonts w:ascii="Times New Roman" w:hAnsi="Times New Roman"/>
            <w:noProof/>
            <w:lang w:val="bg-BG" w:eastAsia="bg-BG"/>
          </w:rPr>
          <w:t>6.3.2</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Използвани специфични анализи в МКА</w:t>
        </w:r>
        <w:r w:rsidR="00321D24">
          <w:rPr>
            <w:noProof/>
            <w:webHidden/>
          </w:rPr>
          <w:tab/>
        </w:r>
        <w:r w:rsidR="00321D24">
          <w:rPr>
            <w:noProof/>
            <w:webHidden/>
          </w:rPr>
          <w:fldChar w:fldCharType="begin"/>
        </w:r>
        <w:r w:rsidR="00321D24">
          <w:rPr>
            <w:noProof/>
            <w:webHidden/>
          </w:rPr>
          <w:instrText xml:space="preserve"> PAGEREF _Toc136961128 \h </w:instrText>
        </w:r>
        <w:r w:rsidR="00321D24">
          <w:rPr>
            <w:noProof/>
            <w:webHidden/>
          </w:rPr>
        </w:r>
        <w:r w:rsidR="00321D24">
          <w:rPr>
            <w:noProof/>
            <w:webHidden/>
          </w:rPr>
          <w:fldChar w:fldCharType="separate"/>
        </w:r>
        <w:r>
          <w:rPr>
            <w:noProof/>
            <w:webHidden/>
          </w:rPr>
          <w:t>118</w:t>
        </w:r>
        <w:r w:rsidR="00321D24">
          <w:rPr>
            <w:noProof/>
            <w:webHidden/>
          </w:rPr>
          <w:fldChar w:fldCharType="end"/>
        </w:r>
      </w:hyperlink>
    </w:p>
    <w:p w14:paraId="20DC0579" w14:textId="6D16B6B0"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29" w:history="1">
        <w:r w:rsidR="00321D24" w:rsidRPr="00326717">
          <w:rPr>
            <w:rStyle w:val="Hyperlink"/>
            <w:rFonts w:ascii="Times New Roman" w:hAnsi="Times New Roman"/>
            <w:noProof/>
            <w:lang w:val="bg-BG" w:eastAsia="bg-BG"/>
          </w:rPr>
          <w:t>6.3.3</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Анализ на ефективността на разходите</w:t>
        </w:r>
        <w:r w:rsidR="00321D24">
          <w:rPr>
            <w:noProof/>
            <w:webHidden/>
          </w:rPr>
          <w:tab/>
        </w:r>
        <w:r w:rsidR="00321D24">
          <w:rPr>
            <w:noProof/>
            <w:webHidden/>
          </w:rPr>
          <w:fldChar w:fldCharType="begin"/>
        </w:r>
        <w:r w:rsidR="00321D24">
          <w:rPr>
            <w:noProof/>
            <w:webHidden/>
          </w:rPr>
          <w:instrText xml:space="preserve"> PAGEREF _Toc136961129 \h </w:instrText>
        </w:r>
        <w:r w:rsidR="00321D24">
          <w:rPr>
            <w:noProof/>
            <w:webHidden/>
          </w:rPr>
        </w:r>
        <w:r w:rsidR="00321D24">
          <w:rPr>
            <w:noProof/>
            <w:webHidden/>
          </w:rPr>
          <w:fldChar w:fldCharType="separate"/>
        </w:r>
        <w:r>
          <w:rPr>
            <w:noProof/>
            <w:webHidden/>
          </w:rPr>
          <w:t>119</w:t>
        </w:r>
        <w:r w:rsidR="00321D24">
          <w:rPr>
            <w:noProof/>
            <w:webHidden/>
          </w:rPr>
          <w:fldChar w:fldCharType="end"/>
        </w:r>
      </w:hyperlink>
    </w:p>
    <w:p w14:paraId="33CAA6E2" w14:textId="628F90A9"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30" w:history="1">
        <w:r w:rsidR="00321D24" w:rsidRPr="00326717">
          <w:rPr>
            <w:rStyle w:val="Hyperlink"/>
            <w:rFonts w:ascii="Times New Roman" w:hAnsi="Times New Roman"/>
            <w:noProof/>
            <w:lang w:val="bg-BG" w:eastAsia="bg-BG"/>
          </w:rPr>
          <w:t>6.3.4</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Симплифициран Анализ разходи-ползи</w:t>
        </w:r>
        <w:r w:rsidR="00321D24">
          <w:rPr>
            <w:noProof/>
            <w:webHidden/>
          </w:rPr>
          <w:tab/>
        </w:r>
        <w:r w:rsidR="00321D24">
          <w:rPr>
            <w:noProof/>
            <w:webHidden/>
          </w:rPr>
          <w:fldChar w:fldCharType="begin"/>
        </w:r>
        <w:r w:rsidR="00321D24">
          <w:rPr>
            <w:noProof/>
            <w:webHidden/>
          </w:rPr>
          <w:instrText xml:space="preserve"> PAGEREF _Toc136961130 \h </w:instrText>
        </w:r>
        <w:r w:rsidR="00321D24">
          <w:rPr>
            <w:noProof/>
            <w:webHidden/>
          </w:rPr>
        </w:r>
        <w:r w:rsidR="00321D24">
          <w:rPr>
            <w:noProof/>
            <w:webHidden/>
          </w:rPr>
          <w:fldChar w:fldCharType="separate"/>
        </w:r>
        <w:r>
          <w:rPr>
            <w:noProof/>
            <w:webHidden/>
          </w:rPr>
          <w:t>120</w:t>
        </w:r>
        <w:r w:rsidR="00321D24">
          <w:rPr>
            <w:noProof/>
            <w:webHidden/>
          </w:rPr>
          <w:fldChar w:fldCharType="end"/>
        </w:r>
      </w:hyperlink>
    </w:p>
    <w:p w14:paraId="00710139" w14:textId="195ADE34"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31" w:history="1">
        <w:r w:rsidR="00321D24" w:rsidRPr="00326717">
          <w:rPr>
            <w:rStyle w:val="Hyperlink"/>
            <w:rFonts w:ascii="Times New Roman" w:hAnsi="Times New Roman"/>
            <w:noProof/>
            <w:lang w:val="bg-BG" w:eastAsia="bg-BG"/>
          </w:rPr>
          <w:t>6.3.5</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Резултати от извършения мултикритериален анализ</w:t>
        </w:r>
        <w:r w:rsidR="00321D24">
          <w:rPr>
            <w:noProof/>
            <w:webHidden/>
          </w:rPr>
          <w:tab/>
        </w:r>
        <w:r w:rsidR="00321D24">
          <w:rPr>
            <w:noProof/>
            <w:webHidden/>
          </w:rPr>
          <w:fldChar w:fldCharType="begin"/>
        </w:r>
        <w:r w:rsidR="00321D24">
          <w:rPr>
            <w:noProof/>
            <w:webHidden/>
          </w:rPr>
          <w:instrText xml:space="preserve"> PAGEREF _Toc136961131 \h </w:instrText>
        </w:r>
        <w:r w:rsidR="00321D24">
          <w:rPr>
            <w:noProof/>
            <w:webHidden/>
          </w:rPr>
        </w:r>
        <w:r w:rsidR="00321D24">
          <w:rPr>
            <w:noProof/>
            <w:webHidden/>
          </w:rPr>
          <w:fldChar w:fldCharType="separate"/>
        </w:r>
        <w:r>
          <w:rPr>
            <w:noProof/>
            <w:webHidden/>
          </w:rPr>
          <w:t>121</w:t>
        </w:r>
        <w:r w:rsidR="00321D24">
          <w:rPr>
            <w:noProof/>
            <w:webHidden/>
          </w:rPr>
          <w:fldChar w:fldCharType="end"/>
        </w:r>
      </w:hyperlink>
    </w:p>
    <w:p w14:paraId="0A48A860" w14:textId="437BC6B1"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32" w:history="1">
        <w:r w:rsidR="00321D24" w:rsidRPr="00326717">
          <w:rPr>
            <w:rStyle w:val="Hyperlink"/>
            <w:rFonts w:ascii="Times New Roman" w:hAnsi="Times New Roman"/>
            <w:noProof/>
            <w:lang w:val="bg-BG" w:eastAsia="bg-BG"/>
          </w:rPr>
          <w:t>6.3.6</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Обобщение на резултатите от извършения мултикритериален анализ</w:t>
        </w:r>
        <w:r w:rsidR="00321D24">
          <w:rPr>
            <w:noProof/>
            <w:webHidden/>
          </w:rPr>
          <w:tab/>
        </w:r>
        <w:r w:rsidR="00321D24">
          <w:rPr>
            <w:noProof/>
            <w:webHidden/>
          </w:rPr>
          <w:fldChar w:fldCharType="begin"/>
        </w:r>
        <w:r w:rsidR="00321D24">
          <w:rPr>
            <w:noProof/>
            <w:webHidden/>
          </w:rPr>
          <w:instrText xml:space="preserve"> PAGEREF _Toc136961132 \h </w:instrText>
        </w:r>
        <w:r w:rsidR="00321D24">
          <w:rPr>
            <w:noProof/>
            <w:webHidden/>
          </w:rPr>
        </w:r>
        <w:r w:rsidR="00321D24">
          <w:rPr>
            <w:noProof/>
            <w:webHidden/>
          </w:rPr>
          <w:fldChar w:fldCharType="separate"/>
        </w:r>
        <w:r>
          <w:rPr>
            <w:noProof/>
            <w:webHidden/>
          </w:rPr>
          <w:t>137</w:t>
        </w:r>
        <w:r w:rsidR="00321D24">
          <w:rPr>
            <w:noProof/>
            <w:webHidden/>
          </w:rPr>
          <w:fldChar w:fldCharType="end"/>
        </w:r>
      </w:hyperlink>
    </w:p>
    <w:p w14:paraId="207014FD" w14:textId="67266E22" w:rsidR="00321D24" w:rsidRDefault="00B457AD">
      <w:pPr>
        <w:pStyle w:val="TOC3"/>
        <w:tabs>
          <w:tab w:val="left" w:pos="1320"/>
          <w:tab w:val="right" w:leader="dot" w:pos="9770"/>
        </w:tabs>
        <w:rPr>
          <w:rFonts w:asciiTheme="minorHAnsi" w:eastAsiaTheme="minorEastAsia" w:hAnsiTheme="minorHAnsi" w:cstheme="minorBidi"/>
          <w:noProof/>
          <w:sz w:val="22"/>
          <w:lang w:val="en-US"/>
        </w:rPr>
      </w:pPr>
      <w:hyperlink w:anchor="_Toc136961133" w:history="1">
        <w:r w:rsidR="00321D24" w:rsidRPr="00326717">
          <w:rPr>
            <w:rStyle w:val="Hyperlink"/>
            <w:rFonts w:ascii="Times New Roman" w:hAnsi="Times New Roman"/>
            <w:noProof/>
            <w:lang w:val="bg-BG" w:eastAsia="bg-BG"/>
          </w:rPr>
          <w:t>6.3.7</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eastAsia="bg-BG"/>
          </w:rPr>
          <w:t>Изводи и заключения</w:t>
        </w:r>
        <w:r w:rsidR="00321D24">
          <w:rPr>
            <w:noProof/>
            <w:webHidden/>
          </w:rPr>
          <w:tab/>
        </w:r>
        <w:r w:rsidR="00321D24">
          <w:rPr>
            <w:noProof/>
            <w:webHidden/>
          </w:rPr>
          <w:fldChar w:fldCharType="begin"/>
        </w:r>
        <w:r w:rsidR="00321D24">
          <w:rPr>
            <w:noProof/>
            <w:webHidden/>
          </w:rPr>
          <w:instrText xml:space="preserve"> PAGEREF _Toc136961133 \h </w:instrText>
        </w:r>
        <w:r w:rsidR="00321D24">
          <w:rPr>
            <w:noProof/>
            <w:webHidden/>
          </w:rPr>
        </w:r>
        <w:r w:rsidR="00321D24">
          <w:rPr>
            <w:noProof/>
            <w:webHidden/>
          </w:rPr>
          <w:fldChar w:fldCharType="separate"/>
        </w:r>
        <w:r>
          <w:rPr>
            <w:noProof/>
            <w:webHidden/>
          </w:rPr>
          <w:t>138</w:t>
        </w:r>
        <w:r w:rsidR="00321D24">
          <w:rPr>
            <w:noProof/>
            <w:webHidden/>
          </w:rPr>
          <w:fldChar w:fldCharType="end"/>
        </w:r>
      </w:hyperlink>
    </w:p>
    <w:p w14:paraId="06E1F00A" w14:textId="47DD4BDB" w:rsidR="00321D24" w:rsidRDefault="00B457AD">
      <w:pPr>
        <w:pStyle w:val="TOC1"/>
        <w:tabs>
          <w:tab w:val="left" w:pos="460"/>
          <w:tab w:val="right" w:leader="dot" w:pos="9770"/>
        </w:tabs>
        <w:rPr>
          <w:rFonts w:asciiTheme="minorHAnsi" w:eastAsiaTheme="minorEastAsia" w:hAnsiTheme="minorHAnsi" w:cstheme="minorBidi"/>
          <w:noProof/>
          <w:sz w:val="22"/>
          <w:lang w:val="en-US"/>
        </w:rPr>
      </w:pPr>
      <w:hyperlink w:anchor="_Toc136961134" w:history="1">
        <w:r w:rsidR="00321D24" w:rsidRPr="00326717">
          <w:rPr>
            <w:rStyle w:val="Hyperlink"/>
            <w:rFonts w:ascii="Times New Roman" w:hAnsi="Times New Roman"/>
            <w:noProof/>
            <w:lang w:val="bg-BG"/>
          </w:rPr>
          <w:t>7</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Влияние на проекта върху околната среда и промяната на климата</w:t>
        </w:r>
        <w:r w:rsidR="00321D24">
          <w:rPr>
            <w:noProof/>
            <w:webHidden/>
          </w:rPr>
          <w:tab/>
        </w:r>
        <w:r w:rsidR="00321D24">
          <w:rPr>
            <w:noProof/>
            <w:webHidden/>
          </w:rPr>
          <w:fldChar w:fldCharType="begin"/>
        </w:r>
        <w:r w:rsidR="00321D24">
          <w:rPr>
            <w:noProof/>
            <w:webHidden/>
          </w:rPr>
          <w:instrText xml:space="preserve"> PAGEREF _Toc136961134 \h </w:instrText>
        </w:r>
        <w:r w:rsidR="00321D24">
          <w:rPr>
            <w:noProof/>
            <w:webHidden/>
          </w:rPr>
        </w:r>
        <w:r w:rsidR="00321D24">
          <w:rPr>
            <w:noProof/>
            <w:webHidden/>
          </w:rPr>
          <w:fldChar w:fldCharType="separate"/>
        </w:r>
        <w:r>
          <w:rPr>
            <w:noProof/>
            <w:webHidden/>
          </w:rPr>
          <w:t>140</w:t>
        </w:r>
        <w:r w:rsidR="00321D24">
          <w:rPr>
            <w:noProof/>
            <w:webHidden/>
          </w:rPr>
          <w:fldChar w:fldCharType="end"/>
        </w:r>
      </w:hyperlink>
    </w:p>
    <w:p w14:paraId="24C25B5B" w14:textId="6668D248" w:rsidR="00321D24" w:rsidRDefault="00B457AD">
      <w:pPr>
        <w:pStyle w:val="TOC2"/>
        <w:tabs>
          <w:tab w:val="left" w:pos="880"/>
          <w:tab w:val="right" w:leader="dot" w:pos="9770"/>
        </w:tabs>
        <w:rPr>
          <w:noProof/>
          <w:lang w:val="en-US" w:eastAsia="en-US"/>
        </w:rPr>
      </w:pPr>
      <w:hyperlink w:anchor="_Toc136961135" w:history="1">
        <w:r w:rsidR="00321D24" w:rsidRPr="00326717">
          <w:rPr>
            <w:rStyle w:val="Hyperlink"/>
            <w:rFonts w:ascii="Times New Roman" w:hAnsi="Times New Roman"/>
            <w:noProof/>
            <w:lang w:val="bg-BG"/>
          </w:rPr>
          <w:t>7.1</w:t>
        </w:r>
        <w:r w:rsidR="00321D24">
          <w:rPr>
            <w:noProof/>
            <w:lang w:val="en-US" w:eastAsia="en-US"/>
          </w:rPr>
          <w:tab/>
        </w:r>
        <w:r w:rsidR="00321D24" w:rsidRPr="00326717">
          <w:rPr>
            <w:rStyle w:val="Hyperlink"/>
            <w:rFonts w:ascii="Times New Roman" w:hAnsi="Times New Roman"/>
            <w:noProof/>
            <w:lang w:val="bg-BG"/>
          </w:rPr>
          <w:t>Нормативна база, свързана с проекта</w:t>
        </w:r>
        <w:r w:rsidR="00321D24">
          <w:rPr>
            <w:noProof/>
            <w:webHidden/>
          </w:rPr>
          <w:tab/>
        </w:r>
        <w:r w:rsidR="00321D24">
          <w:rPr>
            <w:noProof/>
            <w:webHidden/>
          </w:rPr>
          <w:fldChar w:fldCharType="begin"/>
        </w:r>
        <w:r w:rsidR="00321D24">
          <w:rPr>
            <w:noProof/>
            <w:webHidden/>
          </w:rPr>
          <w:instrText xml:space="preserve"> PAGEREF _Toc136961135 \h </w:instrText>
        </w:r>
        <w:r w:rsidR="00321D24">
          <w:rPr>
            <w:noProof/>
            <w:webHidden/>
          </w:rPr>
        </w:r>
        <w:r w:rsidR="00321D24">
          <w:rPr>
            <w:noProof/>
            <w:webHidden/>
          </w:rPr>
          <w:fldChar w:fldCharType="separate"/>
        </w:r>
        <w:r>
          <w:rPr>
            <w:noProof/>
            <w:webHidden/>
          </w:rPr>
          <w:t>140</w:t>
        </w:r>
        <w:r w:rsidR="00321D24">
          <w:rPr>
            <w:noProof/>
            <w:webHidden/>
          </w:rPr>
          <w:fldChar w:fldCharType="end"/>
        </w:r>
      </w:hyperlink>
    </w:p>
    <w:p w14:paraId="4F37783A" w14:textId="7F56C09F" w:rsidR="00321D24" w:rsidRDefault="00B457AD">
      <w:pPr>
        <w:pStyle w:val="TOC2"/>
        <w:tabs>
          <w:tab w:val="left" w:pos="880"/>
          <w:tab w:val="right" w:leader="dot" w:pos="9770"/>
        </w:tabs>
        <w:rPr>
          <w:noProof/>
          <w:lang w:val="en-US" w:eastAsia="en-US"/>
        </w:rPr>
      </w:pPr>
      <w:hyperlink w:anchor="_Toc136961136" w:history="1">
        <w:r w:rsidR="00321D24" w:rsidRPr="00326717">
          <w:rPr>
            <w:rStyle w:val="Hyperlink"/>
            <w:rFonts w:ascii="Times New Roman" w:hAnsi="Times New Roman"/>
            <w:noProof/>
            <w:lang w:val="bg-BG"/>
          </w:rPr>
          <w:t>7.2</w:t>
        </w:r>
        <w:r w:rsidR="00321D24">
          <w:rPr>
            <w:noProof/>
            <w:lang w:val="en-US" w:eastAsia="en-US"/>
          </w:rPr>
          <w:tab/>
        </w:r>
        <w:r w:rsidR="00321D24" w:rsidRPr="00326717">
          <w:rPr>
            <w:rStyle w:val="Hyperlink"/>
            <w:rFonts w:ascii="Times New Roman" w:hAnsi="Times New Roman"/>
            <w:noProof/>
            <w:lang w:val="bg-BG"/>
          </w:rPr>
          <w:t>Етапи и процедури, изпълнени до момента</w:t>
        </w:r>
        <w:r w:rsidR="00321D24">
          <w:rPr>
            <w:noProof/>
            <w:webHidden/>
          </w:rPr>
          <w:tab/>
        </w:r>
        <w:r w:rsidR="00321D24">
          <w:rPr>
            <w:noProof/>
            <w:webHidden/>
          </w:rPr>
          <w:fldChar w:fldCharType="begin"/>
        </w:r>
        <w:r w:rsidR="00321D24">
          <w:rPr>
            <w:noProof/>
            <w:webHidden/>
          </w:rPr>
          <w:instrText xml:space="preserve"> PAGEREF _Toc136961136 \h </w:instrText>
        </w:r>
        <w:r w:rsidR="00321D24">
          <w:rPr>
            <w:noProof/>
            <w:webHidden/>
          </w:rPr>
        </w:r>
        <w:r w:rsidR="00321D24">
          <w:rPr>
            <w:noProof/>
            <w:webHidden/>
          </w:rPr>
          <w:fldChar w:fldCharType="separate"/>
        </w:r>
        <w:r>
          <w:rPr>
            <w:noProof/>
            <w:webHidden/>
          </w:rPr>
          <w:t>141</w:t>
        </w:r>
        <w:r w:rsidR="00321D24">
          <w:rPr>
            <w:noProof/>
            <w:webHidden/>
          </w:rPr>
          <w:fldChar w:fldCharType="end"/>
        </w:r>
      </w:hyperlink>
    </w:p>
    <w:p w14:paraId="1E0C3A2D" w14:textId="12B47A90" w:rsidR="00321D24" w:rsidRDefault="00B457AD">
      <w:pPr>
        <w:pStyle w:val="TOC2"/>
        <w:tabs>
          <w:tab w:val="left" w:pos="880"/>
          <w:tab w:val="right" w:leader="dot" w:pos="9770"/>
        </w:tabs>
        <w:rPr>
          <w:noProof/>
          <w:lang w:val="en-US" w:eastAsia="en-US"/>
        </w:rPr>
      </w:pPr>
      <w:hyperlink w:anchor="_Toc136961137" w:history="1">
        <w:r w:rsidR="00321D24" w:rsidRPr="00326717">
          <w:rPr>
            <w:rStyle w:val="Hyperlink"/>
            <w:rFonts w:ascii="Times New Roman" w:hAnsi="Times New Roman"/>
            <w:noProof/>
            <w:lang w:val="bg-BG"/>
          </w:rPr>
          <w:t>7.3</w:t>
        </w:r>
        <w:r w:rsidR="00321D24">
          <w:rPr>
            <w:noProof/>
            <w:lang w:val="en-US" w:eastAsia="en-US"/>
          </w:rPr>
          <w:tab/>
        </w:r>
        <w:r w:rsidR="00321D24" w:rsidRPr="00326717">
          <w:rPr>
            <w:rStyle w:val="Hyperlink"/>
            <w:rFonts w:ascii="Times New Roman" w:hAnsi="Times New Roman"/>
            <w:noProof/>
            <w:lang w:val="bg-BG"/>
          </w:rPr>
          <w:t>Преценка за влияние върху околната среда</w:t>
        </w:r>
        <w:r w:rsidR="00321D24">
          <w:rPr>
            <w:noProof/>
            <w:webHidden/>
          </w:rPr>
          <w:tab/>
        </w:r>
        <w:r w:rsidR="00321D24">
          <w:rPr>
            <w:noProof/>
            <w:webHidden/>
          </w:rPr>
          <w:fldChar w:fldCharType="begin"/>
        </w:r>
        <w:r w:rsidR="00321D24">
          <w:rPr>
            <w:noProof/>
            <w:webHidden/>
          </w:rPr>
          <w:instrText xml:space="preserve"> PAGEREF _Toc136961137 \h </w:instrText>
        </w:r>
        <w:r w:rsidR="00321D24">
          <w:rPr>
            <w:noProof/>
            <w:webHidden/>
          </w:rPr>
        </w:r>
        <w:r w:rsidR="00321D24">
          <w:rPr>
            <w:noProof/>
            <w:webHidden/>
          </w:rPr>
          <w:fldChar w:fldCharType="separate"/>
        </w:r>
        <w:r>
          <w:rPr>
            <w:noProof/>
            <w:webHidden/>
          </w:rPr>
          <w:t>141</w:t>
        </w:r>
        <w:r w:rsidR="00321D24">
          <w:rPr>
            <w:noProof/>
            <w:webHidden/>
          </w:rPr>
          <w:fldChar w:fldCharType="end"/>
        </w:r>
      </w:hyperlink>
    </w:p>
    <w:p w14:paraId="56209E1F" w14:textId="4807998F" w:rsidR="00321D24" w:rsidRDefault="00B457AD">
      <w:pPr>
        <w:pStyle w:val="TOC2"/>
        <w:tabs>
          <w:tab w:val="left" w:pos="880"/>
          <w:tab w:val="right" w:leader="dot" w:pos="9770"/>
        </w:tabs>
        <w:rPr>
          <w:noProof/>
          <w:lang w:val="en-US" w:eastAsia="en-US"/>
        </w:rPr>
      </w:pPr>
      <w:hyperlink w:anchor="_Toc136961138" w:history="1">
        <w:r w:rsidR="00321D24" w:rsidRPr="00326717">
          <w:rPr>
            <w:rStyle w:val="Hyperlink"/>
            <w:rFonts w:ascii="Times New Roman" w:eastAsia="Times New Roman" w:hAnsi="Times New Roman"/>
            <w:noProof/>
            <w:lang w:val="bg-BG"/>
          </w:rPr>
          <w:t>7.4</w:t>
        </w:r>
        <w:r w:rsidR="00321D24">
          <w:rPr>
            <w:noProof/>
            <w:lang w:val="en-US" w:eastAsia="en-US"/>
          </w:rPr>
          <w:tab/>
        </w:r>
        <w:r w:rsidR="00321D24" w:rsidRPr="00326717">
          <w:rPr>
            <w:rStyle w:val="Hyperlink"/>
            <w:rFonts w:ascii="Times New Roman" w:hAnsi="Times New Roman"/>
            <w:noProof/>
            <w:lang w:val="bg-BG"/>
          </w:rPr>
          <w:t>Преценка за влияние върху климатичните промени</w:t>
        </w:r>
        <w:r w:rsidR="00321D24">
          <w:rPr>
            <w:noProof/>
            <w:webHidden/>
          </w:rPr>
          <w:tab/>
        </w:r>
        <w:r w:rsidR="00321D24">
          <w:rPr>
            <w:noProof/>
            <w:webHidden/>
          </w:rPr>
          <w:fldChar w:fldCharType="begin"/>
        </w:r>
        <w:r w:rsidR="00321D24">
          <w:rPr>
            <w:noProof/>
            <w:webHidden/>
          </w:rPr>
          <w:instrText xml:space="preserve"> PAGEREF _Toc136961138 \h </w:instrText>
        </w:r>
        <w:r w:rsidR="00321D24">
          <w:rPr>
            <w:noProof/>
            <w:webHidden/>
          </w:rPr>
        </w:r>
        <w:r w:rsidR="00321D24">
          <w:rPr>
            <w:noProof/>
            <w:webHidden/>
          </w:rPr>
          <w:fldChar w:fldCharType="separate"/>
        </w:r>
        <w:r>
          <w:rPr>
            <w:noProof/>
            <w:webHidden/>
          </w:rPr>
          <w:t>142</w:t>
        </w:r>
        <w:r w:rsidR="00321D24">
          <w:rPr>
            <w:noProof/>
            <w:webHidden/>
          </w:rPr>
          <w:fldChar w:fldCharType="end"/>
        </w:r>
      </w:hyperlink>
    </w:p>
    <w:p w14:paraId="3C5EF9EE" w14:textId="27BF80EA" w:rsidR="00321D24" w:rsidRDefault="00B457AD">
      <w:pPr>
        <w:pStyle w:val="TOC1"/>
        <w:tabs>
          <w:tab w:val="left" w:pos="460"/>
          <w:tab w:val="right" w:leader="dot" w:pos="9770"/>
        </w:tabs>
        <w:rPr>
          <w:rFonts w:asciiTheme="minorHAnsi" w:eastAsiaTheme="minorEastAsia" w:hAnsiTheme="minorHAnsi" w:cstheme="minorBidi"/>
          <w:noProof/>
          <w:sz w:val="22"/>
          <w:lang w:val="en-US"/>
        </w:rPr>
      </w:pPr>
      <w:hyperlink w:anchor="_Toc136961139" w:history="1">
        <w:r w:rsidR="00321D24" w:rsidRPr="00326717">
          <w:rPr>
            <w:rStyle w:val="Hyperlink"/>
            <w:rFonts w:ascii="Times New Roman" w:hAnsi="Times New Roman"/>
            <w:noProof/>
            <w:lang w:val="bg-BG"/>
          </w:rPr>
          <w:t>8</w:t>
        </w:r>
        <w:r w:rsidR="00321D24">
          <w:rPr>
            <w:rFonts w:asciiTheme="minorHAnsi" w:eastAsiaTheme="minorEastAsia" w:hAnsiTheme="minorHAnsi" w:cstheme="minorBidi"/>
            <w:noProof/>
            <w:sz w:val="22"/>
            <w:lang w:val="en-US"/>
          </w:rPr>
          <w:tab/>
        </w:r>
        <w:r w:rsidR="00321D24" w:rsidRPr="00326717">
          <w:rPr>
            <w:rStyle w:val="Hyperlink"/>
            <w:rFonts w:ascii="Times New Roman" w:hAnsi="Times New Roman"/>
            <w:noProof/>
            <w:lang w:val="bg-BG"/>
          </w:rPr>
          <w:t>График за реализацията на проекта</w:t>
        </w:r>
        <w:r w:rsidR="00321D24">
          <w:rPr>
            <w:noProof/>
            <w:webHidden/>
          </w:rPr>
          <w:tab/>
        </w:r>
        <w:r w:rsidR="00321D24">
          <w:rPr>
            <w:noProof/>
            <w:webHidden/>
          </w:rPr>
          <w:fldChar w:fldCharType="begin"/>
        </w:r>
        <w:r w:rsidR="00321D24">
          <w:rPr>
            <w:noProof/>
            <w:webHidden/>
          </w:rPr>
          <w:instrText xml:space="preserve"> PAGEREF _Toc136961139 \h </w:instrText>
        </w:r>
        <w:r w:rsidR="00321D24">
          <w:rPr>
            <w:noProof/>
            <w:webHidden/>
          </w:rPr>
        </w:r>
        <w:r w:rsidR="00321D24">
          <w:rPr>
            <w:noProof/>
            <w:webHidden/>
          </w:rPr>
          <w:fldChar w:fldCharType="separate"/>
        </w:r>
        <w:r>
          <w:rPr>
            <w:noProof/>
            <w:webHidden/>
          </w:rPr>
          <w:t>147</w:t>
        </w:r>
        <w:r w:rsidR="00321D24">
          <w:rPr>
            <w:noProof/>
            <w:webHidden/>
          </w:rPr>
          <w:fldChar w:fldCharType="end"/>
        </w:r>
      </w:hyperlink>
    </w:p>
    <w:p w14:paraId="22A7042B" w14:textId="3B4C8DA3" w:rsidR="00321D24" w:rsidRDefault="00B457AD">
      <w:pPr>
        <w:pStyle w:val="TOC2"/>
        <w:tabs>
          <w:tab w:val="left" w:pos="880"/>
          <w:tab w:val="right" w:leader="dot" w:pos="9770"/>
        </w:tabs>
        <w:rPr>
          <w:noProof/>
          <w:lang w:val="en-US" w:eastAsia="en-US"/>
        </w:rPr>
      </w:pPr>
      <w:hyperlink w:anchor="_Toc136961140" w:history="1">
        <w:r w:rsidR="00321D24" w:rsidRPr="00326717">
          <w:rPr>
            <w:rStyle w:val="Hyperlink"/>
            <w:rFonts w:ascii="Times New Roman" w:hAnsi="Times New Roman"/>
            <w:noProof/>
            <w:lang w:val="bg-BG"/>
          </w:rPr>
          <w:t>8.1</w:t>
        </w:r>
        <w:r w:rsidR="00321D24">
          <w:rPr>
            <w:noProof/>
            <w:lang w:val="en-US" w:eastAsia="en-US"/>
          </w:rPr>
          <w:tab/>
        </w:r>
        <w:r w:rsidR="00321D24" w:rsidRPr="00326717">
          <w:rPr>
            <w:rStyle w:val="Hyperlink"/>
            <w:rFonts w:ascii="Times New Roman" w:hAnsi="Times New Roman"/>
            <w:noProof/>
            <w:lang w:val="bg-BG"/>
          </w:rPr>
          <w:t>Фактори, които определят реалистичността на графика</w:t>
        </w:r>
        <w:r w:rsidR="00321D24">
          <w:rPr>
            <w:noProof/>
            <w:webHidden/>
          </w:rPr>
          <w:tab/>
        </w:r>
        <w:r w:rsidR="00321D24">
          <w:rPr>
            <w:noProof/>
            <w:webHidden/>
          </w:rPr>
          <w:fldChar w:fldCharType="begin"/>
        </w:r>
        <w:r w:rsidR="00321D24">
          <w:rPr>
            <w:noProof/>
            <w:webHidden/>
          </w:rPr>
          <w:instrText xml:space="preserve"> PAGEREF _Toc136961140 \h </w:instrText>
        </w:r>
        <w:r w:rsidR="00321D24">
          <w:rPr>
            <w:noProof/>
            <w:webHidden/>
          </w:rPr>
        </w:r>
        <w:r w:rsidR="00321D24">
          <w:rPr>
            <w:noProof/>
            <w:webHidden/>
          </w:rPr>
          <w:fldChar w:fldCharType="separate"/>
        </w:r>
        <w:r>
          <w:rPr>
            <w:noProof/>
            <w:webHidden/>
          </w:rPr>
          <w:t>147</w:t>
        </w:r>
        <w:r w:rsidR="00321D24">
          <w:rPr>
            <w:noProof/>
            <w:webHidden/>
          </w:rPr>
          <w:fldChar w:fldCharType="end"/>
        </w:r>
      </w:hyperlink>
    </w:p>
    <w:p w14:paraId="7C579DE4" w14:textId="3A865E61" w:rsidR="00321D24" w:rsidRDefault="00B457AD">
      <w:pPr>
        <w:pStyle w:val="TOC2"/>
        <w:tabs>
          <w:tab w:val="left" w:pos="880"/>
          <w:tab w:val="right" w:leader="dot" w:pos="9770"/>
        </w:tabs>
        <w:rPr>
          <w:noProof/>
          <w:lang w:val="en-US" w:eastAsia="en-US"/>
        </w:rPr>
      </w:pPr>
      <w:hyperlink w:anchor="_Toc136961141" w:history="1">
        <w:r w:rsidR="00321D24" w:rsidRPr="00326717">
          <w:rPr>
            <w:rStyle w:val="Hyperlink"/>
            <w:rFonts w:ascii="Times New Roman" w:hAnsi="Times New Roman"/>
            <w:noProof/>
            <w:lang w:val="bg-BG"/>
          </w:rPr>
          <w:t>8.2</w:t>
        </w:r>
        <w:r w:rsidR="00321D24">
          <w:rPr>
            <w:noProof/>
            <w:lang w:val="en-US" w:eastAsia="en-US"/>
          </w:rPr>
          <w:tab/>
        </w:r>
        <w:r w:rsidR="00321D24" w:rsidRPr="00326717">
          <w:rPr>
            <w:rStyle w:val="Hyperlink"/>
            <w:rFonts w:ascii="Times New Roman" w:hAnsi="Times New Roman"/>
            <w:noProof/>
            <w:lang w:val="bg-BG"/>
          </w:rPr>
          <w:t>График за реализацията на проекта</w:t>
        </w:r>
        <w:r w:rsidR="00321D24">
          <w:rPr>
            <w:noProof/>
            <w:webHidden/>
          </w:rPr>
          <w:tab/>
        </w:r>
        <w:r w:rsidR="00321D24">
          <w:rPr>
            <w:noProof/>
            <w:webHidden/>
          </w:rPr>
          <w:fldChar w:fldCharType="begin"/>
        </w:r>
        <w:r w:rsidR="00321D24">
          <w:rPr>
            <w:noProof/>
            <w:webHidden/>
          </w:rPr>
          <w:instrText xml:space="preserve"> PAGEREF _Toc136961141 \h </w:instrText>
        </w:r>
        <w:r w:rsidR="00321D24">
          <w:rPr>
            <w:noProof/>
            <w:webHidden/>
          </w:rPr>
        </w:r>
        <w:r w:rsidR="00321D24">
          <w:rPr>
            <w:noProof/>
            <w:webHidden/>
          </w:rPr>
          <w:fldChar w:fldCharType="separate"/>
        </w:r>
        <w:r>
          <w:rPr>
            <w:noProof/>
            <w:webHidden/>
          </w:rPr>
          <w:t>148</w:t>
        </w:r>
        <w:r w:rsidR="00321D24">
          <w:rPr>
            <w:noProof/>
            <w:webHidden/>
          </w:rPr>
          <w:fldChar w:fldCharType="end"/>
        </w:r>
      </w:hyperlink>
    </w:p>
    <w:p w14:paraId="48511D7A" w14:textId="6CE5B0AD" w:rsidR="00321D24" w:rsidRDefault="00B457AD">
      <w:pPr>
        <w:pStyle w:val="TOC2"/>
        <w:tabs>
          <w:tab w:val="right" w:leader="dot" w:pos="9770"/>
        </w:tabs>
        <w:rPr>
          <w:noProof/>
          <w:lang w:val="en-US" w:eastAsia="en-US"/>
        </w:rPr>
      </w:pPr>
      <w:hyperlink w:anchor="_Toc136961142" w:history="1">
        <w:r w:rsidR="00321D24" w:rsidRPr="00326717">
          <w:rPr>
            <w:rStyle w:val="Hyperlink"/>
            <w:rFonts w:ascii="Times New Roman" w:hAnsi="Times New Roman"/>
            <w:b/>
            <w:noProof/>
            <w:lang w:val="bg-BG"/>
          </w:rPr>
          <w:t>ПРИЛОЖЕНИЯ – ГРАФИЧНА ЧАСТ – ЧЕРТЕЖИ:</w:t>
        </w:r>
        <w:r w:rsidR="00321D24">
          <w:rPr>
            <w:noProof/>
            <w:webHidden/>
          </w:rPr>
          <w:tab/>
        </w:r>
        <w:r w:rsidR="00321D24">
          <w:rPr>
            <w:noProof/>
            <w:webHidden/>
          </w:rPr>
          <w:fldChar w:fldCharType="begin"/>
        </w:r>
        <w:r w:rsidR="00321D24">
          <w:rPr>
            <w:noProof/>
            <w:webHidden/>
          </w:rPr>
          <w:instrText xml:space="preserve"> PAGEREF _Toc136961142 \h </w:instrText>
        </w:r>
        <w:r w:rsidR="00321D24">
          <w:rPr>
            <w:noProof/>
            <w:webHidden/>
          </w:rPr>
        </w:r>
        <w:r w:rsidR="00321D24">
          <w:rPr>
            <w:noProof/>
            <w:webHidden/>
          </w:rPr>
          <w:fldChar w:fldCharType="separate"/>
        </w:r>
        <w:r>
          <w:rPr>
            <w:noProof/>
            <w:webHidden/>
          </w:rPr>
          <w:t>149</w:t>
        </w:r>
        <w:r w:rsidR="00321D24">
          <w:rPr>
            <w:noProof/>
            <w:webHidden/>
          </w:rPr>
          <w:fldChar w:fldCharType="end"/>
        </w:r>
      </w:hyperlink>
    </w:p>
    <w:p w14:paraId="6AE4AFA7" w14:textId="779DB9FA" w:rsidR="00321D24" w:rsidRDefault="00B457AD">
      <w:pPr>
        <w:pStyle w:val="TOC2"/>
        <w:tabs>
          <w:tab w:val="left" w:pos="660"/>
          <w:tab w:val="right" w:leader="dot" w:pos="9770"/>
        </w:tabs>
        <w:rPr>
          <w:noProof/>
          <w:lang w:val="en-US" w:eastAsia="en-US"/>
        </w:rPr>
      </w:pPr>
      <w:hyperlink w:anchor="_Toc136961143"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1 – Чертеж № 01. BURGAS_DD_HTS _R0_Gen-Layout_062015</w:t>
        </w:r>
        <w:r w:rsidR="00321D24">
          <w:rPr>
            <w:noProof/>
            <w:webHidden/>
          </w:rPr>
          <w:tab/>
        </w:r>
        <w:r w:rsidR="00321D24">
          <w:rPr>
            <w:noProof/>
            <w:webHidden/>
          </w:rPr>
          <w:fldChar w:fldCharType="begin"/>
        </w:r>
        <w:r w:rsidR="00321D24">
          <w:rPr>
            <w:noProof/>
            <w:webHidden/>
          </w:rPr>
          <w:instrText xml:space="preserve"> PAGEREF _Toc136961143 \h </w:instrText>
        </w:r>
        <w:r w:rsidR="00321D24">
          <w:rPr>
            <w:noProof/>
            <w:webHidden/>
          </w:rPr>
        </w:r>
        <w:r w:rsidR="00321D24">
          <w:rPr>
            <w:noProof/>
            <w:webHidden/>
          </w:rPr>
          <w:fldChar w:fldCharType="separate"/>
        </w:r>
        <w:r>
          <w:rPr>
            <w:noProof/>
            <w:webHidden/>
          </w:rPr>
          <w:t>149</w:t>
        </w:r>
        <w:r w:rsidR="00321D24">
          <w:rPr>
            <w:noProof/>
            <w:webHidden/>
          </w:rPr>
          <w:fldChar w:fldCharType="end"/>
        </w:r>
      </w:hyperlink>
    </w:p>
    <w:p w14:paraId="62338DCE" w14:textId="07FCF96B" w:rsidR="00321D24" w:rsidRDefault="00B457AD">
      <w:pPr>
        <w:pStyle w:val="TOC2"/>
        <w:tabs>
          <w:tab w:val="left" w:pos="660"/>
          <w:tab w:val="right" w:leader="dot" w:pos="9770"/>
        </w:tabs>
        <w:rPr>
          <w:noProof/>
          <w:lang w:val="en-US" w:eastAsia="en-US"/>
        </w:rPr>
      </w:pPr>
      <w:hyperlink w:anchor="_Toc136961144"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2 – Чертеж № 04.1. BURGAS_DD_HTS _R0_CrSect-St1_062015</w:t>
        </w:r>
        <w:r w:rsidR="00321D24">
          <w:rPr>
            <w:noProof/>
            <w:webHidden/>
          </w:rPr>
          <w:tab/>
        </w:r>
        <w:r w:rsidR="00321D24">
          <w:rPr>
            <w:noProof/>
            <w:webHidden/>
          </w:rPr>
          <w:fldChar w:fldCharType="begin"/>
        </w:r>
        <w:r w:rsidR="00321D24">
          <w:rPr>
            <w:noProof/>
            <w:webHidden/>
          </w:rPr>
          <w:instrText xml:space="preserve"> PAGEREF _Toc136961144 \h </w:instrText>
        </w:r>
        <w:r w:rsidR="00321D24">
          <w:rPr>
            <w:noProof/>
            <w:webHidden/>
          </w:rPr>
        </w:r>
        <w:r w:rsidR="00321D24">
          <w:rPr>
            <w:noProof/>
            <w:webHidden/>
          </w:rPr>
          <w:fldChar w:fldCharType="separate"/>
        </w:r>
        <w:r>
          <w:rPr>
            <w:noProof/>
            <w:webHidden/>
          </w:rPr>
          <w:t>149</w:t>
        </w:r>
        <w:r w:rsidR="00321D24">
          <w:rPr>
            <w:noProof/>
            <w:webHidden/>
          </w:rPr>
          <w:fldChar w:fldCharType="end"/>
        </w:r>
      </w:hyperlink>
    </w:p>
    <w:p w14:paraId="6ED406A7" w14:textId="2C0B7B1D" w:rsidR="00321D24" w:rsidRDefault="00B457AD">
      <w:pPr>
        <w:pStyle w:val="TOC2"/>
        <w:tabs>
          <w:tab w:val="left" w:pos="660"/>
          <w:tab w:val="right" w:leader="dot" w:pos="9770"/>
        </w:tabs>
        <w:rPr>
          <w:noProof/>
          <w:lang w:val="en-US" w:eastAsia="en-US"/>
        </w:rPr>
      </w:pPr>
      <w:hyperlink w:anchor="_Toc136961145"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3 – Чертеж № 04.2. BURGAS_DD_HTS _R0_CrSect-St2_062015</w:t>
        </w:r>
        <w:r w:rsidR="00321D24">
          <w:rPr>
            <w:noProof/>
            <w:webHidden/>
          </w:rPr>
          <w:tab/>
        </w:r>
        <w:r w:rsidR="00321D24">
          <w:rPr>
            <w:noProof/>
            <w:webHidden/>
          </w:rPr>
          <w:fldChar w:fldCharType="begin"/>
        </w:r>
        <w:r w:rsidR="00321D24">
          <w:rPr>
            <w:noProof/>
            <w:webHidden/>
          </w:rPr>
          <w:instrText xml:space="preserve"> PAGEREF _Toc136961145 \h </w:instrText>
        </w:r>
        <w:r w:rsidR="00321D24">
          <w:rPr>
            <w:noProof/>
            <w:webHidden/>
          </w:rPr>
        </w:r>
        <w:r w:rsidR="00321D24">
          <w:rPr>
            <w:noProof/>
            <w:webHidden/>
          </w:rPr>
          <w:fldChar w:fldCharType="separate"/>
        </w:r>
        <w:r>
          <w:rPr>
            <w:noProof/>
            <w:webHidden/>
          </w:rPr>
          <w:t>149</w:t>
        </w:r>
        <w:r w:rsidR="00321D24">
          <w:rPr>
            <w:noProof/>
            <w:webHidden/>
          </w:rPr>
          <w:fldChar w:fldCharType="end"/>
        </w:r>
      </w:hyperlink>
    </w:p>
    <w:p w14:paraId="5710274F" w14:textId="40ADAA8D" w:rsidR="00321D24" w:rsidRDefault="00B457AD">
      <w:pPr>
        <w:pStyle w:val="TOC2"/>
        <w:tabs>
          <w:tab w:val="left" w:pos="660"/>
          <w:tab w:val="right" w:leader="dot" w:pos="9770"/>
        </w:tabs>
        <w:rPr>
          <w:noProof/>
          <w:lang w:val="en-US" w:eastAsia="en-US"/>
        </w:rPr>
      </w:pPr>
      <w:hyperlink w:anchor="_Toc136961146"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4 – Чертеж № 04.3. BURGAS_DD_HTS _R0_CrSect-St2_062015</w:t>
        </w:r>
        <w:r w:rsidR="00321D24">
          <w:rPr>
            <w:noProof/>
            <w:webHidden/>
          </w:rPr>
          <w:tab/>
        </w:r>
        <w:r w:rsidR="00321D24">
          <w:rPr>
            <w:noProof/>
            <w:webHidden/>
          </w:rPr>
          <w:fldChar w:fldCharType="begin"/>
        </w:r>
        <w:r w:rsidR="00321D24">
          <w:rPr>
            <w:noProof/>
            <w:webHidden/>
          </w:rPr>
          <w:instrText xml:space="preserve"> PAGEREF _Toc136961146 \h </w:instrText>
        </w:r>
        <w:r w:rsidR="00321D24">
          <w:rPr>
            <w:noProof/>
            <w:webHidden/>
          </w:rPr>
        </w:r>
        <w:r w:rsidR="00321D24">
          <w:rPr>
            <w:noProof/>
            <w:webHidden/>
          </w:rPr>
          <w:fldChar w:fldCharType="separate"/>
        </w:r>
        <w:r>
          <w:rPr>
            <w:noProof/>
            <w:webHidden/>
          </w:rPr>
          <w:t>149</w:t>
        </w:r>
        <w:r w:rsidR="00321D24">
          <w:rPr>
            <w:noProof/>
            <w:webHidden/>
          </w:rPr>
          <w:fldChar w:fldCharType="end"/>
        </w:r>
      </w:hyperlink>
    </w:p>
    <w:p w14:paraId="21C0D83E" w14:textId="7DAB955A" w:rsidR="00321D24" w:rsidRDefault="00B457AD">
      <w:pPr>
        <w:pStyle w:val="TOC2"/>
        <w:tabs>
          <w:tab w:val="left" w:pos="660"/>
          <w:tab w:val="right" w:leader="dot" w:pos="9770"/>
        </w:tabs>
        <w:rPr>
          <w:noProof/>
          <w:lang w:val="en-US" w:eastAsia="en-US"/>
        </w:rPr>
      </w:pPr>
      <w:hyperlink w:anchor="_Toc136961147"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5 – Чертеж № 04.4. BURGAS_DD_HTS _R0_CrSect-St3_062015</w:t>
        </w:r>
        <w:r w:rsidR="00321D24">
          <w:rPr>
            <w:noProof/>
            <w:webHidden/>
          </w:rPr>
          <w:tab/>
        </w:r>
        <w:r w:rsidR="00321D24">
          <w:rPr>
            <w:noProof/>
            <w:webHidden/>
          </w:rPr>
          <w:fldChar w:fldCharType="begin"/>
        </w:r>
        <w:r w:rsidR="00321D24">
          <w:rPr>
            <w:noProof/>
            <w:webHidden/>
          </w:rPr>
          <w:instrText xml:space="preserve"> PAGEREF _Toc136961147 \h </w:instrText>
        </w:r>
        <w:r w:rsidR="00321D24">
          <w:rPr>
            <w:noProof/>
            <w:webHidden/>
          </w:rPr>
        </w:r>
        <w:r w:rsidR="00321D24">
          <w:rPr>
            <w:noProof/>
            <w:webHidden/>
          </w:rPr>
          <w:fldChar w:fldCharType="separate"/>
        </w:r>
        <w:r>
          <w:rPr>
            <w:noProof/>
            <w:webHidden/>
          </w:rPr>
          <w:t>149</w:t>
        </w:r>
        <w:r w:rsidR="00321D24">
          <w:rPr>
            <w:noProof/>
            <w:webHidden/>
          </w:rPr>
          <w:fldChar w:fldCharType="end"/>
        </w:r>
      </w:hyperlink>
    </w:p>
    <w:p w14:paraId="7E34947E" w14:textId="0E5AF4AF" w:rsidR="00321D24" w:rsidRDefault="00B457AD">
      <w:pPr>
        <w:pStyle w:val="TOC2"/>
        <w:tabs>
          <w:tab w:val="left" w:pos="660"/>
          <w:tab w:val="right" w:leader="dot" w:pos="9770"/>
        </w:tabs>
        <w:rPr>
          <w:noProof/>
          <w:lang w:val="en-US" w:eastAsia="en-US"/>
        </w:rPr>
      </w:pPr>
      <w:hyperlink w:anchor="_Toc136961148"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6 – Чертеж № 04.5. BURGAS_DD_HTS _R0_CrSect-St3_062015</w:t>
        </w:r>
        <w:r w:rsidR="00321D24">
          <w:rPr>
            <w:noProof/>
            <w:webHidden/>
          </w:rPr>
          <w:tab/>
        </w:r>
        <w:r w:rsidR="00321D24">
          <w:rPr>
            <w:noProof/>
            <w:webHidden/>
          </w:rPr>
          <w:fldChar w:fldCharType="begin"/>
        </w:r>
        <w:r w:rsidR="00321D24">
          <w:rPr>
            <w:noProof/>
            <w:webHidden/>
          </w:rPr>
          <w:instrText xml:space="preserve"> PAGEREF _Toc136961148 \h </w:instrText>
        </w:r>
        <w:r w:rsidR="00321D24">
          <w:rPr>
            <w:noProof/>
            <w:webHidden/>
          </w:rPr>
        </w:r>
        <w:r w:rsidR="00321D24">
          <w:rPr>
            <w:noProof/>
            <w:webHidden/>
          </w:rPr>
          <w:fldChar w:fldCharType="separate"/>
        </w:r>
        <w:r>
          <w:rPr>
            <w:noProof/>
            <w:webHidden/>
          </w:rPr>
          <w:t>149</w:t>
        </w:r>
        <w:r w:rsidR="00321D24">
          <w:rPr>
            <w:noProof/>
            <w:webHidden/>
          </w:rPr>
          <w:fldChar w:fldCharType="end"/>
        </w:r>
      </w:hyperlink>
    </w:p>
    <w:p w14:paraId="42319B09" w14:textId="5EA08DE2" w:rsidR="00321D24" w:rsidRDefault="00B457AD">
      <w:pPr>
        <w:pStyle w:val="TOC2"/>
        <w:tabs>
          <w:tab w:val="left" w:pos="660"/>
          <w:tab w:val="right" w:leader="dot" w:pos="9770"/>
        </w:tabs>
        <w:rPr>
          <w:noProof/>
          <w:lang w:val="en-US" w:eastAsia="en-US"/>
        </w:rPr>
      </w:pPr>
      <w:hyperlink w:anchor="_Toc136961149"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7 – Чертеж № 04.6. BURGAS_DD_HTS _R0_CrSect_062015</w:t>
        </w:r>
        <w:r w:rsidR="00321D24">
          <w:rPr>
            <w:noProof/>
            <w:webHidden/>
          </w:rPr>
          <w:tab/>
        </w:r>
        <w:r w:rsidR="00321D24">
          <w:rPr>
            <w:noProof/>
            <w:webHidden/>
          </w:rPr>
          <w:fldChar w:fldCharType="begin"/>
        </w:r>
        <w:r w:rsidR="00321D24">
          <w:rPr>
            <w:noProof/>
            <w:webHidden/>
          </w:rPr>
          <w:instrText xml:space="preserve"> PAGEREF _Toc136961149 \h </w:instrText>
        </w:r>
        <w:r w:rsidR="00321D24">
          <w:rPr>
            <w:noProof/>
            <w:webHidden/>
          </w:rPr>
        </w:r>
        <w:r w:rsidR="00321D24">
          <w:rPr>
            <w:noProof/>
            <w:webHidden/>
          </w:rPr>
          <w:fldChar w:fldCharType="separate"/>
        </w:r>
        <w:r>
          <w:rPr>
            <w:noProof/>
            <w:webHidden/>
          </w:rPr>
          <w:t>149</w:t>
        </w:r>
        <w:r w:rsidR="00321D24">
          <w:rPr>
            <w:noProof/>
            <w:webHidden/>
          </w:rPr>
          <w:fldChar w:fldCharType="end"/>
        </w:r>
      </w:hyperlink>
    </w:p>
    <w:p w14:paraId="609B727E" w14:textId="4CB73FB3" w:rsidR="00E53833" w:rsidRPr="00E53833" w:rsidRDefault="00B457AD" w:rsidP="00E53833">
      <w:pPr>
        <w:pStyle w:val="TOC2"/>
        <w:tabs>
          <w:tab w:val="left" w:pos="660"/>
          <w:tab w:val="right" w:leader="dot" w:pos="9770"/>
        </w:tabs>
        <w:rPr>
          <w:noProof/>
        </w:rPr>
      </w:pPr>
      <w:hyperlink w:anchor="_Toc136961150" w:history="1">
        <w:r w:rsidR="00321D24" w:rsidRPr="00326717">
          <w:rPr>
            <w:rStyle w:val="Hyperlink"/>
            <w:rFonts w:ascii="Symbol" w:hAnsi="Symbol"/>
            <w:noProof/>
            <w:lang w:val="bg-BG"/>
          </w:rPr>
          <w:t></w:t>
        </w:r>
        <w:r w:rsidR="00321D24">
          <w:rPr>
            <w:noProof/>
            <w:lang w:val="en-US" w:eastAsia="en-US"/>
          </w:rPr>
          <w:tab/>
        </w:r>
        <w:r w:rsidR="00321D24" w:rsidRPr="00326717">
          <w:rPr>
            <w:rStyle w:val="Hyperlink"/>
            <w:rFonts w:ascii="Times New Roman" w:hAnsi="Times New Roman"/>
            <w:noProof/>
            <w:lang w:val="bg-BG"/>
          </w:rPr>
          <w:t>Приложение  8 – Чертеж № 07. BURGAS_DD_HTS _R0_Breakwater SP Rev 1-7 Вариант 2 и 3</w:t>
        </w:r>
        <w:r w:rsidR="00321D24">
          <w:rPr>
            <w:noProof/>
            <w:webHidden/>
          </w:rPr>
          <w:tab/>
        </w:r>
        <w:r w:rsidR="00321D24">
          <w:rPr>
            <w:noProof/>
            <w:webHidden/>
          </w:rPr>
          <w:fldChar w:fldCharType="begin"/>
        </w:r>
        <w:r w:rsidR="00321D24">
          <w:rPr>
            <w:noProof/>
            <w:webHidden/>
          </w:rPr>
          <w:instrText xml:space="preserve"> PAGEREF _Toc136961150 \h </w:instrText>
        </w:r>
        <w:r w:rsidR="00321D24">
          <w:rPr>
            <w:noProof/>
            <w:webHidden/>
          </w:rPr>
        </w:r>
        <w:r w:rsidR="00321D24">
          <w:rPr>
            <w:noProof/>
            <w:webHidden/>
          </w:rPr>
          <w:fldChar w:fldCharType="separate"/>
        </w:r>
        <w:r>
          <w:rPr>
            <w:noProof/>
            <w:webHidden/>
          </w:rPr>
          <w:t>149</w:t>
        </w:r>
        <w:r w:rsidR="00321D24">
          <w:rPr>
            <w:noProof/>
            <w:webHidden/>
          </w:rPr>
          <w:fldChar w:fldCharType="end"/>
        </w:r>
      </w:hyperlink>
    </w:p>
    <w:p w14:paraId="0E20A6EC" w14:textId="3584D012" w:rsidR="00E10E34" w:rsidRPr="00DC024B" w:rsidRDefault="006740D0" w:rsidP="00DC024B">
      <w:pPr>
        <w:spacing w:line="360" w:lineRule="auto"/>
        <w:rPr>
          <w:rFonts w:ascii="Times New Roman" w:hAnsi="Times New Roman"/>
          <w:sz w:val="22"/>
          <w:lang w:val="bg-BG"/>
        </w:rPr>
      </w:pPr>
      <w:r w:rsidRPr="00805152">
        <w:rPr>
          <w:rStyle w:val="Hyperlink"/>
          <w:rFonts w:ascii="Times New Roman" w:hAnsi="Times New Roman"/>
          <w:color w:val="auto"/>
          <w:sz w:val="22"/>
          <w:lang w:val="bg-BG"/>
        </w:rPr>
        <w:fldChar w:fldCharType="end"/>
      </w:r>
    </w:p>
    <w:p w14:paraId="044E8100" w14:textId="0BA11D37" w:rsidR="008D157D" w:rsidRDefault="008D157D">
      <w:pPr>
        <w:spacing w:after="0" w:line="240" w:lineRule="auto"/>
        <w:jc w:val="left"/>
        <w:rPr>
          <w:rFonts w:ascii="Times New Roman" w:hAnsi="Times New Roman"/>
          <w:sz w:val="21"/>
          <w:szCs w:val="20"/>
          <w:lang w:val="bg-BG"/>
        </w:rPr>
      </w:pPr>
      <w:bookmarkStart w:id="1" w:name="_Toc95837634"/>
      <w:r>
        <w:rPr>
          <w:rFonts w:ascii="Times New Roman" w:hAnsi="Times New Roman"/>
          <w:lang w:val="bg-BG"/>
        </w:rPr>
        <w:br w:type="page"/>
      </w:r>
    </w:p>
    <w:p w14:paraId="3EEA815A" w14:textId="77777777" w:rsidR="009F321D" w:rsidRPr="00805152" w:rsidRDefault="009F321D" w:rsidP="009F321D">
      <w:pPr>
        <w:pStyle w:val="BodyText"/>
        <w:rPr>
          <w:rFonts w:ascii="Times New Roman" w:hAnsi="Times New Roman"/>
          <w:lang w:val="bg-BG"/>
        </w:rPr>
      </w:pPr>
    </w:p>
    <w:p w14:paraId="63F4194A" w14:textId="5D80BD35" w:rsidR="009F321D" w:rsidRPr="00805152" w:rsidRDefault="009F321D" w:rsidP="009F321D">
      <w:pPr>
        <w:pStyle w:val="Heading1"/>
        <w:rPr>
          <w:rFonts w:ascii="Times New Roman" w:hAnsi="Times New Roman"/>
          <w:lang w:val="bg-BG"/>
        </w:rPr>
      </w:pPr>
      <w:bookmarkStart w:id="2" w:name="_Toc136961074"/>
      <w:r w:rsidRPr="00805152">
        <w:rPr>
          <w:rFonts w:ascii="Times New Roman" w:hAnsi="Times New Roman"/>
          <w:lang w:val="bg-BG"/>
        </w:rPr>
        <w:t>УВОД</w:t>
      </w:r>
      <w:bookmarkEnd w:id="2"/>
    </w:p>
    <w:p w14:paraId="00EE6361" w14:textId="77777777" w:rsidR="00AF0B41" w:rsidRPr="00805152" w:rsidRDefault="00AF0B41" w:rsidP="009F321D">
      <w:pPr>
        <w:pStyle w:val="Heading2"/>
        <w:rPr>
          <w:rFonts w:ascii="Times New Roman" w:hAnsi="Times New Roman"/>
          <w:lang w:val="bg-BG"/>
        </w:rPr>
      </w:pPr>
      <w:bookmarkStart w:id="3" w:name="_Toc136961075"/>
      <w:bookmarkStart w:id="4" w:name="_Hlk127542058"/>
      <w:bookmarkStart w:id="5" w:name="_Toc233037016"/>
      <w:bookmarkStart w:id="6" w:name="_Toc265570341"/>
      <w:bookmarkStart w:id="7" w:name="_Toc277722337"/>
      <w:bookmarkStart w:id="8" w:name="_Toc277723912"/>
      <w:bookmarkEnd w:id="1"/>
      <w:r w:rsidRPr="00805152">
        <w:rPr>
          <w:rFonts w:ascii="Times New Roman" w:hAnsi="Times New Roman"/>
          <w:lang w:val="bg-BG"/>
        </w:rPr>
        <w:t>Обща част</w:t>
      </w:r>
      <w:bookmarkEnd w:id="3"/>
    </w:p>
    <w:p w14:paraId="3629039D" w14:textId="013623CC" w:rsidR="002E2F58" w:rsidRPr="00805152" w:rsidRDefault="002E2F58" w:rsidP="00805152">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Пристанищната система в България е съставена от морски и речни пристанища, като основните морски пристанища са разположени във Варна и Бургас, а най-големите речни - в Русе, Видин, Лом и Оряхово. През тях преминава повече от половината от износа и вноса на страната и същевременно те обслужват редица сектори като металургия, енергетика, лека промишленост, химическа промишленост и селско стопанство. </w:t>
      </w:r>
      <w:r w:rsidR="001958BF" w:rsidRPr="00805152">
        <w:rPr>
          <w:rFonts w:ascii="Times New Roman" w:eastAsia="Times New Roman" w:hAnsi="Times New Roman"/>
          <w:sz w:val="22"/>
          <w:lang w:val="bg-BG"/>
        </w:rPr>
        <w:t xml:space="preserve">Следва </w:t>
      </w:r>
      <w:r w:rsidRPr="00805152">
        <w:rPr>
          <w:rFonts w:ascii="Times New Roman" w:eastAsia="Times New Roman" w:hAnsi="Times New Roman"/>
          <w:sz w:val="22"/>
          <w:lang w:val="bg-BG"/>
        </w:rPr>
        <w:t xml:space="preserve">да се отбележи, че българските пристанища задоволяват предимно нуждите на местната икономика, която е сравнително малка, а оттам произтича основният им проблем - малкият обем товари. </w:t>
      </w:r>
      <w:r w:rsidR="008066F3" w:rsidRPr="00805152">
        <w:rPr>
          <w:rFonts w:ascii="Times New Roman" w:eastAsia="Times New Roman" w:hAnsi="Times New Roman"/>
          <w:sz w:val="22"/>
          <w:lang w:val="bg-BG"/>
        </w:rPr>
        <w:t>Т</w:t>
      </w:r>
      <w:r w:rsidRPr="00805152">
        <w:rPr>
          <w:rFonts w:ascii="Times New Roman" w:eastAsia="Times New Roman" w:hAnsi="Times New Roman"/>
          <w:sz w:val="22"/>
          <w:lang w:val="bg-BG"/>
        </w:rPr>
        <w:t>ой е причинен от икономическите сътресения след 2008 г. и състоянието на инфраструктурата, които правят българските пристанища не особено атрактивни за големите товародатели от Азия</w:t>
      </w:r>
      <w:r w:rsidR="000A36FF" w:rsidRPr="00805152">
        <w:rPr>
          <w:rFonts w:ascii="Times New Roman" w:eastAsia="Times New Roman" w:hAnsi="Times New Roman"/>
          <w:sz w:val="22"/>
          <w:lang w:val="bg-BG"/>
        </w:rPr>
        <w:t>,</w:t>
      </w:r>
      <w:r w:rsidRPr="00805152">
        <w:rPr>
          <w:rFonts w:ascii="Times New Roman" w:eastAsia="Times New Roman" w:hAnsi="Times New Roman"/>
          <w:sz w:val="22"/>
          <w:lang w:val="bg-BG"/>
        </w:rPr>
        <w:t xml:space="preserve"> </w:t>
      </w:r>
      <w:r w:rsidR="000A36FF" w:rsidRPr="00805152">
        <w:rPr>
          <w:rFonts w:ascii="Times New Roman" w:eastAsia="Times New Roman" w:hAnsi="Times New Roman"/>
          <w:sz w:val="22"/>
          <w:lang w:val="bg-BG"/>
        </w:rPr>
        <w:t xml:space="preserve">Европа </w:t>
      </w:r>
      <w:r w:rsidRPr="00805152">
        <w:rPr>
          <w:rFonts w:ascii="Times New Roman" w:eastAsia="Times New Roman" w:hAnsi="Times New Roman"/>
          <w:sz w:val="22"/>
          <w:lang w:val="bg-BG"/>
        </w:rPr>
        <w:t xml:space="preserve">и </w:t>
      </w:r>
      <w:r w:rsidR="000A36FF" w:rsidRPr="00805152">
        <w:rPr>
          <w:rFonts w:ascii="Times New Roman" w:eastAsia="Times New Roman" w:hAnsi="Times New Roman"/>
          <w:sz w:val="22"/>
          <w:lang w:val="bg-BG"/>
        </w:rPr>
        <w:t xml:space="preserve">др. </w:t>
      </w:r>
      <w:r w:rsidRPr="00805152">
        <w:rPr>
          <w:rFonts w:ascii="Times New Roman" w:eastAsia="Times New Roman" w:hAnsi="Times New Roman"/>
          <w:sz w:val="22"/>
          <w:lang w:val="bg-BG"/>
        </w:rPr>
        <w:t xml:space="preserve"> През последните години държавата не е в състояние да инвестира достатъчно средства в пристанищната инфраструктура. В същото време други конкурентни пристанища в региона като Констанца (Румъния) и Солун (Гърция) се опитват да привлекат значителни средства за модернизация и разширение и се превръщат в основни търговски врати </w:t>
      </w:r>
      <w:r w:rsidR="008066F3" w:rsidRPr="00805152">
        <w:rPr>
          <w:rFonts w:ascii="Times New Roman" w:eastAsia="Times New Roman" w:hAnsi="Times New Roman"/>
          <w:sz w:val="22"/>
          <w:lang w:val="bg-BG"/>
        </w:rPr>
        <w:t>от/</w:t>
      </w:r>
      <w:r w:rsidRPr="00805152">
        <w:rPr>
          <w:rFonts w:ascii="Times New Roman" w:eastAsia="Times New Roman" w:hAnsi="Times New Roman"/>
          <w:sz w:val="22"/>
          <w:lang w:val="bg-BG"/>
        </w:rPr>
        <w:t>към</w:t>
      </w:r>
      <w:r w:rsidR="00805152">
        <w:rPr>
          <w:rFonts w:ascii="Times New Roman" w:eastAsia="Times New Roman" w:hAnsi="Times New Roman"/>
          <w:sz w:val="22"/>
          <w:lang w:val="bg-BG"/>
        </w:rPr>
        <w:t xml:space="preserve"> страните от Югоизточна Европа.</w:t>
      </w:r>
    </w:p>
    <w:p w14:paraId="3AEB5E18" w14:textId="1CF7FDA5" w:rsidR="006326A6" w:rsidRPr="00805152" w:rsidRDefault="0040512B" w:rsidP="00AF0B41">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Пристанище за обществен транспорт Бургас и връзките му с хинтерланда (магистрали, железопътни линии и </w:t>
      </w:r>
      <w:r w:rsidR="008066F3" w:rsidRPr="00805152">
        <w:rPr>
          <w:rFonts w:ascii="Times New Roman" w:eastAsia="Times New Roman" w:hAnsi="Times New Roman"/>
          <w:sz w:val="22"/>
          <w:lang w:val="bg-BG"/>
        </w:rPr>
        <w:t xml:space="preserve">към </w:t>
      </w:r>
      <w:r w:rsidRPr="00805152">
        <w:rPr>
          <w:rFonts w:ascii="Times New Roman" w:eastAsia="Times New Roman" w:hAnsi="Times New Roman"/>
          <w:sz w:val="22"/>
          <w:lang w:val="bg-BG"/>
        </w:rPr>
        <w:t>вътрешни водни плавателни пътища) са важна транспортна инфраструктура за икономическото развитие както на страната, така и за ЕС.</w:t>
      </w:r>
    </w:p>
    <w:p w14:paraId="6DEBBE69" w14:textId="6BE275A6" w:rsidR="000B0915" w:rsidRPr="00805152" w:rsidRDefault="000B0915"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Пристанище Бургас се намира в района на Бургаския залив, на брега на Черно море. Пристанището предлага отличен морски достъп и следователно може да приеме дори кораби Panamax (дълбоки води, целогодишна навигация и без морски ограничения). То е най-близо до </w:t>
      </w:r>
      <w:r w:rsidR="008066F3" w:rsidRPr="00805152">
        <w:rPr>
          <w:rFonts w:ascii="Times New Roman" w:eastAsia="Times New Roman" w:hAnsi="Times New Roman"/>
          <w:sz w:val="22"/>
          <w:lang w:val="bg-BG"/>
        </w:rPr>
        <w:t xml:space="preserve">дълбоководните пристанища </w:t>
      </w:r>
      <w:r w:rsidRPr="00805152">
        <w:rPr>
          <w:rFonts w:ascii="Times New Roman" w:eastAsia="Times New Roman" w:hAnsi="Times New Roman"/>
          <w:sz w:val="22"/>
          <w:lang w:val="bg-BG"/>
        </w:rPr>
        <w:t>на Босфора.</w:t>
      </w:r>
    </w:p>
    <w:p w14:paraId="07F4A5F4" w14:textId="77777777" w:rsidR="000B0915" w:rsidRPr="00805152" w:rsidRDefault="000B0915"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Град Бургас е крайната точка на жп линията София-Пловдив-Бургас и пристанището е част от Трансевропейски транспортен коридор VIII и Транспортен коридор Европа-Кавказ-Азия, който свързва Централна и Източна Европа, Близкия и Далечния Изток . Подробна карта е представена на фигура 1 по-долу.</w:t>
      </w:r>
    </w:p>
    <w:p w14:paraId="34F71B73" w14:textId="77777777" w:rsidR="000B0915" w:rsidRPr="00805152" w:rsidRDefault="000B0915" w:rsidP="00805152">
      <w:pPr>
        <w:spacing w:after="120" w:line="240" w:lineRule="auto"/>
        <w:jc w:val="center"/>
        <w:rPr>
          <w:rFonts w:ascii="Times New Roman" w:hAnsi="Times New Roman"/>
          <w:lang w:val="bg-BG"/>
        </w:rPr>
      </w:pPr>
      <w:r w:rsidRPr="00805152">
        <w:rPr>
          <w:rFonts w:ascii="Times New Roman" w:hAnsi="Times New Roman"/>
          <w:noProof/>
          <w:lang w:val="en-US"/>
        </w:rPr>
        <w:lastRenderedPageBreak/>
        <w:drawing>
          <wp:inline distT="114300" distB="114300" distL="114300" distR="114300" wp14:anchorId="150F5F7D" wp14:editId="09CEFD6E">
            <wp:extent cx="5672138" cy="3257550"/>
            <wp:effectExtent l="0" t="0" r="0" b="0"/>
            <wp:docPr id="2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8"/>
                    <a:srcRect/>
                    <a:stretch>
                      <a:fillRect/>
                    </a:stretch>
                  </pic:blipFill>
                  <pic:spPr>
                    <a:xfrm>
                      <a:off x="0" y="0"/>
                      <a:ext cx="5672138" cy="3257550"/>
                    </a:xfrm>
                    <a:prstGeom prst="rect">
                      <a:avLst/>
                    </a:prstGeom>
                    <a:ln/>
                  </pic:spPr>
                </pic:pic>
              </a:graphicData>
            </a:graphic>
          </wp:inline>
        </w:drawing>
      </w:r>
    </w:p>
    <w:p w14:paraId="0DBA628A" w14:textId="25374975" w:rsidR="000B0915" w:rsidRPr="00805152" w:rsidRDefault="000B0915" w:rsidP="00996D7F">
      <w:pPr>
        <w:pStyle w:val="BP-Figure"/>
        <w:ind w:left="1701" w:hanging="425"/>
        <w:jc w:val="both"/>
      </w:pPr>
      <w:r w:rsidRPr="00805152">
        <w:t>Трансевропейски коридори и пристанище Бургас</w:t>
      </w:r>
      <w:r w:rsidR="003F72BF" w:rsidRPr="00805152">
        <w:t>/</w:t>
      </w:r>
      <w:r w:rsidRPr="00805152">
        <w:t xml:space="preserve"> Източник: Европейска комисия</w:t>
      </w:r>
    </w:p>
    <w:p w14:paraId="4ED5BCBA" w14:textId="77777777" w:rsidR="00BF05E6" w:rsidRPr="00805152" w:rsidRDefault="00BF05E6" w:rsidP="000B0915">
      <w:pPr>
        <w:spacing w:after="0"/>
        <w:ind w:firstLine="709"/>
        <w:rPr>
          <w:rFonts w:ascii="Times New Roman" w:eastAsia="Times New Roman" w:hAnsi="Times New Roman"/>
          <w:sz w:val="22"/>
          <w:lang w:val="bg-BG"/>
        </w:rPr>
      </w:pPr>
    </w:p>
    <w:p w14:paraId="395CD3C8" w14:textId="77777777" w:rsidR="000B0915" w:rsidRPr="00805152" w:rsidRDefault="000B0915"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По-конкретно, Бургас е най-големият град в Югоизточна България и четвъртият по големина в България, включващ площ от около 254 кв. км.</w:t>
      </w:r>
    </w:p>
    <w:p w14:paraId="22AC97EF" w14:textId="174328DB" w:rsidR="000B0915" w:rsidRPr="00805152" w:rsidRDefault="000B0915"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Днес Бургас е един от важните икономически и индустриални центрове на България. Градът, заедно със София, е един от основните елементи в България на бъдещата поддържаща европейска транспортна мрежа (TEN-T) на ЕС, която включва изграждането на железопътна и пътна инфраструктура и развитието на пристанище Бургас. Това е пристанищен град със собствено международно летище, както и с много добре развита наземна инфраструктура, напълно завършено промишлено пристанище, добър достъп до суровини и близка рафинерия, има високо ниво на индустриализация. Добре свързаната транспортна инфраструктура прави града интермодален транспортен център.</w:t>
      </w:r>
    </w:p>
    <w:p w14:paraId="2473DC20" w14:textId="643F9223" w:rsidR="000A36FF" w:rsidRPr="00805152" w:rsidRDefault="000A36FF"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В Бургас е разположено най-голямото българско пристанище, класифицирано като „основно“ TEN-T пристанище.</w:t>
      </w:r>
    </w:p>
    <w:p w14:paraId="43110837"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Морските пристанища от TEN-T по правило са от съществено значение за международния и вътрешноевропейския търговски обмен, следователно и за европейския вътрешен пазар и/или за сближаването в рамките на ЕС. </w:t>
      </w:r>
    </w:p>
    <w:p w14:paraId="45871879"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Принципната стратегия на ЕС относно развитието на Трансевропейската транспортна мрежа предвижда свързване на пристанищата от TEN-T с железопътни линии, пътища и по възможност с вътрешни водни пътища, наличие на поне един терминал на пристанището, който да е отворен за всички </w:t>
      </w:r>
      <w:r w:rsidRPr="00805152">
        <w:rPr>
          <w:rFonts w:ascii="Times New Roman" w:eastAsia="Times New Roman" w:hAnsi="Times New Roman"/>
          <w:sz w:val="22"/>
          <w:lang w:val="bg-BG"/>
        </w:rPr>
        <w:lastRenderedPageBreak/>
        <w:t>оператори по недискриминационен начин, прилагане на прозрачни такси и адекватност на морските канали за предоставяне на достъп от морето до морските пристанища.</w:t>
      </w:r>
    </w:p>
    <w:p w14:paraId="47E34887"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Пристанищата от TEN-T трябва да помогнат за развитието на морските превози на къси разстояния като част от интермодални маршрути, като по този начин ще се допринесе за изграждането на устойчив транспорт, което е една от основните цели на Бялата книга за транспорта, и ще допринесе за изпълнението на стратегията „Европа 2020”.</w:t>
      </w:r>
    </w:p>
    <w:p w14:paraId="3D1D64BD" w14:textId="460E288F"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В насоките за ТЕN-Т са определени 319 пристанища, 83 от които са признати за пристанища от основната мрежа, сред тях - и пристанище за обществен транспорт </w:t>
      </w:r>
      <w:r w:rsidR="00AD7CA6" w:rsidRPr="00805152">
        <w:rPr>
          <w:rFonts w:ascii="Times New Roman" w:eastAsia="Times New Roman" w:hAnsi="Times New Roman"/>
          <w:sz w:val="22"/>
          <w:lang w:val="bg-BG"/>
        </w:rPr>
        <w:t xml:space="preserve">– държавна собственост </w:t>
      </w:r>
      <w:r w:rsidRPr="00805152">
        <w:rPr>
          <w:rFonts w:ascii="Times New Roman" w:eastAsia="Times New Roman" w:hAnsi="Times New Roman"/>
          <w:sz w:val="22"/>
          <w:lang w:val="bg-BG"/>
        </w:rPr>
        <w:t>Бургас (респ. терминал „Бургас - Изток 1“). Мрежата TEN-T е изградена на две нива: широкообхватната мрежа ще осигури пълно покритие на ЕС, като целта е проектите, осигуряващи достъп до всички райони да бъдат завършени до 2050 г., а обектите от основната мрежа ще бъдат включени в широкообхватната мрежа и ще се даде приоритет на най-важните възли на TEN-T, които трябва да бъдат завършени до 2030 г.</w:t>
      </w:r>
    </w:p>
    <w:p w14:paraId="3C228046"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Пристанище Бургас е утвърдено като основен елемент за Трансевропейската транспортна мрежа.</w:t>
      </w:r>
    </w:p>
    <w:p w14:paraId="195FE040"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През годините, в рамките на Трансевропейската транспортна мрежа и на структурните фондове, ЕС предоставяше постоянно и значително финансиране за изграждането, обновяването и поддръжката на тези инфраструктури във всички морски региони на ЕС. Финансирането от ЕС на усилия в подкрепа на тези инфраструктури ще продължи и през следващите години. Точните суми, които ще бъдат отпуснати, ще зависят от окончателното решение относно многогодишната финансова рамка и от извършената от Комисията оценка на предложенията, представени от държавите членки в рамките на различните инструменти за финансиране на ЕС, но както се припомня и от Европейската Сметна палата, изключително важно е усилията на ЕС в подкрепа на пристанищата да дават добри резултати по отношение на ефективността и цялостния принос към постигане на целите на европейската транспортна политика.</w:t>
      </w:r>
    </w:p>
    <w:p w14:paraId="1665CD6D" w14:textId="77777777"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Морските пристанища играят важна роля като логистични центрове за превоз на товари и пътници и тяхното развитие зависи от ефективността на транспортните връзки с вътрешността на страната. </w:t>
      </w:r>
    </w:p>
    <w:p w14:paraId="1F83ACCB" w14:textId="761BFA5B" w:rsidR="000A36FF" w:rsidRPr="00805152" w:rsidRDefault="000A36FF" w:rsidP="000A36FF">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Благоприятно географско местоположение на страната, дава възможности за развитие на транзитните превози по направлението на транспортните коридори, пресичащи държавата и осигуряващо добри условия за свързване на Западна и Централна Европа с Близкия Изток, Западна и Централна Азия.</w:t>
      </w:r>
    </w:p>
    <w:p w14:paraId="0531A1BD" w14:textId="77777777" w:rsidR="000B0915" w:rsidRPr="00805152" w:rsidRDefault="000B0915" w:rsidP="000B0915">
      <w:pPr>
        <w:spacing w:after="0"/>
        <w:ind w:firstLine="709"/>
        <w:rPr>
          <w:rFonts w:ascii="Times New Roman" w:eastAsia="Times New Roman" w:hAnsi="Times New Roman"/>
          <w:b/>
          <w:sz w:val="22"/>
          <w:lang w:val="bg-BG"/>
        </w:rPr>
      </w:pPr>
      <w:r w:rsidRPr="00805152">
        <w:rPr>
          <w:rFonts w:ascii="Times New Roman" w:eastAsia="Times New Roman" w:hAnsi="Times New Roman"/>
          <w:b/>
          <w:sz w:val="22"/>
          <w:lang w:val="bg-BG"/>
        </w:rPr>
        <w:t>Предишни и настоящи синергични проекти и политики</w:t>
      </w:r>
    </w:p>
    <w:p w14:paraId="474448B1" w14:textId="148B7389" w:rsidR="000B0915" w:rsidRPr="00805152" w:rsidRDefault="000B0915" w:rsidP="000B0915">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Предвид стратегическото положение и транспортната инфраструктура на района, </w:t>
      </w:r>
      <w:r w:rsidR="00FC4560">
        <w:rPr>
          <w:rFonts w:ascii="Times New Roman" w:eastAsia="Times New Roman" w:hAnsi="Times New Roman"/>
          <w:sz w:val="22"/>
          <w:lang w:val="bg-BG"/>
        </w:rPr>
        <w:t>биват</w:t>
      </w:r>
      <w:r w:rsidRPr="00805152">
        <w:rPr>
          <w:rFonts w:ascii="Times New Roman" w:eastAsia="Times New Roman" w:hAnsi="Times New Roman"/>
          <w:sz w:val="22"/>
          <w:lang w:val="bg-BG"/>
        </w:rPr>
        <w:t xml:space="preserve"> реализирани редица проекти. В рамките на програмния период 2007-2013 г. </w:t>
      </w:r>
      <w:r w:rsidR="008066F3" w:rsidRPr="00805152">
        <w:rPr>
          <w:rFonts w:ascii="Times New Roman" w:eastAsia="Times New Roman" w:hAnsi="Times New Roman"/>
          <w:sz w:val="22"/>
          <w:lang w:val="bg-BG"/>
        </w:rPr>
        <w:t>ДППИ</w:t>
      </w:r>
      <w:r w:rsidRPr="00805152">
        <w:rPr>
          <w:rFonts w:ascii="Times New Roman" w:eastAsia="Times New Roman" w:hAnsi="Times New Roman"/>
          <w:sz w:val="22"/>
          <w:lang w:val="bg-BG"/>
        </w:rPr>
        <w:t xml:space="preserve"> изгради сгради на Крайбрежни центрове за управление на плавателния трафик и информационно обслужване в Бургас и </w:t>
      </w:r>
      <w:r w:rsidRPr="00805152">
        <w:rPr>
          <w:rFonts w:ascii="Times New Roman" w:eastAsia="Times New Roman" w:hAnsi="Times New Roman"/>
          <w:sz w:val="22"/>
          <w:lang w:val="bg-BG"/>
        </w:rPr>
        <w:lastRenderedPageBreak/>
        <w:t xml:space="preserve">Варна. Крайбрежният център в Бургас се намира до вълнолома. Сред реализираните проекти със собствени средства на </w:t>
      </w:r>
      <w:r w:rsidR="008066F3" w:rsidRPr="00805152">
        <w:rPr>
          <w:rFonts w:ascii="Times New Roman" w:eastAsia="Times New Roman" w:hAnsi="Times New Roman"/>
          <w:sz w:val="22"/>
          <w:lang w:val="bg-BG"/>
        </w:rPr>
        <w:t>ДППИ</w:t>
      </w:r>
      <w:r w:rsidRPr="00805152">
        <w:rPr>
          <w:rFonts w:ascii="Times New Roman" w:eastAsia="Times New Roman" w:hAnsi="Times New Roman"/>
          <w:sz w:val="22"/>
          <w:lang w:val="bg-BG"/>
        </w:rPr>
        <w:t xml:space="preserve"> е основната сграда на Морска гара Бургас, която се намира на същата територия. Модерната сграда на Международен конгресен център Бургас е изградена в северната част на източния вълнолом на пристанищен терминал </w:t>
      </w:r>
      <w:r w:rsidR="008066F3" w:rsidRPr="00805152">
        <w:rPr>
          <w:rFonts w:ascii="Times New Roman" w:eastAsia="Times New Roman" w:hAnsi="Times New Roman"/>
          <w:sz w:val="22"/>
          <w:lang w:val="bg-BG"/>
        </w:rPr>
        <w:t>„</w:t>
      </w:r>
      <w:r w:rsidRPr="00805152">
        <w:rPr>
          <w:rFonts w:ascii="Times New Roman" w:eastAsia="Times New Roman" w:hAnsi="Times New Roman"/>
          <w:sz w:val="22"/>
          <w:lang w:val="bg-BG"/>
        </w:rPr>
        <w:t>Бургас-Изток 1</w:t>
      </w:r>
      <w:r w:rsidR="008066F3" w:rsidRPr="00805152">
        <w:rPr>
          <w:rFonts w:ascii="Times New Roman" w:eastAsia="Times New Roman" w:hAnsi="Times New Roman"/>
          <w:sz w:val="22"/>
          <w:lang w:val="bg-BG"/>
        </w:rPr>
        <w:t>“</w:t>
      </w:r>
      <w:r w:rsidRPr="00805152">
        <w:rPr>
          <w:rFonts w:ascii="Times New Roman" w:eastAsia="Times New Roman" w:hAnsi="Times New Roman"/>
          <w:sz w:val="22"/>
          <w:lang w:val="bg-BG"/>
        </w:rPr>
        <w:t>, между Морска гара и Магазия 1. Магазия 1 е най-старият закрит пристанищен склад. В близост има изграден паркинг и детска площадка. На същата територия е изградена зарядна станция за електромобили, автобуси, скутери, мотопеди и велосипеди. Може да се зарежда едновременно с две електрически превозни средства с мощност 22KW на 400 V. В южната част на терминала, която е защитена от вълнолома, се намира и Яхт клуб "Порт Бургас".</w:t>
      </w:r>
    </w:p>
    <w:p w14:paraId="0327B33D" w14:textId="77777777" w:rsidR="005F27DB" w:rsidRPr="00805152" w:rsidRDefault="005F27DB" w:rsidP="005F27D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Съществуващото положение на вълнолома е експоненциално на протичащите деструктивни процеси на ерозия, които трябва да бъдат спрени чрез извършване на необходимите ремонтно-строителни дейности за рехабилитация на вълнолома.</w:t>
      </w:r>
    </w:p>
    <w:p w14:paraId="21A58E96" w14:textId="2513CA42" w:rsidR="000B0915" w:rsidRPr="00805152" w:rsidRDefault="005F27DB" w:rsidP="005F27D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Целта на проекта е да се повиши безопасността в акваторията на пристанище Бургас чрез извършване на СМР по рехабилитация на вълнолома на пристанището, както и да се осигури устойчивост на инвестициите в изграждането на инфраструктурата по време на минали програмни периоди.</w:t>
      </w:r>
    </w:p>
    <w:p w14:paraId="7B058C1F" w14:textId="4B37A030" w:rsidR="003E5703" w:rsidRPr="00805152" w:rsidRDefault="00442EB7" w:rsidP="00442EB7">
      <w:pPr>
        <w:pStyle w:val="Heading2"/>
        <w:rPr>
          <w:rFonts w:ascii="Times New Roman" w:hAnsi="Times New Roman"/>
          <w:lang w:val="bg-BG"/>
        </w:rPr>
      </w:pPr>
      <w:bookmarkStart w:id="9" w:name="_Toc136961076"/>
      <w:r w:rsidRPr="00805152">
        <w:rPr>
          <w:rFonts w:ascii="Times New Roman" w:hAnsi="Times New Roman"/>
          <w:lang w:val="bg-BG"/>
        </w:rPr>
        <w:t>Необходимост от проекта и очаквани резултати</w:t>
      </w:r>
      <w:bookmarkEnd w:id="9"/>
    </w:p>
    <w:p w14:paraId="716498C7" w14:textId="77777777" w:rsidR="00C9595D" w:rsidRPr="00805152" w:rsidRDefault="00C9595D" w:rsidP="00C9595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Проектът е разработен на основание договор ДЕП-4 от 31.05.2021 г. с Възложителя по данни за съществуващите терени, огледи на съоръженията на пристанище Бургас, инженерно-геоложко проучване на района, технически проект за „Проект за рехабилитация на вълнолом Бургас“. </w:t>
      </w:r>
    </w:p>
    <w:p w14:paraId="3B4607B9" w14:textId="617236DA" w:rsidR="00C9595D" w:rsidRPr="00805152" w:rsidRDefault="008066F3" w:rsidP="00C9595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Н</w:t>
      </w:r>
      <w:r w:rsidR="003A71AA">
        <w:rPr>
          <w:rFonts w:ascii="Times New Roman" w:eastAsia="Times New Roman" w:hAnsi="Times New Roman"/>
          <w:sz w:val="22"/>
          <w:lang w:val="bg-BG"/>
        </w:rPr>
        <w:t>а</w:t>
      </w:r>
      <w:r w:rsidRPr="00805152">
        <w:rPr>
          <w:rFonts w:ascii="Times New Roman" w:eastAsia="Times New Roman" w:hAnsi="Times New Roman"/>
          <w:sz w:val="22"/>
          <w:lang w:val="bg-BG"/>
        </w:rPr>
        <w:t>стоящата разработка</w:t>
      </w:r>
      <w:r w:rsidR="00C9595D" w:rsidRPr="00805152">
        <w:rPr>
          <w:rFonts w:ascii="Times New Roman" w:eastAsia="Times New Roman" w:hAnsi="Times New Roman"/>
          <w:sz w:val="22"/>
          <w:lang w:val="bg-BG"/>
        </w:rPr>
        <w:t xml:space="preserve"> съдържа техническо описание на съществуващото положение, на технически решения и описание на отделните елементи </w:t>
      </w:r>
      <w:r w:rsidRPr="00805152">
        <w:rPr>
          <w:rFonts w:ascii="Times New Roman" w:eastAsia="Times New Roman" w:hAnsi="Times New Roman"/>
          <w:sz w:val="22"/>
          <w:lang w:val="bg-BG"/>
        </w:rPr>
        <w:t>на проекта</w:t>
      </w:r>
      <w:r w:rsidR="00C9595D" w:rsidRPr="00805152">
        <w:rPr>
          <w:rFonts w:ascii="Times New Roman" w:eastAsia="Times New Roman" w:hAnsi="Times New Roman"/>
          <w:sz w:val="22"/>
          <w:lang w:val="bg-BG"/>
        </w:rPr>
        <w:t xml:space="preserve">. Също така са разработени и анализирани технически варианти за реализация на проекта и оценени чрез </w:t>
      </w:r>
      <w:r w:rsidR="003A71AA" w:rsidRPr="00805152">
        <w:rPr>
          <w:rFonts w:ascii="Times New Roman" w:eastAsia="Times New Roman" w:hAnsi="Times New Roman"/>
          <w:sz w:val="22"/>
          <w:lang w:val="bg-BG"/>
        </w:rPr>
        <w:t>Мултикритериален</w:t>
      </w:r>
      <w:r w:rsidR="00C9595D" w:rsidRPr="00805152">
        <w:rPr>
          <w:rFonts w:ascii="Times New Roman" w:eastAsia="Times New Roman" w:hAnsi="Times New Roman"/>
          <w:sz w:val="22"/>
          <w:lang w:val="bg-BG"/>
        </w:rPr>
        <w:t xml:space="preserve"> анализ. </w:t>
      </w:r>
    </w:p>
    <w:p w14:paraId="6C0F3BF7" w14:textId="42F4EE3D" w:rsidR="00C9595D" w:rsidRPr="00805152" w:rsidRDefault="00C9595D" w:rsidP="00C9595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Вълноломът попада в територията на Пристанище Бургас в ПИ 07079.618.1019 с трайно предназначение за пристанище. </w:t>
      </w:r>
    </w:p>
    <w:p w14:paraId="21723079" w14:textId="37A056A6" w:rsidR="000B0915" w:rsidRPr="00805152" w:rsidRDefault="000B0915" w:rsidP="00C9595D">
      <w:pPr>
        <w:spacing w:after="0"/>
        <w:ind w:firstLine="709"/>
        <w:rPr>
          <w:rFonts w:ascii="Times New Roman" w:hAnsi="Times New Roman"/>
          <w:color w:val="000000"/>
          <w:lang w:val="bg-BG" w:eastAsia="ru-RU" w:bidi="ru-RU"/>
        </w:rPr>
      </w:pPr>
      <w:r w:rsidRPr="00805152">
        <w:rPr>
          <w:rFonts w:ascii="Times New Roman" w:hAnsi="Times New Roman"/>
          <w:color w:val="000000"/>
          <w:lang w:val="bg-BG" w:eastAsia="ru-RU" w:bidi="ru-RU"/>
        </w:rPr>
        <w:t>Като пристанище от основната TEN-T мрежа и в съответствие с основните насоки на транспортната политика на ЕС за свързаност, реконструкцията и модернизацията на вълнолома на пристанище Бургас, като част от пристанищната инфраструктура, ще допринесе за гарантиране на безопасността на корабоплаването, пристанищните услуги и пристанищните съоръжения.</w:t>
      </w:r>
    </w:p>
    <w:p w14:paraId="7DEC46EA" w14:textId="558497EA" w:rsidR="0069671A" w:rsidRPr="00805152" w:rsidRDefault="0069671A" w:rsidP="00965553">
      <w:pPr>
        <w:pStyle w:val="a9"/>
        <w:shd w:val="clear" w:color="auto" w:fill="auto"/>
        <w:spacing w:before="0" w:after="244" w:line="360" w:lineRule="auto"/>
        <w:ind w:left="20" w:right="20" w:firstLine="556"/>
        <w:rPr>
          <w:rFonts w:ascii="Times New Roman" w:hAnsi="Times New Roman"/>
          <w:sz w:val="21"/>
        </w:rPr>
      </w:pPr>
      <w:r w:rsidRPr="00805152">
        <w:rPr>
          <w:rFonts w:ascii="Times New Roman" w:hAnsi="Times New Roman"/>
          <w:color w:val="000000"/>
          <w:lang w:eastAsia="ru-RU" w:bidi="ru-RU"/>
        </w:rPr>
        <w:t xml:space="preserve">С </w:t>
      </w:r>
      <w:r w:rsidRPr="00805152">
        <w:rPr>
          <w:rFonts w:ascii="Times New Roman" w:hAnsi="Times New Roman"/>
          <w:color w:val="000000"/>
        </w:rPr>
        <w:t xml:space="preserve">новата Морска гара и превръщането на територията в пасажерски терминал и зона за обществен достъп, функциите на вълнолома се увеличават. Освен основните, свързани </w:t>
      </w:r>
      <w:r w:rsidRPr="00805152">
        <w:rPr>
          <w:rFonts w:ascii="Times New Roman" w:hAnsi="Times New Roman"/>
          <w:color w:val="000000"/>
          <w:lang w:eastAsia="ru-RU" w:bidi="ru-RU"/>
        </w:rPr>
        <w:t xml:space="preserve">с </w:t>
      </w:r>
      <w:r w:rsidRPr="00805152">
        <w:rPr>
          <w:rFonts w:ascii="Times New Roman" w:hAnsi="Times New Roman"/>
          <w:color w:val="000000"/>
        </w:rPr>
        <w:t xml:space="preserve">осигуряване на спокойна </w:t>
      </w:r>
      <w:r w:rsidRPr="00805152">
        <w:rPr>
          <w:rFonts w:ascii="Times New Roman" w:hAnsi="Times New Roman"/>
          <w:color w:val="000000"/>
          <w:lang w:eastAsia="ru-RU" w:bidi="ru-RU"/>
        </w:rPr>
        <w:t xml:space="preserve">водна </w:t>
      </w:r>
      <w:r w:rsidRPr="00805152">
        <w:rPr>
          <w:rFonts w:ascii="Times New Roman" w:hAnsi="Times New Roman"/>
          <w:color w:val="000000"/>
        </w:rPr>
        <w:t>повърхност в пристанищната акватория, допълнителните функции на вълнолома при техническа</w:t>
      </w:r>
      <w:r w:rsidR="003A71AA">
        <w:rPr>
          <w:rFonts w:ascii="Times New Roman" w:hAnsi="Times New Roman"/>
          <w:color w:val="000000"/>
        </w:rPr>
        <w:t>та</w:t>
      </w:r>
      <w:r w:rsidRPr="00805152">
        <w:rPr>
          <w:rFonts w:ascii="Times New Roman" w:hAnsi="Times New Roman"/>
          <w:color w:val="000000"/>
        </w:rPr>
        <w:t xml:space="preserve"> рехабилитация са свързани с осъществяване на обществен пешеходен достъп.</w:t>
      </w:r>
    </w:p>
    <w:p w14:paraId="6C6974CB" w14:textId="77777777" w:rsidR="0069671A" w:rsidRPr="00805152" w:rsidRDefault="0069671A" w:rsidP="005E7BEB">
      <w:pPr>
        <w:pStyle w:val="a9"/>
        <w:shd w:val="clear" w:color="auto" w:fill="auto"/>
        <w:spacing w:before="0" w:after="0" w:line="360" w:lineRule="auto"/>
        <w:ind w:left="20" w:right="20" w:firstLine="556"/>
        <w:rPr>
          <w:rFonts w:ascii="Times New Roman" w:hAnsi="Times New Roman"/>
          <w:color w:val="000000"/>
        </w:rPr>
      </w:pPr>
      <w:r w:rsidRPr="00805152">
        <w:rPr>
          <w:rFonts w:ascii="Times New Roman" w:hAnsi="Times New Roman"/>
          <w:color w:val="000000"/>
        </w:rPr>
        <w:lastRenderedPageBreak/>
        <w:t>Целта на проекта е да се реконструира и модернизира старият вълнолом на град Бургас, който в следствие на годините е със силно нарушена конструкция, причините за което са силните ветрове, големите морски вълни и нарушената бронировка от изкуствени елементи.</w:t>
      </w:r>
    </w:p>
    <w:p w14:paraId="5B9DD17D" w14:textId="46DFF2FE" w:rsidR="005E7BEB" w:rsidRPr="00805152" w:rsidRDefault="005E7BEB" w:rsidP="005E7BEB">
      <w:pPr>
        <w:pStyle w:val="a9"/>
        <w:spacing w:before="0" w:after="0" w:line="360" w:lineRule="auto"/>
        <w:ind w:left="20" w:right="20" w:firstLine="412"/>
        <w:rPr>
          <w:rFonts w:ascii="Times New Roman" w:hAnsi="Times New Roman"/>
          <w:color w:val="000000"/>
        </w:rPr>
      </w:pPr>
      <w:r w:rsidRPr="00805152">
        <w:rPr>
          <w:rFonts w:ascii="Times New Roman" w:hAnsi="Times New Roman"/>
          <w:color w:val="000000"/>
        </w:rPr>
        <w:t>Проект</w:t>
      </w:r>
      <w:r w:rsidR="003A71AA">
        <w:rPr>
          <w:rFonts w:ascii="Times New Roman" w:hAnsi="Times New Roman"/>
          <w:color w:val="000000"/>
        </w:rPr>
        <w:t>ът</w:t>
      </w:r>
      <w:r w:rsidRPr="00805152">
        <w:rPr>
          <w:rFonts w:ascii="Times New Roman" w:hAnsi="Times New Roman"/>
          <w:color w:val="000000"/>
        </w:rPr>
        <w:t xml:space="preserve"> е съобразен със съществуващото положение и надгражда съоръжението, като се </w:t>
      </w:r>
      <w:r w:rsidR="003A71AA">
        <w:rPr>
          <w:rFonts w:ascii="Times New Roman" w:hAnsi="Times New Roman"/>
          <w:color w:val="000000"/>
        </w:rPr>
        <w:t>подобрява</w:t>
      </w:r>
      <w:r w:rsidRPr="00805152">
        <w:rPr>
          <w:rFonts w:ascii="Times New Roman" w:hAnsi="Times New Roman"/>
          <w:color w:val="000000"/>
        </w:rPr>
        <w:t xml:space="preserve"> и обогатява с още една нова функция – пешеходна алея със свободен достъп.</w:t>
      </w:r>
    </w:p>
    <w:p w14:paraId="6EA2CD8B" w14:textId="4E4B002C" w:rsidR="0069671A" w:rsidRPr="003A71AA" w:rsidRDefault="00965553" w:rsidP="003A71AA">
      <w:pPr>
        <w:pStyle w:val="a9"/>
        <w:spacing w:before="0" w:after="0" w:line="360" w:lineRule="auto"/>
        <w:ind w:left="20" w:right="20" w:firstLine="412"/>
        <w:rPr>
          <w:rFonts w:ascii="Times New Roman" w:hAnsi="Times New Roman"/>
          <w:color w:val="000000"/>
        </w:rPr>
      </w:pPr>
      <w:r w:rsidRPr="00805152">
        <w:rPr>
          <w:rFonts w:ascii="Times New Roman" w:hAnsi="Times New Roman"/>
          <w:color w:val="000000"/>
        </w:rPr>
        <w:t>С реализирането на проекта, в който съобразно съществуващото положение на вълнолома като хидротехническо съоръжение ще представя цялостна визия за бъдещото му действие и като зона за обществен достъп.</w:t>
      </w:r>
      <w:r w:rsidRPr="00805152">
        <w:rPr>
          <w:rFonts w:ascii="Times New Roman" w:hAnsi="Times New Roman"/>
        </w:rPr>
        <w:t xml:space="preserve"> </w:t>
      </w:r>
    </w:p>
    <w:p w14:paraId="0DE43841" w14:textId="77777777" w:rsidR="00C9595D" w:rsidRPr="00805152" w:rsidRDefault="00C9595D" w:rsidP="00C9595D">
      <w:pPr>
        <w:pStyle w:val="Heading2"/>
        <w:rPr>
          <w:rFonts w:ascii="Times New Roman" w:hAnsi="Times New Roman"/>
          <w:lang w:val="bg-BG"/>
        </w:rPr>
      </w:pPr>
      <w:bookmarkStart w:id="10" w:name="_Toc136961077"/>
      <w:r w:rsidRPr="00805152">
        <w:rPr>
          <w:rFonts w:ascii="Times New Roman" w:hAnsi="Times New Roman"/>
          <w:lang w:val="bg-BG"/>
        </w:rPr>
        <w:t>Класификация на обекта</w:t>
      </w:r>
      <w:bookmarkEnd w:id="10"/>
    </w:p>
    <w:p w14:paraId="074EC7E5" w14:textId="230590BE" w:rsidR="00C9595D" w:rsidRPr="00805152" w:rsidRDefault="00C9595D" w:rsidP="00C9595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Обектът е I-ва (</w:t>
      </w:r>
      <w:r w:rsidRPr="00805152">
        <w:rPr>
          <w:rFonts w:ascii="Times New Roman" w:eastAsia="Times New Roman" w:hAnsi="Times New Roman"/>
          <w:b/>
          <w:sz w:val="22"/>
          <w:lang w:val="bg-BG"/>
        </w:rPr>
        <w:t>първа) категория</w:t>
      </w:r>
      <w:r w:rsidRPr="00805152">
        <w:rPr>
          <w:rFonts w:ascii="Times New Roman" w:eastAsia="Times New Roman" w:hAnsi="Times New Roman"/>
          <w:sz w:val="22"/>
          <w:lang w:val="bg-BG"/>
        </w:rPr>
        <w:t xml:space="preserve"> от номенклатурата на видовете строежи, съгласно чл.137, ал.1, т.1, б. „</w:t>
      </w:r>
      <w:r w:rsidR="009B4D53">
        <w:rPr>
          <w:rFonts w:ascii="Times New Roman" w:eastAsia="Times New Roman" w:hAnsi="Times New Roman"/>
          <w:sz w:val="22"/>
          <w:lang w:val="bg-BG"/>
        </w:rPr>
        <w:t>д</w:t>
      </w:r>
      <w:r w:rsidRPr="00805152">
        <w:rPr>
          <w:rFonts w:ascii="Times New Roman" w:eastAsia="Times New Roman" w:hAnsi="Times New Roman"/>
          <w:sz w:val="22"/>
          <w:lang w:val="bg-BG"/>
        </w:rPr>
        <w:t>”</w:t>
      </w:r>
      <w:r w:rsidR="009B4D53">
        <w:rPr>
          <w:rFonts w:ascii="Times New Roman" w:eastAsia="Times New Roman" w:hAnsi="Times New Roman"/>
          <w:sz w:val="22"/>
          <w:lang w:val="bg-BG"/>
        </w:rPr>
        <w:t xml:space="preserve"> и „ж“</w:t>
      </w:r>
      <w:r w:rsidRPr="00805152">
        <w:rPr>
          <w:rFonts w:ascii="Times New Roman" w:eastAsia="Times New Roman" w:hAnsi="Times New Roman"/>
          <w:sz w:val="22"/>
          <w:lang w:val="bg-BG"/>
        </w:rPr>
        <w:t xml:space="preserve"> от </w:t>
      </w:r>
      <w:r w:rsidRPr="00805152">
        <w:rPr>
          <w:rFonts w:ascii="Times New Roman" w:eastAsia="Times New Roman" w:hAnsi="Times New Roman"/>
          <w:iCs/>
          <w:sz w:val="22"/>
          <w:lang w:val="bg-BG"/>
        </w:rPr>
        <w:t>Закона за устройство на територията</w:t>
      </w:r>
      <w:r w:rsidRPr="00805152">
        <w:rPr>
          <w:rFonts w:ascii="Times New Roman" w:eastAsia="Times New Roman" w:hAnsi="Times New Roman"/>
          <w:sz w:val="22"/>
          <w:lang w:val="bg-BG"/>
        </w:rPr>
        <w:t xml:space="preserve"> и чл. 2, ал. 1, т. 4 от Наредба №1/30.07.2003 г. на МРРБ за номенклатурата на видовете строежи.</w:t>
      </w:r>
    </w:p>
    <w:p w14:paraId="74574B18" w14:textId="49646D2F" w:rsidR="00C9595D" w:rsidRPr="00805152" w:rsidRDefault="00C9595D" w:rsidP="00C9595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Съгласно чл. 8, Табл. 2 от „Норми за проектиране на ХТС. Основни положения”, строежа „ПРОЕКТ ЗА РЕХАБИЛИТАЦИЯ НА ВЪЛНОЛОМ БУРГАС ” е І – ва категория. Клас на основните съоръжения І-ви клас. </w:t>
      </w:r>
    </w:p>
    <w:p w14:paraId="288865E9" w14:textId="58647968" w:rsidR="00073C64" w:rsidRPr="00805152" w:rsidRDefault="00073C64" w:rsidP="0069671A">
      <w:pPr>
        <w:spacing w:after="0" w:line="240" w:lineRule="auto"/>
        <w:jc w:val="left"/>
        <w:rPr>
          <w:rFonts w:ascii="Times New Roman" w:hAnsi="Times New Roman"/>
          <w:b/>
          <w:sz w:val="28"/>
          <w:szCs w:val="28"/>
          <w:lang w:val="bg-BG"/>
        </w:rPr>
      </w:pPr>
      <w:r w:rsidRPr="00805152">
        <w:rPr>
          <w:rFonts w:ascii="Times New Roman" w:hAnsi="Times New Roman"/>
          <w:sz w:val="28"/>
          <w:szCs w:val="28"/>
          <w:lang w:val="bg-BG"/>
        </w:rPr>
        <w:br w:type="page"/>
      </w:r>
    </w:p>
    <w:p w14:paraId="0D205197" w14:textId="11832A9A" w:rsidR="00073C64" w:rsidRPr="00805152" w:rsidRDefault="00073C64" w:rsidP="00A127A2">
      <w:pPr>
        <w:pStyle w:val="Heading1"/>
        <w:rPr>
          <w:rFonts w:ascii="Times New Roman" w:hAnsi="Times New Roman"/>
          <w:lang w:val="bg-BG"/>
        </w:rPr>
      </w:pPr>
      <w:bookmarkStart w:id="11" w:name="_Toc136961078"/>
      <w:r w:rsidRPr="00805152">
        <w:rPr>
          <w:rFonts w:ascii="Times New Roman" w:hAnsi="Times New Roman"/>
          <w:lang w:val="bg-BG"/>
        </w:rPr>
        <w:lastRenderedPageBreak/>
        <w:t>С</w:t>
      </w:r>
      <w:r w:rsidR="00805152" w:rsidRPr="00805152">
        <w:rPr>
          <w:rFonts w:ascii="Times New Roman" w:hAnsi="Times New Roman"/>
          <w:lang w:val="bg-BG"/>
        </w:rPr>
        <w:t>ъществуващото положение</w:t>
      </w:r>
      <w:bookmarkEnd w:id="11"/>
    </w:p>
    <w:p w14:paraId="40CA8CD2" w14:textId="77777777" w:rsidR="003427C5" w:rsidRPr="00805152" w:rsidRDefault="003427C5" w:rsidP="008B14A0">
      <w:pPr>
        <w:spacing w:after="0"/>
        <w:ind w:firstLine="432"/>
        <w:rPr>
          <w:rFonts w:ascii="Times New Roman" w:eastAsia="Times New Roman" w:hAnsi="Times New Roman"/>
          <w:sz w:val="22"/>
          <w:lang w:val="bg-BG"/>
        </w:rPr>
      </w:pPr>
    </w:p>
    <w:p w14:paraId="7FBB7F05" w14:textId="77777777" w:rsidR="003427C5" w:rsidRPr="00805152" w:rsidRDefault="003427C5" w:rsidP="003427C5">
      <w:pPr>
        <w:pStyle w:val="Heading2"/>
        <w:rPr>
          <w:rFonts w:ascii="Times New Roman" w:hAnsi="Times New Roman"/>
          <w:lang w:val="bg-BG"/>
        </w:rPr>
      </w:pPr>
      <w:bookmarkStart w:id="12" w:name="_Toc95837654"/>
      <w:bookmarkStart w:id="13" w:name="_Toc136961079"/>
      <w:r w:rsidRPr="00805152">
        <w:rPr>
          <w:rFonts w:ascii="Times New Roman" w:hAnsi="Times New Roman"/>
          <w:lang w:val="bg-BG"/>
        </w:rPr>
        <w:t>Местоположение</w:t>
      </w:r>
      <w:bookmarkEnd w:id="12"/>
      <w:r w:rsidRPr="00805152">
        <w:rPr>
          <w:rFonts w:ascii="Times New Roman" w:hAnsi="Times New Roman"/>
          <w:lang w:val="bg-BG"/>
        </w:rPr>
        <w:t>/ Историко-географска справка</w:t>
      </w:r>
      <w:bookmarkEnd w:id="13"/>
    </w:p>
    <w:p w14:paraId="55E58D00" w14:textId="77777777" w:rsidR="003427C5" w:rsidRPr="00805152" w:rsidRDefault="003427C5" w:rsidP="003427C5">
      <w:pPr>
        <w:spacing w:line="276" w:lineRule="auto"/>
        <w:ind w:firstLine="708"/>
        <w:rPr>
          <w:rFonts w:ascii="Times New Roman" w:hAnsi="Times New Roman"/>
          <w:bCs/>
          <w:sz w:val="22"/>
          <w:lang w:val="bg-BG"/>
        </w:rPr>
      </w:pPr>
      <w:r w:rsidRPr="00805152">
        <w:rPr>
          <w:rFonts w:ascii="Times New Roman" w:hAnsi="Times New Roman"/>
          <w:bCs/>
          <w:sz w:val="22"/>
          <w:lang w:val="bg-BG"/>
        </w:rPr>
        <w:t xml:space="preserve">Пристанище Бургас е основен градообразуващ елемент разположен в южната част на града, периферно в посока югозапад, запад, покрай брега. </w:t>
      </w:r>
    </w:p>
    <w:p w14:paraId="625F0E44" w14:textId="4141B428" w:rsidR="003427C5" w:rsidRPr="00805152" w:rsidRDefault="003427C5" w:rsidP="003427C5">
      <w:pPr>
        <w:suppressAutoHyphens/>
        <w:spacing w:line="276" w:lineRule="auto"/>
        <w:ind w:firstLine="708"/>
        <w:textAlignment w:val="baseline"/>
        <w:rPr>
          <w:rFonts w:ascii="Times New Roman" w:hAnsi="Times New Roman"/>
          <w:sz w:val="22"/>
          <w:lang w:val="bg-BG"/>
        </w:rPr>
      </w:pPr>
      <w:r w:rsidRPr="00805152">
        <w:rPr>
          <w:rFonts w:ascii="Times New Roman" w:hAnsi="Times New Roman"/>
          <w:bCs/>
          <w:sz w:val="22"/>
          <w:lang w:val="bg-BG"/>
        </w:rPr>
        <w:t>Пристанищният ареал се развива последователно и мащабно от 1902 г. досега в структурата на града и всички проекти за развитието на града влияят върху него, както и обратно - проектите на Пристанище Бургас влияят на гр. Бургас.</w:t>
      </w:r>
    </w:p>
    <w:p w14:paraId="73B33BAA" w14:textId="75825F00" w:rsidR="003427C5" w:rsidRPr="00805152" w:rsidRDefault="003427C5" w:rsidP="00BA723C">
      <w:pPr>
        <w:suppressAutoHyphens/>
        <w:spacing w:line="276" w:lineRule="auto"/>
        <w:ind w:firstLine="708"/>
        <w:jc w:val="center"/>
        <w:textAlignment w:val="baseline"/>
        <w:rPr>
          <w:rFonts w:ascii="Times New Roman" w:hAnsi="Times New Roman"/>
          <w:noProof/>
          <w:sz w:val="24"/>
          <w:szCs w:val="24"/>
          <w:lang w:val="bg-BG"/>
        </w:rPr>
      </w:pPr>
      <w:r w:rsidRPr="00805152">
        <w:rPr>
          <w:rFonts w:ascii="Times New Roman" w:hAnsi="Times New Roman"/>
          <w:noProof/>
          <w:sz w:val="24"/>
          <w:szCs w:val="24"/>
          <w:lang w:val="en-US"/>
        </w:rPr>
        <w:drawing>
          <wp:inline distT="0" distB="0" distL="0" distR="0" wp14:anchorId="3DF4080C" wp14:editId="1A8B8537">
            <wp:extent cx="4752975" cy="362458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2975" cy="3624580"/>
                    </a:xfrm>
                    <a:prstGeom prst="rect">
                      <a:avLst/>
                    </a:prstGeom>
                    <a:noFill/>
                    <a:ln>
                      <a:noFill/>
                    </a:ln>
                  </pic:spPr>
                </pic:pic>
              </a:graphicData>
            </a:graphic>
          </wp:inline>
        </w:drawing>
      </w:r>
    </w:p>
    <w:p w14:paraId="5AC6756E" w14:textId="7AE71035" w:rsidR="003427C5" w:rsidRDefault="003427C5" w:rsidP="00996D7F">
      <w:pPr>
        <w:pStyle w:val="BP-Figure"/>
        <w:ind w:left="1843" w:hanging="567"/>
        <w:jc w:val="both"/>
        <w:rPr>
          <w:iCs/>
          <w:sz w:val="20"/>
        </w:rPr>
      </w:pPr>
      <w:bookmarkStart w:id="14" w:name="_Toc43457663"/>
      <w:r w:rsidRPr="00805152">
        <w:t>Карта на Пристанищен терминал „Бургас – Изток 1“</w:t>
      </w:r>
      <w:bookmarkEnd w:id="14"/>
      <w:r w:rsidRPr="00996D7F">
        <w:rPr>
          <w:iCs/>
          <w:sz w:val="20"/>
        </w:rPr>
        <w:t xml:space="preserve">Източник: </w:t>
      </w:r>
      <w:hyperlink r:id="rId10" w:history="1">
        <w:r w:rsidRPr="00996D7F">
          <w:rPr>
            <w:rStyle w:val="Hyperlink"/>
            <w:iCs/>
            <w:sz w:val="20"/>
          </w:rPr>
          <w:t>https://port-burgas.bg/karta</w:t>
        </w:r>
      </w:hyperlink>
      <w:r w:rsidRPr="00996D7F">
        <w:rPr>
          <w:iCs/>
          <w:sz w:val="20"/>
        </w:rPr>
        <w:t xml:space="preserve"> </w:t>
      </w:r>
    </w:p>
    <w:p w14:paraId="246D3ACA" w14:textId="77777777" w:rsidR="00996D7F" w:rsidRPr="00996D7F" w:rsidRDefault="00996D7F" w:rsidP="00996D7F">
      <w:pPr>
        <w:rPr>
          <w:lang w:val="bg-BG" w:eastAsia="tr-TR"/>
        </w:rPr>
      </w:pPr>
    </w:p>
    <w:p w14:paraId="65FA58C1" w14:textId="2CBD7872" w:rsidR="003427C5" w:rsidRPr="00805152" w:rsidRDefault="003427C5" w:rsidP="003427C5">
      <w:pPr>
        <w:suppressAutoHyphens/>
        <w:spacing w:line="276" w:lineRule="auto"/>
        <w:ind w:firstLine="708"/>
        <w:textAlignment w:val="baseline"/>
        <w:rPr>
          <w:rFonts w:ascii="Times New Roman" w:hAnsi="Times New Roman"/>
          <w:sz w:val="22"/>
          <w:lang w:val="bg-BG"/>
        </w:rPr>
      </w:pPr>
      <w:r w:rsidRPr="00805152">
        <w:rPr>
          <w:rFonts w:ascii="Times New Roman" w:hAnsi="Times New Roman"/>
          <w:sz w:val="22"/>
          <w:lang w:val="bg-BG"/>
        </w:rPr>
        <w:t xml:space="preserve">На север пристанище Бургас граничи с централната градска част на Бургас, а  на запад – с територията на пристанищен терминал „Бургас – Запад“, граничеща с индустриалната зона на града. На юг и изток </w:t>
      </w:r>
      <w:r w:rsidR="00733A8C" w:rsidRPr="00805152">
        <w:rPr>
          <w:rFonts w:ascii="Times New Roman" w:hAnsi="Times New Roman"/>
          <w:sz w:val="22"/>
          <w:lang w:val="bg-BG"/>
        </w:rPr>
        <w:t>пристанището</w:t>
      </w:r>
      <w:r w:rsidRPr="00805152">
        <w:rPr>
          <w:rFonts w:ascii="Times New Roman" w:hAnsi="Times New Roman"/>
          <w:sz w:val="22"/>
          <w:lang w:val="bg-BG"/>
        </w:rPr>
        <w:t xml:space="preserve"> граничи с морето. </w:t>
      </w:r>
    </w:p>
    <w:p w14:paraId="502BC5D2" w14:textId="2D7ACB17" w:rsidR="003427C5" w:rsidRPr="00805152" w:rsidRDefault="003427C5" w:rsidP="003427C5">
      <w:pPr>
        <w:pStyle w:val="NormalText0"/>
        <w:rPr>
          <w:rFonts w:ascii="Times New Roman" w:eastAsia="SimSun" w:hAnsi="Times New Roman"/>
          <w:color w:val="auto"/>
          <w:sz w:val="22"/>
          <w:szCs w:val="22"/>
        </w:rPr>
      </w:pPr>
      <w:r w:rsidRPr="00805152">
        <w:rPr>
          <w:rFonts w:ascii="Times New Roman" w:eastAsia="SimSun" w:hAnsi="Times New Roman"/>
          <w:color w:val="auto"/>
          <w:sz w:val="22"/>
          <w:szCs w:val="22"/>
        </w:rPr>
        <w:t>За защита на пристанище Бургас от вълни с посока от север и североизток най-напред е изграден Вълнолом (стария вълнолом с направление север – юг).</w:t>
      </w:r>
      <w:r w:rsidRPr="00805152">
        <w:rPr>
          <w:rFonts w:ascii="Times New Roman" w:hAnsi="Times New Roman"/>
          <w:sz w:val="22"/>
          <w:szCs w:val="22"/>
        </w:rPr>
        <w:t xml:space="preserve"> </w:t>
      </w:r>
      <w:r w:rsidRPr="00805152">
        <w:rPr>
          <w:rFonts w:ascii="Times New Roman" w:eastAsia="SimSun" w:hAnsi="Times New Roman"/>
          <w:color w:val="auto"/>
          <w:sz w:val="22"/>
          <w:szCs w:val="22"/>
        </w:rPr>
        <w:t>Годината на изграждане е 1902 г.</w:t>
      </w:r>
    </w:p>
    <w:p w14:paraId="3A50DDBC" w14:textId="6E13F994" w:rsidR="003427C5" w:rsidRPr="00805152" w:rsidRDefault="003427C5" w:rsidP="003427C5">
      <w:pPr>
        <w:pStyle w:val="NormalText0"/>
        <w:rPr>
          <w:rFonts w:ascii="Times New Roman" w:eastAsia="SimSun" w:hAnsi="Times New Roman"/>
          <w:color w:val="auto"/>
          <w:sz w:val="22"/>
          <w:szCs w:val="22"/>
        </w:rPr>
      </w:pPr>
      <w:r w:rsidRPr="00805152">
        <w:rPr>
          <w:rFonts w:ascii="Times New Roman" w:eastAsia="SimSun" w:hAnsi="Times New Roman"/>
          <w:color w:val="auto"/>
          <w:sz w:val="22"/>
          <w:szCs w:val="22"/>
        </w:rPr>
        <w:lastRenderedPageBreak/>
        <w:t>В началото през 1903 г. са изградени  6 бр. корабни места от 1-во до 6-то. В периода от 1958 да 1968 г. са изградени още 8 бр. корабни места (от 7-мо до 16-то).</w:t>
      </w:r>
    </w:p>
    <w:p w14:paraId="4B5743F9" w14:textId="0F5AA25F" w:rsidR="003427C5" w:rsidRPr="00805152" w:rsidRDefault="003427C5" w:rsidP="003427C5">
      <w:pPr>
        <w:pStyle w:val="NormalText0"/>
        <w:rPr>
          <w:rFonts w:ascii="Times New Roman" w:eastAsia="SimSun" w:hAnsi="Times New Roman"/>
          <w:color w:val="auto"/>
          <w:sz w:val="22"/>
          <w:szCs w:val="22"/>
        </w:rPr>
      </w:pPr>
      <w:r w:rsidRPr="00805152">
        <w:rPr>
          <w:rFonts w:ascii="Times New Roman" w:eastAsia="SimSun" w:hAnsi="Times New Roman"/>
          <w:color w:val="auto"/>
          <w:sz w:val="22"/>
          <w:szCs w:val="22"/>
        </w:rPr>
        <w:t xml:space="preserve">Корабните места от т.н. „Кей насипни товари“ са изградени в </w:t>
      </w:r>
      <w:r w:rsidR="00733A8C" w:rsidRPr="00805152">
        <w:rPr>
          <w:rFonts w:ascii="Times New Roman" w:eastAsia="SimSun" w:hAnsi="Times New Roman"/>
          <w:color w:val="auto"/>
          <w:sz w:val="22"/>
          <w:szCs w:val="22"/>
        </w:rPr>
        <w:t>периода</w:t>
      </w:r>
      <w:r w:rsidRPr="00805152">
        <w:rPr>
          <w:rFonts w:ascii="Times New Roman" w:eastAsia="SimSun" w:hAnsi="Times New Roman"/>
          <w:color w:val="auto"/>
          <w:sz w:val="22"/>
          <w:szCs w:val="22"/>
        </w:rPr>
        <w:t xml:space="preserve"> 1972 – 1974 година.</w:t>
      </w:r>
    </w:p>
    <w:p w14:paraId="6DD776A7" w14:textId="2313D6E1" w:rsidR="003427C5" w:rsidRPr="00805152" w:rsidRDefault="003427C5" w:rsidP="003427C5">
      <w:pPr>
        <w:pStyle w:val="NormalText0"/>
        <w:rPr>
          <w:rFonts w:ascii="Times New Roman" w:eastAsia="SimSun" w:hAnsi="Times New Roman"/>
          <w:color w:val="auto"/>
          <w:sz w:val="22"/>
          <w:szCs w:val="22"/>
        </w:rPr>
      </w:pPr>
      <w:r w:rsidRPr="00805152">
        <w:rPr>
          <w:rFonts w:ascii="Times New Roman" w:eastAsia="SimSun" w:hAnsi="Times New Roman"/>
          <w:color w:val="auto"/>
          <w:sz w:val="22"/>
          <w:szCs w:val="22"/>
        </w:rPr>
        <w:t xml:space="preserve">През 1971 година е изградено и 21-во корабно място от </w:t>
      </w:r>
      <w:r w:rsidR="00733A8C" w:rsidRPr="00805152">
        <w:rPr>
          <w:rFonts w:ascii="Times New Roman" w:eastAsia="SimSun" w:hAnsi="Times New Roman"/>
          <w:color w:val="auto"/>
          <w:sz w:val="22"/>
          <w:szCs w:val="22"/>
        </w:rPr>
        <w:t>пристанищен</w:t>
      </w:r>
      <w:r w:rsidRPr="00805152">
        <w:rPr>
          <w:rFonts w:ascii="Times New Roman" w:eastAsia="SimSun" w:hAnsi="Times New Roman"/>
          <w:color w:val="auto"/>
          <w:sz w:val="22"/>
          <w:szCs w:val="22"/>
        </w:rPr>
        <w:t xml:space="preserve"> терминал Бургас –запад.  Останалите корабни места на Бургас –запад от 22-ро до 24-то са изградени в периода 1980 - 1984 г. а 25-то – през 1997 г. </w:t>
      </w:r>
    </w:p>
    <w:p w14:paraId="7DEFE4A4" w14:textId="77777777" w:rsidR="003427C5" w:rsidRPr="00805152" w:rsidRDefault="003427C5" w:rsidP="003427C5">
      <w:pPr>
        <w:pStyle w:val="NormalText0"/>
        <w:rPr>
          <w:rFonts w:ascii="Times New Roman" w:eastAsia="SimSun" w:hAnsi="Times New Roman"/>
          <w:color w:val="auto"/>
          <w:sz w:val="22"/>
          <w:szCs w:val="22"/>
        </w:rPr>
      </w:pPr>
      <w:r w:rsidRPr="00805152">
        <w:rPr>
          <w:rFonts w:ascii="Times New Roman" w:eastAsia="SimSun" w:hAnsi="Times New Roman"/>
          <w:color w:val="auto"/>
          <w:sz w:val="22"/>
          <w:szCs w:val="22"/>
        </w:rPr>
        <w:t xml:space="preserve">От така описаната хронология за изграждане и развитие на пристанище Бургас се установява важната и основна роля на стария вълнолом за защита на по-голямата част от сегашната територия и акватория на пристанището. </w:t>
      </w:r>
    </w:p>
    <w:p w14:paraId="35893745" w14:textId="5ACE0520" w:rsidR="003427C5" w:rsidRPr="00805152" w:rsidRDefault="003427C5" w:rsidP="003427C5">
      <w:pPr>
        <w:pStyle w:val="NormalText0"/>
        <w:rPr>
          <w:rFonts w:ascii="Times New Roman" w:hAnsi="Times New Roman"/>
          <w:sz w:val="22"/>
          <w:szCs w:val="22"/>
        </w:rPr>
      </w:pPr>
      <w:r w:rsidRPr="00805152">
        <w:rPr>
          <w:rFonts w:ascii="Times New Roman" w:eastAsia="SimSun" w:hAnsi="Times New Roman"/>
          <w:color w:val="auto"/>
          <w:sz w:val="22"/>
          <w:szCs w:val="22"/>
        </w:rPr>
        <w:t xml:space="preserve">След изграждането на Терминал 2А и новия източен вълнолом Бургас, ролята на стария вълнолом е за защита на акваторията на корабните места от </w:t>
      </w:r>
      <w:r w:rsidR="00733A8C" w:rsidRPr="00805152">
        <w:rPr>
          <w:rFonts w:ascii="Times New Roman" w:eastAsia="SimSun" w:hAnsi="Times New Roman"/>
          <w:color w:val="auto"/>
          <w:sz w:val="22"/>
          <w:szCs w:val="22"/>
        </w:rPr>
        <w:t>пристанищен</w:t>
      </w:r>
      <w:r w:rsidRPr="00805152">
        <w:rPr>
          <w:rFonts w:ascii="Times New Roman" w:eastAsia="SimSun" w:hAnsi="Times New Roman"/>
          <w:color w:val="auto"/>
          <w:sz w:val="22"/>
          <w:szCs w:val="22"/>
        </w:rPr>
        <w:t xml:space="preserve"> терминал </w:t>
      </w:r>
      <w:r w:rsidR="00D353C8" w:rsidRPr="00805152">
        <w:rPr>
          <w:rFonts w:ascii="Times New Roman" w:eastAsia="SimSun" w:hAnsi="Times New Roman"/>
          <w:color w:val="auto"/>
          <w:sz w:val="22"/>
          <w:szCs w:val="22"/>
        </w:rPr>
        <w:t>„</w:t>
      </w:r>
      <w:r w:rsidRPr="00805152">
        <w:rPr>
          <w:rFonts w:ascii="Times New Roman" w:eastAsia="SimSun" w:hAnsi="Times New Roman"/>
          <w:color w:val="auto"/>
          <w:sz w:val="22"/>
          <w:szCs w:val="22"/>
        </w:rPr>
        <w:t xml:space="preserve">Бургас – </w:t>
      </w:r>
      <w:r w:rsidR="00D353C8" w:rsidRPr="00805152">
        <w:rPr>
          <w:rFonts w:ascii="Times New Roman" w:eastAsia="SimSun" w:hAnsi="Times New Roman"/>
          <w:color w:val="auto"/>
          <w:sz w:val="22"/>
          <w:szCs w:val="22"/>
        </w:rPr>
        <w:t>И</w:t>
      </w:r>
      <w:r w:rsidRPr="00805152">
        <w:rPr>
          <w:rFonts w:ascii="Times New Roman" w:eastAsia="SimSun" w:hAnsi="Times New Roman"/>
          <w:color w:val="auto"/>
          <w:sz w:val="22"/>
          <w:szCs w:val="22"/>
        </w:rPr>
        <w:t>зток 1</w:t>
      </w:r>
      <w:r w:rsidR="00D353C8" w:rsidRPr="00805152">
        <w:rPr>
          <w:rFonts w:ascii="Times New Roman" w:eastAsia="SimSun" w:hAnsi="Times New Roman"/>
          <w:color w:val="auto"/>
          <w:sz w:val="22"/>
          <w:szCs w:val="22"/>
        </w:rPr>
        <w:t>“</w:t>
      </w:r>
      <w:r w:rsidRPr="00805152">
        <w:rPr>
          <w:rFonts w:ascii="Times New Roman" w:eastAsia="SimSun" w:hAnsi="Times New Roman"/>
          <w:color w:val="auto"/>
          <w:sz w:val="22"/>
          <w:szCs w:val="22"/>
        </w:rPr>
        <w:t xml:space="preserve"> и тези на Кей насипни </w:t>
      </w:r>
      <w:r w:rsidR="00733A8C" w:rsidRPr="00805152">
        <w:rPr>
          <w:rFonts w:ascii="Times New Roman" w:eastAsia="SimSun" w:hAnsi="Times New Roman"/>
          <w:color w:val="auto"/>
          <w:sz w:val="22"/>
          <w:szCs w:val="22"/>
        </w:rPr>
        <w:t>товари</w:t>
      </w:r>
      <w:r w:rsidRPr="00805152">
        <w:rPr>
          <w:rFonts w:ascii="Times New Roman" w:eastAsia="SimSun" w:hAnsi="Times New Roman"/>
          <w:color w:val="auto"/>
          <w:sz w:val="22"/>
          <w:szCs w:val="22"/>
        </w:rPr>
        <w:t xml:space="preserve"> от пристанищен терминал </w:t>
      </w:r>
      <w:r w:rsidR="00D353C8" w:rsidRPr="00805152">
        <w:rPr>
          <w:rFonts w:ascii="Times New Roman" w:eastAsia="SimSun" w:hAnsi="Times New Roman"/>
          <w:color w:val="auto"/>
          <w:sz w:val="22"/>
          <w:szCs w:val="22"/>
        </w:rPr>
        <w:t>„</w:t>
      </w:r>
      <w:r w:rsidRPr="00805152">
        <w:rPr>
          <w:rFonts w:ascii="Times New Roman" w:eastAsia="SimSun" w:hAnsi="Times New Roman"/>
          <w:color w:val="auto"/>
          <w:sz w:val="22"/>
          <w:szCs w:val="22"/>
        </w:rPr>
        <w:t>Бургас</w:t>
      </w:r>
      <w:r w:rsidR="00D353C8" w:rsidRPr="00805152">
        <w:rPr>
          <w:rFonts w:ascii="Times New Roman" w:eastAsia="SimSun" w:hAnsi="Times New Roman"/>
          <w:color w:val="auto"/>
          <w:sz w:val="22"/>
          <w:szCs w:val="22"/>
        </w:rPr>
        <w:t>-И</w:t>
      </w:r>
      <w:r w:rsidRPr="00805152">
        <w:rPr>
          <w:rFonts w:ascii="Times New Roman" w:eastAsia="SimSun" w:hAnsi="Times New Roman"/>
          <w:color w:val="auto"/>
          <w:sz w:val="22"/>
          <w:szCs w:val="22"/>
        </w:rPr>
        <w:t>зток 2</w:t>
      </w:r>
      <w:r w:rsidR="00D353C8" w:rsidRPr="00805152">
        <w:rPr>
          <w:rFonts w:ascii="Times New Roman" w:eastAsia="SimSun" w:hAnsi="Times New Roman"/>
          <w:color w:val="auto"/>
          <w:sz w:val="22"/>
          <w:szCs w:val="22"/>
        </w:rPr>
        <w:t>“</w:t>
      </w:r>
      <w:r w:rsidRPr="00805152">
        <w:rPr>
          <w:rFonts w:ascii="Times New Roman" w:eastAsia="SimSun" w:hAnsi="Times New Roman"/>
          <w:color w:val="auto"/>
          <w:sz w:val="22"/>
          <w:szCs w:val="22"/>
        </w:rPr>
        <w:t xml:space="preserve">, заедно с </w:t>
      </w:r>
      <w:r w:rsidR="00733A8C" w:rsidRPr="00805152">
        <w:rPr>
          <w:rFonts w:ascii="Times New Roman" w:eastAsia="SimSun" w:hAnsi="Times New Roman"/>
          <w:color w:val="auto"/>
          <w:sz w:val="22"/>
          <w:szCs w:val="22"/>
        </w:rPr>
        <w:t>прилежащите</w:t>
      </w:r>
      <w:r w:rsidRPr="00805152">
        <w:rPr>
          <w:rFonts w:ascii="Times New Roman" w:eastAsia="SimSun" w:hAnsi="Times New Roman"/>
          <w:color w:val="auto"/>
          <w:sz w:val="22"/>
          <w:szCs w:val="22"/>
        </w:rPr>
        <w:t xml:space="preserve"> им територии, инфраструктура и съоръжения, в т. ч и </w:t>
      </w:r>
      <w:r w:rsidR="00733A8C" w:rsidRPr="00805152">
        <w:rPr>
          <w:rFonts w:ascii="Times New Roman" w:eastAsia="SimSun" w:hAnsi="Times New Roman"/>
          <w:color w:val="auto"/>
          <w:sz w:val="22"/>
          <w:szCs w:val="22"/>
        </w:rPr>
        <w:t>съхраняваните</w:t>
      </w:r>
      <w:r w:rsidRPr="00805152">
        <w:rPr>
          <w:rFonts w:ascii="Times New Roman" w:eastAsia="SimSun" w:hAnsi="Times New Roman"/>
          <w:color w:val="auto"/>
          <w:sz w:val="22"/>
          <w:szCs w:val="22"/>
        </w:rPr>
        <w:t xml:space="preserve"> товари. </w:t>
      </w:r>
    </w:p>
    <w:p w14:paraId="062765C9" w14:textId="1C032328" w:rsidR="008B14A0" w:rsidRPr="00805152" w:rsidRDefault="00073C64" w:rsidP="0012351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В</w:t>
      </w:r>
      <w:r w:rsidR="003427C5" w:rsidRPr="00805152">
        <w:rPr>
          <w:rFonts w:ascii="Times New Roman" w:eastAsia="Times New Roman" w:hAnsi="Times New Roman"/>
          <w:sz w:val="22"/>
          <w:lang w:val="bg-BG"/>
        </w:rPr>
        <w:t xml:space="preserve">ълноломът в пристанище Бургас </w:t>
      </w:r>
      <w:r w:rsidRPr="00805152">
        <w:rPr>
          <w:rFonts w:ascii="Times New Roman" w:eastAsia="Times New Roman" w:hAnsi="Times New Roman"/>
          <w:sz w:val="22"/>
          <w:lang w:val="bg-BG"/>
        </w:rPr>
        <w:t xml:space="preserve">е изграден като каменно насипно тяло с каскадно подредени </w:t>
      </w:r>
      <w:r w:rsidR="003A71AA" w:rsidRPr="00805152">
        <w:rPr>
          <w:rFonts w:ascii="Times New Roman" w:eastAsia="Times New Roman" w:hAnsi="Times New Roman"/>
          <w:sz w:val="22"/>
          <w:lang w:val="bg-BG"/>
        </w:rPr>
        <w:t>бутобетон</w:t>
      </w:r>
      <w:r w:rsidR="003A71AA">
        <w:rPr>
          <w:rFonts w:ascii="Times New Roman" w:eastAsia="Times New Roman" w:hAnsi="Times New Roman"/>
          <w:sz w:val="22"/>
          <w:lang w:val="bg-BG"/>
        </w:rPr>
        <w:t>н</w:t>
      </w:r>
      <w:r w:rsidR="003A71AA" w:rsidRPr="00805152">
        <w:rPr>
          <w:rFonts w:ascii="Times New Roman" w:eastAsia="Times New Roman" w:hAnsi="Times New Roman"/>
          <w:sz w:val="22"/>
          <w:lang w:val="bg-BG"/>
        </w:rPr>
        <w:t>и</w:t>
      </w:r>
      <w:r w:rsidRPr="00805152">
        <w:rPr>
          <w:rFonts w:ascii="Times New Roman" w:eastAsia="Times New Roman" w:hAnsi="Times New Roman"/>
          <w:sz w:val="22"/>
          <w:lang w:val="bg-BG"/>
        </w:rPr>
        <w:t xml:space="preserve"> блокове. Предпазен е от по</w:t>
      </w:r>
      <w:r w:rsidR="008B14A0" w:rsidRPr="00805152">
        <w:rPr>
          <w:rFonts w:ascii="Times New Roman" w:eastAsia="Times New Roman" w:hAnsi="Times New Roman"/>
          <w:sz w:val="22"/>
          <w:lang w:val="bg-BG"/>
        </w:rPr>
        <w:t>-</w:t>
      </w:r>
      <w:r w:rsidRPr="00805152">
        <w:rPr>
          <w:rFonts w:ascii="Times New Roman" w:eastAsia="Times New Roman" w:hAnsi="Times New Roman"/>
          <w:sz w:val="22"/>
          <w:lang w:val="bg-BG"/>
        </w:rPr>
        <w:t>големи каменни блокове с единично тегло 500 – 1500</w:t>
      </w:r>
      <w:r w:rsidR="008B14A0" w:rsidRPr="00805152">
        <w:rPr>
          <w:rFonts w:ascii="Times New Roman" w:eastAsia="Times New Roman" w:hAnsi="Times New Roman"/>
          <w:sz w:val="22"/>
          <w:lang w:val="bg-BG"/>
        </w:rPr>
        <w:t xml:space="preserve"> </w:t>
      </w:r>
      <w:r w:rsidR="00D353C8" w:rsidRPr="00805152">
        <w:rPr>
          <w:rFonts w:ascii="Times New Roman" w:eastAsia="Times New Roman" w:hAnsi="Times New Roman"/>
          <w:sz w:val="22"/>
          <w:lang w:val="bg-BG"/>
        </w:rPr>
        <w:t>кг</w:t>
      </w:r>
      <w:r w:rsidRPr="00805152">
        <w:rPr>
          <w:rFonts w:ascii="Times New Roman" w:eastAsia="Times New Roman" w:hAnsi="Times New Roman"/>
          <w:sz w:val="22"/>
          <w:lang w:val="bg-BG"/>
        </w:rPr>
        <w:t>. и защитни вълногасящи бетонни елементи – тетраподи с тегло 8,00</w:t>
      </w:r>
      <w:r w:rsidR="00D353C8" w:rsidRPr="00805152">
        <w:rPr>
          <w:rFonts w:ascii="Times New Roman" w:eastAsia="Times New Roman" w:hAnsi="Times New Roman"/>
          <w:sz w:val="22"/>
          <w:lang w:val="bg-BG"/>
        </w:rPr>
        <w:t xml:space="preserve"> т.</w:t>
      </w:r>
      <w:r w:rsidRPr="00805152">
        <w:rPr>
          <w:rFonts w:ascii="Times New Roman" w:eastAsia="Times New Roman" w:hAnsi="Times New Roman"/>
          <w:sz w:val="22"/>
          <w:lang w:val="bg-BG"/>
        </w:rPr>
        <w:t>, 10,00</w:t>
      </w:r>
      <w:r w:rsidR="00D353C8" w:rsidRPr="00805152">
        <w:rPr>
          <w:rFonts w:ascii="Times New Roman" w:eastAsia="Times New Roman" w:hAnsi="Times New Roman"/>
          <w:sz w:val="22"/>
          <w:lang w:val="bg-BG"/>
        </w:rPr>
        <w:t xml:space="preserve"> т</w:t>
      </w:r>
      <w:r w:rsidRPr="00805152">
        <w:rPr>
          <w:rFonts w:ascii="Times New Roman" w:eastAsia="Times New Roman" w:hAnsi="Times New Roman"/>
          <w:sz w:val="22"/>
          <w:lang w:val="bg-BG"/>
        </w:rPr>
        <w:t xml:space="preserve">. </w:t>
      </w:r>
    </w:p>
    <w:p w14:paraId="5B8D0408" w14:textId="4E6F5428" w:rsidR="00073C64" w:rsidRPr="00805152" w:rsidRDefault="00073C64" w:rsidP="0012351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Допълнително е изграден сглобяем вълнобой</w:t>
      </w:r>
      <w:r w:rsidR="008B14A0" w:rsidRPr="00805152">
        <w:rPr>
          <w:rFonts w:ascii="Times New Roman" w:eastAsia="Times New Roman" w:hAnsi="Times New Roman"/>
          <w:sz w:val="22"/>
          <w:lang w:val="bg-BG"/>
        </w:rPr>
        <w:t xml:space="preserve"> от стоманобетонна надстройка</w:t>
      </w:r>
      <w:r w:rsidRPr="00805152">
        <w:rPr>
          <w:rFonts w:ascii="Times New Roman" w:eastAsia="Times New Roman" w:hAnsi="Times New Roman"/>
          <w:sz w:val="22"/>
          <w:lang w:val="bg-BG"/>
        </w:rPr>
        <w:t xml:space="preserve">, който е в лошо техническо състояние – с видима корозирала армировка на темето на вълнобоя, приблизително на Кота +6,90m. - +6,95m. </w:t>
      </w:r>
    </w:p>
    <w:p w14:paraId="4BE092E1" w14:textId="21A4A996" w:rsidR="00073C64" w:rsidRPr="00805152" w:rsidRDefault="00073C64" w:rsidP="00073C64">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В посока територия </w:t>
      </w:r>
      <w:r w:rsidRPr="00DC024B">
        <w:rPr>
          <w:rFonts w:ascii="Times New Roman" w:eastAsia="Times New Roman" w:hAnsi="Times New Roman"/>
          <w:sz w:val="22"/>
          <w:lang w:val="bg-BG"/>
        </w:rPr>
        <w:t>вълноломът е настъпален на</w:t>
      </w:r>
      <w:r w:rsidRPr="00805152">
        <w:rPr>
          <w:rFonts w:ascii="Times New Roman" w:eastAsia="Times New Roman" w:hAnsi="Times New Roman"/>
          <w:sz w:val="22"/>
          <w:lang w:val="bg-BG"/>
        </w:rPr>
        <w:t xml:space="preserve"> две нива до достигане нивото на пътното платно около Кота +1,72</w:t>
      </w:r>
      <w:r w:rsidR="008B14A0" w:rsidRPr="00805152">
        <w:rPr>
          <w:rFonts w:ascii="Times New Roman" w:eastAsia="Times New Roman" w:hAnsi="Times New Roman"/>
          <w:sz w:val="22"/>
          <w:lang w:val="bg-BG"/>
        </w:rPr>
        <w:t xml:space="preserve"> м</w:t>
      </w:r>
      <w:r w:rsidRPr="00805152">
        <w:rPr>
          <w:rFonts w:ascii="Times New Roman" w:eastAsia="Times New Roman" w:hAnsi="Times New Roman"/>
          <w:sz w:val="22"/>
          <w:lang w:val="bg-BG"/>
        </w:rPr>
        <w:t>. (+2,00-ЧС). При извършваните в последните години периодични проверки в съответствие с изискванията за безопасна работа и Наредба №9 за изискванията за експлоатационна годност на пристанищата, във всички протоколи са отразени препоръки за най</w:t>
      </w:r>
      <w:r w:rsidR="008B14A0" w:rsidRPr="00805152">
        <w:rPr>
          <w:rFonts w:ascii="Times New Roman" w:eastAsia="Times New Roman" w:hAnsi="Times New Roman"/>
          <w:sz w:val="22"/>
          <w:lang w:val="bg-BG"/>
        </w:rPr>
        <w:t>-</w:t>
      </w:r>
      <w:r w:rsidRPr="00805152">
        <w:rPr>
          <w:rFonts w:ascii="Times New Roman" w:eastAsia="Times New Roman" w:hAnsi="Times New Roman"/>
          <w:sz w:val="22"/>
          <w:lang w:val="bg-BG"/>
        </w:rPr>
        <w:t xml:space="preserve">необходими и неотложни действия, гарантиращи безопасността на експлоатацията. Установени са също </w:t>
      </w:r>
      <w:r w:rsidR="00733A8C" w:rsidRPr="00805152">
        <w:rPr>
          <w:rFonts w:ascii="Times New Roman" w:eastAsia="Times New Roman" w:hAnsi="Times New Roman"/>
          <w:sz w:val="22"/>
          <w:lang w:val="bg-BG"/>
        </w:rPr>
        <w:t>разпилени</w:t>
      </w:r>
      <w:r w:rsidRPr="00805152">
        <w:rPr>
          <w:rFonts w:ascii="Times New Roman" w:eastAsia="Times New Roman" w:hAnsi="Times New Roman"/>
          <w:sz w:val="22"/>
          <w:lang w:val="bg-BG"/>
        </w:rPr>
        <w:t xml:space="preserve"> тетраподи по откоса, а на главата от западна страна на </w:t>
      </w:r>
      <w:r w:rsidRPr="00BA723C">
        <w:rPr>
          <w:rFonts w:ascii="Times New Roman" w:eastAsia="Times New Roman" w:hAnsi="Times New Roman"/>
          <w:sz w:val="22"/>
          <w:lang w:val="bg-BG"/>
        </w:rPr>
        <w:t>вълнолома липсват,</w:t>
      </w:r>
      <w:r w:rsidRPr="00805152">
        <w:rPr>
          <w:rFonts w:ascii="Times New Roman" w:eastAsia="Times New Roman" w:hAnsi="Times New Roman"/>
          <w:sz w:val="22"/>
          <w:lang w:val="bg-BG"/>
        </w:rPr>
        <w:t xml:space="preserve"> като по този начин е намалена ефективността на гасене на вълната при </w:t>
      </w:r>
      <w:r w:rsidR="00733A8C" w:rsidRPr="00805152">
        <w:rPr>
          <w:rFonts w:ascii="Times New Roman" w:eastAsia="Times New Roman" w:hAnsi="Times New Roman"/>
          <w:sz w:val="22"/>
          <w:lang w:val="bg-BG"/>
        </w:rPr>
        <w:t>щурмови</w:t>
      </w:r>
      <w:r w:rsidRPr="00805152">
        <w:rPr>
          <w:rFonts w:ascii="Times New Roman" w:eastAsia="Times New Roman" w:hAnsi="Times New Roman"/>
          <w:sz w:val="22"/>
          <w:lang w:val="bg-BG"/>
        </w:rPr>
        <w:t xml:space="preserve"> условия.</w:t>
      </w:r>
    </w:p>
    <w:p w14:paraId="3037BF61" w14:textId="1DC99E00" w:rsidR="00073C64" w:rsidRPr="00805152" w:rsidRDefault="00073C64" w:rsidP="008B14A0">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На места от страна на морето липсва стоманобетоновата стена служеща за предпазване на първоначалният каменен зид от морското вълнение.</w:t>
      </w:r>
      <w:r w:rsidR="008B14A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В голямата си част повърхностите са третирани с неармиран торкрет бетон, който е напукан и на места е разрушен.</w:t>
      </w:r>
    </w:p>
    <w:p w14:paraId="6FA44CB9" w14:textId="0F239150" w:rsidR="00073C64" w:rsidRPr="00805152" w:rsidRDefault="008B14A0" w:rsidP="00AF0B41">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На следващите фигури са показани снимки със съществуващото положение на вълнолома.  </w:t>
      </w:r>
    </w:p>
    <w:p w14:paraId="1D84283D" w14:textId="512BF135" w:rsidR="008B14A0" w:rsidRPr="00805152" w:rsidRDefault="008B14A0" w:rsidP="00BA723C">
      <w:pPr>
        <w:spacing w:after="120" w:line="300" w:lineRule="atLeast"/>
        <w:jc w:val="center"/>
        <w:rPr>
          <w:rFonts w:ascii="Times New Roman" w:hAnsi="Times New Roman"/>
          <w:i/>
          <w:sz w:val="22"/>
          <w:lang w:val="bg-BG"/>
        </w:rPr>
      </w:pPr>
      <w:r w:rsidRPr="00805152">
        <w:rPr>
          <w:rFonts w:ascii="Times New Roman" w:hAnsi="Times New Roman"/>
          <w:noProof/>
          <w:lang w:val="en-US"/>
        </w:rPr>
        <w:lastRenderedPageBreak/>
        <w:drawing>
          <wp:inline distT="0" distB="0" distL="0" distR="0" wp14:anchorId="4BBC14EB" wp14:editId="4B5D57DE">
            <wp:extent cx="3042000" cy="1800000"/>
            <wp:effectExtent l="19050" t="19050" r="25400"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3042000" cy="1800000"/>
                    </a:xfrm>
                    <a:prstGeom prst="rect">
                      <a:avLst/>
                    </a:prstGeom>
                    <a:ln>
                      <a:solidFill>
                        <a:schemeClr val="accent1"/>
                      </a:solidFill>
                    </a:ln>
                  </pic:spPr>
                </pic:pic>
              </a:graphicData>
            </a:graphic>
          </wp:inline>
        </w:drawing>
      </w:r>
      <w:r w:rsidRPr="00805152">
        <w:rPr>
          <w:rFonts w:ascii="Times New Roman" w:hAnsi="Times New Roman"/>
          <w:noProof/>
          <w:lang w:val="en-US"/>
        </w:rPr>
        <w:drawing>
          <wp:inline distT="0" distB="0" distL="0" distR="0" wp14:anchorId="5A616E39" wp14:editId="0AF7CF10">
            <wp:extent cx="2610000" cy="1800000"/>
            <wp:effectExtent l="19050" t="19050" r="19050" b="101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2610000" cy="1800000"/>
                    </a:xfrm>
                    <a:prstGeom prst="rect">
                      <a:avLst/>
                    </a:prstGeom>
                    <a:ln>
                      <a:solidFill>
                        <a:schemeClr val="accent1"/>
                      </a:solidFill>
                    </a:ln>
                  </pic:spPr>
                </pic:pic>
              </a:graphicData>
            </a:graphic>
          </wp:inline>
        </w:drawing>
      </w:r>
    </w:p>
    <w:p w14:paraId="475AD59A" w14:textId="796C806E" w:rsidR="008B14A0" w:rsidRPr="00805152" w:rsidRDefault="008B14A0" w:rsidP="00BA723C">
      <w:pPr>
        <w:spacing w:after="120" w:line="300" w:lineRule="atLeast"/>
        <w:jc w:val="center"/>
        <w:rPr>
          <w:rFonts w:ascii="Times New Roman" w:hAnsi="Times New Roman"/>
          <w:i/>
          <w:noProof/>
          <w:sz w:val="22"/>
          <w:lang w:val="bg-BG"/>
        </w:rPr>
      </w:pPr>
      <w:r w:rsidRPr="00805152">
        <w:rPr>
          <w:rFonts w:ascii="Times New Roman" w:hAnsi="Times New Roman"/>
          <w:i/>
          <w:noProof/>
          <w:sz w:val="22"/>
          <w:lang w:val="en-US"/>
        </w:rPr>
        <w:drawing>
          <wp:inline distT="0" distB="0" distL="0" distR="0" wp14:anchorId="184BBDD1" wp14:editId="0ABB1DB9">
            <wp:extent cx="2977200" cy="1656000"/>
            <wp:effectExtent l="19050" t="19050" r="13970" b="209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977200" cy="1656000"/>
                    </a:xfrm>
                    <a:prstGeom prst="rect">
                      <a:avLst/>
                    </a:prstGeom>
                    <a:ln>
                      <a:solidFill>
                        <a:schemeClr val="accent1"/>
                      </a:solidFill>
                    </a:ln>
                  </pic:spPr>
                </pic:pic>
              </a:graphicData>
            </a:graphic>
          </wp:inline>
        </w:drawing>
      </w:r>
      <w:r w:rsidRPr="00805152">
        <w:rPr>
          <w:rFonts w:ascii="Times New Roman" w:hAnsi="Times New Roman"/>
          <w:noProof/>
          <w:lang w:val="en-US"/>
        </w:rPr>
        <w:drawing>
          <wp:inline distT="0" distB="0" distL="0" distR="0" wp14:anchorId="02C1A3A3" wp14:editId="6400B8B7">
            <wp:extent cx="2937600" cy="1656000"/>
            <wp:effectExtent l="19050" t="19050" r="15240" b="209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2937600" cy="1656000"/>
                    </a:xfrm>
                    <a:prstGeom prst="rect">
                      <a:avLst/>
                    </a:prstGeom>
                    <a:ln>
                      <a:solidFill>
                        <a:schemeClr val="accent1"/>
                      </a:solidFill>
                    </a:ln>
                  </pic:spPr>
                </pic:pic>
              </a:graphicData>
            </a:graphic>
          </wp:inline>
        </w:drawing>
      </w:r>
    </w:p>
    <w:p w14:paraId="02C1468C" w14:textId="4CF77E21" w:rsidR="008B14A0" w:rsidRPr="00805152" w:rsidRDefault="008B14A0" w:rsidP="00996D7F">
      <w:pPr>
        <w:pStyle w:val="BP-Figure"/>
        <w:ind w:left="2268" w:hanging="567"/>
        <w:jc w:val="both"/>
      </w:pPr>
      <w:r w:rsidRPr="00805152">
        <w:t>Снимки от съществуващото положение на вълнолома на Пристанище Бургас</w:t>
      </w:r>
    </w:p>
    <w:p w14:paraId="11AED82D" w14:textId="77777777" w:rsidR="00B62749" w:rsidRPr="00805152" w:rsidRDefault="00B62749" w:rsidP="00241DCD">
      <w:pPr>
        <w:spacing w:after="0"/>
        <w:ind w:firstLine="709"/>
        <w:rPr>
          <w:rFonts w:ascii="Times New Roman" w:eastAsia="Times New Roman" w:hAnsi="Times New Roman"/>
          <w:sz w:val="22"/>
          <w:lang w:val="bg-BG"/>
        </w:rPr>
      </w:pPr>
      <w:bookmarkStart w:id="15" w:name="_Ref225843532"/>
      <w:bookmarkStart w:id="16" w:name="_Ref314212001"/>
      <w:bookmarkStart w:id="17" w:name="_Ref528765364"/>
      <w:bookmarkStart w:id="18" w:name="_Ref511136670"/>
      <w:bookmarkEnd w:id="4"/>
    </w:p>
    <w:p w14:paraId="04D89E12" w14:textId="278C2E13" w:rsidR="00241DCD" w:rsidRPr="00805152" w:rsidRDefault="00241DCD" w:rsidP="00241DCD">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В периода 03.01.2023 г. до 05.01.2023 г. е направен </w:t>
      </w:r>
      <w:r w:rsidRPr="00BA723C">
        <w:rPr>
          <w:rFonts w:ascii="Times New Roman" w:eastAsia="Times New Roman" w:hAnsi="Times New Roman"/>
          <w:sz w:val="22"/>
          <w:lang w:val="bg-BG"/>
        </w:rPr>
        <w:t>водолазен оглед</w:t>
      </w:r>
      <w:r w:rsidRPr="00805152">
        <w:rPr>
          <w:rFonts w:ascii="Times New Roman" w:eastAsia="Times New Roman" w:hAnsi="Times New Roman"/>
          <w:sz w:val="22"/>
          <w:lang w:val="bg-BG"/>
        </w:rPr>
        <w:t xml:space="preserve"> на вълнолома</w:t>
      </w:r>
      <w:r w:rsidR="00481A1F">
        <w:rPr>
          <w:rFonts w:ascii="Times New Roman" w:eastAsia="Times New Roman" w:hAnsi="Times New Roman"/>
          <w:sz w:val="22"/>
          <w:lang w:val="bg-BG"/>
        </w:rPr>
        <w:t>,</w:t>
      </w:r>
      <w:r w:rsidRPr="00805152">
        <w:rPr>
          <w:rFonts w:ascii="Times New Roman" w:eastAsia="Times New Roman" w:hAnsi="Times New Roman"/>
          <w:sz w:val="22"/>
          <w:lang w:val="bg-BG"/>
        </w:rPr>
        <w:t xml:space="preserve"> </w:t>
      </w:r>
      <w:r w:rsidR="0037719B" w:rsidRPr="00805152">
        <w:rPr>
          <w:rFonts w:ascii="Times New Roman" w:eastAsia="Times New Roman" w:hAnsi="Times New Roman"/>
          <w:sz w:val="22"/>
          <w:lang w:val="bg-BG"/>
        </w:rPr>
        <w:t>в който са описани подробно местоположението, състоянието и вида</w:t>
      </w:r>
      <w:r w:rsidR="00481A1F">
        <w:rPr>
          <w:rFonts w:ascii="Times New Roman" w:eastAsia="Times New Roman" w:hAnsi="Times New Roman"/>
          <w:sz w:val="22"/>
          <w:lang w:val="bg-BG"/>
        </w:rPr>
        <w:t xml:space="preserve"> на</w:t>
      </w:r>
      <w:r w:rsidR="0037719B" w:rsidRPr="00805152">
        <w:rPr>
          <w:rFonts w:ascii="Times New Roman" w:eastAsia="Times New Roman" w:hAnsi="Times New Roman"/>
          <w:sz w:val="22"/>
          <w:lang w:val="bg-BG"/>
        </w:rPr>
        <w:t xml:space="preserve"> повредите на вълнолома. За подробности може да се направи референция към доклада от водолазното обследване, основните повреди на вълнолома са следните:  </w:t>
      </w:r>
    </w:p>
    <w:p w14:paraId="43619813" w14:textId="47D05FC0" w:rsidR="0037719B" w:rsidRPr="00805152" w:rsidRDefault="0037719B"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Изсипване на тетраподи в посока морето от проектната линия (метраж 0-10м )</w:t>
      </w:r>
      <w:r w:rsidR="00481A1F">
        <w:rPr>
          <w:rFonts w:ascii="Times New Roman" w:eastAsia="Times New Roman" w:hAnsi="Times New Roman"/>
          <w:lang w:val="en-US"/>
        </w:rPr>
        <w:t>;</w:t>
      </w:r>
    </w:p>
    <w:p w14:paraId="18C6FA9B" w14:textId="1FF62237" w:rsidR="0037719B" w:rsidRPr="00805152" w:rsidRDefault="0037719B"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Липсващи тетраподи – дупки</w:t>
      </w:r>
      <w:r w:rsidR="00481A1F">
        <w:rPr>
          <w:rFonts w:ascii="Times New Roman" w:eastAsia="Times New Roman" w:hAnsi="Times New Roman"/>
          <w:lang w:val="en-US"/>
        </w:rPr>
        <w:t>;</w:t>
      </w:r>
      <w:r w:rsidRPr="00805152">
        <w:rPr>
          <w:rFonts w:ascii="Times New Roman" w:eastAsia="Times New Roman" w:hAnsi="Times New Roman"/>
          <w:lang w:val="bg-BG"/>
        </w:rPr>
        <w:t xml:space="preserve"> </w:t>
      </w:r>
    </w:p>
    <w:p w14:paraId="6036FA6C" w14:textId="408B6D2D" w:rsidR="0037719B" w:rsidRPr="00805152" w:rsidRDefault="0037719B"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Стърчащи и разпръснати тетраподи по дъното (</w:t>
      </w:r>
      <w:r w:rsidR="00733A8C" w:rsidRPr="00805152">
        <w:rPr>
          <w:rFonts w:ascii="Times New Roman" w:eastAsia="Times New Roman" w:hAnsi="Times New Roman"/>
          <w:lang w:val="bg-BG"/>
        </w:rPr>
        <w:t>заривани</w:t>
      </w:r>
      <w:r w:rsidRPr="00805152">
        <w:rPr>
          <w:rFonts w:ascii="Times New Roman" w:eastAsia="Times New Roman" w:hAnsi="Times New Roman"/>
          <w:lang w:val="bg-BG"/>
        </w:rPr>
        <w:t xml:space="preserve"> с пясък по дъното)</w:t>
      </w:r>
      <w:r w:rsidR="00481A1F">
        <w:rPr>
          <w:rFonts w:ascii="Times New Roman" w:eastAsia="Times New Roman" w:hAnsi="Times New Roman"/>
          <w:lang w:val="en-US"/>
        </w:rPr>
        <w:t>;</w:t>
      </w:r>
    </w:p>
    <w:p w14:paraId="7D03D252" w14:textId="3FE81EFB" w:rsidR="0037719B" w:rsidRPr="00805152" w:rsidRDefault="0037719B"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Нарушена структурна линия на вълнолома</w:t>
      </w:r>
      <w:r w:rsidR="00481A1F">
        <w:rPr>
          <w:rFonts w:ascii="Times New Roman" w:eastAsia="Times New Roman" w:hAnsi="Times New Roman"/>
          <w:lang w:val="en-US"/>
        </w:rPr>
        <w:t>;</w:t>
      </w:r>
    </w:p>
    <w:p w14:paraId="65389AED" w14:textId="46F94F89" w:rsidR="003461E3" w:rsidRPr="00805152" w:rsidRDefault="003461E3"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Счупени тетраподи</w:t>
      </w:r>
      <w:r w:rsidR="00481A1F">
        <w:rPr>
          <w:rFonts w:ascii="Times New Roman" w:eastAsia="Times New Roman" w:hAnsi="Times New Roman"/>
          <w:lang w:val="en-US"/>
        </w:rPr>
        <w:t>;</w:t>
      </w:r>
    </w:p>
    <w:p w14:paraId="609F0501" w14:textId="656D1821" w:rsidR="003461E3" w:rsidRPr="00805152" w:rsidRDefault="003461E3"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Нарушена стоманобетонна надстройка със стърчащата арматура</w:t>
      </w:r>
      <w:r w:rsidR="00481A1F">
        <w:rPr>
          <w:rFonts w:ascii="Times New Roman" w:eastAsia="Times New Roman" w:hAnsi="Times New Roman"/>
          <w:lang w:val="en-US"/>
        </w:rPr>
        <w:t>;</w:t>
      </w:r>
    </w:p>
    <w:p w14:paraId="0C7977B0" w14:textId="70FF3C2D" w:rsidR="003461E3" w:rsidRPr="00805152" w:rsidRDefault="003461E3" w:rsidP="0021547C">
      <w:pPr>
        <w:pStyle w:val="ListParagraph"/>
        <w:numPr>
          <w:ilvl w:val="0"/>
          <w:numId w:val="32"/>
        </w:numPr>
        <w:spacing w:after="0"/>
        <w:rPr>
          <w:rFonts w:ascii="Times New Roman" w:eastAsia="Times New Roman" w:hAnsi="Times New Roman"/>
          <w:lang w:val="bg-BG"/>
        </w:rPr>
      </w:pPr>
      <w:r w:rsidRPr="00805152">
        <w:rPr>
          <w:rFonts w:ascii="Times New Roman" w:eastAsia="Times New Roman" w:hAnsi="Times New Roman"/>
          <w:lang w:val="bg-BG"/>
        </w:rPr>
        <w:t>Изсипване на скална маса в посока морето</w:t>
      </w:r>
      <w:r w:rsidR="00481A1F">
        <w:rPr>
          <w:rFonts w:ascii="Times New Roman" w:eastAsia="Times New Roman" w:hAnsi="Times New Roman"/>
          <w:lang w:val="en-US"/>
        </w:rPr>
        <w:t>.</w:t>
      </w:r>
    </w:p>
    <w:p w14:paraId="059DD4AC" w14:textId="313A874F" w:rsidR="00975694" w:rsidRPr="00805152" w:rsidRDefault="00975694" w:rsidP="00BA723C">
      <w:pPr>
        <w:spacing w:after="0"/>
        <w:jc w:val="center"/>
        <w:rPr>
          <w:rFonts w:ascii="Times New Roman" w:eastAsia="Times New Roman" w:hAnsi="Times New Roman"/>
          <w:lang w:val="bg-BG"/>
        </w:rPr>
      </w:pPr>
      <w:r w:rsidRPr="00805152">
        <w:rPr>
          <w:rFonts w:ascii="Times New Roman" w:hAnsi="Times New Roman"/>
          <w:noProof/>
          <w:lang w:val="en-US"/>
        </w:rPr>
        <w:lastRenderedPageBreak/>
        <w:drawing>
          <wp:inline distT="0" distB="0" distL="0" distR="0" wp14:anchorId="5E7969D7" wp14:editId="1A467340">
            <wp:extent cx="1936800" cy="5220000"/>
            <wp:effectExtent l="19050" t="19050" r="25400"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36800" cy="5220000"/>
                    </a:xfrm>
                    <a:prstGeom prst="rect">
                      <a:avLst/>
                    </a:prstGeom>
                    <a:ln>
                      <a:solidFill>
                        <a:schemeClr val="accent1"/>
                      </a:solidFill>
                    </a:ln>
                  </pic:spPr>
                </pic:pic>
              </a:graphicData>
            </a:graphic>
          </wp:inline>
        </w:drawing>
      </w:r>
      <w:r w:rsidRPr="00805152">
        <w:rPr>
          <w:rFonts w:ascii="Times New Roman" w:hAnsi="Times New Roman"/>
          <w:noProof/>
          <w:lang w:val="en-US"/>
        </w:rPr>
        <w:drawing>
          <wp:inline distT="0" distB="0" distL="0" distR="0" wp14:anchorId="0A7907FB" wp14:editId="06C303C0">
            <wp:extent cx="1868400" cy="5220000"/>
            <wp:effectExtent l="19050" t="19050" r="17780"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68400" cy="5220000"/>
                    </a:xfrm>
                    <a:prstGeom prst="rect">
                      <a:avLst/>
                    </a:prstGeom>
                    <a:ln>
                      <a:solidFill>
                        <a:schemeClr val="accent1"/>
                      </a:solidFill>
                    </a:ln>
                  </pic:spPr>
                </pic:pic>
              </a:graphicData>
            </a:graphic>
          </wp:inline>
        </w:drawing>
      </w:r>
      <w:r w:rsidR="006021CA" w:rsidRPr="00805152">
        <w:rPr>
          <w:rFonts w:ascii="Times New Roman" w:hAnsi="Times New Roman"/>
          <w:noProof/>
          <w:lang w:val="en-US"/>
        </w:rPr>
        <w:drawing>
          <wp:inline distT="0" distB="0" distL="0" distR="0" wp14:anchorId="29B9442D" wp14:editId="6B041A19">
            <wp:extent cx="1866900" cy="1985480"/>
            <wp:effectExtent l="19050" t="19050" r="19050" b="152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1910732" cy="2032096"/>
                    </a:xfrm>
                    <a:prstGeom prst="rect">
                      <a:avLst/>
                    </a:prstGeom>
                    <a:ln>
                      <a:solidFill>
                        <a:schemeClr val="accent1"/>
                      </a:solidFill>
                    </a:ln>
                  </pic:spPr>
                </pic:pic>
              </a:graphicData>
            </a:graphic>
          </wp:inline>
        </w:drawing>
      </w:r>
    </w:p>
    <w:bookmarkEnd w:id="15"/>
    <w:bookmarkEnd w:id="16"/>
    <w:bookmarkEnd w:id="17"/>
    <w:bookmarkEnd w:id="18"/>
    <w:p w14:paraId="4551ECC9" w14:textId="63CEBFC6" w:rsidR="0084040F" w:rsidRPr="00805152" w:rsidRDefault="00870753" w:rsidP="00996D7F">
      <w:pPr>
        <w:pStyle w:val="BP-Figure"/>
        <w:ind w:left="2552" w:hanging="567"/>
        <w:jc w:val="both"/>
      </w:pPr>
      <w:r w:rsidRPr="00805152">
        <w:t xml:space="preserve">Ситуационен План на </w:t>
      </w:r>
      <w:r w:rsidR="003E5703" w:rsidRPr="00805152">
        <w:t xml:space="preserve">Вълнолом </w:t>
      </w:r>
      <w:r w:rsidRPr="00805152">
        <w:t>Бургас</w:t>
      </w:r>
      <w:r w:rsidR="002B490B" w:rsidRPr="00805152">
        <w:t xml:space="preserve"> </w:t>
      </w:r>
      <w:r w:rsidR="0084040F" w:rsidRPr="00805152">
        <w:br w:type="page"/>
      </w:r>
    </w:p>
    <w:p w14:paraId="186B23F9" w14:textId="4BE5EC7C" w:rsidR="003C7C93" w:rsidRPr="00805152" w:rsidRDefault="003C7C93" w:rsidP="003C7C93">
      <w:pPr>
        <w:pStyle w:val="Heading2"/>
        <w:rPr>
          <w:rFonts w:ascii="Times New Roman" w:hAnsi="Times New Roman"/>
          <w:lang w:val="bg-BG"/>
        </w:rPr>
      </w:pPr>
      <w:bookmarkStart w:id="19" w:name="_Toc136961080"/>
      <w:r w:rsidRPr="00805152">
        <w:rPr>
          <w:rFonts w:ascii="Times New Roman" w:hAnsi="Times New Roman"/>
          <w:lang w:val="bg-BG"/>
        </w:rPr>
        <w:lastRenderedPageBreak/>
        <w:t>Геодезически условия</w:t>
      </w:r>
      <w:bookmarkEnd w:id="19"/>
    </w:p>
    <w:p w14:paraId="614FC772" w14:textId="40066C45" w:rsidR="003C7C93" w:rsidRPr="00805152" w:rsidRDefault="003C7C93" w:rsidP="00070B7C">
      <w:pPr>
        <w:ind w:firstLine="576"/>
        <w:rPr>
          <w:rFonts w:ascii="Times New Roman" w:hAnsi="Times New Roman"/>
          <w:sz w:val="22"/>
          <w:lang w:val="bg-BG" w:eastAsia="tr-TR"/>
        </w:rPr>
      </w:pPr>
      <w:r w:rsidRPr="00805152">
        <w:rPr>
          <w:rFonts w:ascii="Times New Roman" w:hAnsi="Times New Roman"/>
          <w:sz w:val="22"/>
          <w:lang w:val="bg-BG" w:eastAsia="tr-TR"/>
        </w:rPr>
        <w:t xml:space="preserve">От анализа на документите и информацията, </w:t>
      </w:r>
      <w:r w:rsidR="00B62749" w:rsidRPr="00805152">
        <w:rPr>
          <w:rFonts w:ascii="Times New Roman" w:hAnsi="Times New Roman"/>
          <w:sz w:val="22"/>
          <w:lang w:val="bg-BG" w:eastAsia="tr-TR"/>
        </w:rPr>
        <w:t xml:space="preserve">които </w:t>
      </w:r>
      <w:r w:rsidRPr="00805152">
        <w:rPr>
          <w:rFonts w:ascii="Times New Roman" w:hAnsi="Times New Roman"/>
          <w:sz w:val="22"/>
          <w:lang w:val="bg-BG" w:eastAsia="tr-TR"/>
        </w:rPr>
        <w:t>ни б</w:t>
      </w:r>
      <w:r w:rsidR="00B62749" w:rsidRPr="00805152">
        <w:rPr>
          <w:rFonts w:ascii="Times New Roman" w:hAnsi="Times New Roman"/>
          <w:sz w:val="22"/>
          <w:lang w:val="bg-BG" w:eastAsia="tr-TR"/>
        </w:rPr>
        <w:t xml:space="preserve">яха </w:t>
      </w:r>
      <w:r w:rsidRPr="00805152">
        <w:rPr>
          <w:rFonts w:ascii="Times New Roman" w:hAnsi="Times New Roman"/>
          <w:sz w:val="22"/>
          <w:lang w:val="bg-BG" w:eastAsia="tr-TR"/>
        </w:rPr>
        <w:t>предоставен</w:t>
      </w:r>
      <w:r w:rsidR="00B62749" w:rsidRPr="00805152">
        <w:rPr>
          <w:rFonts w:ascii="Times New Roman" w:hAnsi="Times New Roman"/>
          <w:sz w:val="22"/>
          <w:lang w:val="bg-BG" w:eastAsia="tr-TR"/>
        </w:rPr>
        <w:t>и</w:t>
      </w:r>
      <w:r w:rsidRPr="00805152">
        <w:rPr>
          <w:rFonts w:ascii="Times New Roman" w:hAnsi="Times New Roman"/>
          <w:sz w:val="22"/>
          <w:lang w:val="bg-BG" w:eastAsia="tr-TR"/>
        </w:rPr>
        <w:t xml:space="preserve">, както и от собствени проучвания </w:t>
      </w:r>
      <w:r w:rsidR="00B62749" w:rsidRPr="00805152">
        <w:rPr>
          <w:rFonts w:ascii="Times New Roman" w:hAnsi="Times New Roman"/>
          <w:sz w:val="22"/>
          <w:lang w:val="bg-BG" w:eastAsia="tr-TR"/>
        </w:rPr>
        <w:t xml:space="preserve">и </w:t>
      </w:r>
      <w:r w:rsidRPr="00805152">
        <w:rPr>
          <w:rFonts w:ascii="Times New Roman" w:hAnsi="Times New Roman"/>
          <w:sz w:val="22"/>
          <w:lang w:val="bg-BG" w:eastAsia="tr-TR"/>
        </w:rPr>
        <w:t xml:space="preserve">предишни </w:t>
      </w:r>
      <w:r w:rsidR="00733A8C" w:rsidRPr="00805152">
        <w:rPr>
          <w:rFonts w:ascii="Times New Roman" w:hAnsi="Times New Roman"/>
          <w:sz w:val="22"/>
          <w:lang w:val="bg-BG" w:eastAsia="tr-TR"/>
        </w:rPr>
        <w:t>разработки</w:t>
      </w:r>
      <w:r w:rsidRPr="00805152">
        <w:rPr>
          <w:rFonts w:ascii="Times New Roman" w:hAnsi="Times New Roman"/>
          <w:sz w:val="22"/>
          <w:lang w:val="bg-BG" w:eastAsia="tr-TR"/>
        </w:rPr>
        <w:t xml:space="preserve"> се констатира, че за територията на пристанищен терминал „Бургас - Изток 1“ има изработени топографски карти, кадастрални карти и специализирани карти, както следва:</w:t>
      </w:r>
    </w:p>
    <w:p w14:paraId="7F586058" w14:textId="77777777" w:rsidR="00481A1F" w:rsidRDefault="003C7C93" w:rsidP="00481A1F">
      <w:pPr>
        <w:pStyle w:val="ListParagraph"/>
        <w:numPr>
          <w:ilvl w:val="1"/>
          <w:numId w:val="72"/>
        </w:numPr>
        <w:ind w:left="993" w:hanging="284"/>
        <w:rPr>
          <w:rFonts w:ascii="Times New Roman" w:hAnsi="Times New Roman"/>
          <w:lang w:val="bg-BG" w:eastAsia="tr-TR"/>
        </w:rPr>
      </w:pPr>
      <w:r w:rsidRPr="00805152">
        <w:rPr>
          <w:rFonts w:ascii="Times New Roman" w:hAnsi="Times New Roman"/>
          <w:lang w:val="bg-BG" w:eastAsia="tr-TR"/>
        </w:rPr>
        <w:t>Специализирана карта с подземни проводи съоръжения, актуална към октомври 2013 г., съдържаща данни за ППС (подземни проводи и съоръжения), ситуационни обекти и терен. Развитата работна геодезическа мрежа частично е запазена и може да се използва при необходимост от допълнителни измервания;</w:t>
      </w:r>
    </w:p>
    <w:p w14:paraId="748BEC21" w14:textId="63423E2E" w:rsidR="003C7C93" w:rsidRPr="00481A1F" w:rsidRDefault="003C7C93" w:rsidP="00481A1F">
      <w:pPr>
        <w:pStyle w:val="ListParagraph"/>
        <w:numPr>
          <w:ilvl w:val="1"/>
          <w:numId w:val="72"/>
        </w:numPr>
        <w:ind w:left="993" w:hanging="284"/>
        <w:rPr>
          <w:rFonts w:ascii="Times New Roman" w:hAnsi="Times New Roman"/>
          <w:lang w:val="bg-BG" w:eastAsia="tr-TR"/>
        </w:rPr>
      </w:pPr>
      <w:r w:rsidRPr="00481A1F">
        <w:rPr>
          <w:rFonts w:ascii="Times New Roman" w:hAnsi="Times New Roman"/>
          <w:lang w:val="bg-BG" w:eastAsia="tr-TR"/>
        </w:rPr>
        <w:t xml:space="preserve">Топографска карта, по разграфка и номенклатура в координатна система 1970 г.,  която  попада в следните листа: </w:t>
      </w:r>
    </w:p>
    <w:p w14:paraId="3D7A22E0" w14:textId="4578336A" w:rsidR="00481A1F" w:rsidRDefault="003C7C93" w:rsidP="00481A1F">
      <w:pPr>
        <w:pStyle w:val="ListParagraph"/>
        <w:numPr>
          <w:ilvl w:val="0"/>
          <w:numId w:val="73"/>
        </w:numPr>
        <w:ind w:left="1418" w:hanging="284"/>
        <w:rPr>
          <w:rFonts w:ascii="Times New Roman" w:hAnsi="Times New Roman"/>
          <w:lang w:val="bg-BG" w:eastAsia="tr-TR"/>
        </w:rPr>
      </w:pPr>
      <w:r w:rsidRPr="00805152">
        <w:rPr>
          <w:rFonts w:ascii="Times New Roman" w:hAnsi="Times New Roman"/>
          <w:lang w:val="bg-BG" w:eastAsia="tr-TR"/>
        </w:rPr>
        <w:t>К-5-26-(115) – Изработен по стереофотограметричен метод</w:t>
      </w:r>
      <w:r w:rsidR="00481A1F">
        <w:rPr>
          <w:rFonts w:ascii="Times New Roman" w:hAnsi="Times New Roman"/>
          <w:lang w:val="bg-BG" w:eastAsia="tr-TR"/>
        </w:rPr>
        <w:t>,</w:t>
      </w:r>
      <w:r w:rsidRPr="00805152">
        <w:rPr>
          <w:rFonts w:ascii="Times New Roman" w:hAnsi="Times New Roman"/>
          <w:lang w:val="bg-BG" w:eastAsia="tr-TR"/>
        </w:rPr>
        <w:t xml:space="preserve"> дешифриран 1982 г., отпечатан от КИПП по картография 1985 г.;</w:t>
      </w:r>
    </w:p>
    <w:p w14:paraId="799B2DCA" w14:textId="2F5939C2" w:rsidR="003C7C93" w:rsidRPr="00481A1F" w:rsidRDefault="003C7C93" w:rsidP="00481A1F">
      <w:pPr>
        <w:pStyle w:val="ListParagraph"/>
        <w:numPr>
          <w:ilvl w:val="0"/>
          <w:numId w:val="73"/>
        </w:numPr>
        <w:ind w:left="1418" w:hanging="284"/>
        <w:rPr>
          <w:rFonts w:ascii="Times New Roman" w:hAnsi="Times New Roman"/>
          <w:lang w:val="bg-BG" w:eastAsia="tr-TR"/>
        </w:rPr>
      </w:pPr>
      <w:r w:rsidRPr="00481A1F">
        <w:rPr>
          <w:rFonts w:ascii="Times New Roman" w:hAnsi="Times New Roman"/>
          <w:lang w:val="bg-BG" w:eastAsia="tr-TR"/>
        </w:rPr>
        <w:t>К-5-26-(131) - Изработен по стереофотограметричен метод</w:t>
      </w:r>
      <w:r w:rsidR="00481A1F">
        <w:rPr>
          <w:rFonts w:ascii="Times New Roman" w:hAnsi="Times New Roman"/>
          <w:lang w:val="bg-BG" w:eastAsia="tr-TR"/>
        </w:rPr>
        <w:t>,</w:t>
      </w:r>
      <w:r w:rsidRPr="00481A1F">
        <w:rPr>
          <w:rFonts w:ascii="Times New Roman" w:hAnsi="Times New Roman"/>
          <w:lang w:val="bg-BG" w:eastAsia="tr-TR"/>
        </w:rPr>
        <w:t xml:space="preserve"> дешифриран 1982 г., отпечатан от КИПП по картография 1985 г.;</w:t>
      </w:r>
    </w:p>
    <w:p w14:paraId="0270E61B" w14:textId="77777777" w:rsidR="003C7C93" w:rsidRPr="00805152" w:rsidRDefault="003C7C93" w:rsidP="003C7C93">
      <w:pPr>
        <w:rPr>
          <w:rFonts w:ascii="Times New Roman" w:hAnsi="Times New Roman"/>
          <w:sz w:val="22"/>
          <w:lang w:val="bg-BG" w:eastAsia="tr-TR"/>
        </w:rPr>
      </w:pPr>
      <w:r w:rsidRPr="00805152">
        <w:rPr>
          <w:rFonts w:ascii="Times New Roman" w:hAnsi="Times New Roman"/>
          <w:sz w:val="22"/>
          <w:lang w:val="bg-BG" w:eastAsia="tr-TR"/>
        </w:rPr>
        <w:t>Пристанищен терминал „Бургас - Изток 1“  по разграфката и номенклатурата на Кадастралната координатна система от 2005 г. попада в листа К-35-55-(143), К-35-55-(144), К-35-55-(159)  и К-35-55-(160).</w:t>
      </w:r>
    </w:p>
    <w:p w14:paraId="49C0694A" w14:textId="77777777" w:rsidR="003C7C93" w:rsidRPr="00805152" w:rsidRDefault="003C7C93" w:rsidP="003C7C93">
      <w:pPr>
        <w:rPr>
          <w:rFonts w:ascii="Times New Roman" w:hAnsi="Times New Roman"/>
          <w:sz w:val="22"/>
          <w:lang w:val="bg-BG" w:eastAsia="tr-TR"/>
        </w:rPr>
      </w:pPr>
      <w:r w:rsidRPr="00805152">
        <w:rPr>
          <w:rFonts w:ascii="Times New Roman" w:hAnsi="Times New Roman"/>
          <w:sz w:val="22"/>
          <w:lang w:val="bg-BG" w:eastAsia="tr-TR"/>
        </w:rPr>
        <w:t xml:space="preserve">Има одобрена Кадастрална карта и кадастрални регистри. Пристанищен терминал „Бургас - Изток 1“ попада в границите на ПИ с идентификатори: </w:t>
      </w:r>
    </w:p>
    <w:p w14:paraId="7594211C" w14:textId="7BB81C27" w:rsidR="003C7C93" w:rsidRPr="00805152"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7079.618.1079 – КККР, одобрени със Заповед № РД-18-9/30.01.2009 г. на ИЗПЪЛНИТЕЛЕН ДИРЕКТОР НА АГКК;</w:t>
      </w:r>
    </w:p>
    <w:p w14:paraId="4EC71839" w14:textId="611CEBB8" w:rsidR="003C7C93" w:rsidRPr="00805152"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07079.618.1081 – КККР, одобрени със Заповед № РД-18-9/30.01.2009 г. на ИЗПЪЛНИТЕЛЕН ДИРЕКТОР НА АГКК;</w:t>
      </w:r>
    </w:p>
    <w:p w14:paraId="46F90FA9" w14:textId="2D8BCCE2" w:rsidR="003C7C93" w:rsidRPr="00805152"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07079.618.1084 – КККР, одобрени със Заповед № РД-18-9/30.01.2009 г. на ИЗПЪЛНИТЕЛЕН ДИРЕКТОР НА АГКК;</w:t>
      </w:r>
    </w:p>
    <w:p w14:paraId="5BDA8EC6" w14:textId="673FC82D" w:rsidR="003C7C93" w:rsidRPr="00805152"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07079.618.1083 – КККР, одобрени със Заповед № РД-18-9/30.01.2009 г. на ИЗПЪЛНИТЕЛЕН ДИРЕКТОР НА АГКК;</w:t>
      </w:r>
    </w:p>
    <w:p w14:paraId="6AA42D99" w14:textId="14EF4A88" w:rsidR="003C7C93" w:rsidRPr="00805152"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07079.618.1019 – КККР, одобрени със Заповед № РД-18-9/30.01.2009 г. на ИЗПЪЛНИТЕЛЕН ДИРЕКТОР НА АГКК и последни изменение със Заповед № КД-14-02-1411/12.09.2013 г. на НАЧАЛНИК НА СГКК – БУРГАС;</w:t>
      </w:r>
    </w:p>
    <w:p w14:paraId="7EA9884C" w14:textId="77777777" w:rsidR="00481A1F" w:rsidRDefault="003C7C93" w:rsidP="00481A1F">
      <w:pPr>
        <w:pStyle w:val="ListParagraph"/>
        <w:numPr>
          <w:ilvl w:val="0"/>
          <w:numId w:val="74"/>
        </w:numPr>
        <w:ind w:left="993" w:hanging="284"/>
        <w:rPr>
          <w:rFonts w:ascii="Times New Roman" w:hAnsi="Times New Roman"/>
          <w:lang w:val="bg-BG" w:eastAsia="tr-TR"/>
        </w:rPr>
      </w:pPr>
      <w:r w:rsidRPr="00805152">
        <w:rPr>
          <w:rFonts w:ascii="Times New Roman" w:hAnsi="Times New Roman"/>
          <w:lang w:val="bg-BG" w:eastAsia="tr-TR"/>
        </w:rPr>
        <w:t>07079.618.1020 – КККР, одобрени със Заповед № РД-18-9/30.01.2009 г. на ИЗПЪЛНИТЕЛЕН ДИРЕКТОР НА АГКК;</w:t>
      </w:r>
    </w:p>
    <w:p w14:paraId="6F689178" w14:textId="77777777" w:rsidR="00481A1F" w:rsidRDefault="003C7C93" w:rsidP="00481A1F">
      <w:pPr>
        <w:pStyle w:val="ListParagraph"/>
        <w:numPr>
          <w:ilvl w:val="0"/>
          <w:numId w:val="74"/>
        </w:numPr>
        <w:ind w:left="993" w:hanging="284"/>
        <w:rPr>
          <w:rFonts w:ascii="Times New Roman" w:hAnsi="Times New Roman"/>
          <w:lang w:val="bg-BG" w:eastAsia="tr-TR"/>
        </w:rPr>
      </w:pPr>
      <w:r w:rsidRPr="00481A1F">
        <w:rPr>
          <w:rFonts w:ascii="Times New Roman" w:hAnsi="Times New Roman"/>
          <w:lang w:val="bg-BG" w:eastAsia="tr-TR"/>
        </w:rPr>
        <w:lastRenderedPageBreak/>
        <w:t>07079.618.1025 – КККР, одобрени със Заповед № РД-18-9/30.01.2009 г. на ИЗПЪЛНИТЕЛЕН ДИРЕКТОР НА АГКК и последни изменение със Заповед № КД-14-02-882/10.06.2013 г. на НАЧАЛНИК НА СГКК – БУРГАС;</w:t>
      </w:r>
    </w:p>
    <w:p w14:paraId="51653EB5" w14:textId="69EE20AE" w:rsidR="003C7C93" w:rsidRPr="00481A1F" w:rsidRDefault="003C7C93" w:rsidP="00481A1F">
      <w:pPr>
        <w:pStyle w:val="ListParagraph"/>
        <w:numPr>
          <w:ilvl w:val="0"/>
          <w:numId w:val="74"/>
        </w:numPr>
        <w:ind w:left="993" w:hanging="284"/>
        <w:rPr>
          <w:rFonts w:ascii="Times New Roman" w:hAnsi="Times New Roman"/>
          <w:lang w:val="bg-BG" w:eastAsia="tr-TR"/>
        </w:rPr>
      </w:pPr>
      <w:r w:rsidRPr="00481A1F">
        <w:rPr>
          <w:rFonts w:ascii="Times New Roman" w:hAnsi="Times New Roman"/>
          <w:lang w:val="bg-BG" w:eastAsia="tr-TR"/>
        </w:rPr>
        <w:t>07079.618.1021 – КККР, одобрени със Заповед № РД-18-9/30.01.2009 г. на ИЗПЪЛНИТЕЛЕН ДИРЕКТОР НА АГКК и последни изменение със Заповед № 18-3984-01.04.2014/01.04.2014 г. на НАЧАЛНИК НА СГКК – БУРГАС;</w:t>
      </w:r>
    </w:p>
    <w:p w14:paraId="4FA68A1E" w14:textId="77777777" w:rsidR="003C7C93" w:rsidRPr="00805152" w:rsidRDefault="003C7C93" w:rsidP="00F0563C">
      <w:pPr>
        <w:ind w:firstLine="709"/>
        <w:rPr>
          <w:rFonts w:ascii="Times New Roman" w:hAnsi="Times New Roman"/>
          <w:sz w:val="22"/>
          <w:lang w:val="bg-BG" w:eastAsia="tr-TR"/>
        </w:rPr>
      </w:pPr>
      <w:r w:rsidRPr="00805152">
        <w:rPr>
          <w:rFonts w:ascii="Times New Roman" w:hAnsi="Times New Roman"/>
          <w:sz w:val="22"/>
          <w:lang w:val="bg-BG" w:eastAsia="tr-TR"/>
        </w:rPr>
        <w:t>В границите на терминала и в близост до него има развита Геодезическа мрежа с местно предназначение и Работна геодезическа основа.</w:t>
      </w:r>
    </w:p>
    <w:p w14:paraId="53F51FE8" w14:textId="07613CBD" w:rsidR="003C7C93" w:rsidRPr="00805152" w:rsidRDefault="00450A31" w:rsidP="00F0563C">
      <w:pPr>
        <w:ind w:firstLine="576"/>
        <w:rPr>
          <w:rFonts w:ascii="Times New Roman" w:hAnsi="Times New Roman"/>
          <w:sz w:val="22"/>
          <w:lang w:val="bg-BG" w:eastAsia="tr-TR"/>
        </w:rPr>
      </w:pPr>
      <w:r w:rsidRPr="00450A31">
        <w:rPr>
          <w:rFonts w:ascii="Times New Roman" w:hAnsi="Times New Roman"/>
          <w:sz w:val="22"/>
          <w:lang w:val="bg-BG" w:eastAsia="tr-TR"/>
        </w:rPr>
        <w:t xml:space="preserve">На Пристанищен терминал „Бургас - Изток 1“ се провежда непрекъснат мониторинг за състоянието на пристанищните съоръжения в пристанищата за обществен транспорт и се изготвят доклади за получените резултати. Извършват се периодични измервания за следене на деформациите. </w:t>
      </w:r>
      <w:r w:rsidR="003C7C93" w:rsidRPr="00805152">
        <w:rPr>
          <w:rFonts w:ascii="Times New Roman" w:hAnsi="Times New Roman"/>
          <w:sz w:val="22"/>
          <w:lang w:val="bg-BG" w:eastAsia="tr-TR"/>
        </w:rPr>
        <w:t xml:space="preserve">Във връзка с идентифицирането на обработваемите площи, </w:t>
      </w:r>
      <w:r w:rsidR="003C7C93" w:rsidRPr="00805152">
        <w:rPr>
          <w:rFonts w:ascii="Times New Roman" w:hAnsi="Times New Roman"/>
          <w:b/>
          <w:sz w:val="22"/>
          <w:lang w:val="bg-BG" w:eastAsia="tr-TR"/>
        </w:rPr>
        <w:t>Министерство на земеделието и храните</w:t>
      </w:r>
      <w:r w:rsidR="003C7C93" w:rsidRPr="00805152">
        <w:rPr>
          <w:rFonts w:ascii="Times New Roman" w:hAnsi="Times New Roman"/>
          <w:sz w:val="22"/>
          <w:lang w:val="bg-BG" w:eastAsia="tr-TR"/>
        </w:rPr>
        <w:t xml:space="preserve"> поддържа в актуално състояние „Цифрова ортофото карта”. Съгласно разграфката и номенклатурата Терминал „Бургас - Изток 1“ попада в листа C8-125 и C8-140.</w:t>
      </w:r>
    </w:p>
    <w:p w14:paraId="21061E48" w14:textId="1BAD8A8A"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 xml:space="preserve">Във връзка с разработването на </w:t>
      </w:r>
      <w:r w:rsidRPr="00805152">
        <w:rPr>
          <w:rFonts w:ascii="Times New Roman" w:hAnsi="Times New Roman"/>
          <w:b/>
          <w:sz w:val="22"/>
          <w:lang w:val="bg-BG" w:eastAsia="tr-TR"/>
        </w:rPr>
        <w:t>Проект за рехабилитация на вълнолом Бургас</w:t>
      </w:r>
      <w:r w:rsidRPr="00805152">
        <w:rPr>
          <w:rFonts w:ascii="Times New Roman" w:hAnsi="Times New Roman"/>
          <w:sz w:val="22"/>
          <w:lang w:val="bg-BG" w:eastAsia="tr-TR"/>
        </w:rPr>
        <w:t xml:space="preserve"> на 15.05.2015 г</w:t>
      </w:r>
      <w:r w:rsidR="00B62749" w:rsidRPr="00805152">
        <w:rPr>
          <w:rFonts w:ascii="Times New Roman" w:hAnsi="Times New Roman"/>
          <w:sz w:val="22"/>
          <w:lang w:val="bg-BG" w:eastAsia="tr-TR"/>
        </w:rPr>
        <w:t>.</w:t>
      </w:r>
      <w:r w:rsidRPr="00805152">
        <w:rPr>
          <w:rFonts w:ascii="Times New Roman" w:hAnsi="Times New Roman"/>
          <w:sz w:val="22"/>
          <w:lang w:val="bg-BG" w:eastAsia="tr-TR"/>
        </w:rPr>
        <w:t xml:space="preserve"> е извършено  </w:t>
      </w:r>
      <w:r w:rsidRPr="00805152">
        <w:rPr>
          <w:rFonts w:ascii="Times New Roman" w:hAnsi="Times New Roman"/>
          <w:b/>
          <w:sz w:val="22"/>
          <w:lang w:val="bg-BG" w:eastAsia="tr-TR"/>
        </w:rPr>
        <w:t>геодезическото заснемане</w:t>
      </w:r>
      <w:r w:rsidRPr="00805152">
        <w:rPr>
          <w:rFonts w:ascii="Times New Roman" w:hAnsi="Times New Roman"/>
          <w:sz w:val="22"/>
          <w:lang w:val="bg-BG" w:eastAsia="tr-TR"/>
        </w:rPr>
        <w:t xml:space="preserve"> на обекта с GNSS приемник Trimble R4 /хоризонтална точност 8 mm + 1 pm; вертикална точност 15 mm +1 pm RSM/.</w:t>
      </w:r>
    </w:p>
    <w:p w14:paraId="48643D33" w14:textId="00FAF79B"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Измерени са характерни точки на вълнолома, както и прилежащия терен и ситуация около него. Координирането на новите точки е извършено посредством GPS измервания в реално време със сертифицираната от Агенцията по геодезия, картография и кадастър мрежа „GEO NET“, отговаряща на изискванията съгласно Инструкция № РД-02-20-25/2011г. за определяне на геодезически точки с помощта на глобални навигационни спътникови системи.</w:t>
      </w:r>
    </w:p>
    <w:p w14:paraId="57F1E7D4" w14:textId="0B7CCC8A"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За контрол и проверка е използвана и точка РТ2306 от съществуващото РГО в района на Пристанище Бургас..</w:t>
      </w:r>
    </w:p>
    <w:p w14:paraId="167E91AD" w14:textId="2D2A2E7F"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Направено е обединение на данните от геодезическото измерване с данни от хидрографската снимка</w:t>
      </w:r>
      <w:r w:rsidR="005111B2">
        <w:rPr>
          <w:rFonts w:ascii="Times New Roman" w:hAnsi="Times New Roman"/>
          <w:sz w:val="22"/>
          <w:lang w:val="en-US" w:eastAsia="tr-TR"/>
        </w:rPr>
        <w:t>,</w:t>
      </w:r>
      <w:r w:rsidRPr="00805152">
        <w:rPr>
          <w:rFonts w:ascii="Times New Roman" w:hAnsi="Times New Roman"/>
          <w:sz w:val="22"/>
          <w:lang w:val="bg-BG" w:eastAsia="tr-TR"/>
        </w:rPr>
        <w:t xml:space="preserve"> предоставена от ДППИ.</w:t>
      </w:r>
    </w:p>
    <w:p w14:paraId="7C5705F1" w14:textId="0394339E"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Получените данни са обработени с програмата BGSTrans, трансформирани в координатна система 1970 г. и височинна система: Балтийска.</w:t>
      </w:r>
    </w:p>
    <w:p w14:paraId="61A0A4DB" w14:textId="2243DE16"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Релефните форми са изобразени чрез хоризонтали с основно сечение 1.00 м и спомагателни през 0.50 м.</w:t>
      </w:r>
    </w:p>
    <w:p w14:paraId="3D7F666A" w14:textId="78974811" w:rsidR="00070B7C" w:rsidRPr="00805152" w:rsidRDefault="00070B7C" w:rsidP="00070B7C">
      <w:pPr>
        <w:spacing w:after="0"/>
        <w:ind w:firstLine="576"/>
        <w:rPr>
          <w:rFonts w:ascii="Times New Roman" w:hAnsi="Times New Roman"/>
          <w:sz w:val="22"/>
          <w:lang w:val="bg-BG" w:eastAsia="tr-TR"/>
        </w:rPr>
      </w:pPr>
      <w:r w:rsidRPr="00805152">
        <w:rPr>
          <w:rFonts w:ascii="Times New Roman" w:hAnsi="Times New Roman"/>
          <w:sz w:val="22"/>
          <w:lang w:val="bg-BG" w:eastAsia="tr-TR"/>
        </w:rPr>
        <w:t xml:space="preserve">Изработени са цифров и графичен модел на терена, като са приложени 3 </w:t>
      </w:r>
      <w:r w:rsidR="00733A8C" w:rsidRPr="00805152">
        <w:rPr>
          <w:rFonts w:ascii="Times New Roman" w:hAnsi="Times New Roman"/>
          <w:sz w:val="22"/>
          <w:lang w:val="bg-BG" w:eastAsia="tr-TR"/>
        </w:rPr>
        <w:t>чертежа</w:t>
      </w:r>
      <w:r w:rsidRPr="00805152">
        <w:rPr>
          <w:rFonts w:ascii="Times New Roman" w:hAnsi="Times New Roman"/>
          <w:sz w:val="22"/>
          <w:lang w:val="bg-BG" w:eastAsia="tr-TR"/>
        </w:rPr>
        <w:t xml:space="preserve"> в мащаб 1:500.</w:t>
      </w:r>
    </w:p>
    <w:p w14:paraId="11C06AD2" w14:textId="77777777" w:rsidR="00070B7C" w:rsidRPr="00805152" w:rsidRDefault="00070B7C" w:rsidP="00070B7C">
      <w:pPr>
        <w:spacing w:after="0"/>
        <w:ind w:firstLine="576"/>
        <w:rPr>
          <w:rFonts w:ascii="Times New Roman" w:hAnsi="Times New Roman"/>
          <w:sz w:val="22"/>
          <w:lang w:val="bg-BG" w:eastAsia="tr-TR"/>
        </w:rPr>
      </w:pPr>
    </w:p>
    <w:p w14:paraId="717AE828" w14:textId="77777777" w:rsidR="009F5356" w:rsidRPr="00805152" w:rsidRDefault="009F5356" w:rsidP="00A127A2">
      <w:pPr>
        <w:pStyle w:val="Heading2"/>
        <w:rPr>
          <w:rFonts w:ascii="Times New Roman" w:hAnsi="Times New Roman"/>
          <w:lang w:val="bg-BG"/>
        </w:rPr>
      </w:pPr>
      <w:bookmarkStart w:id="20" w:name="_Toc126492678"/>
      <w:bookmarkStart w:id="21" w:name="_Toc136961081"/>
      <w:r w:rsidRPr="00805152">
        <w:rPr>
          <w:rFonts w:ascii="Times New Roman" w:hAnsi="Times New Roman"/>
          <w:lang w:val="bg-BG"/>
        </w:rPr>
        <w:lastRenderedPageBreak/>
        <w:t>Геоложки Условия</w:t>
      </w:r>
      <w:bookmarkEnd w:id="20"/>
      <w:bookmarkEnd w:id="21"/>
    </w:p>
    <w:p w14:paraId="5B67098B" w14:textId="7848347D" w:rsidR="008647B8" w:rsidRPr="00805152" w:rsidRDefault="008647B8" w:rsidP="008647B8">
      <w:pPr>
        <w:ind w:firstLine="576"/>
        <w:rPr>
          <w:rFonts w:ascii="Times New Roman" w:hAnsi="Times New Roman"/>
          <w:sz w:val="22"/>
          <w:lang w:val="bg-BG"/>
        </w:rPr>
      </w:pPr>
      <w:r w:rsidRPr="00805152">
        <w:rPr>
          <w:rFonts w:ascii="Times New Roman" w:hAnsi="Times New Roman"/>
          <w:sz w:val="22"/>
          <w:lang w:val="bg-BG"/>
        </w:rPr>
        <w:t>Описанието на  геоложките условия в пристанищен терминал „Бургас - Изток 1“ е извършено на базата на архивна информация, като основен източник са изготвените до сега проекти на Генерални планове на пристанище Бургас.</w:t>
      </w:r>
    </w:p>
    <w:p w14:paraId="030B380A" w14:textId="77777777" w:rsidR="008647B8" w:rsidRPr="00805152" w:rsidRDefault="008647B8" w:rsidP="00BF6EDB">
      <w:pPr>
        <w:pStyle w:val="Heading3"/>
        <w:rPr>
          <w:rFonts w:ascii="Times New Roman" w:hAnsi="Times New Roman"/>
          <w:lang w:val="bg-BG"/>
        </w:rPr>
      </w:pPr>
      <w:bookmarkStart w:id="22" w:name="_Toc136961082"/>
      <w:r w:rsidRPr="00805152">
        <w:rPr>
          <w:rFonts w:ascii="Times New Roman" w:hAnsi="Times New Roman"/>
          <w:lang w:val="bg-BG"/>
        </w:rPr>
        <w:t>Обща геоложка характеристика на района на Бургаския залив</w:t>
      </w:r>
      <w:bookmarkEnd w:id="22"/>
    </w:p>
    <w:p w14:paraId="6071821E" w14:textId="77777777" w:rsidR="008647B8" w:rsidRPr="00805152" w:rsidRDefault="008647B8" w:rsidP="008647B8">
      <w:pPr>
        <w:ind w:firstLine="709"/>
        <w:rPr>
          <w:rFonts w:ascii="Times New Roman" w:hAnsi="Times New Roman"/>
          <w:sz w:val="22"/>
          <w:lang w:val="bg-BG"/>
        </w:rPr>
      </w:pPr>
      <w:r w:rsidRPr="00805152">
        <w:rPr>
          <w:rFonts w:ascii="Times New Roman" w:hAnsi="Times New Roman"/>
          <w:sz w:val="22"/>
          <w:lang w:val="bg-BG"/>
        </w:rPr>
        <w:t>Районът на Бургаския залив попада в обсега на Бургаската синклинала /впадина/, която е образувана в резултат на тектонско издигане на два блока от север и юг и потъване на пространството между тях. Формирането на синклиналата е започнало през горния еоцен. По южния й борд са установени няколко надлъжни разседи, поради което тя има асиметричен характер.</w:t>
      </w:r>
    </w:p>
    <w:p w14:paraId="0790E5FC" w14:textId="77777777" w:rsidR="008647B8" w:rsidRPr="00805152" w:rsidRDefault="008647B8" w:rsidP="00F0563C">
      <w:pPr>
        <w:ind w:firstLine="709"/>
        <w:rPr>
          <w:rFonts w:ascii="Times New Roman" w:hAnsi="Times New Roman"/>
          <w:sz w:val="22"/>
          <w:lang w:val="bg-BG"/>
        </w:rPr>
      </w:pPr>
      <w:r w:rsidRPr="00805152">
        <w:rPr>
          <w:rFonts w:ascii="Times New Roman" w:hAnsi="Times New Roman"/>
          <w:sz w:val="22"/>
          <w:lang w:val="bg-BG"/>
        </w:rPr>
        <w:t>Бургаската впадина, която включва Бургаските езера, Бургаския залив и продължението в шелфа на изток има дължина около 30 км и широчина до 15 км. В актуалния си вид Бургаския залив, като част от Бургаската впадина се е образувал в резултат на сложни взаимодействия между трансгресиите и регресиите на Черноморския басейн и речната ерозия на вливащите се сега в езерата, а преди в залива, реки Айтоска, Русокастренска и Средецка. Не на последно място съществена роля са играли и тектонските движения. Негативните тектонски движения през и след плиоцена са довели до отлагането на мощен комплекс от плиоценски и квартернерни седименти. Дори и сега скоростта на понижение на Бургаския залив, както показват измерванията е около 1,5 мм годишно.</w:t>
      </w:r>
    </w:p>
    <w:p w14:paraId="408B2CB6" w14:textId="59A87233" w:rsidR="008647B8" w:rsidRPr="00805152" w:rsidRDefault="008647B8" w:rsidP="008647B8">
      <w:pPr>
        <w:ind w:firstLine="709"/>
        <w:rPr>
          <w:rFonts w:ascii="Times New Roman" w:hAnsi="Times New Roman"/>
          <w:sz w:val="22"/>
          <w:lang w:val="bg-BG"/>
        </w:rPr>
      </w:pPr>
      <w:r w:rsidRPr="00805152">
        <w:rPr>
          <w:rFonts w:ascii="Times New Roman" w:hAnsi="Times New Roman"/>
          <w:sz w:val="22"/>
          <w:lang w:val="bg-BG"/>
        </w:rPr>
        <w:t>Южният бряг на Бургаския залив е изграден от горнокредни вулкан</w:t>
      </w:r>
      <w:r w:rsidR="00757B09">
        <w:rPr>
          <w:rFonts w:ascii="Times New Roman" w:hAnsi="Times New Roman"/>
          <w:sz w:val="22"/>
          <w:lang w:val="bg-BG"/>
        </w:rPr>
        <w:t>ични</w:t>
      </w:r>
      <w:r w:rsidRPr="00805152">
        <w:rPr>
          <w:rFonts w:ascii="Times New Roman" w:hAnsi="Times New Roman"/>
          <w:sz w:val="22"/>
          <w:lang w:val="bg-BG"/>
        </w:rPr>
        <w:t xml:space="preserve"> скали - андезити, трахити, туфити, докато северния бряг и дъното на залива, върху който е застроен гр. Бургас и пристанището, са от по-млади отложения - палеогенски и плиоценски глини, ронливи до здрави пясъчници, покрити с делувиално-елувиални глини. Тази асиметричност в петрографския състав на долината е способствала промените на формата на долината през кватернера да стават предимно в дъното и северната част, заети от по-слаби и поддаващи се на абразия и ерозия глинести седименти. Така например през т.нар. новоевксинска регресия на морето, при което морското ниво се е понижило с 40-60 м от сегашното ниво на Бургаския залив, се е образувала дълбока речна долина с ос, по-близо до сегашния южен бряг. Речна тераса от чакъли, пясъци и глини от това корито се установява сега на дълбочина 40-50 м.</w:t>
      </w:r>
    </w:p>
    <w:p w14:paraId="51E598B6" w14:textId="4ACBF9E8" w:rsidR="008647B8" w:rsidRPr="00805152" w:rsidRDefault="008647B8" w:rsidP="00757B09">
      <w:pPr>
        <w:ind w:firstLine="709"/>
        <w:rPr>
          <w:rFonts w:ascii="Times New Roman" w:hAnsi="Times New Roman"/>
          <w:sz w:val="22"/>
          <w:lang w:val="bg-BG"/>
        </w:rPr>
      </w:pPr>
      <w:r w:rsidRPr="00805152">
        <w:rPr>
          <w:rFonts w:ascii="Times New Roman" w:hAnsi="Times New Roman"/>
          <w:sz w:val="22"/>
          <w:lang w:val="bg-BG"/>
        </w:rPr>
        <w:t>Последвалата холоценска трансгресия на морето довежда до бързо запълване на старата удавена речна долина със съвременни морски утайки – предимно тини с дебелина до 30м.</w:t>
      </w:r>
      <w:r w:rsidR="00757B09">
        <w:rPr>
          <w:rFonts w:ascii="Times New Roman" w:hAnsi="Times New Roman"/>
          <w:sz w:val="22"/>
          <w:lang w:val="bg-BG"/>
        </w:rPr>
        <w:t xml:space="preserve"> </w:t>
      </w:r>
      <w:r w:rsidRPr="00805152">
        <w:rPr>
          <w:rFonts w:ascii="Times New Roman" w:hAnsi="Times New Roman"/>
          <w:sz w:val="22"/>
          <w:lang w:val="bg-BG"/>
        </w:rPr>
        <w:t>В края на холоценската трансгресия морето отлага вече по-плитководни морски седименти, първоначално тинести пясъци, а в последствие едро и среднозърнести пясъци с мидени черупки, които образуват широка пясъчна коса в западната част на залива, която отделя морето от езерата, като превръща последните в типични лимани.</w:t>
      </w:r>
    </w:p>
    <w:p w14:paraId="263C8843" w14:textId="77777777" w:rsidR="008647B8" w:rsidRPr="00805152" w:rsidRDefault="008647B8" w:rsidP="00BF6EDB">
      <w:pPr>
        <w:ind w:firstLine="709"/>
        <w:rPr>
          <w:rFonts w:ascii="Times New Roman" w:hAnsi="Times New Roman"/>
          <w:sz w:val="22"/>
          <w:lang w:val="bg-BG"/>
        </w:rPr>
      </w:pPr>
      <w:r w:rsidRPr="00805152">
        <w:rPr>
          <w:rFonts w:ascii="Times New Roman" w:hAnsi="Times New Roman"/>
          <w:sz w:val="22"/>
          <w:lang w:val="bg-BG"/>
        </w:rPr>
        <w:lastRenderedPageBreak/>
        <w:t>При тези вертикални колебания на морското ниво през кватернера, северната част на Бургаския залив остава извън обсега на погребаната речна долина като неин склон и надсклонов цокъл, изграден от плиоценски глинести и пясъчникови седименти. Той сега е покрит с незначителен пласт морски пясъчни утайки с мидени черупки, т.е. утайки, характерни за плиткия крайбрежен фациес.</w:t>
      </w:r>
    </w:p>
    <w:p w14:paraId="01AD861E" w14:textId="77777777" w:rsidR="008647B8" w:rsidRPr="00805152" w:rsidRDefault="008647B8" w:rsidP="00F0563C">
      <w:pPr>
        <w:ind w:firstLine="709"/>
        <w:rPr>
          <w:rFonts w:ascii="Times New Roman" w:hAnsi="Times New Roman"/>
          <w:sz w:val="22"/>
          <w:lang w:val="bg-BG"/>
        </w:rPr>
      </w:pPr>
      <w:r w:rsidRPr="00805152">
        <w:rPr>
          <w:rFonts w:ascii="Times New Roman" w:hAnsi="Times New Roman"/>
          <w:sz w:val="22"/>
          <w:lang w:val="bg-BG"/>
        </w:rPr>
        <w:t xml:space="preserve">Така изложените палеогеоложки и палеоморфоложки факти показват, че северната част на Бургаския залив за разлика от южната част, създава благоприятни условия за пристанищно строителство. </w:t>
      </w:r>
    </w:p>
    <w:p w14:paraId="64B91722" w14:textId="67A93BE8" w:rsidR="008647B8" w:rsidRPr="00805152" w:rsidRDefault="008647B8" w:rsidP="00BF6EDB">
      <w:pPr>
        <w:ind w:firstLine="709"/>
        <w:rPr>
          <w:rFonts w:ascii="Times New Roman" w:hAnsi="Times New Roman"/>
          <w:sz w:val="22"/>
          <w:lang w:val="bg-BG"/>
        </w:rPr>
      </w:pPr>
      <w:r w:rsidRPr="00805152">
        <w:rPr>
          <w:rFonts w:ascii="Times New Roman" w:hAnsi="Times New Roman"/>
          <w:sz w:val="22"/>
          <w:lang w:val="bg-BG"/>
        </w:rPr>
        <w:t xml:space="preserve">Геолого-литоложкият и геоморфоложкият строеж на Бургаския залив най-добре личи на геоложката карта показана на </w:t>
      </w:r>
      <w:r w:rsidR="00F0563C" w:rsidRPr="00805152">
        <w:rPr>
          <w:rFonts w:ascii="Times New Roman" w:hAnsi="Times New Roman"/>
          <w:sz w:val="22"/>
          <w:lang w:val="bg-BG"/>
        </w:rPr>
        <w:t>следваща</w:t>
      </w:r>
      <w:r w:rsidRPr="00805152">
        <w:rPr>
          <w:rFonts w:ascii="Times New Roman" w:hAnsi="Times New Roman"/>
          <w:sz w:val="22"/>
          <w:lang w:val="bg-BG"/>
        </w:rPr>
        <w:t>та фигура.</w:t>
      </w:r>
    </w:p>
    <w:tbl>
      <w:tblPr>
        <w:tblStyle w:val="TableGrid"/>
        <w:tblW w:w="0" w:type="auto"/>
        <w:tblLook w:val="04A0" w:firstRow="1" w:lastRow="0" w:firstColumn="1" w:lastColumn="0" w:noHBand="0" w:noVBand="1"/>
      </w:tblPr>
      <w:tblGrid>
        <w:gridCol w:w="4961"/>
        <w:gridCol w:w="4809"/>
      </w:tblGrid>
      <w:tr w:rsidR="00757B09" w:rsidRPr="00805152" w14:paraId="79840A50" w14:textId="77777777" w:rsidTr="00757B09">
        <w:trPr>
          <w:trHeight w:val="45"/>
        </w:trPr>
        <w:tc>
          <w:tcPr>
            <w:tcW w:w="4961" w:type="dxa"/>
          </w:tcPr>
          <w:p w14:paraId="0311B197" w14:textId="77777777" w:rsidR="008647B8" w:rsidRPr="00805152" w:rsidRDefault="008647B8" w:rsidP="001958BF">
            <w:pPr>
              <w:jc w:val="center"/>
              <w:rPr>
                <w:rFonts w:ascii="Times New Roman" w:hAnsi="Times New Roman"/>
                <w:szCs w:val="24"/>
                <w:lang w:val="bg-BG"/>
              </w:rPr>
            </w:pPr>
            <w:r w:rsidRPr="00805152">
              <w:rPr>
                <w:rFonts w:ascii="Times New Roman" w:hAnsi="Times New Roman"/>
                <w:noProof/>
                <w:sz w:val="22"/>
                <w:lang w:val="en-US"/>
              </w:rPr>
              <w:drawing>
                <wp:inline distT="0" distB="0" distL="0" distR="0" wp14:anchorId="5D825FE7" wp14:editId="6DA616B4">
                  <wp:extent cx="2685415" cy="4143934"/>
                  <wp:effectExtent l="0" t="0" r="635" b="9525"/>
                  <wp:docPr id="7207" name="Picture 7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16210" cy="4191454"/>
                          </a:xfrm>
                          <a:prstGeom prst="rect">
                            <a:avLst/>
                          </a:prstGeom>
                          <a:noFill/>
                          <a:ln>
                            <a:noFill/>
                          </a:ln>
                        </pic:spPr>
                      </pic:pic>
                    </a:graphicData>
                  </a:graphic>
                </wp:inline>
              </w:drawing>
            </w:r>
          </w:p>
        </w:tc>
        <w:tc>
          <w:tcPr>
            <w:tcW w:w="4809" w:type="dxa"/>
          </w:tcPr>
          <w:p w14:paraId="58D6B004" w14:textId="77777777" w:rsidR="008647B8" w:rsidRPr="00805152" w:rsidRDefault="008647B8" w:rsidP="001958BF">
            <w:pPr>
              <w:autoSpaceDE w:val="0"/>
              <w:autoSpaceDN w:val="0"/>
              <w:adjustRightInd w:val="0"/>
              <w:jc w:val="center"/>
              <w:rPr>
                <w:rFonts w:ascii="Times New Roman" w:hAnsi="Times New Roman"/>
                <w:sz w:val="22"/>
                <w:lang w:val="bg-BG"/>
              </w:rPr>
            </w:pPr>
            <w:r w:rsidRPr="00805152">
              <w:rPr>
                <w:rFonts w:ascii="Times New Roman" w:hAnsi="Times New Roman"/>
                <w:noProof/>
                <w:sz w:val="22"/>
                <w:lang w:val="en-US"/>
              </w:rPr>
              <w:drawing>
                <wp:inline distT="0" distB="0" distL="0" distR="0" wp14:anchorId="17C1E5EA" wp14:editId="44FFED2B">
                  <wp:extent cx="1573364" cy="834386"/>
                  <wp:effectExtent l="0" t="0" r="8255" b="4445"/>
                  <wp:docPr id="7209" name="Picture 7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91304" cy="843900"/>
                          </a:xfrm>
                          <a:prstGeom prst="rect">
                            <a:avLst/>
                          </a:prstGeom>
                          <a:noFill/>
                          <a:ln>
                            <a:noFill/>
                          </a:ln>
                        </pic:spPr>
                      </pic:pic>
                    </a:graphicData>
                  </a:graphic>
                </wp:inline>
              </w:drawing>
            </w:r>
          </w:p>
          <w:p w14:paraId="3F2B7235" w14:textId="77777777" w:rsidR="008647B8" w:rsidRPr="00805152" w:rsidRDefault="008647B8" w:rsidP="001958BF">
            <w:pPr>
              <w:autoSpaceDE w:val="0"/>
              <w:autoSpaceDN w:val="0"/>
              <w:adjustRightInd w:val="0"/>
              <w:jc w:val="center"/>
              <w:rPr>
                <w:rFonts w:ascii="Times New Roman" w:hAnsi="Times New Roman"/>
                <w:sz w:val="22"/>
                <w:lang w:val="bg-BG"/>
              </w:rPr>
            </w:pPr>
            <w:r w:rsidRPr="00805152">
              <w:rPr>
                <w:rFonts w:ascii="Times New Roman" w:hAnsi="Times New Roman"/>
                <w:noProof/>
                <w:sz w:val="22"/>
                <w:lang w:val="en-US"/>
              </w:rPr>
              <w:drawing>
                <wp:inline distT="0" distB="0" distL="0" distR="0" wp14:anchorId="3A6C6CE4" wp14:editId="6E14F952">
                  <wp:extent cx="1515724" cy="577577"/>
                  <wp:effectExtent l="0" t="0" r="8890" b="0"/>
                  <wp:docPr id="7210" name="Picture 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V="1">
                            <a:off x="0" y="0"/>
                            <a:ext cx="1540936" cy="587184"/>
                          </a:xfrm>
                          <a:prstGeom prst="rect">
                            <a:avLst/>
                          </a:prstGeom>
                          <a:noFill/>
                          <a:ln>
                            <a:noFill/>
                          </a:ln>
                        </pic:spPr>
                      </pic:pic>
                    </a:graphicData>
                  </a:graphic>
                </wp:inline>
              </w:drawing>
            </w:r>
          </w:p>
          <w:p w14:paraId="00C92330" w14:textId="77777777" w:rsidR="008647B8" w:rsidRPr="00805152" w:rsidRDefault="008647B8" w:rsidP="001958BF">
            <w:pPr>
              <w:autoSpaceDE w:val="0"/>
              <w:autoSpaceDN w:val="0"/>
              <w:adjustRightInd w:val="0"/>
              <w:jc w:val="center"/>
              <w:rPr>
                <w:rFonts w:ascii="Times New Roman" w:hAnsi="Times New Roman"/>
                <w:sz w:val="22"/>
                <w:lang w:val="bg-BG"/>
              </w:rPr>
            </w:pPr>
            <w:r w:rsidRPr="00805152">
              <w:rPr>
                <w:rFonts w:ascii="Times New Roman" w:hAnsi="Times New Roman"/>
                <w:noProof/>
                <w:sz w:val="22"/>
                <w:lang w:val="en-US"/>
              </w:rPr>
              <w:drawing>
                <wp:inline distT="0" distB="0" distL="0" distR="0" wp14:anchorId="76535EE9" wp14:editId="1C154B9B">
                  <wp:extent cx="1510969" cy="103618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31330" cy="1050151"/>
                          </a:xfrm>
                          <a:prstGeom prst="rect">
                            <a:avLst/>
                          </a:prstGeom>
                          <a:noFill/>
                          <a:ln>
                            <a:noFill/>
                          </a:ln>
                        </pic:spPr>
                      </pic:pic>
                    </a:graphicData>
                  </a:graphic>
                </wp:inline>
              </w:drawing>
            </w:r>
          </w:p>
          <w:p w14:paraId="3F57AA4D" w14:textId="77777777" w:rsidR="008647B8" w:rsidRPr="00805152" w:rsidRDefault="008647B8" w:rsidP="001958BF">
            <w:pPr>
              <w:autoSpaceDE w:val="0"/>
              <w:autoSpaceDN w:val="0"/>
              <w:adjustRightInd w:val="0"/>
              <w:jc w:val="center"/>
              <w:rPr>
                <w:rFonts w:ascii="Times New Roman" w:hAnsi="Times New Roman"/>
                <w:sz w:val="22"/>
                <w:lang w:val="bg-BG"/>
              </w:rPr>
            </w:pPr>
            <w:r w:rsidRPr="00805152">
              <w:rPr>
                <w:rFonts w:ascii="Times New Roman" w:hAnsi="Times New Roman"/>
                <w:noProof/>
                <w:sz w:val="22"/>
                <w:lang w:val="en-US"/>
              </w:rPr>
              <w:drawing>
                <wp:inline distT="0" distB="0" distL="0" distR="0" wp14:anchorId="2A2CD49F" wp14:editId="1842D03A">
                  <wp:extent cx="1558951" cy="373390"/>
                  <wp:effectExtent l="0" t="0" r="3175" b="7620"/>
                  <wp:docPr id="7212" name="Picture 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V="1">
                            <a:off x="0" y="0"/>
                            <a:ext cx="1638210" cy="392374"/>
                          </a:xfrm>
                          <a:prstGeom prst="rect">
                            <a:avLst/>
                          </a:prstGeom>
                          <a:noFill/>
                          <a:ln>
                            <a:noFill/>
                          </a:ln>
                        </pic:spPr>
                      </pic:pic>
                    </a:graphicData>
                  </a:graphic>
                </wp:inline>
              </w:drawing>
            </w:r>
          </w:p>
          <w:p w14:paraId="212D18DA" w14:textId="77777777" w:rsidR="008647B8" w:rsidRPr="00805152" w:rsidRDefault="008647B8" w:rsidP="001958BF">
            <w:pPr>
              <w:autoSpaceDE w:val="0"/>
              <w:autoSpaceDN w:val="0"/>
              <w:adjustRightInd w:val="0"/>
              <w:jc w:val="center"/>
              <w:rPr>
                <w:rFonts w:ascii="Times New Roman" w:hAnsi="Times New Roman"/>
                <w:sz w:val="22"/>
                <w:lang w:val="bg-BG"/>
              </w:rPr>
            </w:pPr>
            <w:r w:rsidRPr="00805152">
              <w:rPr>
                <w:rFonts w:ascii="Times New Roman" w:hAnsi="Times New Roman"/>
                <w:noProof/>
                <w:sz w:val="22"/>
                <w:lang w:val="en-US"/>
              </w:rPr>
              <w:drawing>
                <wp:inline distT="0" distB="0" distL="0" distR="0" wp14:anchorId="477CD96A" wp14:editId="4D8E1481">
                  <wp:extent cx="1679078" cy="662745"/>
                  <wp:effectExtent l="0" t="0" r="0" b="4445"/>
                  <wp:docPr id="7213" name="Picture 7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29354" cy="682589"/>
                          </a:xfrm>
                          <a:prstGeom prst="rect">
                            <a:avLst/>
                          </a:prstGeom>
                          <a:noFill/>
                          <a:ln>
                            <a:noFill/>
                          </a:ln>
                        </pic:spPr>
                      </pic:pic>
                    </a:graphicData>
                  </a:graphic>
                </wp:inline>
              </w:drawing>
            </w:r>
          </w:p>
          <w:p w14:paraId="5A1F3012" w14:textId="77777777" w:rsidR="008647B8" w:rsidRPr="00805152" w:rsidRDefault="008647B8" w:rsidP="001958BF">
            <w:pPr>
              <w:jc w:val="center"/>
              <w:rPr>
                <w:rFonts w:ascii="Times New Roman" w:hAnsi="Times New Roman"/>
                <w:sz w:val="22"/>
                <w:u w:val="single"/>
                <w:lang w:val="bg-BG"/>
              </w:rPr>
            </w:pPr>
            <w:r w:rsidRPr="00805152">
              <w:rPr>
                <w:rFonts w:ascii="Times New Roman" w:hAnsi="Times New Roman"/>
                <w:noProof/>
                <w:sz w:val="22"/>
                <w:lang w:val="en-US"/>
              </w:rPr>
              <w:drawing>
                <wp:inline distT="0" distB="0" distL="0" distR="0" wp14:anchorId="6DEA06C7" wp14:editId="4612E0BA">
                  <wp:extent cx="1850585" cy="185671"/>
                  <wp:effectExtent l="0" t="0" r="0" b="5080"/>
                  <wp:docPr id="7214" name="Picture 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18158" cy="202484"/>
                          </a:xfrm>
                          <a:prstGeom prst="rect">
                            <a:avLst/>
                          </a:prstGeom>
                          <a:noFill/>
                          <a:ln>
                            <a:noFill/>
                          </a:ln>
                        </pic:spPr>
                      </pic:pic>
                    </a:graphicData>
                  </a:graphic>
                </wp:inline>
              </w:drawing>
            </w:r>
          </w:p>
        </w:tc>
      </w:tr>
      <w:tr w:rsidR="00757B09" w:rsidRPr="00805152" w14:paraId="48523736" w14:textId="77777777" w:rsidTr="00757B09">
        <w:trPr>
          <w:trHeight w:val="133"/>
        </w:trPr>
        <w:tc>
          <w:tcPr>
            <w:tcW w:w="4961" w:type="dxa"/>
          </w:tcPr>
          <w:p w14:paraId="598C8EDB" w14:textId="032D1F73" w:rsidR="008647B8" w:rsidRPr="00805152" w:rsidRDefault="008647B8" w:rsidP="00BF6EDB">
            <w:pPr>
              <w:pStyle w:val="BP-Figure"/>
              <w:ind w:left="2290" w:hanging="567"/>
            </w:pPr>
            <w:bookmarkStart w:id="23" w:name="_Toc43457671"/>
            <w:r w:rsidRPr="00805152">
              <w:t>Геоложка карта</w:t>
            </w:r>
            <w:bookmarkEnd w:id="23"/>
          </w:p>
        </w:tc>
        <w:tc>
          <w:tcPr>
            <w:tcW w:w="4809" w:type="dxa"/>
          </w:tcPr>
          <w:p w14:paraId="005141B4" w14:textId="144BE03C" w:rsidR="008647B8" w:rsidRPr="00805152" w:rsidRDefault="008647B8" w:rsidP="00757B09">
            <w:pPr>
              <w:pStyle w:val="BP-Figure"/>
              <w:ind w:left="973" w:hanging="230"/>
            </w:pPr>
            <w:bookmarkStart w:id="24" w:name="_Toc43457672"/>
            <w:r w:rsidRPr="00805152">
              <w:t>Легенда към Геоложка карта</w:t>
            </w:r>
            <w:bookmarkEnd w:id="24"/>
          </w:p>
        </w:tc>
      </w:tr>
    </w:tbl>
    <w:p w14:paraId="23903A0D" w14:textId="77777777" w:rsidR="00757B09" w:rsidRDefault="00757B09" w:rsidP="00757B09">
      <w:pPr>
        <w:pStyle w:val="Heading3"/>
        <w:numPr>
          <w:ilvl w:val="0"/>
          <w:numId w:val="0"/>
        </w:numPr>
        <w:rPr>
          <w:rFonts w:ascii="Times New Roman" w:hAnsi="Times New Roman"/>
          <w:lang w:val="bg-BG"/>
        </w:rPr>
      </w:pPr>
      <w:bookmarkStart w:id="25" w:name="_Toc136961083"/>
    </w:p>
    <w:p w14:paraId="151CDB87" w14:textId="040DE17D" w:rsidR="008647B8" w:rsidRPr="00805152" w:rsidRDefault="008647B8" w:rsidP="00BF6EDB">
      <w:pPr>
        <w:pStyle w:val="Heading3"/>
        <w:rPr>
          <w:rFonts w:ascii="Times New Roman" w:hAnsi="Times New Roman"/>
          <w:lang w:val="bg-BG"/>
        </w:rPr>
      </w:pPr>
      <w:r w:rsidRPr="00805152">
        <w:rPr>
          <w:rFonts w:ascii="Times New Roman" w:hAnsi="Times New Roman"/>
          <w:lang w:val="bg-BG"/>
        </w:rPr>
        <w:t>Инженерно-геоложко райониране на Бургаския залив</w:t>
      </w:r>
      <w:bookmarkEnd w:id="25"/>
    </w:p>
    <w:p w14:paraId="0F1E81CB" w14:textId="77777777" w:rsidR="008647B8" w:rsidRPr="00805152" w:rsidRDefault="008647B8" w:rsidP="008647B8">
      <w:pPr>
        <w:rPr>
          <w:rFonts w:ascii="Times New Roman" w:hAnsi="Times New Roman"/>
          <w:sz w:val="22"/>
          <w:lang w:val="bg-BG"/>
        </w:rPr>
      </w:pPr>
      <w:r w:rsidRPr="00805152">
        <w:rPr>
          <w:rFonts w:ascii="Times New Roman" w:hAnsi="Times New Roman"/>
          <w:sz w:val="22"/>
          <w:lang w:val="bg-BG"/>
        </w:rPr>
        <w:t>Инженерно-геоложкото райониране на Бургаския залив е показано на долната фигура.</w:t>
      </w:r>
    </w:p>
    <w:p w14:paraId="2066019E" w14:textId="77777777" w:rsidR="008647B8" w:rsidRPr="00805152" w:rsidRDefault="008647B8" w:rsidP="008647B8">
      <w:pPr>
        <w:rPr>
          <w:rFonts w:ascii="Times New Roman" w:hAnsi="Times New Roman"/>
          <w:sz w:val="22"/>
          <w:lang w:val="bg-BG"/>
        </w:rPr>
      </w:pPr>
    </w:p>
    <w:p w14:paraId="0458DF12" w14:textId="77777777" w:rsidR="008647B8" w:rsidRPr="00805152" w:rsidRDefault="008647B8" w:rsidP="008647B8">
      <w:pPr>
        <w:ind w:left="360" w:firstLine="708"/>
        <w:jc w:val="center"/>
        <w:rPr>
          <w:rFonts w:ascii="Times New Roman" w:hAnsi="Times New Roman"/>
          <w:sz w:val="22"/>
          <w:lang w:val="bg-BG"/>
        </w:rPr>
      </w:pPr>
      <w:r w:rsidRPr="00805152">
        <w:rPr>
          <w:rFonts w:ascii="Times New Roman" w:hAnsi="Times New Roman"/>
          <w:noProof/>
          <w:sz w:val="22"/>
          <w:lang w:val="en-US"/>
        </w:rPr>
        <w:drawing>
          <wp:inline distT="0" distB="0" distL="0" distR="0" wp14:anchorId="5D4410B7" wp14:editId="174231D2">
            <wp:extent cx="3704516" cy="3801600"/>
            <wp:effectExtent l="0" t="0" r="0" b="8890"/>
            <wp:docPr id="7215" name="Picture 7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13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10197" cy="3807430"/>
                    </a:xfrm>
                    <a:prstGeom prst="rect">
                      <a:avLst/>
                    </a:prstGeom>
                    <a:noFill/>
                    <a:ln>
                      <a:noFill/>
                    </a:ln>
                  </pic:spPr>
                </pic:pic>
              </a:graphicData>
            </a:graphic>
          </wp:inline>
        </w:drawing>
      </w:r>
    </w:p>
    <w:p w14:paraId="607272C1" w14:textId="5EB49BBA" w:rsidR="008647B8" w:rsidRPr="00805152" w:rsidRDefault="00733A8C" w:rsidP="00757B09">
      <w:pPr>
        <w:pStyle w:val="BP-Figure"/>
        <w:ind w:left="2694" w:hanging="567"/>
        <w:jc w:val="center"/>
      </w:pPr>
      <w:bookmarkStart w:id="26" w:name="_Toc43457673"/>
      <w:r w:rsidRPr="00805152">
        <w:t>Инженерно-геоложка</w:t>
      </w:r>
      <w:r w:rsidR="008647B8" w:rsidRPr="00805152">
        <w:t xml:space="preserve"> карта на Бургаския залив</w:t>
      </w:r>
      <w:bookmarkEnd w:id="26"/>
    </w:p>
    <w:p w14:paraId="21A93F51" w14:textId="77777777" w:rsidR="008647B8" w:rsidRPr="00805152" w:rsidRDefault="008647B8" w:rsidP="008647B8">
      <w:pPr>
        <w:rPr>
          <w:rFonts w:ascii="Times New Roman" w:hAnsi="Times New Roman"/>
          <w:szCs w:val="24"/>
          <w:lang w:val="bg-BG"/>
        </w:rPr>
      </w:pPr>
    </w:p>
    <w:p w14:paraId="74EEBACC" w14:textId="77777777" w:rsidR="008647B8" w:rsidRPr="00805152" w:rsidRDefault="008647B8" w:rsidP="00602C90">
      <w:pPr>
        <w:spacing w:after="0" w:line="360" w:lineRule="auto"/>
        <w:ind w:firstLine="709"/>
        <w:rPr>
          <w:rFonts w:ascii="Times New Roman" w:hAnsi="Times New Roman"/>
          <w:sz w:val="22"/>
          <w:lang w:val="bg-BG"/>
        </w:rPr>
      </w:pPr>
      <w:r w:rsidRPr="00805152">
        <w:rPr>
          <w:rFonts w:ascii="Times New Roman" w:hAnsi="Times New Roman"/>
          <w:sz w:val="22"/>
          <w:lang w:val="bg-BG"/>
        </w:rPr>
        <w:t>Районирането е извършено на базата на:</w:t>
      </w:r>
    </w:p>
    <w:p w14:paraId="0581230B" w14:textId="77777777" w:rsidR="008647B8" w:rsidRPr="00805152" w:rsidRDefault="008647B8" w:rsidP="0021547C">
      <w:pPr>
        <w:numPr>
          <w:ilvl w:val="0"/>
          <w:numId w:val="70"/>
        </w:numPr>
        <w:spacing w:after="0" w:line="360" w:lineRule="auto"/>
        <w:ind w:left="1066" w:hanging="357"/>
        <w:rPr>
          <w:rFonts w:ascii="Times New Roman" w:hAnsi="Times New Roman"/>
          <w:sz w:val="22"/>
          <w:lang w:val="bg-BG"/>
        </w:rPr>
      </w:pPr>
      <w:r w:rsidRPr="00805152">
        <w:rPr>
          <w:rFonts w:ascii="Times New Roman" w:hAnsi="Times New Roman"/>
          <w:sz w:val="22"/>
          <w:lang w:val="bg-BG"/>
        </w:rPr>
        <w:t>Геоморфоложките особености на отделните части от залива;</w:t>
      </w:r>
    </w:p>
    <w:p w14:paraId="462A0515" w14:textId="77777777" w:rsidR="008647B8" w:rsidRPr="00805152" w:rsidRDefault="008647B8" w:rsidP="0021547C">
      <w:pPr>
        <w:numPr>
          <w:ilvl w:val="0"/>
          <w:numId w:val="70"/>
        </w:numPr>
        <w:spacing w:after="0" w:line="360" w:lineRule="auto"/>
        <w:ind w:left="1066" w:hanging="357"/>
        <w:rPr>
          <w:rFonts w:ascii="Times New Roman" w:hAnsi="Times New Roman"/>
          <w:sz w:val="22"/>
          <w:lang w:val="bg-BG"/>
        </w:rPr>
      </w:pPr>
      <w:r w:rsidRPr="00805152">
        <w:rPr>
          <w:rFonts w:ascii="Times New Roman" w:hAnsi="Times New Roman"/>
          <w:sz w:val="22"/>
          <w:lang w:val="bg-BG"/>
        </w:rPr>
        <w:t>Литоложкия състав на изграждащите залива почви и скали;</w:t>
      </w:r>
    </w:p>
    <w:p w14:paraId="5511D749" w14:textId="77777777" w:rsidR="008647B8" w:rsidRPr="00805152" w:rsidRDefault="008647B8" w:rsidP="0021547C">
      <w:pPr>
        <w:numPr>
          <w:ilvl w:val="0"/>
          <w:numId w:val="70"/>
        </w:numPr>
        <w:spacing w:after="0" w:line="360" w:lineRule="auto"/>
        <w:ind w:left="1066" w:hanging="357"/>
        <w:rPr>
          <w:rFonts w:ascii="Times New Roman" w:hAnsi="Times New Roman"/>
          <w:sz w:val="22"/>
          <w:lang w:val="bg-BG"/>
        </w:rPr>
      </w:pPr>
      <w:r w:rsidRPr="00805152">
        <w:rPr>
          <w:rFonts w:ascii="Times New Roman" w:hAnsi="Times New Roman"/>
          <w:sz w:val="22"/>
          <w:lang w:val="bg-BG"/>
        </w:rPr>
        <w:t>физико-механичните показатели на строителните почви;</w:t>
      </w:r>
    </w:p>
    <w:p w14:paraId="287CF180" w14:textId="77777777" w:rsidR="008647B8" w:rsidRDefault="008647B8" w:rsidP="0021547C">
      <w:pPr>
        <w:numPr>
          <w:ilvl w:val="0"/>
          <w:numId w:val="70"/>
        </w:numPr>
        <w:spacing w:after="0" w:line="360" w:lineRule="auto"/>
        <w:ind w:left="1066" w:hanging="357"/>
        <w:rPr>
          <w:rFonts w:ascii="Times New Roman" w:hAnsi="Times New Roman"/>
          <w:sz w:val="22"/>
          <w:lang w:val="bg-BG"/>
        </w:rPr>
      </w:pPr>
      <w:r w:rsidRPr="00805152">
        <w:rPr>
          <w:rFonts w:ascii="Times New Roman" w:hAnsi="Times New Roman"/>
          <w:sz w:val="22"/>
          <w:lang w:val="bg-BG"/>
        </w:rPr>
        <w:t>строителния опит, придобит от фундирането и строителството в тях;</w:t>
      </w:r>
    </w:p>
    <w:p w14:paraId="73B98AEF" w14:textId="77777777" w:rsidR="00757B09" w:rsidRDefault="00757B09" w:rsidP="00757B09">
      <w:pPr>
        <w:spacing w:after="0" w:line="360" w:lineRule="auto"/>
        <w:rPr>
          <w:rFonts w:ascii="Times New Roman" w:hAnsi="Times New Roman"/>
          <w:sz w:val="22"/>
          <w:lang w:val="bg-BG"/>
        </w:rPr>
      </w:pPr>
    </w:p>
    <w:p w14:paraId="069BD9AC" w14:textId="77777777" w:rsidR="00757B09" w:rsidRDefault="00757B09" w:rsidP="00757B09">
      <w:pPr>
        <w:spacing w:after="0" w:line="360" w:lineRule="auto"/>
        <w:rPr>
          <w:rFonts w:ascii="Times New Roman" w:hAnsi="Times New Roman"/>
          <w:sz w:val="22"/>
          <w:lang w:val="bg-BG"/>
        </w:rPr>
      </w:pPr>
    </w:p>
    <w:p w14:paraId="55F316AF" w14:textId="77777777" w:rsidR="00757B09" w:rsidRPr="00805152" w:rsidRDefault="00757B09" w:rsidP="00757B09">
      <w:pPr>
        <w:spacing w:after="0" w:line="360" w:lineRule="auto"/>
        <w:rPr>
          <w:rFonts w:ascii="Times New Roman" w:hAnsi="Times New Roman"/>
          <w:sz w:val="22"/>
          <w:lang w:val="bg-BG"/>
        </w:rPr>
      </w:pPr>
    </w:p>
    <w:p w14:paraId="096C9066" w14:textId="77777777" w:rsidR="008647B8" w:rsidRPr="00805152" w:rsidRDefault="008647B8" w:rsidP="00602C90">
      <w:pPr>
        <w:spacing w:before="240"/>
        <w:ind w:firstLine="709"/>
        <w:rPr>
          <w:rFonts w:ascii="Times New Roman" w:hAnsi="Times New Roman"/>
          <w:sz w:val="22"/>
          <w:lang w:val="bg-BG"/>
        </w:rPr>
      </w:pPr>
      <w:r w:rsidRPr="00805152">
        <w:rPr>
          <w:rFonts w:ascii="Times New Roman" w:hAnsi="Times New Roman"/>
          <w:sz w:val="22"/>
          <w:lang w:val="bg-BG"/>
        </w:rPr>
        <w:lastRenderedPageBreak/>
        <w:t>Основните характеристики на отделните райони са следните:</w:t>
      </w:r>
    </w:p>
    <w:p w14:paraId="19DBDC96" w14:textId="77777777" w:rsidR="008647B8" w:rsidRPr="00805152" w:rsidRDefault="008647B8" w:rsidP="00602C90">
      <w:pPr>
        <w:ind w:firstLine="709"/>
        <w:rPr>
          <w:rFonts w:ascii="Times New Roman" w:hAnsi="Times New Roman"/>
          <w:b/>
          <w:szCs w:val="24"/>
          <w:lang w:val="bg-BG"/>
        </w:rPr>
      </w:pPr>
      <w:r w:rsidRPr="00805152">
        <w:rPr>
          <w:rFonts w:ascii="Times New Roman" w:hAnsi="Times New Roman"/>
          <w:b/>
          <w:szCs w:val="24"/>
          <w:lang w:val="bg-BG"/>
        </w:rPr>
        <w:t>Район I</w:t>
      </w:r>
    </w:p>
    <w:p w14:paraId="764DC740" w14:textId="7483A5CE" w:rsidR="008647B8" w:rsidRPr="00C958EE" w:rsidRDefault="008647B8" w:rsidP="00C958EE">
      <w:pPr>
        <w:ind w:firstLine="709"/>
        <w:rPr>
          <w:rFonts w:ascii="Times New Roman" w:hAnsi="Times New Roman"/>
          <w:sz w:val="22"/>
          <w:lang w:val="bg-BG"/>
        </w:rPr>
      </w:pPr>
      <w:r w:rsidRPr="00805152">
        <w:rPr>
          <w:rFonts w:ascii="Times New Roman" w:hAnsi="Times New Roman"/>
          <w:sz w:val="22"/>
          <w:lang w:val="bg-BG"/>
        </w:rPr>
        <w:t>Подводен плиоценски цокъл, изграден в основата си от плиоценски глини с лещи и прослойки от пясъчник с глинесто-карбонатна спойка или глинести сбити пясъци. Горнището на плиоценския цокъл е на дълбочина 10-20 м от морското ниво. То е покрито с алувиална покривка от глина с карбонатни ядки, а на места с пясък или тиня. Районът е добра земна осно</w:t>
      </w:r>
      <w:r w:rsidR="00C958EE">
        <w:rPr>
          <w:rFonts w:ascii="Times New Roman" w:hAnsi="Times New Roman"/>
          <w:sz w:val="22"/>
          <w:lang w:val="bg-BG"/>
        </w:rPr>
        <w:t>ва за пристанищно строителство.</w:t>
      </w:r>
    </w:p>
    <w:p w14:paraId="20E1CF7F" w14:textId="77777777" w:rsidR="008647B8" w:rsidRPr="00805152" w:rsidRDefault="008647B8" w:rsidP="00602C90">
      <w:pPr>
        <w:ind w:firstLine="709"/>
        <w:rPr>
          <w:rFonts w:ascii="Times New Roman" w:hAnsi="Times New Roman"/>
          <w:b/>
          <w:sz w:val="22"/>
          <w:lang w:val="bg-BG"/>
        </w:rPr>
      </w:pPr>
      <w:r w:rsidRPr="00805152">
        <w:rPr>
          <w:rFonts w:ascii="Times New Roman" w:hAnsi="Times New Roman"/>
          <w:b/>
          <w:sz w:val="22"/>
          <w:lang w:val="bg-BG"/>
        </w:rPr>
        <w:t>Район II</w:t>
      </w:r>
    </w:p>
    <w:p w14:paraId="11E20EAF" w14:textId="77777777" w:rsidR="008647B8" w:rsidRPr="00805152" w:rsidRDefault="008647B8" w:rsidP="00602C90">
      <w:pPr>
        <w:ind w:firstLine="709"/>
        <w:rPr>
          <w:rFonts w:ascii="Times New Roman" w:hAnsi="Times New Roman"/>
          <w:sz w:val="22"/>
          <w:lang w:val="bg-BG"/>
        </w:rPr>
      </w:pPr>
      <w:r w:rsidRPr="00805152">
        <w:rPr>
          <w:rFonts w:ascii="Times New Roman" w:hAnsi="Times New Roman"/>
          <w:sz w:val="22"/>
          <w:lang w:val="bg-BG"/>
        </w:rPr>
        <w:t>Удавена /потънала/ стара речна долина, чиято тераса е изградена от староалувиални глини и чакъли с горнище на дълбочина 30-40 м. Цокълът на терасата е от плиоценски /евентуално палеогенски/ седименти и е на дълбочина 40-50 м от морското ниво. Терасата е покрита от мощни тинести отложения /слаби почви/ с дебелина до 25 см. Районът може да се смята за много слаба земна основа, неподходяща за пристанищно строителство.</w:t>
      </w:r>
    </w:p>
    <w:p w14:paraId="233ED859" w14:textId="77777777" w:rsidR="008647B8" w:rsidRPr="00805152" w:rsidRDefault="008647B8" w:rsidP="00602C90">
      <w:pPr>
        <w:ind w:firstLine="709"/>
        <w:rPr>
          <w:rFonts w:ascii="Times New Roman" w:hAnsi="Times New Roman"/>
          <w:b/>
          <w:szCs w:val="24"/>
          <w:lang w:val="bg-BG"/>
        </w:rPr>
      </w:pPr>
      <w:r w:rsidRPr="00805152">
        <w:rPr>
          <w:rFonts w:ascii="Times New Roman" w:hAnsi="Times New Roman"/>
          <w:b/>
          <w:szCs w:val="24"/>
          <w:lang w:val="bg-BG"/>
        </w:rPr>
        <w:t>Подрайон IIА</w:t>
      </w:r>
    </w:p>
    <w:p w14:paraId="3CFEA373" w14:textId="77777777" w:rsidR="008647B8" w:rsidRPr="00805152" w:rsidRDefault="008647B8" w:rsidP="00602C90">
      <w:pPr>
        <w:ind w:firstLine="709"/>
        <w:rPr>
          <w:rFonts w:ascii="Times New Roman" w:hAnsi="Times New Roman"/>
          <w:sz w:val="22"/>
          <w:lang w:val="bg-BG"/>
        </w:rPr>
      </w:pPr>
      <w:r w:rsidRPr="00805152">
        <w:rPr>
          <w:rFonts w:ascii="Times New Roman" w:hAnsi="Times New Roman"/>
          <w:sz w:val="22"/>
          <w:lang w:val="bg-BG"/>
        </w:rPr>
        <w:t>Представлява пясъчна коса, отделяща морето от езерата, която е с дебелина 5-10 м. Пясъците залягат върху продължението на удавената долина, т.е. под тях геоложкият разрез е еднакъв с този на Район 2. Подрайонът е подходящ за строителство на леки сгради и транспортни комуникации.</w:t>
      </w:r>
    </w:p>
    <w:p w14:paraId="6D6F044E" w14:textId="77777777" w:rsidR="008647B8" w:rsidRPr="00805152" w:rsidRDefault="008647B8" w:rsidP="00602C90">
      <w:pPr>
        <w:ind w:firstLine="709"/>
        <w:rPr>
          <w:rFonts w:ascii="Times New Roman" w:hAnsi="Times New Roman"/>
          <w:b/>
          <w:szCs w:val="24"/>
          <w:lang w:val="bg-BG"/>
        </w:rPr>
      </w:pPr>
      <w:r w:rsidRPr="00805152">
        <w:rPr>
          <w:rFonts w:ascii="Times New Roman" w:hAnsi="Times New Roman"/>
          <w:b/>
          <w:szCs w:val="24"/>
          <w:lang w:val="bg-BG"/>
        </w:rPr>
        <w:t>Район III</w:t>
      </w:r>
    </w:p>
    <w:p w14:paraId="570527AF" w14:textId="77777777" w:rsidR="008647B8" w:rsidRPr="00805152" w:rsidRDefault="008647B8" w:rsidP="00602C90">
      <w:pPr>
        <w:ind w:firstLine="709"/>
        <w:rPr>
          <w:rFonts w:ascii="Times New Roman" w:hAnsi="Times New Roman"/>
          <w:sz w:val="22"/>
          <w:lang w:val="bg-BG"/>
        </w:rPr>
      </w:pPr>
      <w:r w:rsidRPr="00805152">
        <w:rPr>
          <w:rFonts w:ascii="Times New Roman" w:hAnsi="Times New Roman"/>
          <w:sz w:val="22"/>
          <w:lang w:val="bg-BG"/>
        </w:rPr>
        <w:t>Подводен склон на н. Форос и южния бряг на залива. Изграден е от андезити с жили и прослойки от туфи в основата си /5-10 м под морското ниво/, които са покрити с грубозърнести морски наслаги - блокаж, чакъл, пясък и по-рядко тиня.</w:t>
      </w:r>
    </w:p>
    <w:p w14:paraId="7BD04E72" w14:textId="77777777" w:rsidR="008647B8" w:rsidRPr="00805152" w:rsidRDefault="008647B8" w:rsidP="008647B8">
      <w:pPr>
        <w:rPr>
          <w:rFonts w:ascii="Times New Roman" w:hAnsi="Times New Roman"/>
          <w:sz w:val="22"/>
          <w:lang w:val="bg-BG"/>
        </w:rPr>
      </w:pPr>
      <w:r w:rsidRPr="00805152">
        <w:rPr>
          <w:rFonts w:ascii="Times New Roman" w:hAnsi="Times New Roman"/>
          <w:sz w:val="22"/>
          <w:lang w:val="bg-BG"/>
        </w:rPr>
        <w:t>Здрава земна основа за пристанищно строителство, но труден за драгажни работи.</w:t>
      </w:r>
    </w:p>
    <w:p w14:paraId="1C5C54B4" w14:textId="77777777" w:rsidR="008647B8" w:rsidRPr="00805152" w:rsidRDefault="008647B8" w:rsidP="00602C90">
      <w:pPr>
        <w:ind w:firstLine="709"/>
        <w:rPr>
          <w:rFonts w:ascii="Times New Roman" w:hAnsi="Times New Roman"/>
          <w:b/>
          <w:szCs w:val="24"/>
          <w:lang w:val="bg-BG"/>
        </w:rPr>
      </w:pPr>
      <w:r w:rsidRPr="00805152">
        <w:rPr>
          <w:rFonts w:ascii="Times New Roman" w:hAnsi="Times New Roman"/>
          <w:b/>
          <w:szCs w:val="24"/>
          <w:lang w:val="bg-BG"/>
        </w:rPr>
        <w:t>Район IV</w:t>
      </w:r>
    </w:p>
    <w:p w14:paraId="1D2A4F11" w14:textId="77777777" w:rsidR="008647B8" w:rsidRPr="00805152" w:rsidRDefault="008647B8" w:rsidP="00602C90">
      <w:pPr>
        <w:spacing w:after="0"/>
        <w:ind w:firstLine="709"/>
        <w:rPr>
          <w:rFonts w:ascii="Times New Roman" w:hAnsi="Times New Roman"/>
          <w:sz w:val="22"/>
          <w:lang w:val="bg-BG"/>
        </w:rPr>
      </w:pPr>
      <w:r w:rsidRPr="00805152">
        <w:rPr>
          <w:rFonts w:ascii="Times New Roman" w:hAnsi="Times New Roman"/>
          <w:sz w:val="22"/>
          <w:lang w:val="bg-BG"/>
        </w:rPr>
        <w:t>Скален полегат склон на южния бряг на залива, обхващащ н. Форос и прилежащата на запад територия. Изграден е от андезити и андезитови туфи с незначително /0,5 до 1м/ покритие от делувиални глини и скален блокаж.</w:t>
      </w:r>
    </w:p>
    <w:p w14:paraId="7B27FDB3" w14:textId="77777777" w:rsidR="008647B8" w:rsidRPr="00805152" w:rsidRDefault="008647B8" w:rsidP="00602C90">
      <w:pPr>
        <w:spacing w:after="0"/>
        <w:ind w:firstLine="709"/>
        <w:rPr>
          <w:rFonts w:ascii="Times New Roman" w:hAnsi="Times New Roman"/>
          <w:sz w:val="22"/>
          <w:lang w:val="bg-BG"/>
        </w:rPr>
      </w:pPr>
      <w:r w:rsidRPr="00805152">
        <w:rPr>
          <w:rFonts w:ascii="Times New Roman" w:hAnsi="Times New Roman"/>
          <w:sz w:val="22"/>
          <w:lang w:val="bg-BG"/>
        </w:rPr>
        <w:t>Здрава земна основа за всякакъв вид строителство.</w:t>
      </w:r>
    </w:p>
    <w:p w14:paraId="483CBF44" w14:textId="77777777" w:rsidR="008647B8" w:rsidRPr="00805152" w:rsidRDefault="008647B8" w:rsidP="00602C90">
      <w:pPr>
        <w:spacing w:after="0"/>
        <w:ind w:firstLine="709"/>
        <w:rPr>
          <w:rFonts w:ascii="Times New Roman" w:hAnsi="Times New Roman"/>
          <w:sz w:val="22"/>
          <w:lang w:val="bg-BG"/>
        </w:rPr>
      </w:pPr>
      <w:r w:rsidRPr="00805152">
        <w:rPr>
          <w:rFonts w:ascii="Times New Roman" w:hAnsi="Times New Roman"/>
          <w:sz w:val="22"/>
          <w:lang w:val="bg-BG"/>
        </w:rPr>
        <w:lastRenderedPageBreak/>
        <w:t>Наличните по специфични данни за  Геоложките  Условия на отделните пристанищни терминали са както следва:</w:t>
      </w:r>
    </w:p>
    <w:p w14:paraId="0BC69567" w14:textId="69BA13E2" w:rsidR="003461E3" w:rsidRPr="00805152" w:rsidRDefault="003461E3" w:rsidP="00757B09">
      <w:pPr>
        <w:suppressAutoHyphens/>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Геоложката основа е изяснена в генералния план на пристанището. Съгласно архивни данни вълноломът е извън наличните тини и се очаква геоложката среда да е благоприятна. Очакваната основа е глина - жълта, слоиста с прослойки </w:t>
      </w:r>
      <w:r w:rsidR="00C958EE">
        <w:rPr>
          <w:rFonts w:ascii="Times New Roman" w:eastAsia="Times New Roman" w:hAnsi="Times New Roman"/>
          <w:iCs/>
          <w:sz w:val="22"/>
          <w:lang w:val="bg-BG"/>
        </w:rPr>
        <w:t>от пясъци и пясъчник /плиоцен/.</w:t>
      </w:r>
    </w:p>
    <w:p w14:paraId="2A2E1989" w14:textId="4CC87C31" w:rsidR="003461E3" w:rsidRPr="00805152" w:rsidRDefault="001679E0" w:rsidP="00C958EE">
      <w:pPr>
        <w:suppressAutoHyphens/>
        <w:spacing w:after="0"/>
        <w:jc w:val="center"/>
        <w:rPr>
          <w:rFonts w:ascii="Times New Roman" w:eastAsia="Times New Roman" w:hAnsi="Times New Roman"/>
          <w:iCs/>
          <w:sz w:val="22"/>
          <w:lang w:val="bg-BG"/>
        </w:rPr>
      </w:pPr>
      <w:bookmarkStart w:id="27" w:name="_Hlk518909980"/>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1</w:t>
      </w:r>
      <w:r w:rsidRPr="00805152">
        <w:rPr>
          <w:rFonts w:ascii="Times New Roman" w:hAnsi="Times New Roman"/>
          <w:i/>
          <w:sz w:val="22"/>
          <w:lang w:val="bg-BG"/>
        </w:rPr>
        <w:fldChar w:fldCharType="end"/>
      </w:r>
      <w:r w:rsidRPr="00805152">
        <w:rPr>
          <w:rFonts w:ascii="Times New Roman" w:hAnsi="Times New Roman"/>
          <w:i/>
          <w:sz w:val="22"/>
          <w:lang w:val="bg-BG"/>
        </w:rPr>
        <w:t>:</w:t>
      </w:r>
      <w:r w:rsidRPr="00805152">
        <w:rPr>
          <w:rFonts w:ascii="Times New Roman" w:hAnsi="Times New Roman"/>
          <w:i/>
          <w:sz w:val="22"/>
          <w:lang w:val="bg-BG"/>
        </w:rPr>
        <w:tab/>
      </w:r>
      <w:bookmarkEnd w:id="27"/>
      <w:r w:rsidRPr="00805152">
        <w:rPr>
          <w:rFonts w:ascii="Times New Roman" w:hAnsi="Times New Roman"/>
          <w:i/>
          <w:sz w:val="22"/>
          <w:lang w:val="bg-BG"/>
        </w:rPr>
        <w:t>Геоложки параметри на почвената основа при вълнолома</w:t>
      </w:r>
    </w:p>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709"/>
        <w:gridCol w:w="850"/>
        <w:gridCol w:w="851"/>
        <w:gridCol w:w="567"/>
        <w:gridCol w:w="850"/>
        <w:gridCol w:w="851"/>
        <w:gridCol w:w="708"/>
        <w:gridCol w:w="1134"/>
        <w:gridCol w:w="1134"/>
      </w:tblGrid>
      <w:tr w:rsidR="001679E0" w:rsidRPr="00805152" w14:paraId="34734369" w14:textId="77777777" w:rsidTr="0060005F">
        <w:trPr>
          <w:cantSplit/>
          <w:trHeight w:val="1313"/>
        </w:trPr>
        <w:tc>
          <w:tcPr>
            <w:tcW w:w="2093" w:type="dxa"/>
            <w:shd w:val="clear" w:color="auto" w:fill="C6D9F1" w:themeFill="text2" w:themeFillTint="33"/>
            <w:textDirection w:val="btLr"/>
            <w:vAlign w:val="center"/>
          </w:tcPr>
          <w:p w14:paraId="6212FE3E"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Име на пласта </w:t>
            </w:r>
          </w:p>
        </w:tc>
        <w:tc>
          <w:tcPr>
            <w:tcW w:w="709" w:type="dxa"/>
            <w:shd w:val="clear" w:color="auto" w:fill="C6D9F1" w:themeFill="text2" w:themeFillTint="33"/>
            <w:textDirection w:val="btLr"/>
            <w:vAlign w:val="center"/>
          </w:tcPr>
          <w:p w14:paraId="0DB0832B"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Геол.</w:t>
            </w:r>
            <w:r w:rsidRPr="00805152">
              <w:rPr>
                <w:rFonts w:ascii="Times New Roman" w:hAnsi="Times New Roman"/>
                <w:b/>
                <w:bCs/>
                <w:color w:val="000000"/>
                <w:sz w:val="18"/>
                <w:szCs w:val="18"/>
                <w:lang w:val="bg-BG" w:eastAsia="bg-BG"/>
              </w:rPr>
              <w:t xml:space="preserve"> индекс </w:t>
            </w:r>
          </w:p>
        </w:tc>
        <w:tc>
          <w:tcPr>
            <w:tcW w:w="850" w:type="dxa"/>
            <w:shd w:val="clear" w:color="auto" w:fill="C6D9F1" w:themeFill="text2" w:themeFillTint="33"/>
            <w:textDirection w:val="btLr"/>
            <w:vAlign w:val="center"/>
          </w:tcPr>
          <w:p w14:paraId="47A4B8A6" w14:textId="34E4EB5D"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Спец.</w:t>
            </w:r>
            <w:r w:rsidR="001679E0" w:rsidRPr="00805152">
              <w:rPr>
                <w:rFonts w:ascii="Times New Roman" w:hAnsi="Times New Roman"/>
                <w:b/>
                <w:bCs/>
                <w:color w:val="000000"/>
                <w:sz w:val="18"/>
                <w:szCs w:val="18"/>
                <w:lang w:val="bg-BG" w:eastAsia="bg-BG"/>
              </w:rPr>
              <w:t xml:space="preserve"> </w:t>
            </w:r>
            <w:r w:rsidRPr="00805152">
              <w:rPr>
                <w:rFonts w:ascii="Times New Roman" w:hAnsi="Times New Roman"/>
                <w:b/>
                <w:bCs/>
                <w:color w:val="000000"/>
                <w:sz w:val="18"/>
                <w:szCs w:val="18"/>
                <w:lang w:val="bg-BG" w:eastAsia="bg-BG"/>
              </w:rPr>
              <w:t xml:space="preserve">Плътност </w:t>
            </w:r>
          </w:p>
          <w:p w14:paraId="154CA2B5"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[gr/cm3] </w:t>
            </w:r>
          </w:p>
        </w:tc>
        <w:tc>
          <w:tcPr>
            <w:tcW w:w="851" w:type="dxa"/>
            <w:shd w:val="clear" w:color="auto" w:fill="C6D9F1" w:themeFill="text2" w:themeFillTint="33"/>
            <w:textDirection w:val="btLr"/>
            <w:vAlign w:val="center"/>
          </w:tcPr>
          <w:p w14:paraId="380AAA88" w14:textId="51C7099C"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Обемна плътност </w:t>
            </w:r>
          </w:p>
          <w:p w14:paraId="0C3D06C4"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[gr/cm3] </w:t>
            </w:r>
          </w:p>
        </w:tc>
        <w:tc>
          <w:tcPr>
            <w:tcW w:w="567" w:type="dxa"/>
            <w:shd w:val="clear" w:color="auto" w:fill="C6D9F1" w:themeFill="text2" w:themeFillTint="33"/>
            <w:textDirection w:val="btLr"/>
            <w:vAlign w:val="center"/>
          </w:tcPr>
          <w:p w14:paraId="1C393B23"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Порен коеф. </w:t>
            </w:r>
          </w:p>
        </w:tc>
        <w:tc>
          <w:tcPr>
            <w:tcW w:w="850" w:type="dxa"/>
            <w:shd w:val="clear" w:color="auto" w:fill="C6D9F1" w:themeFill="text2" w:themeFillTint="33"/>
            <w:textDirection w:val="btLr"/>
            <w:vAlign w:val="center"/>
          </w:tcPr>
          <w:p w14:paraId="5A9E6E74" w14:textId="257BCB29" w:rsidR="003461E3" w:rsidRPr="00DC024B"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 xml:space="preserve">Ест. </w:t>
            </w:r>
            <w:r w:rsidR="00DC024B" w:rsidRPr="00DC024B">
              <w:rPr>
                <w:rFonts w:ascii="Times New Roman" w:hAnsi="Times New Roman"/>
                <w:b/>
                <w:bCs/>
                <w:color w:val="000000"/>
                <w:sz w:val="18"/>
                <w:szCs w:val="18"/>
                <w:lang w:val="bg-BG" w:eastAsia="bg-BG"/>
              </w:rPr>
              <w:t>в</w:t>
            </w:r>
            <w:r w:rsidRPr="00DC024B">
              <w:rPr>
                <w:rFonts w:ascii="Times New Roman" w:hAnsi="Times New Roman"/>
                <w:b/>
                <w:bCs/>
                <w:color w:val="000000"/>
                <w:sz w:val="18"/>
                <w:szCs w:val="18"/>
                <w:lang w:val="bg-BG" w:eastAsia="bg-BG"/>
              </w:rPr>
              <w:t xml:space="preserve">лажност </w:t>
            </w:r>
          </w:p>
          <w:p w14:paraId="0B002F96" w14:textId="77777777" w:rsidR="003461E3" w:rsidRPr="00DC024B"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 xml:space="preserve">[%] </w:t>
            </w:r>
          </w:p>
        </w:tc>
        <w:tc>
          <w:tcPr>
            <w:tcW w:w="851" w:type="dxa"/>
            <w:shd w:val="clear" w:color="auto" w:fill="C6D9F1" w:themeFill="text2" w:themeFillTint="33"/>
            <w:textDirection w:val="btLr"/>
            <w:vAlign w:val="center"/>
          </w:tcPr>
          <w:p w14:paraId="212E3FFF" w14:textId="09126E86" w:rsidR="003461E3" w:rsidRPr="00DC024B"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 xml:space="preserve">Пок. </w:t>
            </w:r>
            <w:r w:rsidR="00DC024B">
              <w:rPr>
                <w:rFonts w:ascii="Times New Roman" w:hAnsi="Times New Roman"/>
                <w:b/>
                <w:bCs/>
                <w:color w:val="000000"/>
                <w:sz w:val="18"/>
                <w:szCs w:val="18"/>
                <w:lang w:val="bg-BG" w:eastAsia="bg-BG"/>
              </w:rPr>
              <w:t>е</w:t>
            </w:r>
            <w:r w:rsidRPr="00DC024B">
              <w:rPr>
                <w:rFonts w:ascii="Times New Roman" w:hAnsi="Times New Roman"/>
                <w:b/>
                <w:bCs/>
                <w:color w:val="000000"/>
                <w:sz w:val="18"/>
                <w:szCs w:val="18"/>
                <w:lang w:val="bg-BG" w:eastAsia="bg-BG"/>
              </w:rPr>
              <w:t xml:space="preserve">ластичност </w:t>
            </w:r>
          </w:p>
          <w:p w14:paraId="0659DD73" w14:textId="77777777" w:rsidR="003461E3" w:rsidRPr="00DC024B"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 xml:space="preserve">[%] </w:t>
            </w:r>
          </w:p>
        </w:tc>
        <w:tc>
          <w:tcPr>
            <w:tcW w:w="708" w:type="dxa"/>
            <w:shd w:val="clear" w:color="auto" w:fill="C6D9F1" w:themeFill="text2" w:themeFillTint="33"/>
            <w:textDirection w:val="btLr"/>
            <w:vAlign w:val="center"/>
          </w:tcPr>
          <w:p w14:paraId="40914704" w14:textId="77777777" w:rsidR="003461E3" w:rsidRPr="00DC024B"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DC024B">
              <w:rPr>
                <w:rFonts w:ascii="Times New Roman" w:hAnsi="Times New Roman"/>
                <w:b/>
                <w:bCs/>
                <w:color w:val="000000"/>
                <w:sz w:val="18"/>
                <w:szCs w:val="18"/>
                <w:lang w:val="bg-BG" w:eastAsia="bg-BG"/>
              </w:rPr>
              <w:t xml:space="preserve">Пок кон-сист. </w:t>
            </w:r>
          </w:p>
        </w:tc>
        <w:tc>
          <w:tcPr>
            <w:tcW w:w="1134" w:type="dxa"/>
            <w:shd w:val="clear" w:color="auto" w:fill="C6D9F1" w:themeFill="text2" w:themeFillTint="33"/>
            <w:textDirection w:val="btLr"/>
            <w:vAlign w:val="center"/>
          </w:tcPr>
          <w:p w14:paraId="205E2DCF"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Якост на срязване </w:t>
            </w:r>
          </w:p>
          <w:p w14:paraId="5810315E"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[Grad], </w:t>
            </w:r>
          </w:p>
          <w:p w14:paraId="0042D4D2"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[Kg/cm2] </w:t>
            </w:r>
          </w:p>
        </w:tc>
        <w:tc>
          <w:tcPr>
            <w:tcW w:w="1134" w:type="dxa"/>
            <w:shd w:val="clear" w:color="auto" w:fill="C6D9F1" w:themeFill="text2" w:themeFillTint="33"/>
            <w:textDirection w:val="btLr"/>
          </w:tcPr>
          <w:p w14:paraId="1EEB1E75"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Мод. На обща деф. </w:t>
            </w:r>
          </w:p>
          <w:p w14:paraId="3CFC41C0" w14:textId="77777777" w:rsidR="003461E3" w:rsidRPr="00805152" w:rsidRDefault="003461E3" w:rsidP="001679E0">
            <w:pPr>
              <w:autoSpaceDE w:val="0"/>
              <w:autoSpaceDN w:val="0"/>
              <w:adjustRightInd w:val="0"/>
              <w:spacing w:after="0" w:line="240" w:lineRule="auto"/>
              <w:ind w:left="113" w:right="113"/>
              <w:jc w:val="left"/>
              <w:rPr>
                <w:rFonts w:ascii="Times New Roman" w:hAnsi="Times New Roman"/>
                <w:color w:val="000000"/>
                <w:sz w:val="18"/>
                <w:szCs w:val="18"/>
                <w:lang w:val="bg-BG" w:eastAsia="bg-BG"/>
              </w:rPr>
            </w:pPr>
            <w:r w:rsidRPr="00805152">
              <w:rPr>
                <w:rFonts w:ascii="Times New Roman" w:hAnsi="Times New Roman"/>
                <w:b/>
                <w:bCs/>
                <w:color w:val="000000"/>
                <w:sz w:val="18"/>
                <w:szCs w:val="18"/>
                <w:lang w:val="bg-BG" w:eastAsia="bg-BG"/>
              </w:rPr>
              <w:t xml:space="preserve">[Kg/cm2] </w:t>
            </w:r>
          </w:p>
        </w:tc>
      </w:tr>
      <w:tr w:rsidR="001679E0" w:rsidRPr="00805152" w14:paraId="104D4088" w14:textId="77777777" w:rsidTr="0060005F">
        <w:trPr>
          <w:trHeight w:val="1021"/>
        </w:trPr>
        <w:tc>
          <w:tcPr>
            <w:tcW w:w="2093" w:type="dxa"/>
            <w:vAlign w:val="center"/>
          </w:tcPr>
          <w:p w14:paraId="44EDD2C2"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жълта, слоиста с прослойки от пясъци и пясъчник /плиоцен/ </w:t>
            </w:r>
          </w:p>
        </w:tc>
        <w:tc>
          <w:tcPr>
            <w:tcW w:w="709" w:type="dxa"/>
            <w:vAlign w:val="center"/>
          </w:tcPr>
          <w:p w14:paraId="72BB3E7B"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N2 </w:t>
            </w:r>
          </w:p>
        </w:tc>
        <w:tc>
          <w:tcPr>
            <w:tcW w:w="850" w:type="dxa"/>
            <w:vAlign w:val="center"/>
          </w:tcPr>
          <w:p w14:paraId="1458E501"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2.73 </w:t>
            </w:r>
          </w:p>
        </w:tc>
        <w:tc>
          <w:tcPr>
            <w:tcW w:w="851" w:type="dxa"/>
            <w:vAlign w:val="center"/>
          </w:tcPr>
          <w:p w14:paraId="315615A1"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1.80 </w:t>
            </w:r>
          </w:p>
        </w:tc>
        <w:tc>
          <w:tcPr>
            <w:tcW w:w="567" w:type="dxa"/>
            <w:vAlign w:val="center"/>
          </w:tcPr>
          <w:p w14:paraId="4E889927"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1.0 </w:t>
            </w:r>
          </w:p>
        </w:tc>
        <w:tc>
          <w:tcPr>
            <w:tcW w:w="850" w:type="dxa"/>
            <w:vAlign w:val="center"/>
          </w:tcPr>
          <w:p w14:paraId="69685AF0"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32 </w:t>
            </w:r>
          </w:p>
        </w:tc>
        <w:tc>
          <w:tcPr>
            <w:tcW w:w="851" w:type="dxa"/>
            <w:vAlign w:val="center"/>
          </w:tcPr>
          <w:p w14:paraId="637586FF"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21 </w:t>
            </w:r>
          </w:p>
        </w:tc>
        <w:tc>
          <w:tcPr>
            <w:tcW w:w="708" w:type="dxa"/>
            <w:vAlign w:val="center"/>
          </w:tcPr>
          <w:p w14:paraId="2EC8CE5D"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0.9 </w:t>
            </w:r>
          </w:p>
        </w:tc>
        <w:tc>
          <w:tcPr>
            <w:tcW w:w="1134" w:type="dxa"/>
            <w:vAlign w:val="center"/>
          </w:tcPr>
          <w:p w14:paraId="68A18493"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φ=19 </w:t>
            </w:r>
          </w:p>
          <w:p w14:paraId="1767DD7C" w14:textId="77777777"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C=0.45 </w:t>
            </w:r>
          </w:p>
        </w:tc>
        <w:tc>
          <w:tcPr>
            <w:tcW w:w="1134" w:type="dxa"/>
          </w:tcPr>
          <w:p w14:paraId="7AF98B4A" w14:textId="77777777" w:rsidR="001679E0" w:rsidRPr="00805152" w:rsidRDefault="001679E0" w:rsidP="001679E0">
            <w:pPr>
              <w:autoSpaceDE w:val="0"/>
              <w:autoSpaceDN w:val="0"/>
              <w:adjustRightInd w:val="0"/>
              <w:spacing w:after="0" w:line="240" w:lineRule="auto"/>
              <w:jc w:val="left"/>
              <w:rPr>
                <w:rFonts w:ascii="Times New Roman" w:hAnsi="Times New Roman"/>
                <w:color w:val="000000"/>
                <w:sz w:val="18"/>
                <w:szCs w:val="18"/>
                <w:lang w:val="bg-BG" w:eastAsia="bg-BG"/>
              </w:rPr>
            </w:pPr>
          </w:p>
          <w:p w14:paraId="04BC1C43" w14:textId="77777777" w:rsidR="001679E0" w:rsidRPr="00805152" w:rsidRDefault="001679E0" w:rsidP="001679E0">
            <w:pPr>
              <w:autoSpaceDE w:val="0"/>
              <w:autoSpaceDN w:val="0"/>
              <w:adjustRightInd w:val="0"/>
              <w:spacing w:after="0" w:line="240" w:lineRule="auto"/>
              <w:jc w:val="left"/>
              <w:rPr>
                <w:rFonts w:ascii="Times New Roman" w:hAnsi="Times New Roman"/>
                <w:color w:val="000000"/>
                <w:sz w:val="18"/>
                <w:szCs w:val="18"/>
                <w:lang w:val="bg-BG" w:eastAsia="bg-BG"/>
              </w:rPr>
            </w:pPr>
          </w:p>
          <w:p w14:paraId="06A8AEF9" w14:textId="526195C9" w:rsidR="003461E3" w:rsidRPr="00805152" w:rsidRDefault="003461E3" w:rsidP="001679E0">
            <w:pPr>
              <w:autoSpaceDE w:val="0"/>
              <w:autoSpaceDN w:val="0"/>
              <w:adjustRightInd w:val="0"/>
              <w:spacing w:after="0" w:line="240" w:lineRule="auto"/>
              <w:jc w:val="left"/>
              <w:rPr>
                <w:rFonts w:ascii="Times New Roman" w:hAnsi="Times New Roman"/>
                <w:color w:val="000000"/>
                <w:sz w:val="18"/>
                <w:szCs w:val="18"/>
                <w:lang w:val="bg-BG" w:eastAsia="bg-BG"/>
              </w:rPr>
            </w:pPr>
            <w:r w:rsidRPr="00805152">
              <w:rPr>
                <w:rFonts w:ascii="Times New Roman" w:hAnsi="Times New Roman"/>
                <w:color w:val="000000"/>
                <w:sz w:val="18"/>
                <w:szCs w:val="18"/>
                <w:lang w:val="bg-BG" w:eastAsia="bg-BG"/>
              </w:rPr>
              <w:t xml:space="preserve">250 </w:t>
            </w:r>
          </w:p>
        </w:tc>
      </w:tr>
    </w:tbl>
    <w:p w14:paraId="4D81125E" w14:textId="5B102B3F" w:rsidR="009F5356" w:rsidRPr="00805152" w:rsidRDefault="009F5356" w:rsidP="00A127A2">
      <w:pPr>
        <w:pStyle w:val="Heading2"/>
        <w:rPr>
          <w:rFonts w:ascii="Times New Roman" w:hAnsi="Times New Roman"/>
          <w:lang w:val="bg-BG"/>
        </w:rPr>
      </w:pPr>
      <w:bookmarkStart w:id="28" w:name="_Toc126492679"/>
      <w:bookmarkStart w:id="29" w:name="_Toc136961084"/>
      <w:r w:rsidRPr="00805152">
        <w:rPr>
          <w:rFonts w:ascii="Times New Roman" w:hAnsi="Times New Roman"/>
          <w:lang w:val="bg-BG"/>
        </w:rPr>
        <w:t>Сеизмичност</w:t>
      </w:r>
      <w:bookmarkEnd w:id="28"/>
      <w:bookmarkEnd w:id="29"/>
      <w:r w:rsidRPr="00805152">
        <w:rPr>
          <w:rFonts w:ascii="Times New Roman" w:hAnsi="Times New Roman"/>
          <w:lang w:val="bg-BG"/>
        </w:rPr>
        <w:t xml:space="preserve"> </w:t>
      </w:r>
    </w:p>
    <w:p w14:paraId="6BAA7663" w14:textId="0A8B7186" w:rsidR="009F5356" w:rsidRPr="00805152" w:rsidRDefault="009F5356" w:rsidP="009F5356">
      <w:pPr>
        <w:suppressAutoHyphens/>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Съгласно сеизмичното зониране на България по Еврокод 8  (БДС EN 1998-1:2005), районът на проекта </w:t>
      </w:r>
      <w:r w:rsidR="007300D3" w:rsidRPr="00805152">
        <w:rPr>
          <w:rFonts w:ascii="Times New Roman" w:eastAsia="Times New Roman" w:hAnsi="Times New Roman"/>
          <w:iCs/>
          <w:sz w:val="22"/>
          <w:lang w:val="bg-BG"/>
        </w:rPr>
        <w:t xml:space="preserve">в Бургас </w:t>
      </w:r>
      <w:r w:rsidRPr="00805152">
        <w:rPr>
          <w:rFonts w:ascii="Times New Roman" w:eastAsia="Times New Roman" w:hAnsi="Times New Roman"/>
          <w:iCs/>
          <w:sz w:val="22"/>
          <w:lang w:val="bg-BG"/>
        </w:rPr>
        <w:t xml:space="preserve">попада в зона с следните параметри: </w:t>
      </w:r>
    </w:p>
    <w:p w14:paraId="058CB6CB" w14:textId="77777777"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Референтното максимално ускорение за период на повторяемост 475 г.  g =  0,11,</w:t>
      </w:r>
    </w:p>
    <w:p w14:paraId="024D42EC" w14:textId="77777777"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Референтното максимално ускорение за период на повторяемост 95 г.  g =  0,07,</w:t>
      </w:r>
    </w:p>
    <w:p w14:paraId="690CFB8C" w14:textId="77777777" w:rsidR="009F5356" w:rsidRPr="00805152" w:rsidRDefault="009F5356" w:rsidP="009F5356">
      <w:pPr>
        <w:suppressAutoHyphens/>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В съответствие с препоръките на Еврокод 8, при земетръс  ще се използва 30% от експлоатационните натоварвания - коефициент на комбиниране на комбиниране на въздействия y2 = 0.3 (по Таблица EN 1991-1-1, Таблица NА.А1.1 и по BS 6349-2: 2010 таблица A.2 ) </w:t>
      </w:r>
    </w:p>
    <w:p w14:paraId="321B2352" w14:textId="66CE15A0"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 xml:space="preserve">Клас на значимост на хидротехническите конструкции е приет за категория II и е равен на </w:t>
      </w:r>
      <w:r w:rsidR="001679E0" w:rsidRPr="00805152">
        <w:rPr>
          <w:rFonts w:ascii="Times New Roman" w:eastAsia="Times New Roman" w:hAnsi="Times New Roman"/>
          <w:iCs/>
          <w:lang w:val="bg-BG"/>
        </w:rPr>
        <w:t>γ</w:t>
      </w:r>
      <w:r w:rsidRPr="00805152">
        <w:rPr>
          <w:rFonts w:ascii="Times New Roman" w:eastAsia="Times New Roman" w:hAnsi="Times New Roman"/>
          <w:iCs/>
          <w:vertAlign w:val="subscript"/>
          <w:lang w:val="bg-BG"/>
        </w:rPr>
        <w:t>I</w:t>
      </w:r>
      <w:r w:rsidRPr="00805152">
        <w:rPr>
          <w:rFonts w:ascii="Times New Roman" w:eastAsia="Times New Roman" w:hAnsi="Times New Roman"/>
          <w:iCs/>
          <w:lang w:val="bg-BG"/>
        </w:rPr>
        <w:t xml:space="preserve"> = 1.0 (ref: БДС EN 1998-1/NA таблица NA 4.3)</w:t>
      </w:r>
    </w:p>
    <w:p w14:paraId="5626DC20" w14:textId="77777777"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 xml:space="preserve">Категория II се отнася за „Обикновени сгради непринадлежащи към другите категории“. (Еврокод EN1998-1 Българския анекс БДС EN1998_NA). </w:t>
      </w:r>
    </w:p>
    <w:p w14:paraId="2BD7A193" w14:textId="7B39EF7C"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Почвеният профил се отнася към група С, класификация на почвите по Еврокод 8, Таблица NA.3.2, с почвен фактор S = 1.2</w:t>
      </w:r>
    </w:p>
    <w:p w14:paraId="0A5E581A" w14:textId="7EF1217D" w:rsidR="009F5356" w:rsidRPr="00805152" w:rsidRDefault="009F5356" w:rsidP="0021547C">
      <w:pPr>
        <w:pStyle w:val="ListParagraph"/>
        <w:numPr>
          <w:ilvl w:val="0"/>
          <w:numId w:val="30"/>
        </w:numPr>
        <w:suppressAutoHyphens/>
        <w:spacing w:after="0"/>
        <w:rPr>
          <w:rFonts w:ascii="Times New Roman" w:eastAsia="Times New Roman" w:hAnsi="Times New Roman"/>
          <w:iCs/>
          <w:lang w:val="bg-BG"/>
        </w:rPr>
      </w:pPr>
      <w:r w:rsidRPr="00805152">
        <w:rPr>
          <w:rFonts w:ascii="Times New Roman" w:eastAsia="Times New Roman" w:hAnsi="Times New Roman"/>
          <w:iCs/>
          <w:lang w:val="bg-BG"/>
        </w:rPr>
        <w:t xml:space="preserve">Сеизмичният спектър е тип 1 </w:t>
      </w:r>
    </w:p>
    <w:p w14:paraId="60668CCC" w14:textId="77777777" w:rsidR="009F5356" w:rsidRPr="00805152" w:rsidRDefault="009F5356" w:rsidP="001D43A2">
      <w:pPr>
        <w:pStyle w:val="ListParagraph"/>
        <w:suppressAutoHyphens/>
        <w:spacing w:after="0"/>
        <w:ind w:left="1429"/>
        <w:rPr>
          <w:rFonts w:ascii="Times New Roman" w:eastAsia="Times New Roman" w:hAnsi="Times New Roman"/>
          <w:iCs/>
          <w:lang w:val="bg-BG"/>
        </w:rPr>
      </w:pPr>
    </w:p>
    <w:p w14:paraId="59346685" w14:textId="77777777" w:rsidR="009F5356" w:rsidRPr="00805152" w:rsidRDefault="009F5356" w:rsidP="009F5356">
      <w:pPr>
        <w:spacing w:after="0"/>
        <w:jc w:val="center"/>
        <w:rPr>
          <w:rFonts w:ascii="Times New Roman" w:eastAsia="Times New Roman" w:hAnsi="Times New Roman"/>
          <w:color w:val="1F497D" w:themeColor="text2"/>
          <w:sz w:val="22"/>
          <w:lang w:val="bg-BG"/>
        </w:rPr>
      </w:pPr>
      <w:r w:rsidRPr="00805152">
        <w:rPr>
          <w:rFonts w:ascii="Times New Roman" w:hAnsi="Times New Roman"/>
          <w:noProof/>
          <w:lang w:val="en-US"/>
        </w:rPr>
        <w:lastRenderedPageBreak/>
        <w:drawing>
          <wp:inline distT="0" distB="0" distL="0" distR="0" wp14:anchorId="4D2D0FA2" wp14:editId="081E2CB8">
            <wp:extent cx="5124203" cy="3385634"/>
            <wp:effectExtent l="0" t="0" r="635" b="5715"/>
            <wp:docPr id="53" name="Picture 240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2401291"/>
                    <pic:cNvPicPr>
                      <a:picLocks noChangeAspect="1" noChangeArrowheads="1"/>
                    </pic:cNvPicPr>
                  </pic:nvPicPr>
                  <pic:blipFill>
                    <a:blip r:embed="rId26"/>
                    <a:stretch>
                      <a:fillRect/>
                    </a:stretch>
                  </pic:blipFill>
                  <pic:spPr bwMode="auto">
                    <a:xfrm>
                      <a:off x="0" y="0"/>
                      <a:ext cx="5132012" cy="3390794"/>
                    </a:xfrm>
                    <a:prstGeom prst="rect">
                      <a:avLst/>
                    </a:prstGeom>
                  </pic:spPr>
                </pic:pic>
              </a:graphicData>
            </a:graphic>
          </wp:inline>
        </w:drawing>
      </w:r>
    </w:p>
    <w:p w14:paraId="4A4DD22F" w14:textId="4F7627F5" w:rsidR="009F5356" w:rsidRPr="00805152" w:rsidRDefault="009F5356" w:rsidP="00757B09">
      <w:pPr>
        <w:pStyle w:val="BP-Figure"/>
        <w:ind w:left="1560" w:hanging="567"/>
        <w:jc w:val="center"/>
      </w:pPr>
      <w:r w:rsidRPr="00805152">
        <w:t>Сеизмична опасност период на повторяемост 475 г. (БДС EN 1998-1/NA)</w:t>
      </w:r>
    </w:p>
    <w:p w14:paraId="525DA211" w14:textId="78061C8B" w:rsidR="006021CA" w:rsidRPr="00805152" w:rsidRDefault="006021CA" w:rsidP="001D43A2">
      <w:pPr>
        <w:suppressAutoHyphens/>
        <w:spacing w:after="0"/>
        <w:rPr>
          <w:rFonts w:ascii="Times New Roman" w:eastAsia="Times New Roman" w:hAnsi="Times New Roman"/>
          <w:sz w:val="22"/>
          <w:lang w:val="bg-BG"/>
        </w:rPr>
      </w:pPr>
    </w:p>
    <w:p w14:paraId="395E8418" w14:textId="4F2CDB09" w:rsidR="006021CA" w:rsidRPr="00805152" w:rsidRDefault="006021CA" w:rsidP="00A127A2">
      <w:pPr>
        <w:pStyle w:val="Heading2"/>
        <w:rPr>
          <w:rFonts w:ascii="Times New Roman" w:hAnsi="Times New Roman"/>
          <w:lang w:val="bg-BG"/>
        </w:rPr>
      </w:pPr>
      <w:bookmarkStart w:id="30" w:name="_Toc126492668"/>
      <w:bookmarkStart w:id="31" w:name="_Toc136961085"/>
      <w:r w:rsidRPr="00805152">
        <w:rPr>
          <w:rFonts w:ascii="Times New Roman" w:hAnsi="Times New Roman"/>
          <w:lang w:val="bg-BG"/>
        </w:rPr>
        <w:t>Хидро</w:t>
      </w:r>
      <w:r w:rsidR="00776CE2" w:rsidRPr="00805152">
        <w:rPr>
          <w:rFonts w:ascii="Times New Roman" w:hAnsi="Times New Roman"/>
          <w:lang w:val="bg-BG"/>
        </w:rPr>
        <w:t>-Метеорологични</w:t>
      </w:r>
      <w:r w:rsidRPr="00805152">
        <w:rPr>
          <w:rFonts w:ascii="Times New Roman" w:hAnsi="Times New Roman"/>
          <w:lang w:val="bg-BG"/>
        </w:rPr>
        <w:t xml:space="preserve"> Условия</w:t>
      </w:r>
      <w:bookmarkEnd w:id="30"/>
      <w:bookmarkEnd w:id="31"/>
      <w:r w:rsidRPr="00805152">
        <w:rPr>
          <w:rFonts w:ascii="Times New Roman" w:hAnsi="Times New Roman"/>
          <w:lang w:val="bg-BG"/>
        </w:rPr>
        <w:t xml:space="preserve"> </w:t>
      </w:r>
    </w:p>
    <w:p w14:paraId="1E9C0DA0" w14:textId="21EE1906" w:rsidR="00776CE2" w:rsidRPr="00805152" w:rsidRDefault="00776CE2" w:rsidP="00A127A2">
      <w:pPr>
        <w:pStyle w:val="Heading3"/>
        <w:rPr>
          <w:rFonts w:ascii="Times New Roman" w:hAnsi="Times New Roman"/>
          <w:lang w:val="bg-BG"/>
        </w:rPr>
      </w:pPr>
      <w:bookmarkStart w:id="32" w:name="_Toc126492690"/>
      <w:bookmarkStart w:id="33" w:name="_Toc479713816"/>
      <w:bookmarkStart w:id="34" w:name="_Toc136961086"/>
      <w:r w:rsidRPr="00805152">
        <w:rPr>
          <w:rFonts w:ascii="Times New Roman" w:hAnsi="Times New Roman"/>
          <w:lang w:val="bg-BG"/>
        </w:rPr>
        <w:t>Вятър</w:t>
      </w:r>
      <w:bookmarkEnd w:id="32"/>
      <w:bookmarkEnd w:id="33"/>
      <w:bookmarkEnd w:id="34"/>
    </w:p>
    <w:p w14:paraId="63C366F9" w14:textId="728EA0CC" w:rsidR="00776CE2" w:rsidRPr="00805152" w:rsidRDefault="00776CE2" w:rsidP="00776CE2">
      <w:pPr>
        <w:suppressAutoHyphens/>
        <w:spacing w:after="0"/>
        <w:rPr>
          <w:rFonts w:ascii="Times New Roman" w:eastAsia="Times New Roman" w:hAnsi="Times New Roman"/>
          <w:sz w:val="22"/>
          <w:lang w:val="bg-BG"/>
        </w:rPr>
      </w:pPr>
      <w:r w:rsidRPr="00805152">
        <w:rPr>
          <w:rFonts w:ascii="Times New Roman" w:eastAsia="Times New Roman" w:hAnsi="Times New Roman"/>
          <w:sz w:val="22"/>
          <w:lang w:val="bg-BG"/>
        </w:rPr>
        <w:t xml:space="preserve">Въздействие от вятър ще бъде приложено върху елементите като равномерно разпределено натоварване на елементите в съответствие с Еврокод EN1991. </w:t>
      </w:r>
    </w:p>
    <w:p w14:paraId="64BBB827" w14:textId="77777777" w:rsidR="00776CE2" w:rsidRPr="00805152" w:rsidRDefault="00776CE2" w:rsidP="00776CE2">
      <w:pPr>
        <w:suppressAutoHyphens/>
        <w:spacing w:after="0"/>
        <w:rPr>
          <w:rFonts w:ascii="Times New Roman" w:eastAsia="Times New Roman" w:hAnsi="Times New Roman"/>
          <w:sz w:val="22"/>
          <w:lang w:val="bg-BG"/>
        </w:rPr>
      </w:pPr>
    </w:p>
    <w:p w14:paraId="2345DF3E" w14:textId="73A4E4E8" w:rsidR="00776CE2" w:rsidRPr="00805152" w:rsidRDefault="00776CE2" w:rsidP="00C958EE">
      <w:pPr>
        <w:suppressAutoHyphens/>
        <w:spacing w:after="0"/>
        <w:jc w:val="center"/>
        <w:rPr>
          <w:rFonts w:ascii="Times New Roman" w:eastAsia="Times New Roman" w:hAnsi="Times New Roman"/>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2</w:t>
      </w:r>
      <w:r w:rsidRPr="00805152">
        <w:rPr>
          <w:rFonts w:ascii="Times New Roman" w:hAnsi="Times New Roman"/>
          <w:i/>
          <w:sz w:val="22"/>
          <w:lang w:val="bg-BG"/>
        </w:rPr>
        <w:fldChar w:fldCharType="end"/>
      </w:r>
      <w:r w:rsidRPr="00805152">
        <w:rPr>
          <w:rFonts w:ascii="Times New Roman" w:hAnsi="Times New Roman"/>
          <w:i/>
          <w:sz w:val="22"/>
          <w:lang w:val="bg-BG"/>
        </w:rPr>
        <w:t>:</w:t>
      </w:r>
      <w:r w:rsidRPr="00805152">
        <w:rPr>
          <w:rFonts w:ascii="Times New Roman" w:hAnsi="Times New Roman"/>
          <w:i/>
          <w:sz w:val="22"/>
          <w:lang w:val="bg-BG"/>
        </w:rPr>
        <w:tab/>
      </w:r>
      <w:r w:rsidRPr="00805152">
        <w:rPr>
          <w:rFonts w:ascii="Times New Roman" w:hAnsi="Times New Roman"/>
          <w:sz w:val="20"/>
          <w:lang w:val="bg-BG"/>
        </w:rPr>
        <w:t>Максимална скорост на вятър с различна обезпеченост – Бургас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701"/>
        <w:gridCol w:w="1701"/>
        <w:gridCol w:w="680"/>
        <w:gridCol w:w="680"/>
        <w:gridCol w:w="680"/>
        <w:gridCol w:w="680"/>
        <w:gridCol w:w="680"/>
        <w:gridCol w:w="680"/>
        <w:gridCol w:w="680"/>
        <w:gridCol w:w="680"/>
      </w:tblGrid>
      <w:tr w:rsidR="00776CE2" w:rsidRPr="00805152" w14:paraId="1AAEEE0F" w14:textId="77777777" w:rsidTr="00776CE2">
        <w:trPr>
          <w:trHeight w:val="113"/>
          <w:jc w:val="center"/>
        </w:trPr>
        <w:tc>
          <w:tcPr>
            <w:tcW w:w="1701" w:type="dxa"/>
            <w:shd w:val="clear" w:color="auto" w:fill="C6D9F1" w:themeFill="text2" w:themeFillTint="33"/>
          </w:tcPr>
          <w:p w14:paraId="4A921D9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Обезпеченост</w:t>
            </w:r>
          </w:p>
        </w:tc>
        <w:tc>
          <w:tcPr>
            <w:tcW w:w="1701" w:type="dxa"/>
            <w:shd w:val="clear" w:color="auto" w:fill="C6D9F1" w:themeFill="text2" w:themeFillTint="33"/>
          </w:tcPr>
          <w:p w14:paraId="62873D4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Повторяемост</w:t>
            </w:r>
          </w:p>
        </w:tc>
        <w:tc>
          <w:tcPr>
            <w:tcW w:w="5440" w:type="dxa"/>
            <w:gridSpan w:val="8"/>
            <w:shd w:val="clear" w:color="auto" w:fill="C6D9F1" w:themeFill="text2" w:themeFillTint="33"/>
          </w:tcPr>
          <w:p w14:paraId="7946581B" w14:textId="41AED02A"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Посока и Скорост в m/s</w:t>
            </w:r>
          </w:p>
        </w:tc>
      </w:tr>
      <w:tr w:rsidR="00776CE2" w:rsidRPr="00805152" w14:paraId="68B7D0D6" w14:textId="77777777" w:rsidTr="00776CE2">
        <w:trPr>
          <w:trHeight w:val="113"/>
          <w:jc w:val="center"/>
        </w:trPr>
        <w:tc>
          <w:tcPr>
            <w:tcW w:w="1701" w:type="dxa"/>
            <w:shd w:val="clear" w:color="auto" w:fill="C6D9F1" w:themeFill="text2" w:themeFillTint="33"/>
          </w:tcPr>
          <w:p w14:paraId="43EF7ECE"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p, %</w:t>
            </w:r>
          </w:p>
        </w:tc>
        <w:tc>
          <w:tcPr>
            <w:tcW w:w="1701" w:type="dxa"/>
            <w:shd w:val="clear" w:color="auto" w:fill="C6D9F1" w:themeFill="text2" w:themeFillTint="33"/>
          </w:tcPr>
          <w:p w14:paraId="55E07801" w14:textId="3977252F"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 xml:space="preserve">1/ години </w:t>
            </w:r>
          </w:p>
        </w:tc>
        <w:tc>
          <w:tcPr>
            <w:tcW w:w="680" w:type="dxa"/>
            <w:shd w:val="clear" w:color="auto" w:fill="C6D9F1" w:themeFill="text2" w:themeFillTint="33"/>
          </w:tcPr>
          <w:p w14:paraId="1F68B008"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N</w:t>
            </w:r>
          </w:p>
        </w:tc>
        <w:tc>
          <w:tcPr>
            <w:tcW w:w="680" w:type="dxa"/>
            <w:shd w:val="clear" w:color="auto" w:fill="C6D9F1" w:themeFill="text2" w:themeFillTint="33"/>
          </w:tcPr>
          <w:p w14:paraId="0E35EB7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NE</w:t>
            </w:r>
          </w:p>
        </w:tc>
        <w:tc>
          <w:tcPr>
            <w:tcW w:w="680" w:type="dxa"/>
            <w:shd w:val="clear" w:color="auto" w:fill="C6D9F1" w:themeFill="text2" w:themeFillTint="33"/>
          </w:tcPr>
          <w:p w14:paraId="4595FAE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E</w:t>
            </w:r>
          </w:p>
        </w:tc>
        <w:tc>
          <w:tcPr>
            <w:tcW w:w="680" w:type="dxa"/>
            <w:shd w:val="clear" w:color="auto" w:fill="C6D9F1" w:themeFill="text2" w:themeFillTint="33"/>
          </w:tcPr>
          <w:p w14:paraId="25C8751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SE</w:t>
            </w:r>
          </w:p>
        </w:tc>
        <w:tc>
          <w:tcPr>
            <w:tcW w:w="680" w:type="dxa"/>
            <w:shd w:val="clear" w:color="auto" w:fill="C6D9F1" w:themeFill="text2" w:themeFillTint="33"/>
          </w:tcPr>
          <w:p w14:paraId="1641047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S</w:t>
            </w:r>
          </w:p>
        </w:tc>
        <w:tc>
          <w:tcPr>
            <w:tcW w:w="680" w:type="dxa"/>
            <w:shd w:val="clear" w:color="auto" w:fill="C6D9F1" w:themeFill="text2" w:themeFillTint="33"/>
          </w:tcPr>
          <w:p w14:paraId="5756296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SW</w:t>
            </w:r>
          </w:p>
        </w:tc>
        <w:tc>
          <w:tcPr>
            <w:tcW w:w="680" w:type="dxa"/>
            <w:shd w:val="clear" w:color="auto" w:fill="C6D9F1" w:themeFill="text2" w:themeFillTint="33"/>
          </w:tcPr>
          <w:p w14:paraId="1F7ED67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W</w:t>
            </w:r>
          </w:p>
        </w:tc>
        <w:tc>
          <w:tcPr>
            <w:tcW w:w="680" w:type="dxa"/>
            <w:shd w:val="clear" w:color="auto" w:fill="C6D9F1" w:themeFill="text2" w:themeFillTint="33"/>
          </w:tcPr>
          <w:p w14:paraId="5FF5833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NW</w:t>
            </w:r>
          </w:p>
        </w:tc>
      </w:tr>
      <w:tr w:rsidR="00776CE2" w:rsidRPr="00805152" w14:paraId="4F0BEDF4" w14:textId="77777777" w:rsidTr="00776CE2">
        <w:trPr>
          <w:trHeight w:val="113"/>
          <w:jc w:val="center"/>
        </w:trPr>
        <w:tc>
          <w:tcPr>
            <w:tcW w:w="1701" w:type="dxa"/>
          </w:tcPr>
          <w:p w14:paraId="2C2816D6"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1.0</w:t>
            </w:r>
          </w:p>
        </w:tc>
        <w:tc>
          <w:tcPr>
            <w:tcW w:w="1701" w:type="dxa"/>
          </w:tcPr>
          <w:p w14:paraId="1900D11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100</w:t>
            </w:r>
          </w:p>
        </w:tc>
        <w:tc>
          <w:tcPr>
            <w:tcW w:w="680" w:type="dxa"/>
          </w:tcPr>
          <w:p w14:paraId="4F61D51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29.0</w:t>
            </w:r>
          </w:p>
        </w:tc>
        <w:tc>
          <w:tcPr>
            <w:tcW w:w="680" w:type="dxa"/>
          </w:tcPr>
          <w:p w14:paraId="7738B19D"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39.5</w:t>
            </w:r>
          </w:p>
        </w:tc>
        <w:tc>
          <w:tcPr>
            <w:tcW w:w="680" w:type="dxa"/>
          </w:tcPr>
          <w:p w14:paraId="5502C13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35.1</w:t>
            </w:r>
          </w:p>
        </w:tc>
        <w:tc>
          <w:tcPr>
            <w:tcW w:w="680" w:type="dxa"/>
          </w:tcPr>
          <w:p w14:paraId="65BADAC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15.9</w:t>
            </w:r>
          </w:p>
        </w:tc>
        <w:tc>
          <w:tcPr>
            <w:tcW w:w="680" w:type="dxa"/>
          </w:tcPr>
          <w:p w14:paraId="4C67096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31.2</w:t>
            </w:r>
          </w:p>
        </w:tc>
        <w:tc>
          <w:tcPr>
            <w:tcW w:w="680" w:type="dxa"/>
          </w:tcPr>
          <w:p w14:paraId="27E0DF2E"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29.2</w:t>
            </w:r>
          </w:p>
        </w:tc>
        <w:tc>
          <w:tcPr>
            <w:tcW w:w="680" w:type="dxa"/>
          </w:tcPr>
          <w:p w14:paraId="78DEBFF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14.4</w:t>
            </w:r>
          </w:p>
        </w:tc>
        <w:tc>
          <w:tcPr>
            <w:tcW w:w="680" w:type="dxa"/>
          </w:tcPr>
          <w:p w14:paraId="1477B29D"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18.2</w:t>
            </w:r>
          </w:p>
        </w:tc>
      </w:tr>
      <w:tr w:rsidR="00776CE2" w:rsidRPr="00805152" w14:paraId="696DA0C3" w14:textId="77777777" w:rsidTr="00776CE2">
        <w:trPr>
          <w:trHeight w:val="113"/>
          <w:jc w:val="center"/>
        </w:trPr>
        <w:tc>
          <w:tcPr>
            <w:tcW w:w="1701" w:type="dxa"/>
          </w:tcPr>
          <w:p w14:paraId="17B476F8"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2.0</w:t>
            </w:r>
          </w:p>
        </w:tc>
        <w:tc>
          <w:tcPr>
            <w:tcW w:w="1701" w:type="dxa"/>
          </w:tcPr>
          <w:p w14:paraId="0144CCF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50</w:t>
            </w:r>
          </w:p>
        </w:tc>
        <w:tc>
          <w:tcPr>
            <w:tcW w:w="680" w:type="dxa"/>
          </w:tcPr>
          <w:p w14:paraId="477783B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27.7</w:t>
            </w:r>
          </w:p>
        </w:tc>
        <w:tc>
          <w:tcPr>
            <w:tcW w:w="680" w:type="dxa"/>
          </w:tcPr>
          <w:p w14:paraId="4F04932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35.3</w:t>
            </w:r>
          </w:p>
        </w:tc>
        <w:tc>
          <w:tcPr>
            <w:tcW w:w="680" w:type="dxa"/>
          </w:tcPr>
          <w:p w14:paraId="7D8DAFF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30.8</w:t>
            </w:r>
          </w:p>
        </w:tc>
        <w:tc>
          <w:tcPr>
            <w:tcW w:w="680" w:type="dxa"/>
          </w:tcPr>
          <w:p w14:paraId="3FA428B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15.1</w:t>
            </w:r>
          </w:p>
        </w:tc>
        <w:tc>
          <w:tcPr>
            <w:tcW w:w="680" w:type="dxa"/>
          </w:tcPr>
          <w:p w14:paraId="17BABEBD"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28.7</w:t>
            </w:r>
          </w:p>
        </w:tc>
        <w:tc>
          <w:tcPr>
            <w:tcW w:w="680" w:type="dxa"/>
          </w:tcPr>
          <w:p w14:paraId="72340C5C"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26.9</w:t>
            </w:r>
          </w:p>
        </w:tc>
        <w:tc>
          <w:tcPr>
            <w:tcW w:w="680" w:type="dxa"/>
          </w:tcPr>
          <w:p w14:paraId="51CB0BF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13.9</w:t>
            </w:r>
          </w:p>
        </w:tc>
        <w:tc>
          <w:tcPr>
            <w:tcW w:w="680" w:type="dxa"/>
          </w:tcPr>
          <w:p w14:paraId="7598291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17.1</w:t>
            </w:r>
          </w:p>
        </w:tc>
      </w:tr>
      <w:tr w:rsidR="00776CE2" w:rsidRPr="00805152" w14:paraId="4CA10F31" w14:textId="77777777" w:rsidTr="00776CE2">
        <w:trPr>
          <w:trHeight w:val="113"/>
          <w:jc w:val="center"/>
        </w:trPr>
        <w:tc>
          <w:tcPr>
            <w:tcW w:w="1701" w:type="dxa"/>
          </w:tcPr>
          <w:p w14:paraId="2DBD3C4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5.0</w:t>
            </w:r>
          </w:p>
        </w:tc>
        <w:tc>
          <w:tcPr>
            <w:tcW w:w="1701" w:type="dxa"/>
          </w:tcPr>
          <w:p w14:paraId="4FBDFE5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20</w:t>
            </w:r>
          </w:p>
        </w:tc>
        <w:tc>
          <w:tcPr>
            <w:tcW w:w="680" w:type="dxa"/>
          </w:tcPr>
          <w:p w14:paraId="46D2BF7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25.6</w:t>
            </w:r>
          </w:p>
        </w:tc>
        <w:tc>
          <w:tcPr>
            <w:tcW w:w="680" w:type="dxa"/>
          </w:tcPr>
          <w:p w14:paraId="1E0942F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30.3</w:t>
            </w:r>
          </w:p>
        </w:tc>
        <w:tc>
          <w:tcPr>
            <w:tcW w:w="680" w:type="dxa"/>
          </w:tcPr>
          <w:p w14:paraId="645A5FFB"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25.1</w:t>
            </w:r>
          </w:p>
        </w:tc>
        <w:tc>
          <w:tcPr>
            <w:tcW w:w="680" w:type="dxa"/>
          </w:tcPr>
          <w:p w14:paraId="7A211C1D"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13.8</w:t>
            </w:r>
          </w:p>
        </w:tc>
        <w:tc>
          <w:tcPr>
            <w:tcW w:w="680" w:type="dxa"/>
          </w:tcPr>
          <w:p w14:paraId="63406F02"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25.2</w:t>
            </w:r>
          </w:p>
        </w:tc>
        <w:tc>
          <w:tcPr>
            <w:tcW w:w="680" w:type="dxa"/>
          </w:tcPr>
          <w:p w14:paraId="39EF7DE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23.7</w:t>
            </w:r>
          </w:p>
        </w:tc>
        <w:tc>
          <w:tcPr>
            <w:tcW w:w="680" w:type="dxa"/>
          </w:tcPr>
          <w:p w14:paraId="33BE39D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13.3</w:t>
            </w:r>
          </w:p>
        </w:tc>
        <w:tc>
          <w:tcPr>
            <w:tcW w:w="680" w:type="dxa"/>
          </w:tcPr>
          <w:p w14:paraId="23BE0A62"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15.7</w:t>
            </w:r>
          </w:p>
        </w:tc>
      </w:tr>
      <w:tr w:rsidR="00776CE2" w:rsidRPr="00805152" w14:paraId="68053D95" w14:textId="77777777" w:rsidTr="00776CE2">
        <w:trPr>
          <w:trHeight w:val="113"/>
          <w:jc w:val="center"/>
        </w:trPr>
        <w:tc>
          <w:tcPr>
            <w:tcW w:w="1701" w:type="dxa"/>
          </w:tcPr>
          <w:p w14:paraId="59D0B07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10.0</w:t>
            </w:r>
          </w:p>
        </w:tc>
        <w:tc>
          <w:tcPr>
            <w:tcW w:w="1701" w:type="dxa"/>
          </w:tcPr>
          <w:p w14:paraId="360F24D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10</w:t>
            </w:r>
          </w:p>
        </w:tc>
        <w:tc>
          <w:tcPr>
            <w:tcW w:w="680" w:type="dxa"/>
          </w:tcPr>
          <w:p w14:paraId="7E04405C"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23.9</w:t>
            </w:r>
          </w:p>
        </w:tc>
        <w:tc>
          <w:tcPr>
            <w:tcW w:w="680" w:type="dxa"/>
          </w:tcPr>
          <w:p w14:paraId="042612D8"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26.8</w:t>
            </w:r>
          </w:p>
        </w:tc>
        <w:tc>
          <w:tcPr>
            <w:tcW w:w="680" w:type="dxa"/>
          </w:tcPr>
          <w:p w14:paraId="43ADA10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21.4</w:t>
            </w:r>
          </w:p>
        </w:tc>
        <w:tc>
          <w:tcPr>
            <w:tcW w:w="680" w:type="dxa"/>
          </w:tcPr>
          <w:p w14:paraId="7707DBC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12.8</w:t>
            </w:r>
          </w:p>
        </w:tc>
        <w:tc>
          <w:tcPr>
            <w:tcW w:w="680" w:type="dxa"/>
          </w:tcPr>
          <w:p w14:paraId="0387C87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22.3</w:t>
            </w:r>
          </w:p>
        </w:tc>
        <w:tc>
          <w:tcPr>
            <w:tcW w:w="680" w:type="dxa"/>
          </w:tcPr>
          <w:p w14:paraId="0B21A53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21.1</w:t>
            </w:r>
          </w:p>
        </w:tc>
        <w:tc>
          <w:tcPr>
            <w:tcW w:w="680" w:type="dxa"/>
          </w:tcPr>
          <w:p w14:paraId="24CB123C"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12.7</w:t>
            </w:r>
          </w:p>
        </w:tc>
        <w:tc>
          <w:tcPr>
            <w:tcW w:w="680" w:type="dxa"/>
          </w:tcPr>
          <w:p w14:paraId="1D873B9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14.5</w:t>
            </w:r>
          </w:p>
        </w:tc>
      </w:tr>
      <w:tr w:rsidR="00776CE2" w:rsidRPr="00805152" w14:paraId="43C9CE50" w14:textId="77777777" w:rsidTr="00776CE2">
        <w:trPr>
          <w:trHeight w:val="113"/>
          <w:jc w:val="center"/>
        </w:trPr>
        <w:tc>
          <w:tcPr>
            <w:tcW w:w="1701" w:type="dxa"/>
          </w:tcPr>
          <w:p w14:paraId="2C186C66"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20.0</w:t>
            </w:r>
          </w:p>
        </w:tc>
        <w:tc>
          <w:tcPr>
            <w:tcW w:w="1701" w:type="dxa"/>
          </w:tcPr>
          <w:p w14:paraId="400354C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5</w:t>
            </w:r>
          </w:p>
        </w:tc>
        <w:tc>
          <w:tcPr>
            <w:tcW w:w="680" w:type="dxa"/>
          </w:tcPr>
          <w:p w14:paraId="5AD83A52"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22.0</w:t>
            </w:r>
          </w:p>
        </w:tc>
        <w:tc>
          <w:tcPr>
            <w:tcW w:w="680" w:type="dxa"/>
          </w:tcPr>
          <w:p w14:paraId="34424870"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23.4</w:t>
            </w:r>
          </w:p>
        </w:tc>
        <w:tc>
          <w:tcPr>
            <w:tcW w:w="680" w:type="dxa"/>
          </w:tcPr>
          <w:p w14:paraId="6DE1B2B2"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18.1</w:t>
            </w:r>
          </w:p>
        </w:tc>
        <w:tc>
          <w:tcPr>
            <w:tcW w:w="680" w:type="dxa"/>
          </w:tcPr>
          <w:p w14:paraId="069157D8"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11.6</w:t>
            </w:r>
          </w:p>
        </w:tc>
        <w:tc>
          <w:tcPr>
            <w:tcW w:w="680" w:type="dxa"/>
          </w:tcPr>
          <w:p w14:paraId="10E3B2A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19.1</w:t>
            </w:r>
          </w:p>
        </w:tc>
        <w:tc>
          <w:tcPr>
            <w:tcW w:w="680" w:type="dxa"/>
          </w:tcPr>
          <w:p w14:paraId="0A4907C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18.2</w:t>
            </w:r>
          </w:p>
        </w:tc>
        <w:tc>
          <w:tcPr>
            <w:tcW w:w="680" w:type="dxa"/>
          </w:tcPr>
          <w:p w14:paraId="2EBB709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12.0</w:t>
            </w:r>
          </w:p>
        </w:tc>
        <w:tc>
          <w:tcPr>
            <w:tcW w:w="680" w:type="dxa"/>
          </w:tcPr>
          <w:p w14:paraId="67DA7BBC"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13.3</w:t>
            </w:r>
          </w:p>
        </w:tc>
      </w:tr>
      <w:tr w:rsidR="00776CE2" w:rsidRPr="00805152" w14:paraId="4288614A" w14:textId="77777777" w:rsidTr="00776CE2">
        <w:trPr>
          <w:trHeight w:val="113"/>
          <w:jc w:val="center"/>
        </w:trPr>
        <w:tc>
          <w:tcPr>
            <w:tcW w:w="1701" w:type="dxa"/>
          </w:tcPr>
          <w:p w14:paraId="2FFCA5E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50.0</w:t>
            </w:r>
          </w:p>
        </w:tc>
        <w:tc>
          <w:tcPr>
            <w:tcW w:w="1701" w:type="dxa"/>
          </w:tcPr>
          <w:p w14:paraId="0A76979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w:t>
            </w:r>
          </w:p>
        </w:tc>
        <w:tc>
          <w:tcPr>
            <w:tcW w:w="680" w:type="dxa"/>
          </w:tcPr>
          <w:p w14:paraId="02A3616B"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18.7</w:t>
            </w:r>
          </w:p>
        </w:tc>
        <w:tc>
          <w:tcPr>
            <w:tcW w:w="680" w:type="dxa"/>
          </w:tcPr>
          <w:p w14:paraId="50DCF14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18.7</w:t>
            </w:r>
          </w:p>
        </w:tc>
        <w:tc>
          <w:tcPr>
            <w:tcW w:w="680" w:type="dxa"/>
          </w:tcPr>
          <w:p w14:paraId="47202AF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14.3</w:t>
            </w:r>
          </w:p>
        </w:tc>
        <w:tc>
          <w:tcPr>
            <w:tcW w:w="680" w:type="dxa"/>
          </w:tcPr>
          <w:p w14:paraId="381D739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9.6</w:t>
            </w:r>
          </w:p>
        </w:tc>
        <w:tc>
          <w:tcPr>
            <w:tcW w:w="680" w:type="dxa"/>
          </w:tcPr>
          <w:p w14:paraId="5CE744BC"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13.9</w:t>
            </w:r>
          </w:p>
        </w:tc>
        <w:tc>
          <w:tcPr>
            <w:tcW w:w="680" w:type="dxa"/>
          </w:tcPr>
          <w:p w14:paraId="2F44CFF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13.3</w:t>
            </w:r>
          </w:p>
        </w:tc>
        <w:tc>
          <w:tcPr>
            <w:tcW w:w="680" w:type="dxa"/>
          </w:tcPr>
          <w:p w14:paraId="7DEA1CC0"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10.4</w:t>
            </w:r>
          </w:p>
        </w:tc>
        <w:tc>
          <w:tcPr>
            <w:tcW w:w="680" w:type="dxa"/>
          </w:tcPr>
          <w:p w14:paraId="195DE78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11.3</w:t>
            </w:r>
          </w:p>
        </w:tc>
      </w:tr>
      <w:tr w:rsidR="00776CE2" w:rsidRPr="00805152" w14:paraId="5238EB47" w14:textId="77777777" w:rsidTr="00776CE2">
        <w:trPr>
          <w:trHeight w:val="113"/>
          <w:jc w:val="center"/>
        </w:trPr>
        <w:tc>
          <w:tcPr>
            <w:tcW w:w="1701" w:type="dxa"/>
          </w:tcPr>
          <w:p w14:paraId="05092AA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80.0</w:t>
            </w:r>
          </w:p>
        </w:tc>
        <w:tc>
          <w:tcPr>
            <w:tcW w:w="1701" w:type="dxa"/>
          </w:tcPr>
          <w:p w14:paraId="4BB6092E"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1.25</w:t>
            </w:r>
          </w:p>
        </w:tc>
        <w:tc>
          <w:tcPr>
            <w:tcW w:w="680" w:type="dxa"/>
          </w:tcPr>
          <w:p w14:paraId="218B129D"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15.7</w:t>
            </w:r>
          </w:p>
        </w:tc>
        <w:tc>
          <w:tcPr>
            <w:tcW w:w="680" w:type="dxa"/>
          </w:tcPr>
          <w:p w14:paraId="6F55CFE6"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15.6</w:t>
            </w:r>
          </w:p>
        </w:tc>
        <w:tc>
          <w:tcPr>
            <w:tcW w:w="680" w:type="dxa"/>
          </w:tcPr>
          <w:p w14:paraId="4A15939B"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12.1</w:t>
            </w:r>
          </w:p>
        </w:tc>
        <w:tc>
          <w:tcPr>
            <w:tcW w:w="680" w:type="dxa"/>
          </w:tcPr>
          <w:p w14:paraId="38CC6E4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7.8</w:t>
            </w:r>
          </w:p>
        </w:tc>
        <w:tc>
          <w:tcPr>
            <w:tcW w:w="680" w:type="dxa"/>
          </w:tcPr>
          <w:p w14:paraId="15AEC8B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9.7</w:t>
            </w:r>
          </w:p>
        </w:tc>
        <w:tc>
          <w:tcPr>
            <w:tcW w:w="680" w:type="dxa"/>
          </w:tcPr>
          <w:p w14:paraId="6D57268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9.5</w:t>
            </w:r>
          </w:p>
        </w:tc>
        <w:tc>
          <w:tcPr>
            <w:tcW w:w="680" w:type="dxa"/>
          </w:tcPr>
          <w:p w14:paraId="436D7077"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8.6</w:t>
            </w:r>
          </w:p>
        </w:tc>
        <w:tc>
          <w:tcPr>
            <w:tcW w:w="680" w:type="dxa"/>
          </w:tcPr>
          <w:p w14:paraId="58806F41"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9.7</w:t>
            </w:r>
          </w:p>
        </w:tc>
      </w:tr>
      <w:tr w:rsidR="00776CE2" w:rsidRPr="00805152" w14:paraId="49EDA0CF" w14:textId="77777777" w:rsidTr="00776CE2">
        <w:trPr>
          <w:trHeight w:val="113"/>
          <w:jc w:val="center"/>
        </w:trPr>
        <w:tc>
          <w:tcPr>
            <w:tcW w:w="1701" w:type="dxa"/>
          </w:tcPr>
          <w:p w14:paraId="6CA6D463"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90.0</w:t>
            </w:r>
          </w:p>
        </w:tc>
        <w:tc>
          <w:tcPr>
            <w:tcW w:w="1701" w:type="dxa"/>
          </w:tcPr>
          <w:p w14:paraId="572ED2C0"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1.11</w:t>
            </w:r>
          </w:p>
        </w:tc>
        <w:tc>
          <w:tcPr>
            <w:tcW w:w="680" w:type="dxa"/>
          </w:tcPr>
          <w:p w14:paraId="3A57E219"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14.3</w:t>
            </w:r>
          </w:p>
        </w:tc>
        <w:tc>
          <w:tcPr>
            <w:tcW w:w="680" w:type="dxa"/>
          </w:tcPr>
          <w:p w14:paraId="5889A47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14.3</w:t>
            </w:r>
          </w:p>
        </w:tc>
        <w:tc>
          <w:tcPr>
            <w:tcW w:w="680" w:type="dxa"/>
          </w:tcPr>
          <w:p w14:paraId="3377125E"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11.3</w:t>
            </w:r>
          </w:p>
        </w:tc>
        <w:tc>
          <w:tcPr>
            <w:tcW w:w="680" w:type="dxa"/>
          </w:tcPr>
          <w:p w14:paraId="7A086F45"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6.9</w:t>
            </w:r>
          </w:p>
        </w:tc>
        <w:tc>
          <w:tcPr>
            <w:tcW w:w="680" w:type="dxa"/>
          </w:tcPr>
          <w:p w14:paraId="30A1A314"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7.9</w:t>
            </w:r>
          </w:p>
        </w:tc>
        <w:tc>
          <w:tcPr>
            <w:tcW w:w="680" w:type="dxa"/>
          </w:tcPr>
          <w:p w14:paraId="43F9F73B"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7.8</w:t>
            </w:r>
          </w:p>
        </w:tc>
        <w:tc>
          <w:tcPr>
            <w:tcW w:w="680" w:type="dxa"/>
          </w:tcPr>
          <w:p w14:paraId="678E586A"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7.6</w:t>
            </w:r>
          </w:p>
        </w:tc>
        <w:tc>
          <w:tcPr>
            <w:tcW w:w="680" w:type="dxa"/>
          </w:tcPr>
          <w:p w14:paraId="5AE2CD5F" w14:textId="77777777" w:rsidR="00776CE2" w:rsidRPr="00805152" w:rsidRDefault="00776CE2" w:rsidP="00776CE2">
            <w:pPr>
              <w:spacing w:after="0" w:line="276"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9.1</w:t>
            </w:r>
          </w:p>
        </w:tc>
      </w:tr>
    </w:tbl>
    <w:p w14:paraId="3C3F033C" w14:textId="77777777" w:rsidR="00776CE2" w:rsidRPr="00805152" w:rsidRDefault="00776CE2" w:rsidP="00776CE2">
      <w:pPr>
        <w:suppressAutoHyphens/>
        <w:spacing w:after="0"/>
        <w:rPr>
          <w:rFonts w:ascii="Times New Roman" w:eastAsia="Times New Roman" w:hAnsi="Times New Roman"/>
          <w:sz w:val="22"/>
          <w:lang w:val="bg-BG"/>
        </w:rPr>
      </w:pPr>
    </w:p>
    <w:p w14:paraId="2F2DAE89" w14:textId="2C60BDEE" w:rsidR="001D43A2" w:rsidRPr="00805152" w:rsidRDefault="001D43A2" w:rsidP="00A127A2">
      <w:pPr>
        <w:pStyle w:val="Heading3"/>
        <w:rPr>
          <w:rFonts w:ascii="Times New Roman" w:hAnsi="Times New Roman"/>
          <w:lang w:val="bg-BG"/>
        </w:rPr>
      </w:pPr>
      <w:bookmarkStart w:id="35" w:name="_Toc126492689"/>
      <w:bookmarkStart w:id="36" w:name="_Toc479713815"/>
      <w:bookmarkStart w:id="37" w:name="_Toc136961087"/>
      <w:r w:rsidRPr="00805152">
        <w:rPr>
          <w:rFonts w:ascii="Times New Roman" w:hAnsi="Times New Roman"/>
          <w:lang w:val="bg-BG"/>
        </w:rPr>
        <w:lastRenderedPageBreak/>
        <w:t>Вълнов</w:t>
      </w:r>
      <w:r w:rsidR="00776CE2" w:rsidRPr="00805152">
        <w:rPr>
          <w:rFonts w:ascii="Times New Roman" w:hAnsi="Times New Roman"/>
          <w:lang w:val="bg-BG"/>
        </w:rPr>
        <w:t xml:space="preserve">и Условия </w:t>
      </w:r>
      <w:r w:rsidRPr="00805152">
        <w:rPr>
          <w:rFonts w:ascii="Times New Roman" w:hAnsi="Times New Roman"/>
          <w:lang w:val="bg-BG"/>
        </w:rPr>
        <w:t>(SW)</w:t>
      </w:r>
      <w:bookmarkEnd w:id="35"/>
      <w:bookmarkEnd w:id="36"/>
      <w:bookmarkEnd w:id="37"/>
    </w:p>
    <w:p w14:paraId="2A43AE0F" w14:textId="77777777" w:rsidR="00DB677D" w:rsidRDefault="00CA5C79" w:rsidP="00DB677D">
      <w:pPr>
        <w:suppressAutoHyphens/>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Оразмеряването на обща и локална устойчивост, както и натоварването на вълнолома се изчисляват за вълнение непосредствено преди него със съответна вероятност за превишение при </w:t>
      </w:r>
      <w:r w:rsidRPr="00DC024B">
        <w:rPr>
          <w:rFonts w:ascii="Times New Roman" w:eastAsia="Times New Roman" w:hAnsi="Times New Roman"/>
          <w:sz w:val="22"/>
          <w:lang w:val="bg-BG"/>
        </w:rPr>
        <w:t>щорм</w:t>
      </w:r>
      <w:r w:rsidRPr="00805152">
        <w:rPr>
          <w:rFonts w:ascii="Times New Roman" w:eastAsia="Times New Roman" w:hAnsi="Times New Roman"/>
          <w:sz w:val="22"/>
          <w:lang w:val="bg-BG"/>
        </w:rPr>
        <w:t xml:space="preserve"> с вероятност за повторение 1 път на 50 години в зависимост от класа на съоръжението. </w:t>
      </w:r>
      <w:r w:rsidR="00DB677D">
        <w:rPr>
          <w:rFonts w:ascii="Times New Roman" w:eastAsia="Times New Roman" w:hAnsi="Times New Roman"/>
          <w:sz w:val="22"/>
          <w:lang w:val="bg-BG"/>
        </w:rPr>
        <w:t xml:space="preserve"> </w:t>
      </w:r>
      <w:r w:rsidRPr="00805152">
        <w:rPr>
          <w:rFonts w:ascii="Times New Roman" w:eastAsia="Times New Roman" w:hAnsi="Times New Roman"/>
          <w:sz w:val="22"/>
          <w:lang w:val="bg-BG"/>
        </w:rPr>
        <w:t>На тази фаза условно вълноломът е разделен на 3 части съвпадащи с етапите на строителство.</w:t>
      </w:r>
    </w:p>
    <w:p w14:paraId="7284CEF9" w14:textId="23D2B35A" w:rsidR="00CA5C79" w:rsidRPr="00805152" w:rsidRDefault="00CA5C79" w:rsidP="00DB677D">
      <w:pPr>
        <w:suppressAutoHyphens/>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Макар и измерени малки дълбочини пред вълнолома в рамките на 4,00 - 5,00м, то изчисленията са направени за приети дълбочини отговарящи на дълбочината на подходните канали и дълбочината на морето.</w:t>
      </w:r>
      <w:r w:rsidR="00DB677D">
        <w:rPr>
          <w:rFonts w:ascii="Times New Roman" w:eastAsia="Times New Roman" w:hAnsi="Times New Roman"/>
          <w:sz w:val="22"/>
          <w:lang w:val="bg-BG"/>
        </w:rPr>
        <w:t xml:space="preserve"> </w:t>
      </w:r>
      <w:r w:rsidR="00D46E33" w:rsidRPr="00805152">
        <w:rPr>
          <w:rFonts w:ascii="Times New Roman" w:eastAsia="Times New Roman" w:hAnsi="Times New Roman"/>
          <w:sz w:val="22"/>
          <w:lang w:val="bg-BG"/>
        </w:rPr>
        <w:t>В</w:t>
      </w:r>
      <w:r w:rsidRPr="00805152">
        <w:rPr>
          <w:rFonts w:ascii="Times New Roman" w:eastAsia="Times New Roman" w:hAnsi="Times New Roman"/>
          <w:sz w:val="22"/>
          <w:lang w:val="bg-BG"/>
        </w:rPr>
        <w:t xml:space="preserve">ълновите характеристики </w:t>
      </w:r>
      <w:r w:rsidR="00D46E33" w:rsidRPr="00805152">
        <w:rPr>
          <w:rFonts w:ascii="Times New Roman" w:eastAsia="Times New Roman" w:hAnsi="Times New Roman"/>
          <w:sz w:val="22"/>
          <w:lang w:val="bg-BG"/>
        </w:rPr>
        <w:t xml:space="preserve">в дълбоководният определени в техническия проект са дадени в следващата таблица: </w:t>
      </w:r>
    </w:p>
    <w:p w14:paraId="6FB4A921" w14:textId="77777777" w:rsidR="00D46E33" w:rsidRPr="00805152" w:rsidRDefault="00D46E33" w:rsidP="001D43A2">
      <w:pPr>
        <w:suppressAutoHyphens/>
        <w:spacing w:after="0"/>
        <w:rPr>
          <w:rFonts w:ascii="Times New Roman" w:eastAsia="Times New Roman" w:hAnsi="Times New Roman"/>
          <w:sz w:val="22"/>
          <w:lang w:val="bg-BG"/>
        </w:rPr>
      </w:pPr>
    </w:p>
    <w:p w14:paraId="748207A0" w14:textId="77614891" w:rsidR="00CA5C79" w:rsidRPr="00805152" w:rsidRDefault="00D46E33" w:rsidP="00C958EE">
      <w:pPr>
        <w:suppressAutoHyphens/>
        <w:spacing w:after="0"/>
        <w:jc w:val="center"/>
        <w:rPr>
          <w:rFonts w:ascii="Times New Roman" w:hAnsi="Times New Roman"/>
          <w:i/>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3</w:t>
      </w:r>
      <w:r w:rsidRPr="00805152">
        <w:rPr>
          <w:rFonts w:ascii="Times New Roman" w:hAnsi="Times New Roman"/>
          <w:i/>
          <w:sz w:val="22"/>
          <w:lang w:val="bg-BG"/>
        </w:rPr>
        <w:fldChar w:fldCharType="end"/>
      </w:r>
      <w:r w:rsidRPr="00805152">
        <w:rPr>
          <w:rFonts w:ascii="Times New Roman" w:hAnsi="Times New Roman"/>
          <w:i/>
          <w:sz w:val="22"/>
          <w:lang w:val="bg-BG"/>
        </w:rPr>
        <w:t>:</w:t>
      </w:r>
      <w:r w:rsidRPr="00805152">
        <w:rPr>
          <w:rFonts w:ascii="Times New Roman" w:hAnsi="Times New Roman"/>
          <w:i/>
          <w:sz w:val="22"/>
          <w:lang w:val="bg-BG"/>
        </w:rPr>
        <w:tab/>
        <w:t>Характеристики на вълнението към източната граница на изчислителната зона „А” (изобата около 35 м), за което са проведени изчисления с програмата COPLA-RD.</w:t>
      </w:r>
    </w:p>
    <w:tbl>
      <w:tblPr>
        <w:tblW w:w="10363" w:type="dxa"/>
        <w:jc w:val="center"/>
        <w:tblLayout w:type="fixed"/>
        <w:tblLook w:val="0000" w:firstRow="0" w:lastRow="0" w:firstColumn="0" w:lastColumn="0" w:noHBand="0" w:noVBand="0"/>
      </w:tblPr>
      <w:tblGrid>
        <w:gridCol w:w="520"/>
        <w:gridCol w:w="1206"/>
        <w:gridCol w:w="1817"/>
        <w:gridCol w:w="1320"/>
        <w:gridCol w:w="1900"/>
        <w:gridCol w:w="1460"/>
        <w:gridCol w:w="2140"/>
      </w:tblGrid>
      <w:tr w:rsidR="00D46E33" w:rsidRPr="00805152" w14:paraId="414A2E06" w14:textId="77777777" w:rsidTr="00BE5603">
        <w:trPr>
          <w:trHeight w:val="315"/>
          <w:jc w:val="center"/>
        </w:trPr>
        <w:tc>
          <w:tcPr>
            <w:tcW w:w="520" w:type="dxa"/>
            <w:vMerge w:val="restart"/>
            <w:tcBorders>
              <w:top w:val="single" w:sz="4" w:space="0" w:color="auto"/>
              <w:left w:val="single" w:sz="4" w:space="0" w:color="auto"/>
              <w:bottom w:val="single" w:sz="4" w:space="0" w:color="000000"/>
              <w:right w:val="single" w:sz="4" w:space="0" w:color="auto"/>
            </w:tcBorders>
            <w:shd w:val="clear" w:color="auto" w:fill="C6D9F1" w:themeFill="text2" w:themeFillTint="33"/>
          </w:tcPr>
          <w:p w14:paraId="090B307A"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w:t>
            </w:r>
          </w:p>
        </w:tc>
        <w:tc>
          <w:tcPr>
            <w:tcW w:w="9843" w:type="dxa"/>
            <w:gridSpan w:val="6"/>
            <w:tcBorders>
              <w:top w:val="single" w:sz="4" w:space="0" w:color="auto"/>
              <w:left w:val="nil"/>
              <w:bottom w:val="single" w:sz="4" w:space="0" w:color="auto"/>
              <w:right w:val="single" w:sz="4" w:space="0" w:color="auto"/>
            </w:tcBorders>
            <w:shd w:val="clear" w:color="auto" w:fill="C6D9F1" w:themeFill="text2" w:themeFillTint="33"/>
          </w:tcPr>
          <w:p w14:paraId="398F15F5" w14:textId="5E38FACC" w:rsidR="00D46E33" w:rsidRPr="00805152" w:rsidRDefault="00D46E33" w:rsidP="00D46E33">
            <w:pPr>
              <w:spacing w:after="0" w:line="360" w:lineRule="auto"/>
              <w:ind w:right="-851"/>
              <w:jc w:val="center"/>
              <w:rPr>
                <w:rFonts w:ascii="Times New Roman" w:eastAsia="Times New Roman" w:hAnsi="Times New Roman"/>
                <w:sz w:val="22"/>
                <w:lang w:val="bg-BG"/>
              </w:rPr>
            </w:pPr>
            <w:r w:rsidRPr="00805152">
              <w:rPr>
                <w:rFonts w:ascii="Times New Roman" w:eastAsia="Times New Roman" w:hAnsi="Times New Roman"/>
                <w:sz w:val="22"/>
                <w:lang w:val="bg-BG"/>
              </w:rPr>
              <w:t>Посока на изходното вълнение – повторяемост 1 път на 50 години</w:t>
            </w:r>
          </w:p>
        </w:tc>
      </w:tr>
      <w:tr w:rsidR="00D46E33" w:rsidRPr="00805152" w14:paraId="181765BF" w14:textId="77777777" w:rsidTr="00D46E33">
        <w:trPr>
          <w:trHeight w:val="315"/>
          <w:jc w:val="center"/>
        </w:trPr>
        <w:tc>
          <w:tcPr>
            <w:tcW w:w="520" w:type="dxa"/>
            <w:vMerge/>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tcPr>
          <w:p w14:paraId="55D463BC" w14:textId="77777777" w:rsidR="00D46E33" w:rsidRPr="00805152" w:rsidRDefault="00D46E33" w:rsidP="00D46E33">
            <w:pPr>
              <w:spacing w:after="0" w:line="360" w:lineRule="auto"/>
              <w:ind w:right="-851"/>
              <w:rPr>
                <w:rFonts w:ascii="Times New Roman" w:eastAsia="Times New Roman" w:hAnsi="Times New Roman"/>
                <w:sz w:val="22"/>
                <w:lang w:val="bg-BG"/>
              </w:rPr>
            </w:pPr>
          </w:p>
        </w:tc>
        <w:tc>
          <w:tcPr>
            <w:tcW w:w="3023" w:type="dxa"/>
            <w:gridSpan w:val="2"/>
            <w:tcBorders>
              <w:top w:val="single" w:sz="4" w:space="0" w:color="auto"/>
              <w:left w:val="nil"/>
              <w:bottom w:val="single" w:sz="4" w:space="0" w:color="auto"/>
              <w:right w:val="single" w:sz="4" w:space="0" w:color="auto"/>
            </w:tcBorders>
            <w:shd w:val="clear" w:color="auto" w:fill="C6D9F1" w:themeFill="text2" w:themeFillTint="33"/>
          </w:tcPr>
          <w:p w14:paraId="50030F0B"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СИ</w:t>
            </w:r>
          </w:p>
        </w:tc>
        <w:tc>
          <w:tcPr>
            <w:tcW w:w="3220"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tcPr>
          <w:p w14:paraId="2064FA7B"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И</w:t>
            </w:r>
          </w:p>
        </w:tc>
        <w:tc>
          <w:tcPr>
            <w:tcW w:w="3600" w:type="dxa"/>
            <w:gridSpan w:val="2"/>
            <w:tcBorders>
              <w:top w:val="single" w:sz="4" w:space="0" w:color="auto"/>
              <w:left w:val="nil"/>
              <w:bottom w:val="single" w:sz="4" w:space="0" w:color="auto"/>
              <w:right w:val="single" w:sz="4" w:space="0" w:color="auto"/>
            </w:tcBorders>
            <w:shd w:val="clear" w:color="auto" w:fill="C6D9F1" w:themeFill="text2" w:themeFillTint="33"/>
          </w:tcPr>
          <w:p w14:paraId="5CEA0039"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ЮИ</w:t>
            </w:r>
          </w:p>
        </w:tc>
      </w:tr>
      <w:tr w:rsidR="00D46E33" w:rsidRPr="00805152" w14:paraId="40117D3D" w14:textId="77777777" w:rsidTr="00BE5603">
        <w:trPr>
          <w:trHeight w:val="315"/>
          <w:jc w:val="center"/>
        </w:trPr>
        <w:tc>
          <w:tcPr>
            <w:tcW w:w="52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54A71E76" w14:textId="77777777" w:rsidR="00D46E33" w:rsidRPr="00805152" w:rsidRDefault="00D46E33" w:rsidP="00D46E33">
            <w:pPr>
              <w:spacing w:after="0" w:line="360" w:lineRule="auto"/>
              <w:ind w:right="-851"/>
              <w:rPr>
                <w:rFonts w:ascii="Times New Roman" w:eastAsia="Times New Roman" w:hAnsi="Times New Roman"/>
                <w:sz w:val="22"/>
                <w:lang w:val="bg-BG"/>
              </w:rPr>
            </w:pPr>
          </w:p>
        </w:tc>
        <w:tc>
          <w:tcPr>
            <w:tcW w:w="1206" w:type="dxa"/>
            <w:tcBorders>
              <w:top w:val="single" w:sz="4" w:space="0" w:color="auto"/>
              <w:left w:val="nil"/>
              <w:bottom w:val="single" w:sz="4" w:space="0" w:color="auto"/>
              <w:right w:val="single" w:sz="4" w:space="0" w:color="auto"/>
            </w:tcBorders>
          </w:tcPr>
          <w:p w14:paraId="2A48790C"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T(s)</w:t>
            </w:r>
          </w:p>
        </w:tc>
        <w:tc>
          <w:tcPr>
            <w:tcW w:w="1817" w:type="dxa"/>
            <w:tcBorders>
              <w:top w:val="nil"/>
              <w:left w:val="single" w:sz="4" w:space="0" w:color="auto"/>
              <w:bottom w:val="single" w:sz="4" w:space="0" w:color="auto"/>
              <w:right w:val="single" w:sz="4" w:space="0" w:color="auto"/>
            </w:tcBorders>
          </w:tcPr>
          <w:p w14:paraId="39589594"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h(m)</w:t>
            </w:r>
          </w:p>
        </w:tc>
        <w:tc>
          <w:tcPr>
            <w:tcW w:w="1320" w:type="dxa"/>
            <w:tcBorders>
              <w:top w:val="nil"/>
              <w:left w:val="single" w:sz="4" w:space="0" w:color="auto"/>
              <w:bottom w:val="single" w:sz="4" w:space="0" w:color="auto"/>
              <w:right w:val="single" w:sz="4" w:space="0" w:color="auto"/>
            </w:tcBorders>
            <w:shd w:val="clear" w:color="auto" w:fill="auto"/>
          </w:tcPr>
          <w:p w14:paraId="166F2EE7"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T(s)</w:t>
            </w:r>
          </w:p>
        </w:tc>
        <w:tc>
          <w:tcPr>
            <w:tcW w:w="1900" w:type="dxa"/>
            <w:tcBorders>
              <w:top w:val="nil"/>
              <w:left w:val="nil"/>
              <w:bottom w:val="single" w:sz="4" w:space="0" w:color="auto"/>
              <w:right w:val="single" w:sz="4" w:space="0" w:color="auto"/>
            </w:tcBorders>
            <w:shd w:val="clear" w:color="auto" w:fill="auto"/>
          </w:tcPr>
          <w:p w14:paraId="4267091E"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h(m)</w:t>
            </w:r>
          </w:p>
        </w:tc>
        <w:tc>
          <w:tcPr>
            <w:tcW w:w="1460" w:type="dxa"/>
            <w:tcBorders>
              <w:top w:val="nil"/>
              <w:left w:val="nil"/>
              <w:bottom w:val="single" w:sz="4" w:space="0" w:color="auto"/>
              <w:right w:val="single" w:sz="4" w:space="0" w:color="auto"/>
            </w:tcBorders>
            <w:shd w:val="clear" w:color="auto" w:fill="auto"/>
          </w:tcPr>
          <w:p w14:paraId="05D59C65"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T(s)</w:t>
            </w:r>
          </w:p>
        </w:tc>
        <w:tc>
          <w:tcPr>
            <w:tcW w:w="2140" w:type="dxa"/>
            <w:tcBorders>
              <w:top w:val="nil"/>
              <w:left w:val="nil"/>
              <w:bottom w:val="single" w:sz="4" w:space="0" w:color="auto"/>
              <w:right w:val="single" w:sz="4" w:space="0" w:color="auto"/>
            </w:tcBorders>
            <w:shd w:val="clear" w:color="auto" w:fill="auto"/>
          </w:tcPr>
          <w:p w14:paraId="6EDD6FA8"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h(m)</w:t>
            </w:r>
          </w:p>
        </w:tc>
      </w:tr>
      <w:tr w:rsidR="00D46E33" w:rsidRPr="00805152" w14:paraId="637354FB" w14:textId="77777777" w:rsidTr="00BE5603">
        <w:trPr>
          <w:trHeight w:val="375"/>
          <w:jc w:val="center"/>
        </w:trPr>
        <w:tc>
          <w:tcPr>
            <w:tcW w:w="520" w:type="dxa"/>
            <w:tcBorders>
              <w:top w:val="nil"/>
              <w:left w:val="single" w:sz="4" w:space="0" w:color="auto"/>
              <w:bottom w:val="single" w:sz="4" w:space="0" w:color="auto"/>
              <w:right w:val="single" w:sz="4" w:space="0" w:color="auto"/>
            </w:tcBorders>
            <w:shd w:val="clear" w:color="auto" w:fill="auto"/>
          </w:tcPr>
          <w:p w14:paraId="79FE54B7"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w:t>
            </w:r>
          </w:p>
        </w:tc>
        <w:tc>
          <w:tcPr>
            <w:tcW w:w="1206" w:type="dxa"/>
            <w:tcBorders>
              <w:top w:val="single" w:sz="4" w:space="0" w:color="auto"/>
              <w:left w:val="nil"/>
              <w:bottom w:val="single" w:sz="4" w:space="0" w:color="auto"/>
              <w:right w:val="single" w:sz="4" w:space="0" w:color="auto"/>
            </w:tcBorders>
          </w:tcPr>
          <w:p w14:paraId="2D04DC3B"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8,7</w:t>
            </w:r>
          </w:p>
        </w:tc>
        <w:tc>
          <w:tcPr>
            <w:tcW w:w="1817" w:type="dxa"/>
            <w:tcBorders>
              <w:top w:val="nil"/>
              <w:left w:val="single" w:sz="4" w:space="0" w:color="auto"/>
              <w:bottom w:val="single" w:sz="4" w:space="0" w:color="auto"/>
              <w:right w:val="single" w:sz="4" w:space="0" w:color="auto"/>
            </w:tcBorders>
          </w:tcPr>
          <w:p w14:paraId="2E817EB4"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Hср.=4,67</w:t>
            </w:r>
          </w:p>
        </w:tc>
        <w:tc>
          <w:tcPr>
            <w:tcW w:w="1320" w:type="dxa"/>
            <w:tcBorders>
              <w:top w:val="nil"/>
              <w:left w:val="single" w:sz="4" w:space="0" w:color="auto"/>
              <w:bottom w:val="single" w:sz="4" w:space="0" w:color="auto"/>
              <w:right w:val="single" w:sz="4" w:space="0" w:color="auto"/>
            </w:tcBorders>
            <w:shd w:val="clear" w:color="auto" w:fill="auto"/>
          </w:tcPr>
          <w:p w14:paraId="38E68CDE"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9,2</w:t>
            </w:r>
          </w:p>
        </w:tc>
        <w:tc>
          <w:tcPr>
            <w:tcW w:w="1900" w:type="dxa"/>
            <w:tcBorders>
              <w:top w:val="nil"/>
              <w:left w:val="nil"/>
              <w:bottom w:val="single" w:sz="4" w:space="0" w:color="auto"/>
              <w:right w:val="single" w:sz="4" w:space="0" w:color="auto"/>
            </w:tcBorders>
            <w:shd w:val="clear" w:color="auto" w:fill="auto"/>
          </w:tcPr>
          <w:p w14:paraId="7FB6F371"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Hср.=4,05</w:t>
            </w:r>
          </w:p>
        </w:tc>
        <w:tc>
          <w:tcPr>
            <w:tcW w:w="1460" w:type="dxa"/>
            <w:tcBorders>
              <w:top w:val="nil"/>
              <w:left w:val="nil"/>
              <w:bottom w:val="single" w:sz="4" w:space="0" w:color="auto"/>
              <w:right w:val="single" w:sz="4" w:space="0" w:color="auto"/>
            </w:tcBorders>
            <w:shd w:val="clear" w:color="auto" w:fill="auto"/>
          </w:tcPr>
          <w:p w14:paraId="28A62B3E"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c>
          <w:tcPr>
            <w:tcW w:w="2140" w:type="dxa"/>
            <w:tcBorders>
              <w:top w:val="nil"/>
              <w:left w:val="nil"/>
              <w:bottom w:val="single" w:sz="4" w:space="0" w:color="auto"/>
              <w:right w:val="single" w:sz="4" w:space="0" w:color="auto"/>
            </w:tcBorders>
            <w:shd w:val="clear" w:color="auto" w:fill="auto"/>
          </w:tcPr>
          <w:p w14:paraId="09D5A04D"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Hср.=2,50</w:t>
            </w:r>
          </w:p>
        </w:tc>
      </w:tr>
      <w:tr w:rsidR="00D46E33" w:rsidRPr="00805152" w14:paraId="67B18C7C" w14:textId="77777777" w:rsidTr="00BE5603">
        <w:trPr>
          <w:trHeight w:val="375"/>
          <w:jc w:val="center"/>
        </w:trPr>
        <w:tc>
          <w:tcPr>
            <w:tcW w:w="520" w:type="dxa"/>
            <w:tcBorders>
              <w:top w:val="nil"/>
              <w:left w:val="single" w:sz="4" w:space="0" w:color="auto"/>
              <w:bottom w:val="single" w:sz="4" w:space="0" w:color="auto"/>
              <w:right w:val="single" w:sz="4" w:space="0" w:color="auto"/>
            </w:tcBorders>
            <w:shd w:val="clear" w:color="auto" w:fill="auto"/>
          </w:tcPr>
          <w:p w14:paraId="5A900510"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w:t>
            </w:r>
          </w:p>
        </w:tc>
        <w:tc>
          <w:tcPr>
            <w:tcW w:w="1206" w:type="dxa"/>
            <w:tcBorders>
              <w:top w:val="single" w:sz="4" w:space="0" w:color="auto"/>
              <w:left w:val="nil"/>
              <w:bottom w:val="single" w:sz="4" w:space="0" w:color="auto"/>
              <w:right w:val="single" w:sz="4" w:space="0" w:color="auto"/>
            </w:tcBorders>
          </w:tcPr>
          <w:p w14:paraId="621F1585"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8,7</w:t>
            </w:r>
          </w:p>
        </w:tc>
        <w:tc>
          <w:tcPr>
            <w:tcW w:w="1817" w:type="dxa"/>
            <w:tcBorders>
              <w:top w:val="nil"/>
              <w:left w:val="single" w:sz="4" w:space="0" w:color="auto"/>
              <w:bottom w:val="single" w:sz="4" w:space="0" w:color="auto"/>
              <w:right w:val="single" w:sz="4" w:space="0" w:color="auto"/>
            </w:tcBorders>
          </w:tcPr>
          <w:p w14:paraId="5D897FEF"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hs(13%)=7,4</w:t>
            </w:r>
          </w:p>
        </w:tc>
        <w:tc>
          <w:tcPr>
            <w:tcW w:w="1320" w:type="dxa"/>
            <w:tcBorders>
              <w:top w:val="nil"/>
              <w:left w:val="single" w:sz="4" w:space="0" w:color="auto"/>
              <w:bottom w:val="single" w:sz="4" w:space="0" w:color="auto"/>
              <w:right w:val="single" w:sz="4" w:space="0" w:color="auto"/>
            </w:tcBorders>
            <w:shd w:val="clear" w:color="auto" w:fill="auto"/>
          </w:tcPr>
          <w:p w14:paraId="7EFDCDE2"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9,2</w:t>
            </w:r>
          </w:p>
        </w:tc>
        <w:tc>
          <w:tcPr>
            <w:tcW w:w="1900" w:type="dxa"/>
            <w:tcBorders>
              <w:top w:val="nil"/>
              <w:left w:val="nil"/>
              <w:bottom w:val="single" w:sz="4" w:space="0" w:color="auto"/>
              <w:right w:val="single" w:sz="4" w:space="0" w:color="auto"/>
            </w:tcBorders>
            <w:shd w:val="clear" w:color="auto" w:fill="auto"/>
          </w:tcPr>
          <w:p w14:paraId="69D0640A"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hs(13%)=7,15</w:t>
            </w:r>
          </w:p>
        </w:tc>
        <w:tc>
          <w:tcPr>
            <w:tcW w:w="1460" w:type="dxa"/>
            <w:tcBorders>
              <w:top w:val="nil"/>
              <w:left w:val="nil"/>
              <w:bottom w:val="single" w:sz="4" w:space="0" w:color="auto"/>
              <w:right w:val="single" w:sz="4" w:space="0" w:color="auto"/>
            </w:tcBorders>
            <w:shd w:val="clear" w:color="auto" w:fill="auto"/>
          </w:tcPr>
          <w:p w14:paraId="7A9AC718"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c>
          <w:tcPr>
            <w:tcW w:w="2140" w:type="dxa"/>
            <w:tcBorders>
              <w:top w:val="nil"/>
              <w:left w:val="nil"/>
              <w:bottom w:val="single" w:sz="4" w:space="0" w:color="auto"/>
              <w:right w:val="single" w:sz="4" w:space="0" w:color="auto"/>
            </w:tcBorders>
            <w:shd w:val="clear" w:color="auto" w:fill="auto"/>
          </w:tcPr>
          <w:p w14:paraId="1ED4E067"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hs(13%)=3,35</w:t>
            </w:r>
          </w:p>
        </w:tc>
      </w:tr>
      <w:tr w:rsidR="00D46E33" w:rsidRPr="00805152" w14:paraId="562F3491" w14:textId="77777777" w:rsidTr="00BE5603">
        <w:trPr>
          <w:trHeight w:val="375"/>
          <w:jc w:val="center"/>
        </w:trPr>
        <w:tc>
          <w:tcPr>
            <w:tcW w:w="520" w:type="dxa"/>
            <w:tcBorders>
              <w:top w:val="nil"/>
              <w:left w:val="single" w:sz="4" w:space="0" w:color="auto"/>
              <w:bottom w:val="single" w:sz="4" w:space="0" w:color="auto"/>
              <w:right w:val="single" w:sz="4" w:space="0" w:color="auto"/>
            </w:tcBorders>
            <w:shd w:val="clear" w:color="auto" w:fill="auto"/>
          </w:tcPr>
          <w:p w14:paraId="21674C50"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w:t>
            </w:r>
          </w:p>
        </w:tc>
        <w:tc>
          <w:tcPr>
            <w:tcW w:w="1206" w:type="dxa"/>
            <w:tcBorders>
              <w:top w:val="single" w:sz="4" w:space="0" w:color="auto"/>
              <w:left w:val="nil"/>
              <w:bottom w:val="single" w:sz="4" w:space="0" w:color="auto"/>
              <w:right w:val="single" w:sz="4" w:space="0" w:color="auto"/>
            </w:tcBorders>
          </w:tcPr>
          <w:p w14:paraId="12E755AF"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8,7</w:t>
            </w:r>
          </w:p>
        </w:tc>
        <w:tc>
          <w:tcPr>
            <w:tcW w:w="1817" w:type="dxa"/>
            <w:tcBorders>
              <w:top w:val="nil"/>
              <w:left w:val="single" w:sz="4" w:space="0" w:color="auto"/>
              <w:bottom w:val="single" w:sz="4" w:space="0" w:color="auto"/>
              <w:right w:val="single" w:sz="4" w:space="0" w:color="auto"/>
            </w:tcBorders>
          </w:tcPr>
          <w:p w14:paraId="4FCECC07"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hs(5%)=8,05</w:t>
            </w:r>
          </w:p>
        </w:tc>
        <w:tc>
          <w:tcPr>
            <w:tcW w:w="1320" w:type="dxa"/>
            <w:tcBorders>
              <w:top w:val="nil"/>
              <w:left w:val="single" w:sz="4" w:space="0" w:color="auto"/>
              <w:bottom w:val="single" w:sz="4" w:space="0" w:color="auto"/>
              <w:right w:val="single" w:sz="4" w:space="0" w:color="auto"/>
            </w:tcBorders>
            <w:shd w:val="clear" w:color="auto" w:fill="auto"/>
          </w:tcPr>
          <w:p w14:paraId="4B75FDE3"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9,2</w:t>
            </w:r>
          </w:p>
        </w:tc>
        <w:tc>
          <w:tcPr>
            <w:tcW w:w="1900" w:type="dxa"/>
            <w:tcBorders>
              <w:top w:val="nil"/>
              <w:left w:val="nil"/>
              <w:bottom w:val="single" w:sz="4" w:space="0" w:color="auto"/>
              <w:right w:val="single" w:sz="4" w:space="0" w:color="auto"/>
            </w:tcBorders>
            <w:shd w:val="clear" w:color="auto" w:fill="auto"/>
          </w:tcPr>
          <w:p w14:paraId="0899C309"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hs(5%)=7,65</w:t>
            </w:r>
          </w:p>
        </w:tc>
        <w:tc>
          <w:tcPr>
            <w:tcW w:w="1460" w:type="dxa"/>
            <w:tcBorders>
              <w:top w:val="nil"/>
              <w:left w:val="nil"/>
              <w:bottom w:val="single" w:sz="4" w:space="0" w:color="auto"/>
              <w:right w:val="single" w:sz="4" w:space="0" w:color="auto"/>
            </w:tcBorders>
            <w:shd w:val="clear" w:color="auto" w:fill="auto"/>
          </w:tcPr>
          <w:p w14:paraId="0DDBF462"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c>
          <w:tcPr>
            <w:tcW w:w="2140" w:type="dxa"/>
            <w:tcBorders>
              <w:top w:val="nil"/>
              <w:left w:val="nil"/>
              <w:bottom w:val="single" w:sz="4" w:space="0" w:color="auto"/>
              <w:right w:val="single" w:sz="4" w:space="0" w:color="auto"/>
            </w:tcBorders>
            <w:shd w:val="clear" w:color="auto" w:fill="auto"/>
          </w:tcPr>
          <w:p w14:paraId="4A3B0B59"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hs(5%)=4,55</w:t>
            </w:r>
          </w:p>
        </w:tc>
      </w:tr>
      <w:tr w:rsidR="00D46E33" w:rsidRPr="00805152" w14:paraId="3C9DDD56" w14:textId="77777777" w:rsidTr="00BE5603">
        <w:trPr>
          <w:trHeight w:val="375"/>
          <w:jc w:val="center"/>
        </w:trPr>
        <w:tc>
          <w:tcPr>
            <w:tcW w:w="520" w:type="dxa"/>
            <w:tcBorders>
              <w:top w:val="nil"/>
              <w:left w:val="single" w:sz="4" w:space="0" w:color="auto"/>
              <w:bottom w:val="single" w:sz="4" w:space="0" w:color="auto"/>
              <w:right w:val="single" w:sz="4" w:space="0" w:color="auto"/>
            </w:tcBorders>
            <w:shd w:val="clear" w:color="auto" w:fill="auto"/>
          </w:tcPr>
          <w:p w14:paraId="6C007358"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4</w:t>
            </w:r>
          </w:p>
        </w:tc>
        <w:tc>
          <w:tcPr>
            <w:tcW w:w="1206" w:type="dxa"/>
            <w:tcBorders>
              <w:top w:val="single" w:sz="4" w:space="0" w:color="auto"/>
              <w:left w:val="nil"/>
              <w:bottom w:val="single" w:sz="4" w:space="0" w:color="auto"/>
              <w:right w:val="single" w:sz="4" w:space="0" w:color="auto"/>
            </w:tcBorders>
          </w:tcPr>
          <w:p w14:paraId="6855DA8C"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8,7</w:t>
            </w:r>
          </w:p>
        </w:tc>
        <w:tc>
          <w:tcPr>
            <w:tcW w:w="1817" w:type="dxa"/>
            <w:tcBorders>
              <w:top w:val="nil"/>
              <w:left w:val="single" w:sz="4" w:space="0" w:color="auto"/>
              <w:bottom w:val="single" w:sz="4" w:space="0" w:color="auto"/>
              <w:right w:val="single" w:sz="4" w:space="0" w:color="auto"/>
            </w:tcBorders>
          </w:tcPr>
          <w:p w14:paraId="40AE1622"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H1%=11,25</w:t>
            </w:r>
          </w:p>
        </w:tc>
        <w:tc>
          <w:tcPr>
            <w:tcW w:w="1320" w:type="dxa"/>
            <w:tcBorders>
              <w:top w:val="nil"/>
              <w:left w:val="single" w:sz="4" w:space="0" w:color="auto"/>
              <w:bottom w:val="single" w:sz="4" w:space="0" w:color="auto"/>
              <w:right w:val="single" w:sz="4" w:space="0" w:color="auto"/>
            </w:tcBorders>
            <w:shd w:val="clear" w:color="auto" w:fill="auto"/>
          </w:tcPr>
          <w:p w14:paraId="7193F80E"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9,2</w:t>
            </w:r>
          </w:p>
        </w:tc>
        <w:tc>
          <w:tcPr>
            <w:tcW w:w="1900" w:type="dxa"/>
            <w:tcBorders>
              <w:top w:val="nil"/>
              <w:left w:val="nil"/>
              <w:bottom w:val="single" w:sz="4" w:space="0" w:color="auto"/>
              <w:right w:val="single" w:sz="4" w:space="0" w:color="auto"/>
            </w:tcBorders>
            <w:shd w:val="clear" w:color="auto" w:fill="auto"/>
          </w:tcPr>
          <w:p w14:paraId="54A02BE4"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H1%=9,10</w:t>
            </w:r>
          </w:p>
        </w:tc>
        <w:tc>
          <w:tcPr>
            <w:tcW w:w="1460" w:type="dxa"/>
            <w:tcBorders>
              <w:top w:val="nil"/>
              <w:left w:val="nil"/>
              <w:bottom w:val="single" w:sz="4" w:space="0" w:color="auto"/>
              <w:right w:val="single" w:sz="4" w:space="0" w:color="auto"/>
            </w:tcBorders>
            <w:shd w:val="clear" w:color="auto" w:fill="auto"/>
          </w:tcPr>
          <w:p w14:paraId="1FC0BEF1"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c>
          <w:tcPr>
            <w:tcW w:w="2140" w:type="dxa"/>
            <w:tcBorders>
              <w:top w:val="nil"/>
              <w:left w:val="nil"/>
              <w:bottom w:val="single" w:sz="4" w:space="0" w:color="auto"/>
              <w:right w:val="single" w:sz="4" w:space="0" w:color="auto"/>
            </w:tcBorders>
            <w:shd w:val="clear" w:color="auto" w:fill="auto"/>
          </w:tcPr>
          <w:p w14:paraId="4069F9B8" w14:textId="77777777" w:rsidR="00D46E33" w:rsidRPr="00805152" w:rsidRDefault="00D46E33" w:rsidP="00D46E3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H1%=5,00</w:t>
            </w:r>
          </w:p>
        </w:tc>
      </w:tr>
    </w:tbl>
    <w:p w14:paraId="6663AEAF" w14:textId="19316810" w:rsidR="00975694" w:rsidRPr="00805152" w:rsidRDefault="00975694" w:rsidP="001D43A2">
      <w:pPr>
        <w:suppressAutoHyphens/>
        <w:spacing w:after="0"/>
        <w:rPr>
          <w:rFonts w:ascii="Times New Roman" w:eastAsia="Times New Roman" w:hAnsi="Times New Roman"/>
          <w:sz w:val="22"/>
          <w:lang w:val="bg-BG"/>
        </w:rPr>
      </w:pPr>
    </w:p>
    <w:p w14:paraId="1286ED72" w14:textId="5FA34053" w:rsidR="00975694" w:rsidRPr="00805152" w:rsidRDefault="00975694" w:rsidP="00975694">
      <w:pPr>
        <w:spacing w:line="360" w:lineRule="auto"/>
        <w:ind w:firstLine="720"/>
        <w:rPr>
          <w:rFonts w:ascii="Times New Roman" w:hAnsi="Times New Roman"/>
          <w:sz w:val="22"/>
          <w:lang w:val="bg-BG"/>
        </w:rPr>
      </w:pPr>
      <w:r w:rsidRPr="00805152">
        <w:rPr>
          <w:rFonts w:ascii="Times New Roman" w:hAnsi="Times New Roman"/>
          <w:sz w:val="22"/>
          <w:lang w:val="bg-BG"/>
        </w:rPr>
        <w:t>За дълбоководието за три посоки на разпространение на вълнението – северо-</w:t>
      </w:r>
      <w:r w:rsidR="00DB677D">
        <w:rPr>
          <w:rFonts w:ascii="Times New Roman" w:hAnsi="Times New Roman"/>
          <w:sz w:val="22"/>
          <w:lang w:val="bg-BG"/>
        </w:rPr>
        <w:t xml:space="preserve"> </w:t>
      </w:r>
      <w:r w:rsidRPr="00805152">
        <w:rPr>
          <w:rFonts w:ascii="Times New Roman" w:hAnsi="Times New Roman"/>
          <w:sz w:val="22"/>
          <w:lang w:val="bg-BG"/>
        </w:rPr>
        <w:t xml:space="preserve">източна с най-голяма повторяемост от всички случаи на вълнение и най-високи скорости на вятъра, и източна и югоизточна са определени параметрите на вълнението </w:t>
      </w:r>
      <w:r w:rsidRPr="00DC024B">
        <w:rPr>
          <w:rFonts w:ascii="Times New Roman" w:hAnsi="Times New Roman"/>
          <w:sz w:val="22"/>
          <w:lang w:val="bg-BG"/>
        </w:rPr>
        <w:t>при щорм</w:t>
      </w:r>
      <w:r w:rsidRPr="00805152">
        <w:rPr>
          <w:rFonts w:ascii="Times New Roman" w:hAnsi="Times New Roman"/>
          <w:sz w:val="22"/>
          <w:lang w:val="bg-BG"/>
        </w:rPr>
        <w:t xml:space="preserve"> с повторяемост 1 път на 50 години, т.е. обезпеченост 2%.</w:t>
      </w:r>
    </w:p>
    <w:p w14:paraId="5D4FDBD2" w14:textId="1586096D" w:rsidR="00975694" w:rsidRPr="00805152" w:rsidRDefault="00975694" w:rsidP="00C958EE">
      <w:pPr>
        <w:spacing w:after="0" w:line="360" w:lineRule="auto"/>
        <w:ind w:firstLine="720"/>
        <w:jc w:val="center"/>
        <w:rPr>
          <w:rFonts w:ascii="Times New Roman" w:hAnsi="Times New Roman"/>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4</w:t>
      </w:r>
      <w:r w:rsidRPr="00805152">
        <w:rPr>
          <w:rFonts w:ascii="Times New Roman" w:hAnsi="Times New Roman"/>
          <w:i/>
          <w:sz w:val="22"/>
          <w:lang w:val="bg-BG"/>
        </w:rPr>
        <w:fldChar w:fldCharType="end"/>
      </w:r>
      <w:r w:rsidRPr="00805152">
        <w:rPr>
          <w:rFonts w:ascii="Times New Roman" w:hAnsi="Times New Roman"/>
          <w:i/>
          <w:sz w:val="22"/>
          <w:lang w:val="bg-BG"/>
        </w:rPr>
        <w:t>:</w:t>
      </w:r>
      <w:r w:rsidRPr="00805152">
        <w:rPr>
          <w:rFonts w:ascii="Times New Roman" w:hAnsi="Times New Roman"/>
          <w:sz w:val="22"/>
          <w:lang w:val="bg-BG"/>
        </w:rPr>
        <w:t xml:space="preserve"> Параметри на вълнението в дълбоководието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9"/>
        <w:gridCol w:w="1275"/>
        <w:gridCol w:w="851"/>
        <w:gridCol w:w="850"/>
        <w:gridCol w:w="851"/>
        <w:gridCol w:w="1134"/>
      </w:tblGrid>
      <w:tr w:rsidR="00975694" w:rsidRPr="00805152" w14:paraId="29F333EE" w14:textId="77777777" w:rsidTr="00975694">
        <w:trPr>
          <w:jc w:val="center"/>
        </w:trPr>
        <w:tc>
          <w:tcPr>
            <w:tcW w:w="2689" w:type="dxa"/>
            <w:shd w:val="clear" w:color="auto" w:fill="C6D9F1" w:themeFill="text2" w:themeFillTint="33"/>
            <w:vAlign w:val="center"/>
          </w:tcPr>
          <w:p w14:paraId="680A50F3" w14:textId="58422BA3"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Повторяемост</w:t>
            </w:r>
          </w:p>
        </w:tc>
        <w:tc>
          <w:tcPr>
            <w:tcW w:w="1275" w:type="dxa"/>
            <w:shd w:val="clear" w:color="auto" w:fill="C6D9F1" w:themeFill="text2" w:themeFillTint="33"/>
            <w:vAlign w:val="center"/>
          </w:tcPr>
          <w:p w14:paraId="6ED059A9" w14:textId="68ACFD79"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w:t>
            </w:r>
            <w:r w:rsidRPr="00805152">
              <w:rPr>
                <w:rFonts w:ascii="Times New Roman" w:eastAsia="Times New Roman" w:hAnsi="Times New Roman"/>
                <w:sz w:val="22"/>
                <w:vertAlign w:val="subscript"/>
                <w:lang w:val="bg-BG"/>
              </w:rPr>
              <w:t>ср (м)</w:t>
            </w:r>
          </w:p>
        </w:tc>
        <w:tc>
          <w:tcPr>
            <w:tcW w:w="851" w:type="dxa"/>
            <w:shd w:val="clear" w:color="auto" w:fill="C6D9F1" w:themeFill="text2" w:themeFillTint="33"/>
            <w:vAlign w:val="center"/>
          </w:tcPr>
          <w:p w14:paraId="4A0C8B00"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w:t>
            </w:r>
            <w:r w:rsidRPr="00805152">
              <w:rPr>
                <w:rFonts w:ascii="Times New Roman" w:eastAsia="Times New Roman" w:hAnsi="Times New Roman"/>
                <w:sz w:val="22"/>
                <w:vertAlign w:val="subscript"/>
                <w:lang w:val="bg-BG"/>
              </w:rPr>
              <w:t>1%</w:t>
            </w:r>
          </w:p>
        </w:tc>
        <w:tc>
          <w:tcPr>
            <w:tcW w:w="850" w:type="dxa"/>
            <w:shd w:val="clear" w:color="auto" w:fill="C6D9F1" w:themeFill="text2" w:themeFillTint="33"/>
            <w:vAlign w:val="center"/>
          </w:tcPr>
          <w:p w14:paraId="5E3D5A56"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w:t>
            </w:r>
            <w:r w:rsidRPr="00805152">
              <w:rPr>
                <w:rFonts w:ascii="Times New Roman" w:eastAsia="Times New Roman" w:hAnsi="Times New Roman"/>
                <w:sz w:val="22"/>
                <w:vertAlign w:val="subscript"/>
                <w:lang w:val="bg-BG"/>
              </w:rPr>
              <w:t>5%</w:t>
            </w:r>
          </w:p>
        </w:tc>
        <w:tc>
          <w:tcPr>
            <w:tcW w:w="851" w:type="dxa"/>
            <w:shd w:val="clear" w:color="auto" w:fill="C6D9F1" w:themeFill="text2" w:themeFillTint="33"/>
            <w:vAlign w:val="center"/>
          </w:tcPr>
          <w:p w14:paraId="72BF7F30"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H</w:t>
            </w:r>
            <w:r w:rsidRPr="00805152">
              <w:rPr>
                <w:rFonts w:ascii="Times New Roman" w:eastAsia="Times New Roman" w:hAnsi="Times New Roman"/>
                <w:sz w:val="22"/>
                <w:vertAlign w:val="subscript"/>
                <w:lang w:val="bg-BG"/>
              </w:rPr>
              <w:t>13%</w:t>
            </w:r>
          </w:p>
        </w:tc>
        <w:tc>
          <w:tcPr>
            <w:tcW w:w="1134" w:type="dxa"/>
            <w:shd w:val="clear" w:color="auto" w:fill="C6D9F1" w:themeFill="text2" w:themeFillTint="33"/>
            <w:vAlign w:val="center"/>
          </w:tcPr>
          <w:p w14:paraId="377F4E7F" w14:textId="702E592A"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T (с)</w:t>
            </w:r>
          </w:p>
        </w:tc>
      </w:tr>
      <w:tr w:rsidR="00975694" w:rsidRPr="00805152" w14:paraId="117C4870" w14:textId="77777777" w:rsidTr="00975694">
        <w:trPr>
          <w:jc w:val="center"/>
        </w:trPr>
        <w:tc>
          <w:tcPr>
            <w:tcW w:w="2689" w:type="dxa"/>
            <w:shd w:val="clear" w:color="auto" w:fill="auto"/>
            <w:vAlign w:val="center"/>
          </w:tcPr>
          <w:p w14:paraId="721C0A79" w14:textId="528F9575"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Североизток: 1 на 50 г.</w:t>
            </w:r>
          </w:p>
        </w:tc>
        <w:tc>
          <w:tcPr>
            <w:tcW w:w="1275" w:type="dxa"/>
            <w:shd w:val="clear" w:color="auto" w:fill="auto"/>
            <w:vAlign w:val="center"/>
          </w:tcPr>
          <w:p w14:paraId="38CABC11" w14:textId="77777777" w:rsidR="00975694" w:rsidRPr="00805152" w:rsidRDefault="00975694" w:rsidP="00BE5603">
            <w:pPr>
              <w:spacing w:after="0" w:line="360" w:lineRule="auto"/>
              <w:ind w:right="-851"/>
              <w:rPr>
                <w:rFonts w:ascii="Times New Roman" w:eastAsia="Times New Roman" w:hAnsi="Times New Roman"/>
                <w:b/>
                <w:bCs/>
                <w:sz w:val="22"/>
                <w:lang w:val="bg-BG"/>
              </w:rPr>
            </w:pPr>
            <w:r w:rsidRPr="00805152">
              <w:rPr>
                <w:rFonts w:ascii="Times New Roman" w:eastAsia="Times New Roman" w:hAnsi="Times New Roman"/>
                <w:b/>
                <w:bCs/>
                <w:sz w:val="22"/>
                <w:lang w:val="bg-BG"/>
              </w:rPr>
              <w:t>4,67</w:t>
            </w:r>
          </w:p>
        </w:tc>
        <w:tc>
          <w:tcPr>
            <w:tcW w:w="851" w:type="dxa"/>
            <w:shd w:val="clear" w:color="auto" w:fill="auto"/>
            <w:vAlign w:val="center"/>
          </w:tcPr>
          <w:p w14:paraId="549DB89C"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c>
          <w:tcPr>
            <w:tcW w:w="850" w:type="dxa"/>
            <w:shd w:val="clear" w:color="auto" w:fill="auto"/>
            <w:vAlign w:val="center"/>
          </w:tcPr>
          <w:p w14:paraId="41C009BF"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8,05</w:t>
            </w:r>
          </w:p>
        </w:tc>
        <w:tc>
          <w:tcPr>
            <w:tcW w:w="851" w:type="dxa"/>
            <w:shd w:val="clear" w:color="auto" w:fill="auto"/>
            <w:vAlign w:val="center"/>
          </w:tcPr>
          <w:p w14:paraId="7F42AC64"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11,25</w:t>
            </w:r>
          </w:p>
        </w:tc>
        <w:tc>
          <w:tcPr>
            <w:tcW w:w="1134" w:type="dxa"/>
            <w:shd w:val="clear" w:color="auto" w:fill="auto"/>
            <w:vAlign w:val="center"/>
          </w:tcPr>
          <w:p w14:paraId="3BDC6786"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8,7</w:t>
            </w:r>
          </w:p>
        </w:tc>
      </w:tr>
      <w:tr w:rsidR="00975694" w:rsidRPr="00805152" w14:paraId="5730F3FF" w14:textId="77777777" w:rsidTr="00975694">
        <w:trPr>
          <w:jc w:val="center"/>
        </w:trPr>
        <w:tc>
          <w:tcPr>
            <w:tcW w:w="2689" w:type="dxa"/>
            <w:shd w:val="clear" w:color="auto" w:fill="auto"/>
            <w:vAlign w:val="center"/>
          </w:tcPr>
          <w:p w14:paraId="72BE1725" w14:textId="6FE41E8B"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Изток:  1 на 50 г.</w:t>
            </w:r>
          </w:p>
        </w:tc>
        <w:tc>
          <w:tcPr>
            <w:tcW w:w="1275" w:type="dxa"/>
            <w:shd w:val="clear" w:color="auto" w:fill="auto"/>
            <w:vAlign w:val="center"/>
          </w:tcPr>
          <w:p w14:paraId="018AEA78"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4,05</w:t>
            </w:r>
          </w:p>
        </w:tc>
        <w:tc>
          <w:tcPr>
            <w:tcW w:w="851" w:type="dxa"/>
            <w:shd w:val="clear" w:color="auto" w:fill="auto"/>
            <w:vAlign w:val="center"/>
          </w:tcPr>
          <w:p w14:paraId="4951B32B"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7,15</w:t>
            </w:r>
          </w:p>
        </w:tc>
        <w:tc>
          <w:tcPr>
            <w:tcW w:w="850" w:type="dxa"/>
            <w:shd w:val="clear" w:color="auto" w:fill="auto"/>
            <w:vAlign w:val="center"/>
          </w:tcPr>
          <w:p w14:paraId="5E534D97"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7,65</w:t>
            </w:r>
          </w:p>
        </w:tc>
        <w:tc>
          <w:tcPr>
            <w:tcW w:w="851" w:type="dxa"/>
            <w:shd w:val="clear" w:color="auto" w:fill="auto"/>
            <w:vAlign w:val="center"/>
          </w:tcPr>
          <w:p w14:paraId="3CD47E69"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9,10</w:t>
            </w:r>
          </w:p>
        </w:tc>
        <w:tc>
          <w:tcPr>
            <w:tcW w:w="1134" w:type="dxa"/>
            <w:shd w:val="clear" w:color="auto" w:fill="auto"/>
            <w:vAlign w:val="center"/>
          </w:tcPr>
          <w:p w14:paraId="3F0252D8"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9,2</w:t>
            </w:r>
          </w:p>
        </w:tc>
      </w:tr>
      <w:tr w:rsidR="00975694" w:rsidRPr="00805152" w14:paraId="07A2AC80" w14:textId="77777777" w:rsidTr="00975694">
        <w:trPr>
          <w:jc w:val="center"/>
        </w:trPr>
        <w:tc>
          <w:tcPr>
            <w:tcW w:w="2689" w:type="dxa"/>
            <w:shd w:val="clear" w:color="auto" w:fill="auto"/>
            <w:vAlign w:val="center"/>
          </w:tcPr>
          <w:p w14:paraId="6EA44ACA" w14:textId="4B4F9829"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Югоизток: 1 на 50 г.</w:t>
            </w:r>
          </w:p>
        </w:tc>
        <w:tc>
          <w:tcPr>
            <w:tcW w:w="1275" w:type="dxa"/>
            <w:shd w:val="clear" w:color="auto" w:fill="auto"/>
            <w:vAlign w:val="center"/>
          </w:tcPr>
          <w:p w14:paraId="2FD610F5"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2,50</w:t>
            </w:r>
          </w:p>
        </w:tc>
        <w:tc>
          <w:tcPr>
            <w:tcW w:w="851" w:type="dxa"/>
            <w:shd w:val="clear" w:color="auto" w:fill="auto"/>
            <w:vAlign w:val="center"/>
          </w:tcPr>
          <w:p w14:paraId="42555E4C"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3,35</w:t>
            </w:r>
          </w:p>
        </w:tc>
        <w:tc>
          <w:tcPr>
            <w:tcW w:w="850" w:type="dxa"/>
            <w:shd w:val="clear" w:color="auto" w:fill="auto"/>
            <w:vAlign w:val="center"/>
          </w:tcPr>
          <w:p w14:paraId="600F5489"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4,55</w:t>
            </w:r>
          </w:p>
        </w:tc>
        <w:tc>
          <w:tcPr>
            <w:tcW w:w="851" w:type="dxa"/>
            <w:shd w:val="clear" w:color="auto" w:fill="auto"/>
            <w:vAlign w:val="center"/>
          </w:tcPr>
          <w:p w14:paraId="472AFE2F"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5,00</w:t>
            </w:r>
          </w:p>
        </w:tc>
        <w:tc>
          <w:tcPr>
            <w:tcW w:w="1134" w:type="dxa"/>
            <w:shd w:val="clear" w:color="auto" w:fill="auto"/>
            <w:vAlign w:val="center"/>
          </w:tcPr>
          <w:p w14:paraId="576638EC" w14:textId="77777777" w:rsidR="00975694" w:rsidRPr="00805152" w:rsidRDefault="00975694" w:rsidP="00BE5603">
            <w:pPr>
              <w:spacing w:after="0" w:line="360" w:lineRule="auto"/>
              <w:ind w:right="-851"/>
              <w:rPr>
                <w:rFonts w:ascii="Times New Roman" w:eastAsia="Times New Roman" w:hAnsi="Times New Roman"/>
                <w:sz w:val="22"/>
                <w:lang w:val="bg-BG"/>
              </w:rPr>
            </w:pPr>
            <w:r w:rsidRPr="00805152">
              <w:rPr>
                <w:rFonts w:ascii="Times New Roman" w:eastAsia="Times New Roman" w:hAnsi="Times New Roman"/>
                <w:sz w:val="22"/>
                <w:lang w:val="bg-BG"/>
              </w:rPr>
              <w:t>7,4</w:t>
            </w:r>
          </w:p>
        </w:tc>
      </w:tr>
    </w:tbl>
    <w:p w14:paraId="67862D24" w14:textId="77777777" w:rsidR="00D46E33" w:rsidRPr="00805152" w:rsidRDefault="00D46E33" w:rsidP="001D43A2">
      <w:pPr>
        <w:suppressAutoHyphens/>
        <w:spacing w:after="0"/>
        <w:rPr>
          <w:rFonts w:ascii="Times New Roman" w:eastAsia="Times New Roman" w:hAnsi="Times New Roman"/>
          <w:sz w:val="22"/>
          <w:lang w:val="bg-BG"/>
        </w:rPr>
      </w:pPr>
    </w:p>
    <w:p w14:paraId="7668619D" w14:textId="0BB719E5" w:rsidR="00776CE2" w:rsidRPr="00805152" w:rsidRDefault="00776CE2" w:rsidP="00776CE2">
      <w:pPr>
        <w:spacing w:after="0"/>
        <w:ind w:firstLine="709"/>
        <w:rPr>
          <w:rFonts w:ascii="Times New Roman" w:eastAsia="Times New Roman" w:hAnsi="Times New Roman"/>
          <w:iCs/>
          <w:sz w:val="22"/>
          <w:lang w:val="bg-BG"/>
        </w:rPr>
      </w:pPr>
    </w:p>
    <w:p w14:paraId="4E54DFF9" w14:textId="195380AC" w:rsidR="00776CE2" w:rsidRPr="00805152" w:rsidRDefault="00776CE2" w:rsidP="00A127A2">
      <w:pPr>
        <w:pStyle w:val="Heading3"/>
        <w:rPr>
          <w:rFonts w:ascii="Times New Roman" w:hAnsi="Times New Roman"/>
          <w:lang w:val="bg-BG"/>
        </w:rPr>
      </w:pPr>
      <w:bookmarkStart w:id="38" w:name="_Toc126492671"/>
      <w:bookmarkStart w:id="39" w:name="_Toc136961088"/>
      <w:r w:rsidRPr="00805152">
        <w:rPr>
          <w:rFonts w:ascii="Times New Roman" w:hAnsi="Times New Roman"/>
          <w:lang w:val="bg-BG"/>
        </w:rPr>
        <w:lastRenderedPageBreak/>
        <w:t>Водни Нива</w:t>
      </w:r>
      <w:bookmarkEnd w:id="38"/>
      <w:bookmarkEnd w:id="39"/>
    </w:p>
    <w:p w14:paraId="29212F05" w14:textId="77777777" w:rsidR="00776CE2" w:rsidRPr="00805152" w:rsidRDefault="00776CE2" w:rsidP="00776CE2">
      <w:pPr>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Астрономическите изменения при приливи и отливи са в диапазон от 5 до 7 cm и следователно са пренебрежими във връзка с проектантските работи по настоящия проект.</w:t>
      </w:r>
    </w:p>
    <w:p w14:paraId="4F59BD08" w14:textId="16BEAC3C" w:rsidR="00776CE2" w:rsidRPr="00805152" w:rsidRDefault="00776CE2" w:rsidP="00DB677D">
      <w:pPr>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Многогодишните водни нива предизвикани от „нагон“ на вятъра са представени в следващата таблица.  </w:t>
      </w:r>
    </w:p>
    <w:p w14:paraId="40B5B2C0" w14:textId="27CDC352" w:rsidR="00776CE2" w:rsidRPr="00805152" w:rsidRDefault="00776CE2" w:rsidP="00C958EE">
      <w:pPr>
        <w:spacing w:after="0"/>
        <w:ind w:firstLine="709"/>
        <w:jc w:val="center"/>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Таблица </w:t>
      </w:r>
      <w:r w:rsidRPr="00805152">
        <w:rPr>
          <w:rFonts w:ascii="Times New Roman" w:eastAsia="Times New Roman" w:hAnsi="Times New Roman"/>
          <w:iCs/>
          <w:sz w:val="22"/>
          <w:lang w:val="bg-BG"/>
        </w:rPr>
        <w:fldChar w:fldCharType="begin"/>
      </w:r>
      <w:r w:rsidRPr="00805152">
        <w:rPr>
          <w:rFonts w:ascii="Times New Roman" w:eastAsia="Times New Roman" w:hAnsi="Times New Roman"/>
          <w:iCs/>
          <w:sz w:val="22"/>
          <w:lang w:val="bg-BG"/>
        </w:rPr>
        <w:instrText>SEQ Таблица_ \* ARABIC</w:instrText>
      </w:r>
      <w:r w:rsidRPr="00805152">
        <w:rPr>
          <w:rFonts w:ascii="Times New Roman" w:eastAsia="Times New Roman" w:hAnsi="Times New Roman"/>
          <w:iCs/>
          <w:sz w:val="22"/>
          <w:lang w:val="bg-BG"/>
        </w:rPr>
        <w:fldChar w:fldCharType="separate"/>
      </w:r>
      <w:r w:rsidR="00490063">
        <w:rPr>
          <w:rFonts w:ascii="Times New Roman" w:eastAsia="Times New Roman" w:hAnsi="Times New Roman"/>
          <w:iCs/>
          <w:noProof/>
          <w:sz w:val="22"/>
          <w:lang w:val="bg-BG"/>
        </w:rPr>
        <w:t>5</w:t>
      </w:r>
      <w:r w:rsidRPr="00805152">
        <w:rPr>
          <w:rFonts w:ascii="Times New Roman" w:eastAsia="Times New Roman" w:hAnsi="Times New Roman"/>
          <w:iCs/>
          <w:sz w:val="22"/>
          <w:lang w:val="bg-BG"/>
        </w:rPr>
        <w:fldChar w:fldCharType="end"/>
      </w:r>
      <w:r w:rsidRPr="00805152">
        <w:rPr>
          <w:rFonts w:ascii="Times New Roman" w:eastAsia="Times New Roman" w:hAnsi="Times New Roman"/>
          <w:iCs/>
          <w:sz w:val="22"/>
          <w:lang w:val="bg-BG"/>
        </w:rPr>
        <w:t>: Средни многогодишни водни нива (Нагон)</w:t>
      </w:r>
    </w:p>
    <w:tbl>
      <w:tblPr>
        <w:tblW w:w="9615" w:type="dxa"/>
        <w:tblLayout w:type="fixed"/>
        <w:tblCellMar>
          <w:left w:w="56" w:type="dxa"/>
          <w:right w:w="56" w:type="dxa"/>
        </w:tblCellMar>
        <w:tblLook w:val="00A0" w:firstRow="1" w:lastRow="0" w:firstColumn="1" w:lastColumn="0" w:noHBand="0" w:noVBand="0"/>
      </w:tblPr>
      <w:tblGrid>
        <w:gridCol w:w="1474"/>
        <w:gridCol w:w="1162"/>
        <w:gridCol w:w="1395"/>
        <w:gridCol w:w="1397"/>
        <w:gridCol w:w="1395"/>
        <w:gridCol w:w="1397"/>
        <w:gridCol w:w="1395"/>
      </w:tblGrid>
      <w:tr w:rsidR="00776CE2" w:rsidRPr="00805152" w14:paraId="73913180" w14:textId="77777777" w:rsidTr="00776CE2">
        <w:trPr>
          <w:trHeight w:val="274"/>
        </w:trPr>
        <w:tc>
          <w:tcPr>
            <w:tcW w:w="147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597373C"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Повторяемост</w:t>
            </w:r>
          </w:p>
        </w:tc>
        <w:tc>
          <w:tcPr>
            <w:tcW w:w="1162"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52EB736"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1 год.</w:t>
            </w:r>
          </w:p>
        </w:tc>
        <w:tc>
          <w:tcPr>
            <w:tcW w:w="139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4C377838"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5 год.</w:t>
            </w:r>
          </w:p>
        </w:tc>
        <w:tc>
          <w:tcPr>
            <w:tcW w:w="139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70BE1E0"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10 год.</w:t>
            </w:r>
          </w:p>
        </w:tc>
        <w:tc>
          <w:tcPr>
            <w:tcW w:w="139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DE50692"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25 год.</w:t>
            </w:r>
          </w:p>
        </w:tc>
        <w:tc>
          <w:tcPr>
            <w:tcW w:w="139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639F1B9"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50 год.</w:t>
            </w:r>
          </w:p>
        </w:tc>
        <w:tc>
          <w:tcPr>
            <w:tcW w:w="139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7FB0239"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100 год.</w:t>
            </w:r>
          </w:p>
        </w:tc>
      </w:tr>
      <w:tr w:rsidR="00776CE2" w:rsidRPr="00805152" w14:paraId="32F145C1" w14:textId="77777777" w:rsidTr="00776CE2">
        <w:trPr>
          <w:trHeight w:val="454"/>
        </w:trPr>
        <w:tc>
          <w:tcPr>
            <w:tcW w:w="1474" w:type="dxa"/>
            <w:tcBorders>
              <w:top w:val="single" w:sz="4" w:space="0" w:color="000000"/>
              <w:left w:val="single" w:sz="4" w:space="0" w:color="000000"/>
              <w:bottom w:val="single" w:sz="4" w:space="0" w:color="000000"/>
              <w:right w:val="single" w:sz="4" w:space="0" w:color="000000"/>
            </w:tcBorders>
            <w:vAlign w:val="center"/>
            <w:hideMark/>
          </w:tcPr>
          <w:p w14:paraId="2424F1D0" w14:textId="77777777" w:rsidR="00776CE2" w:rsidRPr="00805152" w:rsidRDefault="00776CE2" w:rsidP="00776CE2">
            <w:pPr>
              <w:widowControl w:val="0"/>
              <w:suppressAutoHyphens/>
              <w:spacing w:after="0"/>
              <w:rPr>
                <w:rFonts w:ascii="Times New Roman" w:eastAsia="Times New Roman" w:hAnsi="Times New Roman"/>
                <w:iCs/>
                <w:sz w:val="22"/>
                <w:lang w:val="bg-BG"/>
              </w:rPr>
            </w:pPr>
            <w:r w:rsidRPr="00805152">
              <w:rPr>
                <w:rFonts w:ascii="Times New Roman" w:eastAsia="Times New Roman" w:hAnsi="Times New Roman"/>
                <w:iCs/>
                <w:sz w:val="22"/>
                <w:lang w:val="bg-BG"/>
              </w:rPr>
              <w:t>h</w:t>
            </w:r>
            <w:r w:rsidRPr="00805152">
              <w:rPr>
                <w:rFonts w:ascii="Times New Roman" w:eastAsia="Times New Roman" w:hAnsi="Times New Roman"/>
                <w:iCs/>
                <w:sz w:val="22"/>
                <w:vertAlign w:val="subscript"/>
                <w:lang w:val="bg-BG"/>
              </w:rPr>
              <w:t>max</w:t>
            </w:r>
            <w:r w:rsidRPr="00805152">
              <w:rPr>
                <w:rFonts w:ascii="Times New Roman" w:eastAsia="Times New Roman" w:hAnsi="Times New Roman"/>
                <w:iCs/>
                <w:sz w:val="22"/>
                <w:lang w:val="bg-BG"/>
              </w:rPr>
              <w:t xml:space="preserve"> [см]</w:t>
            </w:r>
          </w:p>
        </w:tc>
        <w:tc>
          <w:tcPr>
            <w:tcW w:w="1162" w:type="dxa"/>
            <w:tcBorders>
              <w:top w:val="single" w:sz="4" w:space="0" w:color="000000"/>
              <w:left w:val="single" w:sz="4" w:space="0" w:color="000000"/>
              <w:bottom w:val="single" w:sz="4" w:space="0" w:color="000000"/>
              <w:right w:val="single" w:sz="4" w:space="0" w:color="000000"/>
            </w:tcBorders>
            <w:vAlign w:val="center"/>
            <w:hideMark/>
          </w:tcPr>
          <w:p w14:paraId="385D8B36"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27.6</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77B25781"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49.2</w:t>
            </w:r>
          </w:p>
        </w:tc>
        <w:tc>
          <w:tcPr>
            <w:tcW w:w="1396" w:type="dxa"/>
            <w:tcBorders>
              <w:top w:val="single" w:sz="4" w:space="0" w:color="000000"/>
              <w:left w:val="single" w:sz="4" w:space="0" w:color="000000"/>
              <w:bottom w:val="single" w:sz="4" w:space="0" w:color="000000"/>
              <w:right w:val="single" w:sz="4" w:space="0" w:color="000000"/>
            </w:tcBorders>
            <w:vAlign w:val="center"/>
            <w:hideMark/>
          </w:tcPr>
          <w:p w14:paraId="0FD3D53F"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54.6</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4CA87C39"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61.4</w:t>
            </w:r>
          </w:p>
        </w:tc>
        <w:tc>
          <w:tcPr>
            <w:tcW w:w="1396" w:type="dxa"/>
            <w:tcBorders>
              <w:top w:val="single" w:sz="4" w:space="0" w:color="000000"/>
              <w:left w:val="single" w:sz="4" w:space="0" w:color="000000"/>
              <w:bottom w:val="single" w:sz="4" w:space="0" w:color="000000"/>
              <w:right w:val="single" w:sz="4" w:space="0" w:color="000000"/>
            </w:tcBorders>
            <w:vAlign w:val="center"/>
            <w:hideMark/>
          </w:tcPr>
          <w:p w14:paraId="76B2623B"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66.4</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346F753C"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71.3</w:t>
            </w:r>
          </w:p>
        </w:tc>
      </w:tr>
      <w:tr w:rsidR="00776CE2" w:rsidRPr="00805152" w14:paraId="638282AE" w14:textId="77777777" w:rsidTr="00776CE2">
        <w:trPr>
          <w:trHeight w:val="365"/>
        </w:trPr>
        <w:tc>
          <w:tcPr>
            <w:tcW w:w="1474" w:type="dxa"/>
            <w:tcBorders>
              <w:top w:val="single" w:sz="4" w:space="0" w:color="000000"/>
              <w:left w:val="single" w:sz="4" w:space="0" w:color="000000"/>
              <w:bottom w:val="single" w:sz="4" w:space="0" w:color="000000"/>
              <w:right w:val="single" w:sz="4" w:space="0" w:color="000000"/>
            </w:tcBorders>
            <w:vAlign w:val="center"/>
            <w:hideMark/>
          </w:tcPr>
          <w:p w14:paraId="6D0DD779" w14:textId="77777777" w:rsidR="00776CE2" w:rsidRPr="00805152" w:rsidRDefault="00776CE2" w:rsidP="00776CE2">
            <w:pPr>
              <w:widowControl w:val="0"/>
              <w:suppressAutoHyphens/>
              <w:spacing w:after="0"/>
              <w:rPr>
                <w:rFonts w:ascii="Times New Roman" w:eastAsia="Times New Roman" w:hAnsi="Times New Roman"/>
                <w:iCs/>
                <w:sz w:val="22"/>
                <w:lang w:val="bg-BG"/>
              </w:rPr>
            </w:pPr>
            <w:r w:rsidRPr="00805152">
              <w:rPr>
                <w:rFonts w:ascii="Times New Roman" w:eastAsia="Times New Roman" w:hAnsi="Times New Roman"/>
                <w:iCs/>
                <w:sz w:val="22"/>
                <w:lang w:val="bg-BG"/>
              </w:rPr>
              <w:t>h</w:t>
            </w:r>
            <w:r w:rsidRPr="00805152">
              <w:rPr>
                <w:rFonts w:ascii="Times New Roman" w:eastAsia="Times New Roman" w:hAnsi="Times New Roman"/>
                <w:iCs/>
                <w:sz w:val="22"/>
                <w:vertAlign w:val="subscript"/>
                <w:lang w:val="bg-BG"/>
              </w:rPr>
              <w:t>min</w:t>
            </w:r>
            <w:r w:rsidRPr="00805152">
              <w:rPr>
                <w:rFonts w:ascii="Times New Roman" w:eastAsia="Times New Roman" w:hAnsi="Times New Roman"/>
                <w:iCs/>
                <w:sz w:val="22"/>
                <w:lang w:val="bg-BG"/>
              </w:rPr>
              <w:t xml:space="preserve"> [см]</w:t>
            </w:r>
          </w:p>
        </w:tc>
        <w:tc>
          <w:tcPr>
            <w:tcW w:w="1162" w:type="dxa"/>
            <w:tcBorders>
              <w:top w:val="single" w:sz="4" w:space="0" w:color="000000"/>
              <w:left w:val="single" w:sz="4" w:space="0" w:color="000000"/>
              <w:bottom w:val="single" w:sz="4" w:space="0" w:color="000000"/>
              <w:right w:val="single" w:sz="4" w:space="0" w:color="000000"/>
            </w:tcBorders>
            <w:vAlign w:val="center"/>
            <w:hideMark/>
          </w:tcPr>
          <w:p w14:paraId="47103F68"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- 25.7</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555D5BC3"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-47.3</w:t>
            </w:r>
          </w:p>
        </w:tc>
        <w:tc>
          <w:tcPr>
            <w:tcW w:w="1396" w:type="dxa"/>
            <w:tcBorders>
              <w:top w:val="single" w:sz="4" w:space="0" w:color="000000"/>
              <w:left w:val="single" w:sz="4" w:space="0" w:color="000000"/>
              <w:bottom w:val="single" w:sz="4" w:space="0" w:color="000000"/>
              <w:right w:val="single" w:sz="4" w:space="0" w:color="000000"/>
            </w:tcBorders>
            <w:vAlign w:val="center"/>
            <w:hideMark/>
          </w:tcPr>
          <w:p w14:paraId="79961FA7"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-52.6</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0F494561"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-59.3</w:t>
            </w:r>
          </w:p>
        </w:tc>
        <w:tc>
          <w:tcPr>
            <w:tcW w:w="1396" w:type="dxa"/>
            <w:tcBorders>
              <w:top w:val="single" w:sz="4" w:space="0" w:color="000000"/>
              <w:left w:val="single" w:sz="4" w:space="0" w:color="000000"/>
              <w:bottom w:val="single" w:sz="4" w:space="0" w:color="000000"/>
              <w:right w:val="single" w:sz="4" w:space="0" w:color="000000"/>
            </w:tcBorders>
            <w:vAlign w:val="center"/>
            <w:hideMark/>
          </w:tcPr>
          <w:p w14:paraId="08F74986"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-64.3</w:t>
            </w:r>
          </w:p>
        </w:tc>
        <w:tc>
          <w:tcPr>
            <w:tcW w:w="1394" w:type="dxa"/>
            <w:tcBorders>
              <w:top w:val="single" w:sz="4" w:space="0" w:color="000000"/>
              <w:left w:val="single" w:sz="4" w:space="0" w:color="000000"/>
              <w:bottom w:val="single" w:sz="4" w:space="0" w:color="000000"/>
              <w:right w:val="single" w:sz="4" w:space="0" w:color="000000"/>
            </w:tcBorders>
            <w:vAlign w:val="center"/>
            <w:hideMark/>
          </w:tcPr>
          <w:p w14:paraId="11CC3E66" w14:textId="77777777" w:rsidR="00776CE2" w:rsidRPr="00805152" w:rsidRDefault="00776CE2" w:rsidP="00776CE2">
            <w:pPr>
              <w:widowControl w:val="0"/>
              <w:suppressAutoHyphens/>
              <w:spacing w:after="0"/>
              <w:jc w:val="center"/>
              <w:rPr>
                <w:rFonts w:ascii="Times New Roman" w:eastAsia="Times New Roman" w:hAnsi="Times New Roman"/>
                <w:iCs/>
                <w:sz w:val="22"/>
                <w:lang w:val="bg-BG"/>
              </w:rPr>
            </w:pPr>
            <w:r w:rsidRPr="00805152">
              <w:rPr>
                <w:rFonts w:ascii="Times New Roman" w:eastAsia="Times New Roman" w:hAnsi="Times New Roman"/>
                <w:iCs/>
                <w:sz w:val="22"/>
                <w:lang w:val="bg-BG"/>
              </w:rPr>
              <w:t>-69.2</w:t>
            </w:r>
          </w:p>
        </w:tc>
      </w:tr>
    </w:tbl>
    <w:p w14:paraId="40A767DE" w14:textId="4F508C68" w:rsidR="00571C37" w:rsidRPr="00DB677D" w:rsidRDefault="00571C37" w:rsidP="00DB677D">
      <w:pPr>
        <w:pStyle w:val="Heading3"/>
        <w:rPr>
          <w:rFonts w:ascii="Times New Roman" w:hAnsi="Times New Roman"/>
          <w:lang w:val="bg-BG"/>
        </w:rPr>
      </w:pPr>
      <w:bookmarkStart w:id="40" w:name="_Toc126492675"/>
      <w:bookmarkStart w:id="41" w:name="_Toc136961089"/>
      <w:r w:rsidRPr="00805152">
        <w:rPr>
          <w:rFonts w:ascii="Times New Roman" w:hAnsi="Times New Roman"/>
          <w:lang w:val="bg-BG"/>
        </w:rPr>
        <w:t>Температура на въздуха</w:t>
      </w:r>
      <w:bookmarkEnd w:id="40"/>
      <w:bookmarkEnd w:id="41"/>
      <w:r w:rsidRPr="00805152">
        <w:rPr>
          <w:rFonts w:ascii="Times New Roman" w:hAnsi="Times New Roman"/>
          <w:lang w:val="bg-BG"/>
        </w:rPr>
        <w:t xml:space="preserve"> </w:t>
      </w:r>
    </w:p>
    <w:p w14:paraId="714890C1" w14:textId="0629E15B" w:rsidR="00571C37" w:rsidRPr="00805152" w:rsidRDefault="00571C37" w:rsidP="00C958EE">
      <w:pPr>
        <w:spacing w:after="0"/>
        <w:ind w:firstLine="709"/>
        <w:jc w:val="center"/>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Таблица </w:t>
      </w:r>
      <w:r w:rsidRPr="00805152">
        <w:rPr>
          <w:rFonts w:ascii="Times New Roman" w:eastAsia="Times New Roman" w:hAnsi="Times New Roman"/>
          <w:iCs/>
          <w:sz w:val="22"/>
          <w:lang w:val="bg-BG"/>
        </w:rPr>
        <w:fldChar w:fldCharType="begin"/>
      </w:r>
      <w:r w:rsidRPr="00805152">
        <w:rPr>
          <w:rFonts w:ascii="Times New Roman" w:eastAsia="Times New Roman" w:hAnsi="Times New Roman"/>
          <w:iCs/>
          <w:sz w:val="22"/>
          <w:lang w:val="bg-BG"/>
        </w:rPr>
        <w:instrText>SEQ Таблица_ \* ARABIC</w:instrText>
      </w:r>
      <w:r w:rsidRPr="00805152">
        <w:rPr>
          <w:rFonts w:ascii="Times New Roman" w:eastAsia="Times New Roman" w:hAnsi="Times New Roman"/>
          <w:iCs/>
          <w:sz w:val="22"/>
          <w:lang w:val="bg-BG"/>
        </w:rPr>
        <w:fldChar w:fldCharType="separate"/>
      </w:r>
      <w:r w:rsidR="00490063">
        <w:rPr>
          <w:rFonts w:ascii="Times New Roman" w:eastAsia="Times New Roman" w:hAnsi="Times New Roman"/>
          <w:iCs/>
          <w:noProof/>
          <w:sz w:val="22"/>
          <w:lang w:val="bg-BG"/>
        </w:rPr>
        <w:t>6</w:t>
      </w:r>
      <w:r w:rsidRPr="00805152">
        <w:rPr>
          <w:rFonts w:ascii="Times New Roman" w:eastAsia="Times New Roman" w:hAnsi="Times New Roman"/>
          <w:iCs/>
          <w:sz w:val="22"/>
          <w:lang w:val="bg-BG"/>
        </w:rPr>
        <w:fldChar w:fldCharType="end"/>
      </w:r>
      <w:r w:rsidRPr="00805152">
        <w:rPr>
          <w:rFonts w:ascii="Times New Roman" w:eastAsia="Times New Roman" w:hAnsi="Times New Roman"/>
          <w:iCs/>
          <w:sz w:val="22"/>
          <w:lang w:val="bg-BG"/>
        </w:rPr>
        <w:t>: Температура на въздуха за района на Бургас</w:t>
      </w:r>
    </w:p>
    <w:tbl>
      <w:tblPr>
        <w:tblStyle w:val="RHDHVTable32"/>
        <w:tblW w:w="5000" w:type="pct"/>
        <w:shd w:val="clear" w:color="auto" w:fill="E6F5C6"/>
        <w:tblLayout w:type="fixed"/>
        <w:tblCellMar>
          <w:left w:w="5" w:type="dxa"/>
          <w:right w:w="5" w:type="dxa"/>
        </w:tblCellMar>
        <w:tblLook w:val="00A0" w:firstRow="1" w:lastRow="0" w:firstColumn="1" w:lastColumn="0" w:noHBand="0" w:noVBand="0"/>
      </w:tblPr>
      <w:tblGrid>
        <w:gridCol w:w="348"/>
        <w:gridCol w:w="2822"/>
        <w:gridCol w:w="488"/>
        <w:gridCol w:w="550"/>
        <w:gridCol w:w="502"/>
        <w:gridCol w:w="515"/>
        <w:gridCol w:w="513"/>
        <w:gridCol w:w="516"/>
        <w:gridCol w:w="432"/>
        <w:gridCol w:w="432"/>
        <w:gridCol w:w="516"/>
        <w:gridCol w:w="429"/>
        <w:gridCol w:w="512"/>
        <w:gridCol w:w="516"/>
        <w:gridCol w:w="679"/>
      </w:tblGrid>
      <w:tr w:rsidR="00571C37" w:rsidRPr="00805152" w14:paraId="34AB6A3A" w14:textId="77777777" w:rsidTr="00BE5603">
        <w:trPr>
          <w:cnfStyle w:val="100000000000" w:firstRow="1" w:lastRow="0" w:firstColumn="0" w:lastColumn="0" w:oddVBand="0" w:evenVBand="0" w:oddHBand="0" w:evenHBand="0" w:firstRowFirstColumn="0" w:firstRowLastColumn="0" w:lastRowFirstColumn="0" w:lastRowLastColumn="0"/>
          <w:trHeight w:hRule="exact" w:val="542"/>
        </w:trPr>
        <w:tc>
          <w:tcPr>
            <w:tcW w:w="349"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07E6258B" w14:textId="7BE1E152" w:rsidR="00571C37" w:rsidRPr="00805152" w:rsidRDefault="00733A8C" w:rsidP="008066F3">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w:t>
            </w:r>
          </w:p>
        </w:tc>
        <w:tc>
          <w:tcPr>
            <w:tcW w:w="2826"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233AE87D" w14:textId="77777777" w:rsidR="00571C37" w:rsidRPr="00805152" w:rsidRDefault="00571C37" w:rsidP="00571C37">
            <w:pPr>
              <w:widowControl w:val="0"/>
              <w:spacing w:after="0" w:line="240" w:lineRule="auto"/>
              <w:ind w:left="19" w:right="49"/>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Стойност</w:t>
            </w:r>
          </w:p>
        </w:tc>
        <w:tc>
          <w:tcPr>
            <w:tcW w:w="489"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25F5D695" w14:textId="77777777" w:rsidR="00571C37" w:rsidRPr="00805152" w:rsidRDefault="00571C37" w:rsidP="00571C37">
            <w:pPr>
              <w:widowControl w:val="0"/>
              <w:spacing w:after="0" w:line="240" w:lineRule="auto"/>
              <w:ind w:right="2"/>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w:t>
            </w:r>
          </w:p>
        </w:tc>
        <w:tc>
          <w:tcPr>
            <w:tcW w:w="55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6335DD6E" w14:textId="77777777" w:rsidR="00571C37" w:rsidRPr="00805152" w:rsidRDefault="00571C37" w:rsidP="00571C37">
            <w:pPr>
              <w:widowControl w:val="0"/>
              <w:spacing w:after="0" w:line="240" w:lineRule="auto"/>
              <w:ind w:left="4"/>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II</w:t>
            </w:r>
          </w:p>
        </w:tc>
        <w:tc>
          <w:tcPr>
            <w:tcW w:w="50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247CB3DB" w14:textId="77777777" w:rsidR="00571C37" w:rsidRPr="00805152" w:rsidRDefault="00571C37" w:rsidP="00571C37">
            <w:pPr>
              <w:widowControl w:val="0"/>
              <w:spacing w:after="0" w:line="240" w:lineRule="auto"/>
              <w:ind w:left="3"/>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III</w:t>
            </w:r>
          </w:p>
        </w:tc>
        <w:tc>
          <w:tcPr>
            <w:tcW w:w="515"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5F0CABCD" w14:textId="77777777" w:rsidR="00571C37" w:rsidRPr="00805152" w:rsidRDefault="00571C37" w:rsidP="00571C37">
            <w:pPr>
              <w:widowControl w:val="0"/>
              <w:spacing w:after="0" w:line="240" w:lineRule="auto"/>
              <w:ind w:left="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IV</w:t>
            </w:r>
          </w:p>
        </w:tc>
        <w:tc>
          <w:tcPr>
            <w:tcW w:w="513"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0427D01C" w14:textId="77777777" w:rsidR="00571C37" w:rsidRPr="00805152" w:rsidRDefault="00571C37" w:rsidP="00571C37">
            <w:pPr>
              <w:widowControl w:val="0"/>
              <w:spacing w:after="0" w:line="240" w:lineRule="auto"/>
              <w:ind w:right="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w:t>
            </w:r>
          </w:p>
        </w:tc>
        <w:tc>
          <w:tcPr>
            <w:tcW w:w="516"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06678696" w14:textId="77777777" w:rsidR="00571C37" w:rsidRPr="00805152" w:rsidRDefault="00571C37" w:rsidP="00571C37">
            <w:pPr>
              <w:widowControl w:val="0"/>
              <w:spacing w:after="0" w:line="240" w:lineRule="auto"/>
              <w:ind w:right="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w:t>
            </w:r>
          </w:p>
        </w:tc>
        <w:tc>
          <w:tcPr>
            <w:tcW w:w="43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4CA2D5C0" w14:textId="77777777" w:rsidR="00571C37" w:rsidRPr="00805152" w:rsidRDefault="00571C37" w:rsidP="00571C37">
            <w:pPr>
              <w:widowControl w:val="0"/>
              <w:spacing w:after="0" w:line="240" w:lineRule="auto"/>
              <w:ind w:left="117"/>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VII</w:t>
            </w:r>
          </w:p>
        </w:tc>
        <w:tc>
          <w:tcPr>
            <w:tcW w:w="43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1DEEF581" w14:textId="77777777" w:rsidR="00571C37" w:rsidRPr="00805152" w:rsidRDefault="00571C37" w:rsidP="00571C37">
            <w:pPr>
              <w:widowControl w:val="0"/>
              <w:spacing w:after="0" w:line="240" w:lineRule="auto"/>
              <w:ind w:left="86"/>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VIII</w:t>
            </w:r>
          </w:p>
        </w:tc>
        <w:tc>
          <w:tcPr>
            <w:tcW w:w="516"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734D05AA" w14:textId="77777777" w:rsidR="00571C37" w:rsidRPr="00805152" w:rsidRDefault="00571C37" w:rsidP="00571C37">
            <w:pPr>
              <w:widowControl w:val="0"/>
              <w:spacing w:after="0" w:line="240" w:lineRule="auto"/>
              <w:ind w:left="2"/>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IX</w:t>
            </w:r>
          </w:p>
        </w:tc>
        <w:tc>
          <w:tcPr>
            <w:tcW w:w="429"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6CDF469D" w14:textId="77777777" w:rsidR="00571C37" w:rsidRPr="00805152" w:rsidRDefault="00571C37" w:rsidP="00571C37">
            <w:pPr>
              <w:widowControl w:val="0"/>
              <w:spacing w:after="0" w:line="240" w:lineRule="auto"/>
              <w:ind w:right="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w:t>
            </w:r>
          </w:p>
        </w:tc>
        <w:tc>
          <w:tcPr>
            <w:tcW w:w="512"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4CA4D89D" w14:textId="77777777" w:rsidR="00571C37" w:rsidRPr="00805152" w:rsidRDefault="00571C37" w:rsidP="00571C37">
            <w:pPr>
              <w:widowControl w:val="0"/>
              <w:spacing w:after="0" w:line="240" w:lineRule="auto"/>
              <w:ind w:right="2"/>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XI</w:t>
            </w:r>
          </w:p>
        </w:tc>
        <w:tc>
          <w:tcPr>
            <w:tcW w:w="516"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6B16E84F"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XII</w:t>
            </w:r>
          </w:p>
        </w:tc>
        <w:tc>
          <w:tcPr>
            <w:tcW w:w="680"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68DB0067" w14:textId="77777777" w:rsidR="00571C37" w:rsidRPr="00805152" w:rsidRDefault="00571C37" w:rsidP="00571C37">
            <w:pPr>
              <w:widowControl w:val="0"/>
              <w:spacing w:after="0" w:line="240" w:lineRule="auto"/>
              <w:ind w:left="64" w:right="62" w:firstLine="100"/>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Год.</w:t>
            </w:r>
          </w:p>
        </w:tc>
      </w:tr>
      <w:tr w:rsidR="00571C37" w:rsidRPr="00805152" w14:paraId="1CE1B503" w14:textId="77777777" w:rsidTr="00BE5603">
        <w:trPr>
          <w:trHeight w:hRule="exact" w:val="659"/>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2F1701BF"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1</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20AACB97" w14:textId="77777777" w:rsidR="00571C37" w:rsidRPr="00805152" w:rsidRDefault="00571C37" w:rsidP="00571C37">
            <w:pPr>
              <w:widowControl w:val="0"/>
              <w:spacing w:after="0" w:line="240" w:lineRule="auto"/>
              <w:ind w:left="17" w:right="17"/>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Средно месечни и годишни температури на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C)</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5351131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1.8</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6856D5F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3.4</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665A3DF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6.0</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2F0713A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10.8</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3D89C3FC"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16.0</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69307DF9"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20.4</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045DBB16"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23.1</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1ADEF79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23.0</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76CDF37C"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19.4</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5602D7C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14.6</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461BDCC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9.6</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35F0C98E"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4.7</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7171269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12.7</w:t>
            </w:r>
          </w:p>
        </w:tc>
      </w:tr>
      <w:tr w:rsidR="00571C37" w:rsidRPr="00805152" w14:paraId="749B0C4E" w14:textId="77777777" w:rsidTr="00BE5603">
        <w:trPr>
          <w:trHeight w:hRule="exact" w:val="627"/>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19EA053D"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2</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41D7C423" w14:textId="77777777" w:rsidR="00571C37" w:rsidRPr="00805152" w:rsidRDefault="00571C37" w:rsidP="00571C37">
            <w:pPr>
              <w:widowControl w:val="0"/>
              <w:tabs>
                <w:tab w:val="left" w:pos="1163"/>
              </w:tabs>
              <w:spacing w:after="0" w:line="240" w:lineRule="auto"/>
              <w:ind w:left="17" w:right="17"/>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Средно месечни максимални температури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С)</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0D8C376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5.0</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573719BA"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7.3</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77E2D93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10.4</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54B3513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15.7</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7E3EB2B8"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20.9</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465B289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25.3</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32310A7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28.2</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1E6C2AE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28.0</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36B6194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24.2</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02F3EE2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19.2</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63049E64"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13.3</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433D5A1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7.9</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23B512B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17.1</w:t>
            </w:r>
          </w:p>
        </w:tc>
      </w:tr>
      <w:tr w:rsidR="00571C37" w:rsidRPr="00805152" w14:paraId="017E8297" w14:textId="77777777" w:rsidTr="00BE5603">
        <w:trPr>
          <w:trHeight w:hRule="exact" w:val="680"/>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7B33FDC6"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3</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149B956F" w14:textId="77777777" w:rsidR="00571C37" w:rsidRPr="00805152" w:rsidRDefault="00571C37" w:rsidP="00571C37">
            <w:pPr>
              <w:widowControl w:val="0"/>
              <w:spacing w:after="0" w:line="240" w:lineRule="auto"/>
              <w:ind w:left="17" w:right="18"/>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Месечни и годишни абсолютни максимум т.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С)</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2FC08A95"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19.5</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0891460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23.2</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48375FF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26.8</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0F696B2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31.8</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5A3FE07A"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34.9</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5F937C1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36.7</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380C5B0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39.9</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4D0D82EC"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38.4</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1A646DF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34.7</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19DBEC49"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34.0</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2504658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27.2</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34B841B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21.0</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1BBECB0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39.6</w:t>
            </w:r>
          </w:p>
        </w:tc>
      </w:tr>
      <w:tr w:rsidR="00571C37" w:rsidRPr="00805152" w14:paraId="242A5976" w14:textId="77777777" w:rsidTr="00BE5603">
        <w:trPr>
          <w:trHeight w:hRule="exact" w:val="680"/>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6D64882F"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4</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44C96F28" w14:textId="77777777" w:rsidR="00571C37" w:rsidRPr="00805152" w:rsidRDefault="00571C37" w:rsidP="00571C37">
            <w:pPr>
              <w:widowControl w:val="0"/>
              <w:tabs>
                <w:tab w:val="left" w:pos="1163"/>
              </w:tabs>
              <w:spacing w:after="0" w:line="240" w:lineRule="auto"/>
              <w:ind w:left="17" w:right="17"/>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Средно месечни минимални т.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С)</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7EBA2F1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-1.3</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47AE66B8"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-0.3</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08A76C0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2.3</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19E6F699"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7.0</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4C8F00B5"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12.2</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251AF14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16.1</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15A6FC4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18.2</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4227D35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18.3</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0CE4151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14.8</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2508D9D6"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10.5</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5F99A41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6.3</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243996F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1.5</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50609469"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8.8</w:t>
            </w:r>
          </w:p>
        </w:tc>
      </w:tr>
      <w:tr w:rsidR="00571C37" w:rsidRPr="00805152" w14:paraId="5BB84DBF" w14:textId="77777777" w:rsidTr="00BE5603">
        <w:trPr>
          <w:trHeight w:hRule="exact" w:val="680"/>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07B6CB21"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5</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0A9B5A81" w14:textId="77777777" w:rsidR="00571C37" w:rsidRPr="00805152" w:rsidRDefault="00571C37" w:rsidP="00571C37">
            <w:pPr>
              <w:widowControl w:val="0"/>
              <w:spacing w:after="0" w:line="240" w:lineRule="auto"/>
              <w:ind w:left="17" w:right="18"/>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Месечни и годишни абсолютни минимални т.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С )</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04EBAC1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-1.6</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603645D9"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-9.5</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1D227EF5"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-15</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4F6D50C6"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-1.5</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2FC0989E"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2.2</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0AABB354"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6.0</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780B4D64"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10.2</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64A4F827"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10.9</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27D0CFB4"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4.0</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10BCF69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-1.2</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3C4C122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-9.6</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4D608D0D"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-5.0</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0C0FF86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-21.6</w:t>
            </w:r>
          </w:p>
        </w:tc>
      </w:tr>
      <w:tr w:rsidR="00571C37" w:rsidRPr="00805152" w14:paraId="34B975EE" w14:textId="77777777" w:rsidTr="00BE5603">
        <w:trPr>
          <w:trHeight w:hRule="exact" w:val="811"/>
        </w:trPr>
        <w:tc>
          <w:tcPr>
            <w:tcW w:w="349" w:type="dxa"/>
            <w:tcBorders>
              <w:top w:val="single" w:sz="4" w:space="0" w:color="000000"/>
              <w:left w:val="single" w:sz="4" w:space="0" w:color="000000"/>
              <w:bottom w:val="single" w:sz="4" w:space="0" w:color="000000"/>
              <w:right w:val="single" w:sz="4" w:space="0" w:color="000000"/>
            </w:tcBorders>
            <w:shd w:val="clear" w:color="auto" w:fill="auto"/>
          </w:tcPr>
          <w:p w14:paraId="488B6E2E" w14:textId="77777777" w:rsidR="00571C37" w:rsidRPr="00805152" w:rsidRDefault="00571C37" w:rsidP="00571C37">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
                <w:bCs/>
                <w:color w:val="auto"/>
                <w:sz w:val="20"/>
                <w:lang w:val="bg-BG"/>
              </w:rPr>
              <w:t>6</w:t>
            </w:r>
          </w:p>
        </w:tc>
        <w:tc>
          <w:tcPr>
            <w:tcW w:w="2826" w:type="dxa"/>
            <w:tcBorders>
              <w:top w:val="single" w:sz="4" w:space="0" w:color="000000"/>
              <w:left w:val="single" w:sz="4" w:space="0" w:color="000000"/>
              <w:bottom w:val="single" w:sz="4" w:space="0" w:color="000000"/>
              <w:right w:val="single" w:sz="4" w:space="0" w:color="000000"/>
            </w:tcBorders>
            <w:shd w:val="clear" w:color="auto" w:fill="auto"/>
          </w:tcPr>
          <w:p w14:paraId="280EB3BA" w14:textId="77777777" w:rsidR="00571C37" w:rsidRPr="00805152" w:rsidRDefault="00571C37" w:rsidP="00571C37">
            <w:pPr>
              <w:widowControl w:val="0"/>
              <w:tabs>
                <w:tab w:val="left" w:pos="1163"/>
              </w:tabs>
              <w:spacing w:after="0" w:line="240" w:lineRule="auto"/>
              <w:ind w:left="17" w:right="17"/>
              <w:jc w:val="left"/>
              <w:rPr>
                <w:rFonts w:ascii="Times New Roman" w:hAnsi="Times New Roman" w:cs="Times New Roman"/>
                <w:color w:val="auto"/>
                <w:sz w:val="20"/>
                <w:lang w:val="bg-BG"/>
              </w:rPr>
            </w:pPr>
            <w:r w:rsidRPr="00805152">
              <w:rPr>
                <w:rFonts w:ascii="Times New Roman" w:hAnsi="Times New Roman" w:cs="Times New Roman"/>
                <w:color w:val="auto"/>
                <w:sz w:val="20"/>
                <w:lang w:val="bg-BG"/>
              </w:rPr>
              <w:t>Средно месечни 24 ч. вариация (</w:t>
            </w:r>
            <w:r w:rsidRPr="00805152">
              <w:rPr>
                <w:rFonts w:ascii="Times New Roman" w:hAnsi="Times New Roman" w:cs="Times New Roman"/>
                <w:color w:val="auto"/>
                <w:position w:val="10"/>
                <w:sz w:val="20"/>
                <w:lang w:val="bg-BG"/>
              </w:rPr>
              <w:t>º</w:t>
            </w:r>
            <w:r w:rsidRPr="00805152">
              <w:rPr>
                <w:rFonts w:ascii="Times New Roman" w:hAnsi="Times New Roman" w:cs="Times New Roman"/>
                <w:color w:val="auto"/>
                <w:sz w:val="20"/>
                <w:lang w:val="bg-BG"/>
              </w:rPr>
              <w:t>С)</w:t>
            </w:r>
          </w:p>
        </w:tc>
        <w:tc>
          <w:tcPr>
            <w:tcW w:w="489" w:type="dxa"/>
            <w:tcBorders>
              <w:top w:val="single" w:sz="4" w:space="0" w:color="000000"/>
              <w:left w:val="single" w:sz="4" w:space="0" w:color="000000"/>
              <w:bottom w:val="single" w:sz="4" w:space="0" w:color="000000"/>
              <w:right w:val="single" w:sz="4" w:space="0" w:color="000000"/>
            </w:tcBorders>
            <w:shd w:val="clear" w:color="auto" w:fill="auto"/>
          </w:tcPr>
          <w:p w14:paraId="5711B85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6.3</w:t>
            </w:r>
          </w:p>
        </w:tc>
        <w:tc>
          <w:tcPr>
            <w:tcW w:w="552" w:type="dxa"/>
            <w:tcBorders>
              <w:top w:val="single" w:sz="4" w:space="0" w:color="000000"/>
              <w:left w:val="single" w:sz="4" w:space="0" w:color="000000"/>
              <w:bottom w:val="single" w:sz="4" w:space="0" w:color="000000"/>
              <w:right w:val="single" w:sz="4" w:space="0" w:color="000000"/>
            </w:tcBorders>
            <w:shd w:val="clear" w:color="auto" w:fill="auto"/>
          </w:tcPr>
          <w:p w14:paraId="5DD8DBC8"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7.6</w:t>
            </w:r>
          </w:p>
        </w:tc>
        <w:tc>
          <w:tcPr>
            <w:tcW w:w="502" w:type="dxa"/>
            <w:tcBorders>
              <w:top w:val="single" w:sz="4" w:space="0" w:color="000000"/>
              <w:left w:val="single" w:sz="4" w:space="0" w:color="000000"/>
              <w:bottom w:val="single" w:sz="4" w:space="0" w:color="000000"/>
              <w:right w:val="single" w:sz="4" w:space="0" w:color="000000"/>
            </w:tcBorders>
            <w:shd w:val="clear" w:color="auto" w:fill="auto"/>
          </w:tcPr>
          <w:p w14:paraId="6374781F"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8.1</w:t>
            </w:r>
          </w:p>
        </w:tc>
        <w:tc>
          <w:tcPr>
            <w:tcW w:w="515" w:type="dxa"/>
            <w:tcBorders>
              <w:top w:val="single" w:sz="4" w:space="0" w:color="000000"/>
              <w:left w:val="single" w:sz="4" w:space="0" w:color="000000"/>
              <w:bottom w:val="single" w:sz="4" w:space="0" w:color="000000"/>
              <w:right w:val="single" w:sz="4" w:space="0" w:color="000000"/>
            </w:tcBorders>
            <w:shd w:val="clear" w:color="auto" w:fill="auto"/>
          </w:tcPr>
          <w:p w14:paraId="06312FC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8.7</w:t>
            </w:r>
          </w:p>
        </w:tc>
        <w:tc>
          <w:tcPr>
            <w:tcW w:w="513" w:type="dxa"/>
            <w:tcBorders>
              <w:top w:val="single" w:sz="4" w:space="0" w:color="000000"/>
              <w:left w:val="single" w:sz="4" w:space="0" w:color="000000"/>
              <w:bottom w:val="single" w:sz="4" w:space="0" w:color="000000"/>
              <w:right w:val="single" w:sz="4" w:space="0" w:color="000000"/>
            </w:tcBorders>
            <w:shd w:val="clear" w:color="auto" w:fill="auto"/>
          </w:tcPr>
          <w:p w14:paraId="2801C792"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8.7</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6751F850"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9.2</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4EB011D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10.0</w:t>
            </w:r>
          </w:p>
        </w:tc>
        <w:tc>
          <w:tcPr>
            <w:tcW w:w="432" w:type="dxa"/>
            <w:tcBorders>
              <w:top w:val="single" w:sz="4" w:space="0" w:color="000000"/>
              <w:left w:val="single" w:sz="4" w:space="0" w:color="000000"/>
              <w:bottom w:val="single" w:sz="4" w:space="0" w:color="000000"/>
              <w:right w:val="single" w:sz="4" w:space="0" w:color="000000"/>
            </w:tcBorders>
            <w:shd w:val="clear" w:color="auto" w:fill="auto"/>
          </w:tcPr>
          <w:p w14:paraId="53A86953"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9.7</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7EDD6C4A"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9.4</w:t>
            </w:r>
          </w:p>
        </w:tc>
        <w:tc>
          <w:tcPr>
            <w:tcW w:w="429" w:type="dxa"/>
            <w:tcBorders>
              <w:top w:val="single" w:sz="4" w:space="0" w:color="000000"/>
              <w:left w:val="single" w:sz="4" w:space="0" w:color="000000"/>
              <w:bottom w:val="single" w:sz="4" w:space="0" w:color="000000"/>
              <w:right w:val="single" w:sz="4" w:space="0" w:color="000000"/>
            </w:tcBorders>
            <w:shd w:val="clear" w:color="auto" w:fill="auto"/>
          </w:tcPr>
          <w:p w14:paraId="0F905C9B"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8.7</w:t>
            </w: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14:paraId="303D5464"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7.0</w:t>
            </w:r>
          </w:p>
        </w:tc>
        <w:tc>
          <w:tcPr>
            <w:tcW w:w="516" w:type="dxa"/>
            <w:tcBorders>
              <w:top w:val="single" w:sz="4" w:space="0" w:color="000000"/>
              <w:left w:val="single" w:sz="4" w:space="0" w:color="000000"/>
              <w:bottom w:val="single" w:sz="4" w:space="0" w:color="000000"/>
              <w:right w:val="single" w:sz="4" w:space="0" w:color="000000"/>
            </w:tcBorders>
            <w:shd w:val="clear" w:color="auto" w:fill="auto"/>
          </w:tcPr>
          <w:p w14:paraId="3BDB4F01"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6.4</w:t>
            </w:r>
          </w:p>
        </w:tc>
        <w:tc>
          <w:tcPr>
            <w:tcW w:w="680" w:type="dxa"/>
            <w:tcBorders>
              <w:top w:val="single" w:sz="4" w:space="0" w:color="000000"/>
              <w:left w:val="single" w:sz="4" w:space="0" w:color="000000"/>
              <w:bottom w:val="single" w:sz="4" w:space="0" w:color="000000"/>
              <w:right w:val="single" w:sz="4" w:space="0" w:color="000000"/>
            </w:tcBorders>
            <w:shd w:val="clear" w:color="auto" w:fill="auto"/>
          </w:tcPr>
          <w:p w14:paraId="6772A88F" w14:textId="77777777" w:rsidR="00571C37" w:rsidRPr="00805152" w:rsidRDefault="00571C37" w:rsidP="00571C37">
            <w:pPr>
              <w:widowControl w:val="0"/>
              <w:spacing w:after="0" w:line="240" w:lineRule="auto"/>
              <w:rPr>
                <w:rFonts w:ascii="Times New Roman" w:hAnsi="Times New Roman" w:cs="Times New Roman"/>
                <w:color w:val="auto"/>
                <w:sz w:val="20"/>
                <w:lang w:val="bg-BG"/>
              </w:rPr>
            </w:pPr>
            <w:r w:rsidRPr="00805152">
              <w:rPr>
                <w:rFonts w:ascii="Times New Roman" w:hAnsi="Times New Roman" w:cs="Times New Roman"/>
                <w:color w:val="auto"/>
                <w:sz w:val="20"/>
                <w:lang w:val="bg-BG"/>
              </w:rPr>
              <w:t>8.3</w:t>
            </w:r>
          </w:p>
        </w:tc>
      </w:tr>
    </w:tbl>
    <w:p w14:paraId="4558DC6E" w14:textId="77777777" w:rsidR="00571C37" w:rsidRPr="00805152" w:rsidRDefault="00571C37" w:rsidP="00A127A2">
      <w:pPr>
        <w:pStyle w:val="Heading3"/>
        <w:rPr>
          <w:rFonts w:ascii="Times New Roman" w:hAnsi="Times New Roman"/>
          <w:lang w:val="bg-BG"/>
        </w:rPr>
      </w:pPr>
      <w:bookmarkStart w:id="42" w:name="_Toc126492674"/>
      <w:bookmarkStart w:id="43" w:name="_Toc136961090"/>
      <w:r w:rsidRPr="00805152">
        <w:rPr>
          <w:rFonts w:ascii="Times New Roman" w:hAnsi="Times New Roman"/>
          <w:lang w:val="bg-BG"/>
        </w:rPr>
        <w:t>Повишаване на морското ниво</w:t>
      </w:r>
      <w:bookmarkEnd w:id="42"/>
      <w:bookmarkEnd w:id="43"/>
    </w:p>
    <w:p w14:paraId="7D0D4013" w14:textId="0644394B" w:rsidR="00571C37" w:rsidRPr="00805152" w:rsidRDefault="00571C37" w:rsidP="00571C37">
      <w:pPr>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Повишаването на морското равнище се предвижда в резултат на глобалното затопляне на земната повърхност. Обсъждане на потенциалното въздействие от повишаването на морското равнище върху проекта е включено в среден сценариите е представен във </w:t>
      </w:r>
      <w:r w:rsidRPr="00805152">
        <w:rPr>
          <w:rFonts w:ascii="Times New Roman" w:eastAsia="Times New Roman" w:hAnsi="Times New Roman"/>
          <w:iCs/>
          <w:sz w:val="22"/>
          <w:lang w:val="bg-BG"/>
        </w:rPr>
        <w:fldChar w:fldCharType="begin"/>
      </w:r>
      <w:r w:rsidRPr="00805152">
        <w:rPr>
          <w:rFonts w:ascii="Times New Roman" w:eastAsia="Times New Roman" w:hAnsi="Times New Roman"/>
          <w:iCs/>
          <w:sz w:val="22"/>
          <w:lang w:val="bg-BG"/>
        </w:rPr>
        <w:instrText xml:space="preserve">REF _Ref126590245 \h \* MERGEFORMAT </w:instrText>
      </w:r>
      <w:r w:rsidRPr="00805152">
        <w:rPr>
          <w:rFonts w:ascii="Times New Roman" w:eastAsia="Times New Roman" w:hAnsi="Times New Roman"/>
          <w:iCs/>
          <w:sz w:val="22"/>
          <w:lang w:val="bg-BG"/>
        </w:rPr>
      </w:r>
      <w:r w:rsidRPr="00805152">
        <w:rPr>
          <w:rFonts w:ascii="Times New Roman" w:eastAsia="Times New Roman" w:hAnsi="Times New Roman"/>
          <w:iCs/>
          <w:sz w:val="22"/>
          <w:lang w:val="bg-BG"/>
        </w:rPr>
        <w:fldChar w:fldCharType="separate"/>
      </w:r>
      <w:r w:rsidR="00490063">
        <w:rPr>
          <w:rFonts w:ascii="Times New Roman" w:eastAsia="Times New Roman" w:hAnsi="Times New Roman"/>
          <w:b/>
          <w:bCs/>
          <w:iCs/>
          <w:sz w:val="22"/>
          <w:lang w:val="en-US"/>
        </w:rPr>
        <w:t>Error! Reference source not found.</w:t>
      </w:r>
      <w:r w:rsidRPr="00805152">
        <w:rPr>
          <w:rFonts w:ascii="Times New Roman" w:eastAsia="Times New Roman" w:hAnsi="Times New Roman"/>
          <w:iCs/>
          <w:sz w:val="22"/>
          <w:lang w:val="bg-BG"/>
        </w:rPr>
        <w:fldChar w:fldCharType="end"/>
      </w:r>
      <w:r w:rsidRPr="00805152">
        <w:rPr>
          <w:rFonts w:ascii="Times New Roman" w:eastAsia="Times New Roman" w:hAnsi="Times New Roman"/>
          <w:iCs/>
          <w:sz w:val="22"/>
          <w:lang w:val="bg-BG"/>
        </w:rPr>
        <w:t xml:space="preserve"> по-долу. Предвижданото в повишаване на морското равнище за района на гр. Бургас за следващите 50 години е +0.30 м. Това повишение трябва да се вземе предвид при проектирането на всички съоръжения от морската инфраструктура и в частност на кейовата стена. </w:t>
      </w:r>
    </w:p>
    <w:p w14:paraId="00600A20" w14:textId="47B0CF6F" w:rsidR="00571C37" w:rsidRPr="00805152" w:rsidRDefault="00EE22BC" w:rsidP="00C958EE">
      <w:pPr>
        <w:suppressAutoHyphens/>
        <w:spacing w:after="0"/>
        <w:jc w:val="center"/>
        <w:rPr>
          <w:rFonts w:ascii="Times New Roman" w:eastAsia="Times New Roman" w:hAnsi="Times New Roman"/>
          <w:color w:val="1F497D" w:themeColor="text2"/>
          <w:sz w:val="22"/>
          <w:lang w:val="bg-BG"/>
        </w:rPr>
      </w:pPr>
      <w:r>
        <w:rPr>
          <w:noProof/>
          <w:lang w:val="en-US"/>
        </w:rPr>
        <w:lastRenderedPageBreak/>
        <mc:AlternateContent>
          <mc:Choice Requires="wps">
            <w:drawing>
              <wp:anchor distT="4445" distB="0" distL="0" distR="0" simplePos="0" relativeHeight="251699200" behindDoc="0" locked="0" layoutInCell="0" allowOverlap="1" wp14:anchorId="0D578BA8" wp14:editId="635B7BFF">
                <wp:simplePos x="0" y="0"/>
                <wp:positionH relativeFrom="column">
                  <wp:posOffset>1636395</wp:posOffset>
                </wp:positionH>
                <wp:positionV relativeFrom="paragraph">
                  <wp:posOffset>2687955</wp:posOffset>
                </wp:positionV>
                <wp:extent cx="164465" cy="189230"/>
                <wp:effectExtent l="38100" t="0" r="6985" b="39370"/>
                <wp:wrapNone/>
                <wp:docPr id="28"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64465" cy="189230"/>
                        </a:xfrm>
                        <a:prstGeom prst="straightConnector1">
                          <a:avLst/>
                        </a:prstGeom>
                        <a:noFill/>
                        <a:ln w="9525">
                          <a:solidFill>
                            <a:srgbClr val="FF0000"/>
                          </a:solidFill>
                          <a:roun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shapetype w14:anchorId="484B1F4F" id="_x0000_t32" coordsize="21600,21600" o:spt="32" o:oned="t" path="m,l21600,21600e" filled="f">
                <v:path arrowok="t" fillok="f" o:connecttype="none"/>
                <o:lock v:ext="edit" shapetype="t"/>
              </v:shapetype>
              <v:shape id="Straight Arrow Connector 28" o:spid="_x0000_s1026" type="#_x0000_t32" style="position:absolute;margin-left:128.85pt;margin-top:211.65pt;width:12.95pt;height:14.9pt;flip:x;z-index:251699200;visibility:visible;mso-wrap-style:square;mso-width-percent:0;mso-height-percent:0;mso-wrap-distance-left:0;mso-wrap-distance-top:.35pt;mso-wrap-distance-right:0;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" o:allowincell="f" strokecolor="red">
                <v:stroke endarrow="block"/>
                <o:lock v:ext="edit" shapetype="f"/>
              </v:shape>
            </w:pict>
          </mc:Fallback>
        </mc:AlternateContent>
      </w:r>
      <w:r>
        <w:rPr>
          <w:noProof/>
          <w:lang w:val="en-US"/>
        </w:rPr>
        <mc:AlternateContent>
          <mc:Choice Requires="wps">
            <w:drawing>
              <wp:anchor distT="3175" distB="0" distL="3175" distR="3175" simplePos="0" relativeHeight="251700224" behindDoc="0" locked="0" layoutInCell="0" allowOverlap="1" wp14:anchorId="3A305D3B" wp14:editId="57BFF574">
                <wp:simplePos x="0" y="0"/>
                <wp:positionH relativeFrom="column">
                  <wp:posOffset>1735455</wp:posOffset>
                </wp:positionH>
                <wp:positionV relativeFrom="paragraph">
                  <wp:posOffset>2470150</wp:posOffset>
                </wp:positionV>
                <wp:extent cx="325755" cy="184785"/>
                <wp:effectExtent l="0" t="0" r="0" b="0"/>
                <wp:wrapNone/>
                <wp:docPr id="2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5755" cy="184785"/>
                        </a:xfrm>
                        <a:prstGeom prst="rect">
                          <a:avLst/>
                        </a:prstGeom>
                        <a:noFill/>
                        <a:ln w="6350">
                          <a:noFill/>
                        </a:ln>
                        <a:effectLst/>
                      </wps:spPr>
                      <wps:txbx>
                        <w:txbxContent>
                          <w:p w14:paraId="60746E52" w14:textId="77777777" w:rsidR="00E54D2E" w:rsidRDefault="00E54D2E" w:rsidP="00571C37">
                            <w:pPr>
                              <w:pStyle w:val="FrameContents"/>
                              <w:rPr>
                                <w:color w:val="FF0000"/>
                                <w:sz w:val="18"/>
                                <w:szCs w:val="18"/>
                              </w:rPr>
                            </w:pPr>
                            <w:r>
                              <w:rPr>
                                <w:color w:val="FF0000"/>
                                <w:sz w:val="18"/>
                                <w:szCs w:val="18"/>
                                <w:lang w:val="nl-NL"/>
                              </w:rPr>
                              <w:t>0.</w:t>
                            </w:r>
                            <w:r>
                              <w:rPr>
                                <w:color w:val="FF0000"/>
                                <w:sz w:val="18"/>
                                <w:szCs w:val="18"/>
                              </w:rPr>
                              <w:t>30 м</w:t>
                            </w:r>
                          </w:p>
                        </w:txbxContent>
                      </wps:txbx>
                      <wps:bodyPr lIns="0" tIns="0" rIns="0" bIns="0"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A305D3B" id="Rectangle 27" o:spid="_x0000_s1026" style="position:absolute;left:0;text-align:left;margin-left:136.65pt;margin-top:194.5pt;width:25.65pt;height:14.55pt;z-index:251700224;visibility:visible;mso-wrap-style:square;mso-width-percent:0;mso-height-percent:0;mso-wrap-distance-left:.25pt;mso-wrap-distance-top:.25pt;mso-wrap-distance-right:.2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" o:allowincell="f" filled="f" stroked="f" strokeweight=".5pt">
                <v:textbox inset="0,0,0,0">
                  <w:txbxContent>
                    <w:p w14:paraId="60746E52" w14:textId="77777777" w:rsidR="00E54D2E" w:rsidRDefault="00E54D2E" w:rsidP="00571C37">
                      <w:pPr>
                        <w:pStyle w:val="FrameContents"/>
                        <w:rPr>
                          <w:color w:val="FF0000"/>
                          <w:sz w:val="18"/>
                          <w:szCs w:val="18"/>
                        </w:rPr>
                      </w:pPr>
                      <w:r>
                        <w:rPr>
                          <w:color w:val="FF0000"/>
                          <w:sz w:val="18"/>
                          <w:szCs w:val="18"/>
                          <w:lang w:val="nl-NL"/>
                        </w:rPr>
                        <w:t>0.</w:t>
                      </w:r>
                      <w:r>
                        <w:rPr>
                          <w:color w:val="FF0000"/>
                          <w:sz w:val="18"/>
                          <w:szCs w:val="18"/>
                        </w:rPr>
                        <w:t>30 м</w:t>
                      </w:r>
                    </w:p>
                  </w:txbxContent>
                </v:textbox>
              </v:rect>
            </w:pict>
          </mc:Fallback>
        </mc:AlternateContent>
      </w:r>
      <w:r>
        <w:rPr>
          <w:noProof/>
          <w:lang w:val="en-US"/>
        </w:rPr>
        <mc:AlternateContent>
          <mc:Choice Requires="wps">
            <w:drawing>
              <wp:anchor distT="4445" distB="0" distL="4445" distR="0" simplePos="0" relativeHeight="251701248" behindDoc="0" locked="0" layoutInCell="0" allowOverlap="1" wp14:anchorId="4E9761DE" wp14:editId="292BB4E7">
                <wp:simplePos x="0" y="0"/>
                <wp:positionH relativeFrom="column">
                  <wp:posOffset>1605915</wp:posOffset>
                </wp:positionH>
                <wp:positionV relativeFrom="paragraph">
                  <wp:posOffset>2944495</wp:posOffset>
                </wp:positionV>
                <wp:extent cx="635" cy="416560"/>
                <wp:effectExtent l="0" t="0" r="18415" b="254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35" cy="416560"/>
                        </a:xfrm>
                        <a:prstGeom prst="line">
                          <a:avLst/>
                        </a:prstGeom>
                        <a:noFill/>
                        <a:ln w="9525" cap="flat" cmpd="sng" algn="ctr">
                          <a:solidFill>
                            <a:srgbClr val="FF0000"/>
                          </a:solidFill>
                          <a:prstDash val="dash"/>
                          <a:round/>
                        </a:ln>
                        <a:effectLst/>
                      </wps:spPr>
                      <wps:bodyPr/>
                    </wps:wsp>
                  </a:graphicData>
                </a:graphic>
                <wp14:sizeRelH relativeFrom="page">
                  <wp14:pctWidth>0</wp14:pctWidth>
                </wp14:sizeRelH>
                <wp14:sizeRelV relativeFrom="page">
                  <wp14:pctHeight>0</wp14:pctHeight>
                </wp14:sizeRelV>
              </wp:anchor>
            </w:drawing>
          </mc:Choice>
          <mc:Fallback>
            <w:pict>
              <v:line w14:anchorId="2701D6FD" id="Straight Connector 14" o:spid="_x0000_s1026" style="position:absolute;flip:y;z-index:251701248;visibility:visible;mso-wrap-style:square;mso-width-percent:0;mso-height-percent:0;mso-wrap-distance-left:.35pt;mso-wrap-distance-top:.35pt;mso-wrap-distance-right:0;mso-wrap-distance-bottom:0;mso-position-horizontal:absolute;mso-position-horizontal-relative:text;mso-position-vertical:absolute;mso-position-vertical-relative:text;mso-width-percent:0;mso-height-percent:0;mso-width-relative:page;mso-height-relative:page" from="126.45pt,231.85pt" to="126.5pt,2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" o:allowincell="f" strokecolor="red">
                <v:stroke dashstyle="dash"/>
                <o:lock v:ext="edit" shapetype="f"/>
              </v:line>
            </w:pict>
          </mc:Fallback>
        </mc:AlternateContent>
      </w:r>
      <w:r>
        <w:rPr>
          <w:noProof/>
          <w:lang w:val="en-US"/>
        </w:rPr>
        <mc:AlternateContent>
          <mc:Choice Requires="wps">
            <w:drawing>
              <wp:anchor distT="4445" distB="0" distL="4445" distR="0" simplePos="0" relativeHeight="251702272" behindDoc="0" locked="0" layoutInCell="0" allowOverlap="1" wp14:anchorId="1835B584" wp14:editId="0E6A47F6">
                <wp:simplePos x="0" y="0"/>
                <wp:positionH relativeFrom="column">
                  <wp:posOffset>280035</wp:posOffset>
                </wp:positionH>
                <wp:positionV relativeFrom="paragraph">
                  <wp:posOffset>2959735</wp:posOffset>
                </wp:positionV>
                <wp:extent cx="1312545" cy="29845"/>
                <wp:effectExtent l="0" t="0" r="1905" b="8255"/>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12545" cy="29845"/>
                        </a:xfrm>
                        <a:prstGeom prst="line">
                          <a:avLst/>
                        </a:prstGeom>
                        <a:noFill/>
                        <a:ln w="9525" cap="flat" cmpd="sng" algn="ctr">
                          <a:solidFill>
                            <a:srgbClr val="FF0000"/>
                          </a:solidFill>
                          <a:prstDash val="dash"/>
                          <a:round/>
                        </a:ln>
                        <a:effectLst/>
                      </wps:spPr>
                      <wps:bodyPr/>
                    </wps:wsp>
                  </a:graphicData>
                </a:graphic>
                <wp14:sizeRelH relativeFrom="page">
                  <wp14:pctWidth>0</wp14:pctWidth>
                </wp14:sizeRelH>
                <wp14:sizeRelV relativeFrom="page">
                  <wp14:pctHeight>0</wp14:pctHeight>
                </wp14:sizeRelV>
              </wp:anchor>
            </w:drawing>
          </mc:Choice>
          <mc:Fallback>
            <w:pict>
              <v:line w14:anchorId="67AE7B41" id="Straight Connector 11" o:spid="_x0000_s1026" style="position:absolute;flip:x;z-index:251702272;visibility:visible;mso-wrap-style:square;mso-width-percent:0;mso-height-percent:0;mso-wrap-distance-left:.35pt;mso-wrap-distance-top:.35pt;mso-wrap-distance-right:0;mso-wrap-distance-bottom:0;mso-position-horizontal:absolute;mso-position-horizontal-relative:text;mso-position-vertical:absolute;mso-position-vertical-relative:text;mso-width-percent:0;mso-height-percent:0;mso-width-relative:page;mso-height-relative:page" from="22.05pt,233.05pt" to="125.4pt,2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" o:allowincell="f" strokecolor="red">
                <v:stroke dashstyle="dash"/>
                <o:lock v:ext="edit" shapetype="f"/>
              </v:line>
            </w:pict>
          </mc:Fallback>
        </mc:AlternateContent>
      </w:r>
      <w:r w:rsidR="00571C37" w:rsidRPr="00805152">
        <w:rPr>
          <w:rFonts w:ascii="Times New Roman" w:hAnsi="Times New Roman"/>
          <w:noProof/>
          <w:lang w:val="en-US"/>
        </w:rPr>
        <w:drawing>
          <wp:inline distT="0" distB="0" distL="0" distR="0" wp14:anchorId="2EB09649" wp14:editId="47824031">
            <wp:extent cx="4799330" cy="3590925"/>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
                    <pic:cNvPicPr>
                      <a:picLocks noChangeAspect="1" noChangeArrowheads="1"/>
                    </pic:cNvPicPr>
                  </pic:nvPicPr>
                  <pic:blipFill>
                    <a:blip r:embed="rId27" cstate="screen">
                      <a:extLst>
                        <a:ext uri="{28A0092B-C50C-407E-A947-70E740481C1C}">
                          <a14:useLocalDpi xmlns:a14="http://schemas.microsoft.com/office/drawing/2010/main"/>
                        </a:ext>
                      </a:extLst>
                    </a:blip>
                    <a:stretch>
                      <a:fillRect/>
                    </a:stretch>
                  </pic:blipFill>
                  <pic:spPr bwMode="auto">
                    <a:xfrm>
                      <a:off x="0" y="0"/>
                      <a:ext cx="4799330" cy="3590925"/>
                    </a:xfrm>
                    <a:prstGeom prst="rect">
                      <a:avLst/>
                    </a:prstGeom>
                    <a:ln w="3175">
                      <a:solidFill>
                        <a:srgbClr val="4F81BD"/>
                      </a:solidFill>
                    </a:ln>
                  </pic:spPr>
                </pic:pic>
              </a:graphicData>
            </a:graphic>
          </wp:inline>
        </w:drawing>
      </w:r>
    </w:p>
    <w:p w14:paraId="7F710C6B" w14:textId="302537F0" w:rsidR="00571C37" w:rsidRPr="00B306B3" w:rsidRDefault="00571C37" w:rsidP="00A301F5">
      <w:pPr>
        <w:pStyle w:val="BP-Figure"/>
        <w:ind w:left="1276" w:hanging="567"/>
        <w:jc w:val="center"/>
        <w:rPr>
          <w:color w:val="1F497D" w:themeColor="text2"/>
          <w:lang w:val="en-GB"/>
        </w:rPr>
      </w:pPr>
      <w:r w:rsidRPr="00B306B3">
        <w:t>Глобално повишаване на морското равнище за гр. Бургас (Източник:</w:t>
      </w:r>
      <w:r w:rsidRPr="00B306B3">
        <w:rPr>
          <w:lang w:val="en-GB"/>
        </w:rPr>
        <w:t xml:space="preserve"> The Intergovernmental Panel on Climate Change (IPCC) United Nations 2019, [1]</w:t>
      </w:r>
      <w:r w:rsidRPr="00B306B3">
        <w:rPr>
          <w:color w:val="1F497D" w:themeColor="text2"/>
          <w:lang w:val="en-GB"/>
        </w:rPr>
        <w:t xml:space="preserve"> </w:t>
      </w:r>
      <w:hyperlink r:id="rId28">
        <w:r w:rsidRPr="00B306B3">
          <w:rPr>
            <w:color w:val="0000FF"/>
            <w:u w:val="single"/>
            <w:lang w:val="en-GB"/>
          </w:rPr>
          <w:t>https://sealevel.nasa.gov/ipcc-ar6-sea-level-projection-tool?psmsl_id=317&amp;data_layer=scenario</w:t>
        </w:r>
      </w:hyperlink>
      <w:r w:rsidRPr="00B306B3">
        <w:rPr>
          <w:color w:val="1F497D" w:themeColor="text2"/>
          <w:lang w:val="en-GB"/>
        </w:rPr>
        <w:t xml:space="preserve"> </w:t>
      </w:r>
      <w:r w:rsidR="00421B41" w:rsidRPr="00B306B3">
        <w:rPr>
          <w:color w:val="1F497D" w:themeColor="text2"/>
          <w:lang w:val="en-GB"/>
        </w:rPr>
        <w:t>)</w:t>
      </w:r>
    </w:p>
    <w:p w14:paraId="61EAFAD1" w14:textId="77777777" w:rsidR="00E27A75" w:rsidRPr="00805152" w:rsidRDefault="00E27A75" w:rsidP="00A127A2">
      <w:pPr>
        <w:pStyle w:val="Heading3"/>
        <w:rPr>
          <w:rFonts w:ascii="Times New Roman" w:hAnsi="Times New Roman"/>
          <w:lang w:val="bg-BG"/>
        </w:rPr>
      </w:pPr>
      <w:bookmarkStart w:id="44" w:name="_Toc126492677"/>
      <w:bookmarkStart w:id="45" w:name="_Toc136961091"/>
      <w:r w:rsidRPr="00805152">
        <w:rPr>
          <w:rFonts w:ascii="Times New Roman" w:hAnsi="Times New Roman"/>
          <w:lang w:val="bg-BG"/>
        </w:rPr>
        <w:t>Валежи – Дъжд</w:t>
      </w:r>
      <w:bookmarkEnd w:id="44"/>
      <w:bookmarkEnd w:id="45"/>
      <w:r w:rsidRPr="00805152">
        <w:rPr>
          <w:rFonts w:ascii="Times New Roman" w:hAnsi="Times New Roman"/>
          <w:lang w:val="bg-BG"/>
        </w:rPr>
        <w:t xml:space="preserve"> </w:t>
      </w:r>
    </w:p>
    <w:p w14:paraId="0EA51CF0" w14:textId="54513795" w:rsidR="00E27A75" w:rsidRPr="00805152" w:rsidRDefault="00E27A75" w:rsidP="00C958EE">
      <w:pPr>
        <w:spacing w:after="0"/>
        <w:ind w:firstLine="709"/>
        <w:jc w:val="center"/>
        <w:rPr>
          <w:rFonts w:ascii="Times New Roman" w:eastAsia="Times New Roman" w:hAnsi="Times New Roman"/>
          <w:i/>
          <w:iCs/>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7</w:t>
      </w:r>
      <w:r w:rsidRPr="00805152">
        <w:rPr>
          <w:rFonts w:ascii="Times New Roman" w:eastAsia="Times New Roman" w:hAnsi="Times New Roman"/>
          <w:iCs/>
          <w:sz w:val="22"/>
          <w:lang w:val="bg-BG"/>
        </w:rPr>
        <w:fldChar w:fldCharType="end"/>
      </w:r>
      <w:r w:rsidRPr="00805152">
        <w:rPr>
          <w:rFonts w:ascii="Times New Roman" w:eastAsia="Times New Roman" w:hAnsi="Times New Roman"/>
          <w:i/>
          <w:iCs/>
          <w:sz w:val="22"/>
          <w:lang w:val="bg-BG"/>
        </w:rPr>
        <w:t>:</w:t>
      </w:r>
      <w:r w:rsidRPr="00805152">
        <w:rPr>
          <w:rFonts w:ascii="Times New Roman" w:eastAsia="Times New Roman" w:hAnsi="Times New Roman"/>
          <w:bCs/>
          <w:i/>
          <w:iCs/>
          <w:sz w:val="22"/>
          <w:lang w:val="bg-BG"/>
        </w:rPr>
        <w:t xml:space="preserve"> </w:t>
      </w:r>
      <w:r w:rsidRPr="00805152">
        <w:rPr>
          <w:rFonts w:ascii="Times New Roman" w:eastAsia="Times New Roman" w:hAnsi="Times New Roman"/>
          <w:i/>
          <w:iCs/>
          <w:sz w:val="22"/>
          <w:lang w:val="bg-BG"/>
        </w:rPr>
        <w:t>Валежи от дъжд и сняг за 55 г. период на наблюдения (1931 – 1985)</w:t>
      </w:r>
    </w:p>
    <w:tbl>
      <w:tblPr>
        <w:tblStyle w:val="RHDHVTable42"/>
        <w:tblW w:w="10065" w:type="dxa"/>
        <w:shd w:val="clear" w:color="auto" w:fill="E6F5C6"/>
        <w:tblLayout w:type="fixed"/>
        <w:tblCellMar>
          <w:left w:w="5" w:type="dxa"/>
          <w:right w:w="5" w:type="dxa"/>
        </w:tblCellMar>
        <w:tblLook w:val="00A0" w:firstRow="1" w:lastRow="0" w:firstColumn="1" w:lastColumn="0" w:noHBand="0" w:noVBand="0"/>
      </w:tblPr>
      <w:tblGrid>
        <w:gridCol w:w="351"/>
        <w:gridCol w:w="2349"/>
        <w:gridCol w:w="561"/>
        <w:gridCol w:w="566"/>
        <w:gridCol w:w="568"/>
        <w:gridCol w:w="567"/>
        <w:gridCol w:w="566"/>
        <w:gridCol w:w="568"/>
        <w:gridCol w:w="567"/>
        <w:gridCol w:w="566"/>
        <w:gridCol w:w="568"/>
        <w:gridCol w:w="567"/>
        <w:gridCol w:w="566"/>
        <w:gridCol w:w="568"/>
        <w:gridCol w:w="567"/>
      </w:tblGrid>
      <w:tr w:rsidR="0060005F" w:rsidRPr="00805152" w14:paraId="1D631E28" w14:textId="77777777" w:rsidTr="008647B8">
        <w:trPr>
          <w:cnfStyle w:val="100000000000" w:firstRow="1" w:lastRow="0" w:firstColumn="0" w:lastColumn="0" w:oddVBand="0" w:evenVBand="0" w:oddHBand="0" w:evenHBand="0" w:firstRowFirstColumn="0" w:firstRowLastColumn="0" w:lastRowFirstColumn="0" w:lastRowLastColumn="0"/>
          <w:cantSplit/>
          <w:trHeight w:val="113"/>
          <w:tblHeader/>
        </w:trPr>
        <w:tc>
          <w:tcPr>
            <w:tcW w:w="35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DDA8082" w14:textId="238E08CB" w:rsidR="00E27A75" w:rsidRPr="00805152" w:rsidRDefault="00733A8C" w:rsidP="00D71836">
            <w:pPr>
              <w:widowControl w:val="0"/>
              <w:spacing w:after="0" w:line="240" w:lineRule="auto"/>
              <w:ind w:left="2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w:t>
            </w:r>
          </w:p>
        </w:tc>
        <w:tc>
          <w:tcPr>
            <w:tcW w:w="234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280D7FD" w14:textId="77777777" w:rsidR="00E27A75" w:rsidRPr="00805152" w:rsidRDefault="00E27A75" w:rsidP="00D71836">
            <w:pPr>
              <w:widowControl w:val="0"/>
              <w:spacing w:after="0" w:line="240" w:lineRule="auto"/>
              <w:ind w:left="21" w:right="1228"/>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 xml:space="preserve">Валежи </w:t>
            </w:r>
          </w:p>
        </w:tc>
        <w:tc>
          <w:tcPr>
            <w:tcW w:w="56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3EAD9CE" w14:textId="77777777" w:rsidR="00E27A75" w:rsidRPr="00805152" w:rsidRDefault="00E27A75" w:rsidP="00D71836">
            <w:pPr>
              <w:widowControl w:val="0"/>
              <w:spacing w:after="0" w:line="240" w:lineRule="auto"/>
              <w:ind w:right="1"/>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w:t>
            </w:r>
          </w:p>
        </w:tc>
        <w:tc>
          <w:tcPr>
            <w:tcW w:w="56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3B285F6" w14:textId="77777777" w:rsidR="00E27A75" w:rsidRPr="00805152" w:rsidRDefault="00E27A75" w:rsidP="00D71836">
            <w:pPr>
              <w:widowControl w:val="0"/>
              <w:spacing w:after="0" w:line="240" w:lineRule="auto"/>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II</w:t>
            </w:r>
          </w:p>
        </w:tc>
        <w:tc>
          <w:tcPr>
            <w:tcW w:w="56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2C9E4D8" w14:textId="77777777" w:rsidR="00E27A75" w:rsidRPr="00805152" w:rsidRDefault="00E27A75" w:rsidP="00D71836">
            <w:pPr>
              <w:widowControl w:val="0"/>
              <w:spacing w:after="0" w:line="240" w:lineRule="auto"/>
              <w:ind w:left="179"/>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III</w:t>
            </w:r>
          </w:p>
        </w:tc>
        <w:tc>
          <w:tcPr>
            <w:tcW w:w="56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65CE7F7" w14:textId="77777777" w:rsidR="00E27A75" w:rsidRPr="00805152" w:rsidRDefault="00E27A75" w:rsidP="00D71836">
            <w:pPr>
              <w:widowControl w:val="0"/>
              <w:spacing w:after="0" w:line="240" w:lineRule="auto"/>
              <w:ind w:left="166"/>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IV</w:t>
            </w:r>
          </w:p>
        </w:tc>
        <w:tc>
          <w:tcPr>
            <w:tcW w:w="56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53BE319" w14:textId="77777777" w:rsidR="00E27A75" w:rsidRPr="00805152" w:rsidRDefault="00E27A75" w:rsidP="00D71836">
            <w:pPr>
              <w:widowControl w:val="0"/>
              <w:spacing w:after="0" w:line="240" w:lineRule="auto"/>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w:t>
            </w:r>
          </w:p>
        </w:tc>
        <w:tc>
          <w:tcPr>
            <w:tcW w:w="56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583ECEE" w14:textId="77777777" w:rsidR="00E27A75" w:rsidRPr="00805152" w:rsidRDefault="00E27A75" w:rsidP="00D71836">
            <w:pPr>
              <w:widowControl w:val="0"/>
              <w:spacing w:after="0" w:line="240" w:lineRule="auto"/>
              <w:ind w:left="167"/>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w:t>
            </w:r>
          </w:p>
        </w:tc>
        <w:tc>
          <w:tcPr>
            <w:tcW w:w="56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1253ECE" w14:textId="77777777" w:rsidR="00E27A75" w:rsidRPr="00805152" w:rsidRDefault="00E27A75" w:rsidP="00D71836">
            <w:pPr>
              <w:widowControl w:val="0"/>
              <w:spacing w:after="0" w:line="240" w:lineRule="auto"/>
              <w:ind w:left="139"/>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VII</w:t>
            </w:r>
          </w:p>
        </w:tc>
        <w:tc>
          <w:tcPr>
            <w:tcW w:w="56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E71E3C" w14:textId="77777777" w:rsidR="00E27A75" w:rsidRPr="00805152" w:rsidRDefault="00E27A75" w:rsidP="00D71836">
            <w:pPr>
              <w:widowControl w:val="0"/>
              <w:spacing w:after="0" w:line="240" w:lineRule="auto"/>
              <w:ind w:left="107"/>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VIII</w:t>
            </w:r>
          </w:p>
        </w:tc>
        <w:tc>
          <w:tcPr>
            <w:tcW w:w="56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97F9C85" w14:textId="77777777" w:rsidR="00E27A75" w:rsidRPr="00805152" w:rsidRDefault="00E27A75" w:rsidP="00D71836">
            <w:pPr>
              <w:widowControl w:val="0"/>
              <w:spacing w:after="0" w:line="240" w:lineRule="auto"/>
              <w:ind w:left="167"/>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IX</w:t>
            </w:r>
          </w:p>
        </w:tc>
        <w:tc>
          <w:tcPr>
            <w:tcW w:w="56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FA4610C" w14:textId="77777777" w:rsidR="00E27A75" w:rsidRPr="00805152" w:rsidRDefault="00E27A75" w:rsidP="00D71836">
            <w:pPr>
              <w:widowControl w:val="0"/>
              <w:spacing w:after="0" w:line="240" w:lineRule="auto"/>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w:t>
            </w:r>
          </w:p>
        </w:tc>
        <w:tc>
          <w:tcPr>
            <w:tcW w:w="56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02BF52F" w14:textId="77777777" w:rsidR="00E27A75" w:rsidRPr="00805152" w:rsidRDefault="00E27A75" w:rsidP="00D71836">
            <w:pPr>
              <w:widowControl w:val="0"/>
              <w:spacing w:after="0" w:line="240" w:lineRule="auto"/>
              <w:ind w:left="167"/>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XI</w:t>
            </w:r>
          </w:p>
        </w:tc>
        <w:tc>
          <w:tcPr>
            <w:tcW w:w="56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169CE3D" w14:textId="77777777" w:rsidR="00E27A75" w:rsidRPr="00805152" w:rsidRDefault="00E27A75" w:rsidP="00D71836">
            <w:pPr>
              <w:widowControl w:val="0"/>
              <w:spacing w:after="0" w:line="240" w:lineRule="auto"/>
              <w:ind w:left="139"/>
              <w:jc w:val="center"/>
              <w:rPr>
                <w:rFonts w:ascii="Times New Roman" w:hAnsi="Times New Roman" w:cs="Times New Roman"/>
                <w:color w:val="auto"/>
                <w:sz w:val="20"/>
                <w:lang w:val="bg-BG"/>
              </w:rPr>
            </w:pPr>
            <w:r w:rsidRPr="00805152">
              <w:rPr>
                <w:rFonts w:ascii="Times New Roman" w:hAnsi="Times New Roman" w:cs="Times New Roman"/>
                <w:bCs/>
                <w:color w:val="auto"/>
                <w:sz w:val="20"/>
                <w:lang w:val="bg-BG"/>
              </w:rPr>
              <w:t>XII</w:t>
            </w:r>
          </w:p>
        </w:tc>
        <w:tc>
          <w:tcPr>
            <w:tcW w:w="56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319BC8C" w14:textId="77777777" w:rsidR="00E27A75" w:rsidRPr="00805152" w:rsidRDefault="00E27A75" w:rsidP="00D71836">
            <w:pPr>
              <w:widowControl w:val="0"/>
              <w:spacing w:after="0" w:line="240" w:lineRule="auto"/>
              <w:ind w:left="40"/>
              <w:jc w:val="center"/>
              <w:rPr>
                <w:rFonts w:ascii="Times New Roman" w:hAnsi="Times New Roman" w:cs="Times New Roman"/>
                <w:color w:val="auto"/>
                <w:sz w:val="18"/>
                <w:szCs w:val="18"/>
                <w:lang w:val="bg-BG"/>
              </w:rPr>
            </w:pPr>
            <w:r w:rsidRPr="00805152">
              <w:rPr>
                <w:rFonts w:ascii="Times New Roman" w:hAnsi="Times New Roman" w:cs="Times New Roman"/>
                <w:bCs/>
                <w:color w:val="auto"/>
                <w:sz w:val="18"/>
                <w:szCs w:val="18"/>
                <w:lang w:val="bg-BG"/>
              </w:rPr>
              <w:t>Год.</w:t>
            </w:r>
          </w:p>
        </w:tc>
      </w:tr>
      <w:tr w:rsidR="00E27A75" w:rsidRPr="00805152" w14:paraId="7B41D052" w14:textId="77777777" w:rsidTr="0060005F">
        <w:trPr>
          <w:cantSplit/>
          <w:trHeight w:val="113"/>
        </w:trPr>
        <w:tc>
          <w:tcPr>
            <w:tcW w:w="351" w:type="dxa"/>
            <w:tcBorders>
              <w:top w:val="single" w:sz="4" w:space="0" w:color="auto"/>
              <w:left w:val="single" w:sz="4" w:space="0" w:color="000000"/>
              <w:bottom w:val="single" w:sz="4" w:space="0" w:color="000000"/>
              <w:right w:val="single" w:sz="4" w:space="0" w:color="000000"/>
            </w:tcBorders>
            <w:shd w:val="clear" w:color="auto" w:fill="auto"/>
          </w:tcPr>
          <w:p w14:paraId="7E88948F"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1</w:t>
            </w:r>
          </w:p>
        </w:tc>
        <w:tc>
          <w:tcPr>
            <w:tcW w:w="2349" w:type="dxa"/>
            <w:tcBorders>
              <w:top w:val="single" w:sz="4" w:space="0" w:color="auto"/>
              <w:left w:val="single" w:sz="4" w:space="0" w:color="000000"/>
              <w:bottom w:val="single" w:sz="4" w:space="0" w:color="000000"/>
              <w:right w:val="single" w:sz="4" w:space="0" w:color="000000"/>
            </w:tcBorders>
            <w:shd w:val="clear" w:color="auto" w:fill="auto"/>
          </w:tcPr>
          <w:p w14:paraId="58B81C59" w14:textId="77777777" w:rsidR="00E27A75" w:rsidRPr="00805152" w:rsidRDefault="00E27A75" w:rsidP="00D71836">
            <w:pPr>
              <w:widowControl w:val="0"/>
              <w:spacing w:after="0" w:line="240" w:lineRule="auto"/>
              <w:ind w:left="21" w:right="19"/>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Средно месечни (мм)</w:t>
            </w:r>
          </w:p>
        </w:tc>
        <w:tc>
          <w:tcPr>
            <w:tcW w:w="561" w:type="dxa"/>
            <w:tcBorders>
              <w:top w:val="single" w:sz="4" w:space="0" w:color="auto"/>
              <w:left w:val="single" w:sz="4" w:space="0" w:color="000000"/>
              <w:bottom w:val="single" w:sz="4" w:space="0" w:color="000000"/>
              <w:right w:val="single" w:sz="4" w:space="0" w:color="000000"/>
            </w:tcBorders>
            <w:shd w:val="clear" w:color="auto" w:fill="auto"/>
          </w:tcPr>
          <w:p w14:paraId="2A24597A"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45</w:t>
            </w:r>
          </w:p>
        </w:tc>
        <w:tc>
          <w:tcPr>
            <w:tcW w:w="566" w:type="dxa"/>
            <w:tcBorders>
              <w:top w:val="single" w:sz="4" w:space="0" w:color="auto"/>
              <w:left w:val="single" w:sz="4" w:space="0" w:color="000000"/>
              <w:bottom w:val="single" w:sz="4" w:space="0" w:color="000000"/>
              <w:right w:val="single" w:sz="4" w:space="0" w:color="000000"/>
            </w:tcBorders>
            <w:shd w:val="clear" w:color="auto" w:fill="auto"/>
          </w:tcPr>
          <w:p w14:paraId="4F895A50"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42</w:t>
            </w:r>
          </w:p>
        </w:tc>
        <w:tc>
          <w:tcPr>
            <w:tcW w:w="568" w:type="dxa"/>
            <w:tcBorders>
              <w:top w:val="single" w:sz="4" w:space="0" w:color="auto"/>
              <w:left w:val="single" w:sz="4" w:space="0" w:color="000000"/>
              <w:bottom w:val="single" w:sz="4" w:space="0" w:color="000000"/>
              <w:right w:val="single" w:sz="4" w:space="0" w:color="000000"/>
            </w:tcBorders>
            <w:shd w:val="clear" w:color="auto" w:fill="auto"/>
          </w:tcPr>
          <w:p w14:paraId="635A835B"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35</w:t>
            </w:r>
          </w:p>
        </w:tc>
        <w:tc>
          <w:tcPr>
            <w:tcW w:w="567" w:type="dxa"/>
            <w:tcBorders>
              <w:top w:val="single" w:sz="4" w:space="0" w:color="auto"/>
              <w:left w:val="single" w:sz="4" w:space="0" w:color="000000"/>
              <w:bottom w:val="single" w:sz="4" w:space="0" w:color="000000"/>
              <w:right w:val="single" w:sz="4" w:space="0" w:color="000000"/>
            </w:tcBorders>
            <w:shd w:val="clear" w:color="auto" w:fill="auto"/>
          </w:tcPr>
          <w:p w14:paraId="226E2129" w14:textId="77777777" w:rsidR="00E27A75" w:rsidRPr="00805152" w:rsidRDefault="00E27A75" w:rsidP="00D71836">
            <w:pPr>
              <w:widowControl w:val="0"/>
              <w:spacing w:after="0" w:line="240" w:lineRule="auto"/>
              <w:ind w:left="14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44</w:t>
            </w:r>
          </w:p>
        </w:tc>
        <w:tc>
          <w:tcPr>
            <w:tcW w:w="566" w:type="dxa"/>
            <w:tcBorders>
              <w:top w:val="single" w:sz="4" w:space="0" w:color="auto"/>
              <w:left w:val="single" w:sz="4" w:space="0" w:color="000000"/>
              <w:bottom w:val="single" w:sz="4" w:space="0" w:color="000000"/>
              <w:right w:val="single" w:sz="4" w:space="0" w:color="000000"/>
            </w:tcBorders>
            <w:shd w:val="clear" w:color="auto" w:fill="auto"/>
          </w:tcPr>
          <w:p w14:paraId="75FAF955"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48</w:t>
            </w:r>
          </w:p>
        </w:tc>
        <w:tc>
          <w:tcPr>
            <w:tcW w:w="568" w:type="dxa"/>
            <w:tcBorders>
              <w:top w:val="single" w:sz="4" w:space="0" w:color="auto"/>
              <w:left w:val="single" w:sz="4" w:space="0" w:color="000000"/>
              <w:bottom w:val="single" w:sz="4" w:space="0" w:color="000000"/>
              <w:right w:val="single" w:sz="4" w:space="0" w:color="000000"/>
            </w:tcBorders>
            <w:shd w:val="clear" w:color="auto" w:fill="auto"/>
          </w:tcPr>
          <w:p w14:paraId="383C311C"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56</w:t>
            </w:r>
          </w:p>
        </w:tc>
        <w:tc>
          <w:tcPr>
            <w:tcW w:w="567" w:type="dxa"/>
            <w:tcBorders>
              <w:top w:val="single" w:sz="4" w:space="0" w:color="auto"/>
              <w:left w:val="single" w:sz="4" w:space="0" w:color="000000"/>
              <w:bottom w:val="single" w:sz="4" w:space="0" w:color="000000"/>
              <w:right w:val="single" w:sz="4" w:space="0" w:color="000000"/>
            </w:tcBorders>
            <w:shd w:val="clear" w:color="auto" w:fill="auto"/>
          </w:tcPr>
          <w:p w14:paraId="7834C321"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40</w:t>
            </w:r>
          </w:p>
        </w:tc>
        <w:tc>
          <w:tcPr>
            <w:tcW w:w="566" w:type="dxa"/>
            <w:tcBorders>
              <w:top w:val="single" w:sz="4" w:space="0" w:color="auto"/>
              <w:left w:val="single" w:sz="4" w:space="0" w:color="000000"/>
              <w:bottom w:val="single" w:sz="4" w:space="0" w:color="000000"/>
              <w:right w:val="single" w:sz="4" w:space="0" w:color="000000"/>
            </w:tcBorders>
            <w:shd w:val="clear" w:color="auto" w:fill="auto"/>
          </w:tcPr>
          <w:p w14:paraId="1B2EBF87"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29</w:t>
            </w:r>
          </w:p>
        </w:tc>
        <w:tc>
          <w:tcPr>
            <w:tcW w:w="568" w:type="dxa"/>
            <w:tcBorders>
              <w:top w:val="single" w:sz="4" w:space="0" w:color="auto"/>
              <w:left w:val="single" w:sz="4" w:space="0" w:color="000000"/>
              <w:bottom w:val="single" w:sz="4" w:space="0" w:color="000000"/>
              <w:right w:val="single" w:sz="4" w:space="0" w:color="000000"/>
            </w:tcBorders>
            <w:shd w:val="clear" w:color="auto" w:fill="auto"/>
          </w:tcPr>
          <w:p w14:paraId="6B765F4E"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36</w:t>
            </w:r>
          </w:p>
        </w:tc>
        <w:tc>
          <w:tcPr>
            <w:tcW w:w="567" w:type="dxa"/>
            <w:tcBorders>
              <w:top w:val="single" w:sz="4" w:space="0" w:color="auto"/>
              <w:left w:val="single" w:sz="4" w:space="0" w:color="000000"/>
              <w:bottom w:val="single" w:sz="4" w:space="0" w:color="000000"/>
              <w:right w:val="single" w:sz="4" w:space="0" w:color="000000"/>
            </w:tcBorders>
            <w:shd w:val="clear" w:color="auto" w:fill="auto"/>
          </w:tcPr>
          <w:p w14:paraId="37331531"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47</w:t>
            </w:r>
          </w:p>
        </w:tc>
        <w:tc>
          <w:tcPr>
            <w:tcW w:w="566" w:type="dxa"/>
            <w:tcBorders>
              <w:top w:val="single" w:sz="4" w:space="0" w:color="auto"/>
              <w:left w:val="single" w:sz="4" w:space="0" w:color="000000"/>
              <w:bottom w:val="single" w:sz="4" w:space="0" w:color="000000"/>
              <w:right w:val="single" w:sz="4" w:space="0" w:color="000000"/>
            </w:tcBorders>
            <w:shd w:val="clear" w:color="auto" w:fill="auto"/>
          </w:tcPr>
          <w:p w14:paraId="3DC0DB55"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60</w:t>
            </w:r>
          </w:p>
        </w:tc>
        <w:tc>
          <w:tcPr>
            <w:tcW w:w="568" w:type="dxa"/>
            <w:tcBorders>
              <w:top w:val="single" w:sz="4" w:space="0" w:color="auto"/>
              <w:left w:val="single" w:sz="4" w:space="0" w:color="000000"/>
              <w:bottom w:val="single" w:sz="4" w:space="0" w:color="000000"/>
              <w:right w:val="single" w:sz="4" w:space="0" w:color="000000"/>
            </w:tcBorders>
            <w:shd w:val="clear" w:color="auto" w:fill="auto"/>
          </w:tcPr>
          <w:p w14:paraId="2AAB2040"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58</w:t>
            </w:r>
          </w:p>
        </w:tc>
        <w:tc>
          <w:tcPr>
            <w:tcW w:w="567" w:type="dxa"/>
            <w:tcBorders>
              <w:top w:val="single" w:sz="4" w:space="0" w:color="auto"/>
              <w:left w:val="single" w:sz="4" w:space="0" w:color="000000"/>
              <w:bottom w:val="single" w:sz="4" w:space="0" w:color="000000"/>
              <w:right w:val="single" w:sz="4" w:space="0" w:color="000000"/>
            </w:tcBorders>
            <w:shd w:val="clear" w:color="auto" w:fill="auto"/>
          </w:tcPr>
          <w:p w14:paraId="0200FEF6" w14:textId="77777777" w:rsidR="00E27A75" w:rsidRPr="00805152" w:rsidRDefault="00E27A75" w:rsidP="00D71836">
            <w:pPr>
              <w:widowControl w:val="0"/>
              <w:spacing w:after="0" w:line="240" w:lineRule="auto"/>
              <w:ind w:left="8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543</w:t>
            </w:r>
          </w:p>
        </w:tc>
      </w:tr>
      <w:tr w:rsidR="00E27A75" w:rsidRPr="00805152" w14:paraId="7C5C7AE3" w14:textId="77777777" w:rsidTr="00D71836">
        <w:trPr>
          <w:cantSplit/>
          <w:trHeight w:val="488"/>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26E1D965"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2</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415DCEFC" w14:textId="77777777" w:rsidR="00E27A75" w:rsidRPr="00805152" w:rsidRDefault="00E27A75" w:rsidP="00D71836">
            <w:pPr>
              <w:widowControl w:val="0"/>
              <w:tabs>
                <w:tab w:val="left" w:pos="1717"/>
                <w:tab w:val="left" w:pos="2344"/>
              </w:tabs>
              <w:spacing w:after="0" w:line="240" w:lineRule="auto"/>
              <w:ind w:left="21" w:right="18"/>
              <w:jc w:val="left"/>
              <w:rPr>
                <w:rFonts w:ascii="Times New Roman" w:hAnsi="Times New Roman" w:cs="Times New Roman"/>
                <w:color w:val="auto"/>
                <w:sz w:val="18"/>
                <w:szCs w:val="18"/>
                <w:lang w:val="bg-BG"/>
              </w:rPr>
            </w:pPr>
            <w:r w:rsidRPr="00805152">
              <w:rPr>
                <w:rFonts w:ascii="Times New Roman" w:hAnsi="Times New Roman" w:cs="Times New Roman"/>
                <w:color w:val="auto"/>
                <w:spacing w:val="-1"/>
                <w:sz w:val="18"/>
                <w:szCs w:val="18"/>
                <w:lang w:val="bg-BG"/>
              </w:rPr>
              <w:t>Средна квадратна девиация от месечни валежи (мм</w:t>
            </w:r>
            <w:r w:rsidRPr="00805152">
              <w:rPr>
                <w:rFonts w:ascii="Times New Roman" w:hAnsi="Times New Roman" w:cs="Times New Roman"/>
                <w:color w:val="auto"/>
                <w:sz w:val="18"/>
                <w:szCs w:val="18"/>
                <w:lang w:val="bg-BG"/>
              </w:rPr>
              <w:t>)</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46DA647A"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25</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34D685F"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31</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0BA9EC5E"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10DD7C30" w14:textId="77777777" w:rsidR="00E27A75" w:rsidRPr="00805152" w:rsidRDefault="00E27A75" w:rsidP="00D71836">
            <w:pPr>
              <w:widowControl w:val="0"/>
              <w:spacing w:after="0" w:line="240" w:lineRule="auto"/>
              <w:ind w:left="14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23</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BF1ED18"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2B217947"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41</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E365E2D"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35</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6C7C5D4"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25</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78FD3BEA"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25F08169"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34</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6A1674C"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41</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49049365"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4F9759CA"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r w:rsidR="00E27A75" w:rsidRPr="00805152" w14:paraId="01C12A85"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02E354DF"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3</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663BB2F8" w14:textId="77777777" w:rsidR="00E27A75" w:rsidRPr="00805152" w:rsidRDefault="00E27A75" w:rsidP="00D71836">
            <w:pPr>
              <w:widowControl w:val="0"/>
              <w:tabs>
                <w:tab w:val="left" w:pos="1722"/>
              </w:tabs>
              <w:spacing w:after="0" w:line="240" w:lineRule="auto"/>
              <w:ind w:left="21" w:right="20"/>
              <w:jc w:val="left"/>
              <w:rPr>
                <w:rFonts w:ascii="Times New Roman" w:hAnsi="Times New Roman" w:cs="Times New Roman"/>
                <w:color w:val="auto"/>
                <w:sz w:val="18"/>
                <w:szCs w:val="18"/>
                <w:lang w:val="bg-BG"/>
              </w:rPr>
            </w:pPr>
            <w:r w:rsidRPr="00805152">
              <w:rPr>
                <w:rFonts w:ascii="Times New Roman" w:hAnsi="Times New Roman" w:cs="Times New Roman"/>
                <w:color w:val="auto"/>
                <w:spacing w:val="-1"/>
                <w:sz w:val="18"/>
                <w:szCs w:val="18"/>
                <w:lang w:val="bg-BG"/>
              </w:rPr>
              <w:t xml:space="preserve">Средни мес. валежи </w:t>
            </w:r>
            <w:r w:rsidRPr="00805152">
              <w:rPr>
                <w:rFonts w:ascii="Times New Roman" w:hAnsi="Times New Roman" w:cs="Times New Roman"/>
                <w:color w:val="auto"/>
                <w:sz w:val="18"/>
                <w:szCs w:val="18"/>
                <w:lang w:val="bg-BG"/>
              </w:rPr>
              <w:t>(мм)</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1B4DCAA3"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93</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26380F8" w14:textId="77777777" w:rsidR="00E27A75" w:rsidRPr="00805152" w:rsidRDefault="00E27A75" w:rsidP="00D71836">
            <w:pPr>
              <w:widowControl w:val="0"/>
              <w:spacing w:after="0" w:line="240" w:lineRule="auto"/>
              <w:ind w:left="8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157</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0E5774F3" w14:textId="77777777" w:rsidR="00E27A75" w:rsidRPr="00805152" w:rsidRDefault="00E27A75" w:rsidP="00D71836">
            <w:pPr>
              <w:widowControl w:val="0"/>
              <w:spacing w:after="0" w:line="240" w:lineRule="auto"/>
              <w:ind w:left="8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139</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4C2E535C" w14:textId="77777777" w:rsidR="00E27A75" w:rsidRPr="00805152" w:rsidRDefault="00E27A75" w:rsidP="00D71836">
            <w:pPr>
              <w:widowControl w:val="0"/>
              <w:spacing w:after="0" w:line="240" w:lineRule="auto"/>
              <w:ind w:left="8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109</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2840DC65"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114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5B53DEB7"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199</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B93EC05"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134</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4D257FB"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96</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0485FBB3"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131</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2315A865"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150</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0E9DE2C"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187</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76FCE94A" w14:textId="77777777" w:rsidR="00E27A75" w:rsidRPr="00805152" w:rsidRDefault="00E27A75" w:rsidP="00D71836">
            <w:pPr>
              <w:widowControl w:val="0"/>
              <w:spacing w:after="0" w:line="240" w:lineRule="auto"/>
              <w:ind w:left="8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143</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5F8EBBA2" w14:textId="77777777" w:rsidR="00E27A75" w:rsidRPr="00805152" w:rsidRDefault="00E27A75" w:rsidP="00D71836">
            <w:pPr>
              <w:widowControl w:val="0"/>
              <w:spacing w:after="0" w:line="240" w:lineRule="auto"/>
              <w:ind w:left="8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962</w:t>
            </w:r>
          </w:p>
        </w:tc>
      </w:tr>
      <w:tr w:rsidR="00E27A75" w:rsidRPr="00805152" w14:paraId="3D48ED82"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6A88DCAC"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4</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1F86A0B5" w14:textId="77777777" w:rsidR="00E27A75" w:rsidRPr="00805152" w:rsidRDefault="00E27A75" w:rsidP="00D71836">
            <w:pPr>
              <w:widowControl w:val="0"/>
              <w:spacing w:after="0" w:line="240" w:lineRule="auto"/>
              <w:ind w:left="21" w:right="19"/>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 xml:space="preserve">Максимални дневни валежи (мм) год. </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0AD011A7" w14:textId="77777777" w:rsidR="00E27A75" w:rsidRPr="00805152" w:rsidRDefault="00E27A75" w:rsidP="00D71836">
            <w:pPr>
              <w:widowControl w:val="0"/>
              <w:spacing w:after="0" w:line="240" w:lineRule="auto"/>
              <w:ind w:left="57"/>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47.2</w:t>
            </w:r>
          </w:p>
          <w:p w14:paraId="6B41FB99" w14:textId="77777777" w:rsidR="00E27A75" w:rsidRPr="00805152" w:rsidRDefault="00E27A75" w:rsidP="00D71836">
            <w:pPr>
              <w:widowControl w:val="0"/>
              <w:spacing w:after="0" w:line="240" w:lineRule="auto"/>
              <w:ind w:left="2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1977</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5D5E04CE" w14:textId="77777777" w:rsidR="00E27A75" w:rsidRPr="00805152" w:rsidRDefault="00E27A75" w:rsidP="00D71836">
            <w:pPr>
              <w:widowControl w:val="0"/>
              <w:spacing w:after="0" w:line="240" w:lineRule="auto"/>
              <w:ind w:left="57"/>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64.2</w:t>
            </w:r>
          </w:p>
          <w:p w14:paraId="7AEB4626" w14:textId="77777777" w:rsidR="00E27A75" w:rsidRPr="00805152" w:rsidRDefault="00E27A75" w:rsidP="00D71836">
            <w:pPr>
              <w:widowControl w:val="0"/>
              <w:spacing w:after="0" w:line="240" w:lineRule="auto"/>
              <w:ind w:left="2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1965</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2EEF0E8D" w14:textId="77777777" w:rsidR="00E27A75" w:rsidRPr="00805152" w:rsidRDefault="00E27A75" w:rsidP="00D71836">
            <w:pPr>
              <w:widowControl w:val="0"/>
              <w:spacing w:after="0" w:line="240" w:lineRule="auto"/>
              <w:ind w:left="57"/>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37.6</w:t>
            </w:r>
          </w:p>
          <w:p w14:paraId="240DFCAF" w14:textId="77777777" w:rsidR="00E27A75" w:rsidRPr="00805152" w:rsidRDefault="00E27A75" w:rsidP="00D71836">
            <w:pPr>
              <w:widowControl w:val="0"/>
              <w:spacing w:after="0" w:line="240" w:lineRule="auto"/>
              <w:ind w:left="2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1984</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47A387A9" w14:textId="77777777" w:rsidR="00E27A75" w:rsidRPr="00805152" w:rsidRDefault="00E27A75" w:rsidP="00D71836">
            <w:pPr>
              <w:widowControl w:val="0"/>
              <w:spacing w:after="0" w:line="240" w:lineRule="auto"/>
              <w:ind w:left="57"/>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42.3</w:t>
            </w:r>
          </w:p>
          <w:p w14:paraId="6798402D" w14:textId="77777777" w:rsidR="00E27A75" w:rsidRPr="00805152" w:rsidRDefault="00E27A75" w:rsidP="00D71836">
            <w:pPr>
              <w:widowControl w:val="0"/>
              <w:spacing w:after="0" w:line="240" w:lineRule="auto"/>
              <w:ind w:left="2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1957</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56E2D9C2" w14:textId="77777777" w:rsidR="00E27A75" w:rsidRPr="00805152" w:rsidRDefault="00E27A75" w:rsidP="00D71836">
            <w:pPr>
              <w:widowControl w:val="0"/>
              <w:spacing w:after="0" w:line="240" w:lineRule="auto"/>
              <w:ind w:left="5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39.0</w:t>
            </w:r>
          </w:p>
          <w:p w14:paraId="57C8D864"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1935</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4F226A44" w14:textId="77777777" w:rsidR="00E27A75" w:rsidRPr="00805152" w:rsidRDefault="00E27A75" w:rsidP="00D71836">
            <w:pPr>
              <w:widowControl w:val="0"/>
              <w:spacing w:after="0" w:line="240" w:lineRule="auto"/>
              <w:ind w:left="60"/>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97.0</w:t>
            </w:r>
          </w:p>
          <w:p w14:paraId="765388CB"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1935</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7DB3C8A1" w14:textId="77777777" w:rsidR="00E27A75" w:rsidRPr="00805152" w:rsidRDefault="00E27A75" w:rsidP="00D71836">
            <w:pPr>
              <w:widowControl w:val="0"/>
              <w:spacing w:after="0" w:line="240" w:lineRule="auto"/>
              <w:ind w:left="5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72.4</w:t>
            </w:r>
          </w:p>
          <w:p w14:paraId="7524D679"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1962</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2144E841" w14:textId="77777777" w:rsidR="00E27A75" w:rsidRPr="00805152" w:rsidRDefault="00E27A75" w:rsidP="00D71836">
            <w:pPr>
              <w:widowControl w:val="0"/>
              <w:spacing w:after="0" w:line="240" w:lineRule="auto"/>
              <w:ind w:left="60"/>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59.2</w:t>
            </w:r>
          </w:p>
          <w:p w14:paraId="6B8EC8AC"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1933</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5FB55E20" w14:textId="77777777" w:rsidR="00E27A75" w:rsidRPr="00805152" w:rsidRDefault="00E27A75" w:rsidP="00D71836">
            <w:pPr>
              <w:widowControl w:val="0"/>
              <w:spacing w:after="0" w:line="240" w:lineRule="auto"/>
              <w:ind w:left="5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62.4</w:t>
            </w:r>
          </w:p>
          <w:p w14:paraId="4BE8E457"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1983</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408CBAF7" w14:textId="77777777" w:rsidR="00E27A75" w:rsidRPr="00805152" w:rsidRDefault="00E27A75" w:rsidP="00D71836">
            <w:pPr>
              <w:widowControl w:val="0"/>
              <w:spacing w:after="0" w:line="240" w:lineRule="auto"/>
              <w:ind w:left="60"/>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73.0</w:t>
            </w:r>
          </w:p>
          <w:p w14:paraId="71ED7C01"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1931</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EBB303E" w14:textId="77777777" w:rsidR="00E27A75" w:rsidRPr="00805152" w:rsidRDefault="00E27A75" w:rsidP="00D71836">
            <w:pPr>
              <w:widowControl w:val="0"/>
              <w:spacing w:after="0" w:line="240" w:lineRule="auto"/>
              <w:ind w:left="5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92.5</w:t>
            </w:r>
          </w:p>
          <w:p w14:paraId="2E369A5C"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1931</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7FCC7B1B" w14:textId="77777777" w:rsidR="00E27A75" w:rsidRPr="00805152" w:rsidRDefault="00E27A75" w:rsidP="00D71836">
            <w:pPr>
              <w:widowControl w:val="0"/>
              <w:spacing w:after="0" w:line="240" w:lineRule="auto"/>
              <w:ind w:left="60"/>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47.5</w:t>
            </w:r>
          </w:p>
          <w:p w14:paraId="629BCA25" w14:textId="77777777" w:rsidR="00E27A75" w:rsidRPr="00805152" w:rsidRDefault="00E27A75" w:rsidP="00D71836">
            <w:pPr>
              <w:widowControl w:val="0"/>
              <w:spacing w:after="0" w:line="240" w:lineRule="auto"/>
              <w:ind w:left="2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1940</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0DA6D9B7" w14:textId="77777777" w:rsidR="00E27A75" w:rsidRPr="00805152" w:rsidRDefault="00E27A75" w:rsidP="00D71836">
            <w:pPr>
              <w:widowControl w:val="0"/>
              <w:spacing w:after="0" w:line="240" w:lineRule="auto"/>
              <w:ind w:left="57"/>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97.0</w:t>
            </w:r>
          </w:p>
          <w:p w14:paraId="54FB0703" w14:textId="77777777" w:rsidR="00E27A75" w:rsidRPr="00805152" w:rsidRDefault="00E27A75" w:rsidP="00D71836">
            <w:pPr>
              <w:widowControl w:val="0"/>
              <w:spacing w:after="0" w:line="240" w:lineRule="auto"/>
              <w:ind w:left="26"/>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1935</w:t>
            </w:r>
          </w:p>
        </w:tc>
      </w:tr>
      <w:tr w:rsidR="00E27A75" w:rsidRPr="00805152" w14:paraId="63395243"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31CC71E3"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5</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0B39ED41" w14:textId="77777777" w:rsidR="00E27A75" w:rsidRPr="00805152" w:rsidRDefault="00E27A75" w:rsidP="00D71836">
            <w:pPr>
              <w:widowControl w:val="0"/>
              <w:tabs>
                <w:tab w:val="left" w:pos="1069"/>
                <w:tab w:val="left" w:pos="1834"/>
                <w:tab w:val="left" w:pos="2475"/>
              </w:tabs>
              <w:spacing w:after="0" w:line="240" w:lineRule="auto"/>
              <w:ind w:left="21" w:right="21"/>
              <w:jc w:val="left"/>
              <w:rPr>
                <w:rFonts w:ascii="Times New Roman" w:hAnsi="Times New Roman" w:cs="Times New Roman"/>
                <w:color w:val="auto"/>
                <w:sz w:val="18"/>
                <w:szCs w:val="18"/>
                <w:lang w:val="bg-BG"/>
              </w:rPr>
            </w:pPr>
            <w:r w:rsidRPr="00805152">
              <w:rPr>
                <w:rFonts w:ascii="Times New Roman" w:hAnsi="Times New Roman" w:cs="Times New Roman"/>
                <w:color w:val="auto"/>
                <w:spacing w:val="-1"/>
                <w:sz w:val="18"/>
                <w:szCs w:val="18"/>
                <w:lang w:val="bg-BG"/>
              </w:rPr>
              <w:t>Ср. бр. дни с валежи в мес.</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484F9DA5"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15</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15FA446"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D2DE965"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14</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255FAAF9" w14:textId="77777777" w:rsidR="00E27A75" w:rsidRPr="00805152" w:rsidRDefault="00E27A75" w:rsidP="00D71836">
            <w:pPr>
              <w:widowControl w:val="0"/>
              <w:spacing w:after="0" w:line="240" w:lineRule="auto"/>
              <w:ind w:left="14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13</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622EDFC8"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B4BE6E1"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69E51CCD"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8</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58EE73A"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6</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26494E20"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7</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6546E1FD"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6B5881DF"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12</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D7B357C"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ABF980F"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r w:rsidR="00E27A75" w:rsidRPr="00805152" w14:paraId="3ABC1C3F"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2915B3E0"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6</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40A2628E" w14:textId="77777777" w:rsidR="00E27A75" w:rsidRPr="00805152" w:rsidRDefault="00E27A75" w:rsidP="00D71836">
            <w:pPr>
              <w:widowControl w:val="0"/>
              <w:spacing w:after="0" w:line="240" w:lineRule="auto"/>
              <w:ind w:left="21"/>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 xml:space="preserve">Среден брой дни с валежи от дъжд в месец </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30ABB4AF"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8</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63F61E9"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8</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089BF44D"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10</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61F7DA7A" w14:textId="77777777" w:rsidR="00E27A75" w:rsidRPr="00805152" w:rsidRDefault="00E27A75" w:rsidP="00D71836">
            <w:pPr>
              <w:widowControl w:val="0"/>
              <w:spacing w:after="0" w:line="240" w:lineRule="auto"/>
              <w:ind w:left="149"/>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13</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7C857679"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271EFF56"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6B3657FD"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8</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EDA6545"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6</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B6BD252"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7</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2706DDB"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9</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E332AC6"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12</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2BFCBAF5"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11</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199D185B"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r w:rsidR="00E27A75" w:rsidRPr="00805152" w14:paraId="1E13570F"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5D9477C6"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7</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23C3CD6F" w14:textId="77777777" w:rsidR="00E27A75" w:rsidRPr="00805152" w:rsidRDefault="00E27A75" w:rsidP="00D71836">
            <w:pPr>
              <w:widowControl w:val="0"/>
              <w:spacing w:after="0" w:line="240" w:lineRule="auto"/>
              <w:ind w:left="21"/>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Среден брой дни с валежи от сняг в месец</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29ACE162"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5</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684F4012"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4</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4359D9B7"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69021FE3"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118E4293"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199CC597"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2E54F092"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0B9DEC28"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44796936"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00C61CAE"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B46ED71"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7B0FE4A9"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2BC4202E"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r w:rsidR="00E27A75" w:rsidRPr="00805152" w14:paraId="71FC5210"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66FFA5D3"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8</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78898583" w14:textId="77777777" w:rsidR="00E27A75" w:rsidRPr="00805152" w:rsidRDefault="00E27A75" w:rsidP="00D71836">
            <w:pPr>
              <w:widowControl w:val="0"/>
              <w:spacing w:after="0" w:line="240" w:lineRule="auto"/>
              <w:ind w:left="21"/>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Среден брой дни с валежи от дъжд и сняг в месец</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4ED3E814"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27B19EA"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79DE6E6" w14:textId="77777777" w:rsidR="00E27A75" w:rsidRPr="00805152" w:rsidRDefault="00E27A75" w:rsidP="00D71836">
            <w:pPr>
              <w:widowControl w:val="0"/>
              <w:spacing w:after="0" w:line="240" w:lineRule="auto"/>
              <w:ind w:right="2"/>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FAFC492"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5514E5A9"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1DBB6F52"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AAA57FC"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3FE250E"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7E06101"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5F631D0"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0E1D938"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3571F52"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30596ECC"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r w:rsidR="00E27A75" w:rsidRPr="00805152" w14:paraId="1B9F6D59" w14:textId="77777777" w:rsidTr="00D71836">
        <w:trPr>
          <w:cantSplit/>
          <w:trHeight w:val="113"/>
        </w:trPr>
        <w:tc>
          <w:tcPr>
            <w:tcW w:w="351" w:type="dxa"/>
            <w:tcBorders>
              <w:top w:val="single" w:sz="4" w:space="0" w:color="000000"/>
              <w:left w:val="single" w:sz="4" w:space="0" w:color="000000"/>
              <w:bottom w:val="single" w:sz="4" w:space="0" w:color="000000"/>
              <w:right w:val="single" w:sz="4" w:space="0" w:color="000000"/>
            </w:tcBorders>
            <w:shd w:val="clear" w:color="auto" w:fill="auto"/>
          </w:tcPr>
          <w:p w14:paraId="77E5145D" w14:textId="77777777" w:rsidR="00E27A75" w:rsidRPr="00805152" w:rsidRDefault="00E27A75" w:rsidP="00D71836">
            <w:pPr>
              <w:widowControl w:val="0"/>
              <w:spacing w:after="0" w:line="240" w:lineRule="auto"/>
              <w:ind w:left="21"/>
              <w:jc w:val="center"/>
              <w:rPr>
                <w:rFonts w:ascii="Times New Roman" w:hAnsi="Times New Roman" w:cs="Times New Roman"/>
                <w:color w:val="auto"/>
                <w:sz w:val="18"/>
                <w:szCs w:val="18"/>
                <w:lang w:val="bg-BG"/>
              </w:rPr>
            </w:pPr>
            <w:r w:rsidRPr="00805152">
              <w:rPr>
                <w:rFonts w:ascii="Times New Roman" w:hAnsi="Times New Roman" w:cs="Times New Roman"/>
                <w:b/>
                <w:bCs/>
                <w:color w:val="auto"/>
                <w:sz w:val="18"/>
                <w:szCs w:val="18"/>
                <w:lang w:val="bg-BG"/>
              </w:rPr>
              <w:t>9</w:t>
            </w:r>
          </w:p>
        </w:tc>
        <w:tc>
          <w:tcPr>
            <w:tcW w:w="2349" w:type="dxa"/>
            <w:tcBorders>
              <w:top w:val="single" w:sz="4" w:space="0" w:color="000000"/>
              <w:left w:val="single" w:sz="4" w:space="0" w:color="000000"/>
              <w:bottom w:val="single" w:sz="4" w:space="0" w:color="000000"/>
              <w:right w:val="single" w:sz="4" w:space="0" w:color="000000"/>
            </w:tcBorders>
            <w:shd w:val="clear" w:color="auto" w:fill="auto"/>
          </w:tcPr>
          <w:p w14:paraId="2A4B2AFF" w14:textId="77777777" w:rsidR="00E27A75" w:rsidRPr="00805152" w:rsidRDefault="00E27A75" w:rsidP="00D71836">
            <w:pPr>
              <w:widowControl w:val="0"/>
              <w:tabs>
                <w:tab w:val="left" w:pos="484"/>
                <w:tab w:val="left" w:pos="1636"/>
              </w:tabs>
              <w:spacing w:after="0" w:line="240" w:lineRule="auto"/>
              <w:ind w:left="21" w:right="20"/>
              <w:jc w:val="left"/>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 xml:space="preserve">Максимална снежна покривка </w:t>
            </w:r>
            <w:r w:rsidRPr="00805152">
              <w:rPr>
                <w:rFonts w:ascii="Times New Roman" w:hAnsi="Times New Roman" w:cs="Times New Roman"/>
                <w:color w:val="auto"/>
                <w:spacing w:val="-56"/>
                <w:sz w:val="18"/>
                <w:szCs w:val="18"/>
                <w:lang w:val="bg-BG"/>
              </w:rPr>
              <w:t xml:space="preserve"> </w:t>
            </w:r>
            <w:r w:rsidRPr="00805152">
              <w:rPr>
                <w:rFonts w:ascii="Times New Roman" w:hAnsi="Times New Roman" w:cs="Times New Roman"/>
                <w:color w:val="auto"/>
                <w:sz w:val="18"/>
                <w:szCs w:val="18"/>
                <w:lang w:val="bg-BG"/>
              </w:rPr>
              <w:t>(см)</w:t>
            </w:r>
          </w:p>
        </w:tc>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20BD522E"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1A066483"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80</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024AB91B"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07ABE72D"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35</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68D05CD3"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1C85F352" w14:textId="77777777" w:rsidR="00E27A75" w:rsidRPr="00805152" w:rsidRDefault="00E27A75" w:rsidP="00D71836">
            <w:pPr>
              <w:widowControl w:val="0"/>
              <w:spacing w:after="0" w:line="240" w:lineRule="auto"/>
              <w:ind w:left="148"/>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20</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59D451D3"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4153FEF8" w14:textId="77777777" w:rsidR="00E27A75" w:rsidRPr="00805152" w:rsidRDefault="00E27A75" w:rsidP="00D71836">
            <w:pPr>
              <w:widowControl w:val="0"/>
              <w:spacing w:after="0" w:line="240" w:lineRule="auto"/>
              <w:ind w:right="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1</w:t>
            </w: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E693879"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5A865A1"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184FAC01"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43866606"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1604CED9"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51800611" w14:textId="77777777" w:rsidR="00E27A75" w:rsidRPr="00805152" w:rsidRDefault="00E27A75" w:rsidP="00D71836">
            <w:pPr>
              <w:spacing w:after="0" w:line="240" w:lineRule="auto"/>
              <w:jc w:val="center"/>
              <w:rPr>
                <w:rFonts w:ascii="Times New Roman" w:eastAsia="Times New Roman" w:hAnsi="Times New Roman" w:cs="Times New Roman"/>
                <w:color w:val="auto"/>
                <w:sz w:val="18"/>
                <w:szCs w:val="18"/>
                <w:lang w:val="bg-BG" w:eastAsia="en-GB"/>
              </w:rPr>
            </w:pPr>
          </w:p>
        </w:tc>
        <w:tc>
          <w:tcPr>
            <w:tcW w:w="566" w:type="dxa"/>
            <w:tcBorders>
              <w:top w:val="single" w:sz="4" w:space="0" w:color="000000"/>
              <w:left w:val="single" w:sz="4" w:space="0" w:color="000000"/>
              <w:bottom w:val="single" w:sz="4" w:space="0" w:color="000000"/>
              <w:right w:val="single" w:sz="4" w:space="0" w:color="000000"/>
            </w:tcBorders>
            <w:shd w:val="clear" w:color="auto" w:fill="auto"/>
          </w:tcPr>
          <w:p w14:paraId="37758C99"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339F9BEE"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w:t>
            </w:r>
          </w:p>
        </w:tc>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0D2DC4D8"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2FE53B9B" w14:textId="77777777" w:rsidR="00E27A75" w:rsidRPr="00805152" w:rsidRDefault="00E27A75" w:rsidP="00D71836">
            <w:pPr>
              <w:widowControl w:val="0"/>
              <w:spacing w:after="0" w:line="240" w:lineRule="auto"/>
              <w:ind w:left="151"/>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26</w:t>
            </w:r>
          </w:p>
        </w:tc>
        <w:tc>
          <w:tcPr>
            <w:tcW w:w="567" w:type="dxa"/>
            <w:tcBorders>
              <w:top w:val="single" w:sz="4" w:space="0" w:color="000000"/>
              <w:left w:val="single" w:sz="4" w:space="0" w:color="000000"/>
              <w:bottom w:val="single" w:sz="4" w:space="0" w:color="000000"/>
              <w:right w:val="single" w:sz="4" w:space="0" w:color="000000"/>
            </w:tcBorders>
            <w:shd w:val="clear" w:color="auto" w:fill="auto"/>
          </w:tcPr>
          <w:p w14:paraId="082C7870" w14:textId="77777777" w:rsidR="00E27A75" w:rsidRPr="00805152" w:rsidRDefault="00E27A75" w:rsidP="00D71836">
            <w:pPr>
              <w:widowControl w:val="0"/>
              <w:spacing w:after="0" w:line="240" w:lineRule="auto"/>
              <w:jc w:val="center"/>
              <w:rPr>
                <w:rFonts w:ascii="Times New Roman" w:hAnsi="Times New Roman" w:cs="Times New Roman"/>
                <w:color w:val="auto"/>
                <w:sz w:val="18"/>
                <w:szCs w:val="18"/>
                <w:lang w:val="bg-BG"/>
              </w:rPr>
            </w:pPr>
          </w:p>
          <w:p w14:paraId="2D150CF9" w14:textId="77777777" w:rsidR="00E27A75" w:rsidRPr="00805152" w:rsidRDefault="00E27A75" w:rsidP="00D71836">
            <w:pPr>
              <w:widowControl w:val="0"/>
              <w:spacing w:after="0" w:line="240" w:lineRule="auto"/>
              <w:ind w:right="3"/>
              <w:jc w:val="center"/>
              <w:rPr>
                <w:rFonts w:ascii="Times New Roman" w:hAnsi="Times New Roman" w:cs="Times New Roman"/>
                <w:color w:val="auto"/>
                <w:sz w:val="18"/>
                <w:szCs w:val="18"/>
                <w:lang w:val="bg-BG"/>
              </w:rPr>
            </w:pPr>
            <w:r w:rsidRPr="00805152">
              <w:rPr>
                <w:rFonts w:ascii="Times New Roman" w:hAnsi="Times New Roman" w:cs="Times New Roman"/>
                <w:color w:val="auto"/>
                <w:sz w:val="18"/>
                <w:szCs w:val="18"/>
                <w:lang w:val="bg-BG"/>
              </w:rPr>
              <w:t>-</w:t>
            </w:r>
          </w:p>
        </w:tc>
      </w:tr>
    </w:tbl>
    <w:p w14:paraId="073F3434" w14:textId="1EC2757A" w:rsidR="00E27A75" w:rsidRPr="00805152" w:rsidRDefault="00E27A75" w:rsidP="00E27A75">
      <w:pPr>
        <w:spacing w:after="0"/>
        <w:rPr>
          <w:rFonts w:ascii="Times New Roman" w:eastAsia="Times New Roman" w:hAnsi="Times New Roman"/>
          <w:i/>
          <w:iCs/>
          <w:sz w:val="22"/>
          <w:lang w:val="bg-BG"/>
        </w:rPr>
      </w:pPr>
    </w:p>
    <w:p w14:paraId="1D75C092" w14:textId="77777777" w:rsidR="00776CE2" w:rsidRPr="00805152" w:rsidRDefault="00776CE2" w:rsidP="00A127A2">
      <w:pPr>
        <w:pStyle w:val="Heading2"/>
        <w:rPr>
          <w:rFonts w:ascii="Times New Roman" w:hAnsi="Times New Roman"/>
          <w:lang w:val="bg-BG"/>
        </w:rPr>
      </w:pPr>
      <w:bookmarkStart w:id="46" w:name="_Toc126492681"/>
      <w:bookmarkStart w:id="47" w:name="_Ref528846339"/>
      <w:bookmarkStart w:id="48" w:name="_Ref528846338"/>
      <w:bookmarkStart w:id="49" w:name="_Ref127182054"/>
      <w:bookmarkStart w:id="50" w:name="_Toc136961092"/>
      <w:r w:rsidRPr="00805152">
        <w:rPr>
          <w:rFonts w:ascii="Times New Roman" w:hAnsi="Times New Roman"/>
          <w:lang w:val="bg-BG"/>
        </w:rPr>
        <w:lastRenderedPageBreak/>
        <w:t>Въздействия (Натоварвания)</w:t>
      </w:r>
      <w:bookmarkEnd w:id="46"/>
      <w:bookmarkEnd w:id="47"/>
      <w:bookmarkEnd w:id="48"/>
      <w:bookmarkEnd w:id="49"/>
      <w:bookmarkEnd w:id="50"/>
    </w:p>
    <w:p w14:paraId="683B24DD" w14:textId="639ADE8C" w:rsidR="00776CE2" w:rsidRPr="00805152" w:rsidRDefault="00776CE2" w:rsidP="00776CE2">
      <w:pPr>
        <w:suppressAutoHyphens/>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Въздействията (натоварвания) в тази глава са </w:t>
      </w:r>
      <w:r w:rsidR="00D71836" w:rsidRPr="00805152">
        <w:rPr>
          <w:rFonts w:ascii="Times New Roman" w:eastAsia="Times New Roman" w:hAnsi="Times New Roman"/>
          <w:iCs/>
          <w:sz w:val="22"/>
          <w:lang w:val="bg-BG"/>
        </w:rPr>
        <w:t xml:space="preserve">в </w:t>
      </w:r>
      <w:r w:rsidRPr="00805152">
        <w:rPr>
          <w:rFonts w:ascii="Times New Roman" w:eastAsia="Times New Roman" w:hAnsi="Times New Roman"/>
          <w:iCs/>
          <w:sz w:val="22"/>
          <w:lang w:val="bg-BG"/>
        </w:rPr>
        <w:t xml:space="preserve">съответствие с препоръките на нормите и ръководства </w:t>
      </w:r>
      <w:r w:rsidR="00D71836" w:rsidRPr="00805152">
        <w:rPr>
          <w:rFonts w:ascii="Times New Roman" w:eastAsia="Times New Roman" w:hAnsi="Times New Roman"/>
          <w:iCs/>
          <w:sz w:val="22"/>
          <w:lang w:val="bg-BG"/>
        </w:rPr>
        <w:t xml:space="preserve">за </w:t>
      </w:r>
      <w:r w:rsidRPr="00805152">
        <w:rPr>
          <w:rFonts w:ascii="Times New Roman" w:eastAsia="Times New Roman" w:hAnsi="Times New Roman"/>
          <w:iCs/>
          <w:sz w:val="22"/>
          <w:lang w:val="bg-BG"/>
        </w:rPr>
        <w:t>проектиране на ХТС</w:t>
      </w:r>
      <w:r w:rsidR="00D71836" w:rsidRPr="00805152">
        <w:rPr>
          <w:rFonts w:ascii="Times New Roman" w:eastAsia="Times New Roman" w:hAnsi="Times New Roman"/>
          <w:iCs/>
          <w:sz w:val="22"/>
          <w:lang w:val="bg-BG"/>
        </w:rPr>
        <w:t xml:space="preserve">, както и на </w:t>
      </w:r>
      <w:r w:rsidRPr="00805152">
        <w:rPr>
          <w:rFonts w:ascii="Times New Roman" w:eastAsia="Times New Roman" w:hAnsi="Times New Roman"/>
          <w:iCs/>
          <w:sz w:val="22"/>
          <w:lang w:val="bg-BG"/>
        </w:rPr>
        <w:t xml:space="preserve">опита на проектанта с оглед предвидените конструкции и </w:t>
      </w:r>
      <w:r w:rsidR="00D71836" w:rsidRPr="00805152">
        <w:rPr>
          <w:rFonts w:ascii="Times New Roman" w:eastAsia="Times New Roman" w:hAnsi="Times New Roman"/>
          <w:iCs/>
          <w:sz w:val="22"/>
          <w:lang w:val="bg-BG"/>
        </w:rPr>
        <w:t xml:space="preserve">предвиждания за </w:t>
      </w:r>
      <w:r w:rsidRPr="00805152">
        <w:rPr>
          <w:rFonts w:ascii="Times New Roman" w:eastAsia="Times New Roman" w:hAnsi="Times New Roman"/>
          <w:iCs/>
          <w:sz w:val="22"/>
          <w:lang w:val="bg-BG"/>
        </w:rPr>
        <w:t xml:space="preserve">достъп на хора </w:t>
      </w:r>
      <w:r w:rsidR="00D71836" w:rsidRPr="00805152">
        <w:rPr>
          <w:rFonts w:ascii="Times New Roman" w:eastAsia="Times New Roman" w:hAnsi="Times New Roman"/>
          <w:iCs/>
          <w:sz w:val="22"/>
          <w:lang w:val="bg-BG"/>
        </w:rPr>
        <w:t xml:space="preserve">и превозни средства </w:t>
      </w:r>
      <w:r w:rsidRPr="00805152">
        <w:rPr>
          <w:rFonts w:ascii="Times New Roman" w:eastAsia="Times New Roman" w:hAnsi="Times New Roman"/>
          <w:iCs/>
          <w:sz w:val="22"/>
          <w:lang w:val="bg-BG"/>
        </w:rPr>
        <w:t>до вълнолома</w:t>
      </w:r>
      <w:r w:rsidR="00D71836" w:rsidRPr="00805152">
        <w:rPr>
          <w:rFonts w:ascii="Times New Roman" w:eastAsia="Times New Roman" w:hAnsi="Times New Roman"/>
          <w:iCs/>
          <w:sz w:val="22"/>
          <w:lang w:val="bg-BG"/>
        </w:rPr>
        <w:t xml:space="preserve">. В резултат се </w:t>
      </w:r>
      <w:r w:rsidRPr="00805152">
        <w:rPr>
          <w:rFonts w:ascii="Times New Roman" w:eastAsia="Times New Roman" w:hAnsi="Times New Roman"/>
          <w:iCs/>
          <w:sz w:val="22"/>
          <w:lang w:val="bg-BG"/>
        </w:rPr>
        <w:t xml:space="preserve">предвиждат следните равномерно разпределени товари: </w:t>
      </w:r>
    </w:p>
    <w:p w14:paraId="400232A3" w14:textId="0BC31A38" w:rsidR="00776CE2" w:rsidRPr="00805152" w:rsidRDefault="00776CE2" w:rsidP="0021547C">
      <w:pPr>
        <w:numPr>
          <w:ilvl w:val="0"/>
          <w:numId w:val="31"/>
        </w:numPr>
        <w:suppressAutoHyphens/>
        <w:spacing w:after="0"/>
        <w:rPr>
          <w:rFonts w:ascii="Times New Roman" w:eastAsia="Times New Roman" w:hAnsi="Times New Roman"/>
          <w:iCs/>
          <w:sz w:val="22"/>
          <w:lang w:val="bg-BG"/>
        </w:rPr>
      </w:pPr>
      <w:r w:rsidRPr="00805152">
        <w:rPr>
          <w:rFonts w:ascii="Times New Roman" w:eastAsia="Times New Roman" w:hAnsi="Times New Roman"/>
          <w:b/>
          <w:iCs/>
          <w:sz w:val="22"/>
          <w:lang w:val="bg-BG"/>
        </w:rPr>
        <w:t>5 kN/m</w:t>
      </w:r>
      <w:r w:rsidRPr="00805152">
        <w:rPr>
          <w:rFonts w:ascii="Times New Roman" w:eastAsia="Times New Roman" w:hAnsi="Times New Roman"/>
          <w:b/>
          <w:iCs/>
          <w:sz w:val="22"/>
          <w:vertAlign w:val="superscript"/>
          <w:lang w:val="bg-BG"/>
        </w:rPr>
        <w:t>2</w:t>
      </w:r>
      <w:r w:rsidRPr="00805152">
        <w:rPr>
          <w:rFonts w:ascii="Times New Roman" w:eastAsia="Times New Roman" w:hAnsi="Times New Roman"/>
          <w:b/>
          <w:iCs/>
          <w:sz w:val="22"/>
          <w:lang w:val="bg-BG"/>
        </w:rPr>
        <w:t xml:space="preserve"> (0.5 т/м</w:t>
      </w:r>
      <w:r w:rsidRPr="00805152">
        <w:rPr>
          <w:rFonts w:ascii="Times New Roman" w:eastAsia="Times New Roman" w:hAnsi="Times New Roman"/>
          <w:b/>
          <w:iCs/>
          <w:sz w:val="22"/>
          <w:vertAlign w:val="superscript"/>
          <w:lang w:val="bg-BG"/>
        </w:rPr>
        <w:t>2</w:t>
      </w:r>
      <w:r w:rsidRPr="00805152">
        <w:rPr>
          <w:rFonts w:ascii="Times New Roman" w:eastAsia="Times New Roman" w:hAnsi="Times New Roman"/>
          <w:b/>
          <w:iCs/>
          <w:sz w:val="22"/>
          <w:lang w:val="bg-BG"/>
        </w:rPr>
        <w:t>)</w:t>
      </w:r>
      <w:r w:rsidRPr="00805152">
        <w:rPr>
          <w:rFonts w:ascii="Times New Roman" w:eastAsia="Times New Roman" w:hAnsi="Times New Roman"/>
          <w:iCs/>
          <w:sz w:val="22"/>
          <w:lang w:val="bg-BG"/>
        </w:rPr>
        <w:t>– за зоните само с пешеходен достъп</w:t>
      </w:r>
      <w:r w:rsidR="00F33014">
        <w:rPr>
          <w:rFonts w:ascii="Times New Roman" w:eastAsia="Times New Roman" w:hAnsi="Times New Roman"/>
          <w:iCs/>
          <w:sz w:val="22"/>
          <w:lang w:val="en-US"/>
        </w:rPr>
        <w:t>;</w:t>
      </w:r>
    </w:p>
    <w:p w14:paraId="2F5D76D3" w14:textId="7C11E6B6" w:rsidR="00776CE2" w:rsidRPr="00805152" w:rsidRDefault="00414200" w:rsidP="0021547C">
      <w:pPr>
        <w:numPr>
          <w:ilvl w:val="0"/>
          <w:numId w:val="31"/>
        </w:numPr>
        <w:suppressAutoHyphens/>
        <w:spacing w:after="0"/>
        <w:rPr>
          <w:rFonts w:ascii="Times New Roman" w:eastAsia="Times New Roman" w:hAnsi="Times New Roman"/>
          <w:iCs/>
          <w:sz w:val="22"/>
          <w:lang w:val="bg-BG"/>
        </w:rPr>
      </w:pPr>
      <w:r w:rsidRPr="00805152">
        <w:rPr>
          <w:rFonts w:ascii="Times New Roman" w:eastAsia="Times New Roman" w:hAnsi="Times New Roman"/>
          <w:b/>
          <w:iCs/>
          <w:sz w:val="22"/>
          <w:lang w:val="bg-BG"/>
        </w:rPr>
        <w:t>20</w:t>
      </w:r>
      <w:r w:rsidR="00776CE2" w:rsidRPr="00805152">
        <w:rPr>
          <w:rFonts w:ascii="Times New Roman" w:eastAsia="Times New Roman" w:hAnsi="Times New Roman"/>
          <w:b/>
          <w:iCs/>
          <w:sz w:val="22"/>
          <w:lang w:val="bg-BG"/>
        </w:rPr>
        <w:t xml:space="preserve"> kN/m</w:t>
      </w:r>
      <w:r w:rsidR="00776CE2" w:rsidRPr="00805152">
        <w:rPr>
          <w:rFonts w:ascii="Times New Roman" w:eastAsia="Times New Roman" w:hAnsi="Times New Roman"/>
          <w:b/>
          <w:iCs/>
          <w:sz w:val="22"/>
          <w:vertAlign w:val="superscript"/>
          <w:lang w:val="bg-BG"/>
        </w:rPr>
        <w:t>2</w:t>
      </w:r>
      <w:r w:rsidR="00776CE2" w:rsidRPr="00805152">
        <w:rPr>
          <w:rFonts w:ascii="Times New Roman" w:eastAsia="Times New Roman" w:hAnsi="Times New Roman"/>
          <w:b/>
          <w:iCs/>
          <w:sz w:val="22"/>
          <w:lang w:val="bg-BG"/>
        </w:rPr>
        <w:t xml:space="preserve"> (1.5 т/м</w:t>
      </w:r>
      <w:r w:rsidR="00776CE2" w:rsidRPr="00805152">
        <w:rPr>
          <w:rFonts w:ascii="Times New Roman" w:eastAsia="Times New Roman" w:hAnsi="Times New Roman"/>
          <w:b/>
          <w:iCs/>
          <w:sz w:val="22"/>
          <w:vertAlign w:val="superscript"/>
          <w:lang w:val="bg-BG"/>
        </w:rPr>
        <w:t>2</w:t>
      </w:r>
      <w:r w:rsidR="00776CE2" w:rsidRPr="00805152">
        <w:rPr>
          <w:rFonts w:ascii="Times New Roman" w:eastAsia="Times New Roman" w:hAnsi="Times New Roman"/>
          <w:b/>
          <w:iCs/>
          <w:sz w:val="22"/>
          <w:lang w:val="bg-BG"/>
        </w:rPr>
        <w:t>)</w:t>
      </w:r>
      <w:r w:rsidR="00776CE2" w:rsidRPr="00805152">
        <w:rPr>
          <w:rFonts w:ascii="Times New Roman" w:eastAsia="Times New Roman" w:hAnsi="Times New Roman"/>
          <w:iCs/>
          <w:sz w:val="22"/>
          <w:lang w:val="bg-BG"/>
        </w:rPr>
        <w:t>– за зоните с достъп на превозни средства</w:t>
      </w:r>
      <w:r w:rsidRPr="00805152">
        <w:rPr>
          <w:rFonts w:ascii="Times New Roman" w:eastAsia="Times New Roman" w:hAnsi="Times New Roman"/>
          <w:iCs/>
          <w:sz w:val="22"/>
          <w:lang w:val="bg-BG"/>
        </w:rPr>
        <w:t xml:space="preserve"> (вкл. тежка строителна техника)</w:t>
      </w:r>
      <w:r w:rsidR="00F33014">
        <w:rPr>
          <w:rFonts w:ascii="Times New Roman" w:eastAsia="Times New Roman" w:hAnsi="Times New Roman"/>
          <w:iCs/>
          <w:sz w:val="22"/>
          <w:lang w:val="en-US"/>
        </w:rPr>
        <w:t>.</w:t>
      </w:r>
    </w:p>
    <w:p w14:paraId="2FA44DCD" w14:textId="588EBF49" w:rsidR="00776CE2" w:rsidRPr="00F33014" w:rsidRDefault="00776CE2" w:rsidP="00F33014">
      <w:pPr>
        <w:suppressAutoHyphens/>
        <w:spacing w:after="0"/>
        <w:ind w:firstLine="709"/>
        <w:rPr>
          <w:rFonts w:ascii="Times New Roman" w:eastAsia="Times New Roman" w:hAnsi="Times New Roman"/>
          <w:iCs/>
          <w:sz w:val="22"/>
          <w:lang w:val="bg-BG"/>
        </w:rPr>
      </w:pPr>
      <w:r w:rsidRPr="00F33014">
        <w:rPr>
          <w:rFonts w:ascii="Times New Roman" w:eastAsia="Times New Roman" w:hAnsi="Times New Roman"/>
          <w:iCs/>
          <w:sz w:val="22"/>
          <w:lang w:val="bg-BG"/>
        </w:rPr>
        <w:t>Прие</w:t>
      </w:r>
      <w:r w:rsidR="00D71836" w:rsidRPr="00F33014">
        <w:rPr>
          <w:rFonts w:ascii="Times New Roman" w:eastAsia="Times New Roman" w:hAnsi="Times New Roman"/>
          <w:iCs/>
          <w:sz w:val="22"/>
          <w:lang w:val="bg-BG"/>
        </w:rPr>
        <w:t xml:space="preserve">то е че </w:t>
      </w:r>
      <w:r w:rsidRPr="00F33014">
        <w:rPr>
          <w:rFonts w:ascii="Times New Roman" w:eastAsia="Times New Roman" w:hAnsi="Times New Roman"/>
          <w:iCs/>
          <w:sz w:val="22"/>
          <w:lang w:val="bg-BG"/>
        </w:rPr>
        <w:t>всякакви други натоварвания са по</w:t>
      </w:r>
      <w:r w:rsidR="00D71836" w:rsidRPr="00F33014">
        <w:rPr>
          <w:rFonts w:ascii="Times New Roman" w:eastAsia="Times New Roman" w:hAnsi="Times New Roman"/>
          <w:iCs/>
          <w:sz w:val="22"/>
          <w:lang w:val="bg-BG"/>
        </w:rPr>
        <w:t>-</w:t>
      </w:r>
      <w:r w:rsidRPr="00F33014">
        <w:rPr>
          <w:rFonts w:ascii="Times New Roman" w:eastAsia="Times New Roman" w:hAnsi="Times New Roman"/>
          <w:iCs/>
          <w:sz w:val="22"/>
          <w:lang w:val="bg-BG"/>
        </w:rPr>
        <w:t xml:space="preserve">малки от гореспоменатите равномерно разпределени товари. </w:t>
      </w:r>
    </w:p>
    <w:p w14:paraId="17D1807D" w14:textId="77777777" w:rsidR="00776CE2" w:rsidRPr="00805152" w:rsidRDefault="00776CE2" w:rsidP="00A127A2">
      <w:pPr>
        <w:pStyle w:val="Heading3"/>
        <w:rPr>
          <w:rFonts w:ascii="Times New Roman" w:hAnsi="Times New Roman"/>
          <w:lang w:val="bg-BG"/>
        </w:rPr>
      </w:pPr>
      <w:bookmarkStart w:id="51" w:name="_Toc126492682"/>
      <w:bookmarkStart w:id="52" w:name="_Toc136961093"/>
      <w:r w:rsidRPr="00805152">
        <w:rPr>
          <w:rFonts w:ascii="Times New Roman" w:hAnsi="Times New Roman"/>
          <w:lang w:val="bg-BG"/>
        </w:rPr>
        <w:t>Собствено Тегло (G)</w:t>
      </w:r>
      <w:bookmarkEnd w:id="51"/>
      <w:bookmarkEnd w:id="52"/>
    </w:p>
    <w:p w14:paraId="5B3B048A" w14:textId="77777777" w:rsidR="00776CE2" w:rsidRPr="00805152" w:rsidRDefault="00776CE2" w:rsidP="00776CE2">
      <w:pPr>
        <w:suppressAutoHyphens/>
        <w:spacing w:after="0"/>
        <w:ind w:firstLine="709"/>
        <w:rPr>
          <w:rFonts w:ascii="Times New Roman" w:eastAsia="Times New Roman" w:hAnsi="Times New Roman"/>
          <w:iCs/>
          <w:sz w:val="22"/>
          <w:lang w:val="bg-BG"/>
        </w:rPr>
      </w:pPr>
      <w:r w:rsidRPr="00805152">
        <w:rPr>
          <w:rFonts w:ascii="Times New Roman" w:eastAsia="Times New Roman" w:hAnsi="Times New Roman"/>
          <w:iCs/>
          <w:sz w:val="22"/>
          <w:lang w:val="bg-BG"/>
        </w:rPr>
        <w:t xml:space="preserve">Въздействията от собствено тегло ще бъдат изчислени в съответствие с обемната им плътност на материала и геометрията на елементите с приложимите частни коефициенти за материала. </w:t>
      </w:r>
    </w:p>
    <w:p w14:paraId="6B34C8A2" w14:textId="77777777" w:rsidR="00776CE2" w:rsidRPr="00805152" w:rsidRDefault="00776CE2" w:rsidP="00A127A2">
      <w:pPr>
        <w:pStyle w:val="Heading3"/>
        <w:rPr>
          <w:rFonts w:ascii="Times New Roman" w:hAnsi="Times New Roman"/>
          <w:lang w:val="bg-BG"/>
        </w:rPr>
      </w:pPr>
      <w:bookmarkStart w:id="53" w:name="_Toc126492685"/>
      <w:bookmarkStart w:id="54" w:name="_Toc479713810"/>
      <w:bookmarkStart w:id="55" w:name="_Toc136961094"/>
      <w:r w:rsidRPr="00805152">
        <w:rPr>
          <w:rFonts w:ascii="Times New Roman" w:hAnsi="Times New Roman"/>
          <w:lang w:val="bg-BG"/>
        </w:rPr>
        <w:t>Хидростатични сили (SK)</w:t>
      </w:r>
      <w:bookmarkEnd w:id="53"/>
      <w:bookmarkEnd w:id="54"/>
      <w:bookmarkEnd w:id="55"/>
    </w:p>
    <w:p w14:paraId="6301E3AA" w14:textId="77777777" w:rsidR="00776CE2" w:rsidRPr="00805152" w:rsidRDefault="00776CE2" w:rsidP="00776CE2">
      <w:pPr>
        <w:suppressAutoHyphens/>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Плътността на морската вода от </w:t>
      </w:r>
      <w:r w:rsidRPr="00805152">
        <w:rPr>
          <w:rFonts w:ascii="Times New Roman" w:eastAsia="Times New Roman" w:hAnsi="Times New Roman"/>
          <w:b/>
          <w:sz w:val="22"/>
          <w:lang w:val="bg-BG"/>
        </w:rPr>
        <w:t>1,012 kg/m³</w:t>
      </w:r>
      <w:r w:rsidRPr="00805152">
        <w:rPr>
          <w:rFonts w:ascii="Times New Roman" w:eastAsia="Times New Roman" w:hAnsi="Times New Roman"/>
          <w:sz w:val="22"/>
          <w:lang w:val="bg-BG"/>
        </w:rPr>
        <w:t xml:space="preserve"> ще бъде използвана при изчисление на повдигащите хидростатични сили (от хидростатичен ефект). </w:t>
      </w:r>
    </w:p>
    <w:p w14:paraId="277C955C" w14:textId="77777777" w:rsidR="00776CE2" w:rsidRPr="00805152" w:rsidRDefault="00776CE2" w:rsidP="00A127A2">
      <w:pPr>
        <w:pStyle w:val="Heading3"/>
        <w:rPr>
          <w:rFonts w:ascii="Times New Roman" w:hAnsi="Times New Roman"/>
          <w:lang w:val="bg-BG"/>
        </w:rPr>
      </w:pPr>
      <w:bookmarkStart w:id="56" w:name="_Toc126492686"/>
      <w:bookmarkStart w:id="57" w:name="_Toc479713811"/>
      <w:bookmarkStart w:id="58" w:name="_Toc136961095"/>
      <w:r w:rsidRPr="00805152">
        <w:rPr>
          <w:rFonts w:ascii="Times New Roman" w:hAnsi="Times New Roman"/>
          <w:lang w:val="bg-BG"/>
        </w:rPr>
        <w:t>Земен натиск (E)</w:t>
      </w:r>
      <w:bookmarkEnd w:id="56"/>
      <w:bookmarkEnd w:id="57"/>
      <w:bookmarkEnd w:id="58"/>
    </w:p>
    <w:p w14:paraId="29460AC3" w14:textId="77777777" w:rsidR="00B379AA" w:rsidRDefault="00776CE2" w:rsidP="00D71836">
      <w:pPr>
        <w:suppressAutoHyphens/>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 xml:space="preserve">Активният земен натиск ще бъде изчислен въз основа на обемното тегло на материала. </w:t>
      </w:r>
      <w:bookmarkStart w:id="59" w:name="_Toc427594882"/>
      <w:bookmarkEnd w:id="5"/>
      <w:bookmarkEnd w:id="6"/>
      <w:bookmarkEnd w:id="7"/>
      <w:bookmarkEnd w:id="8"/>
    </w:p>
    <w:p w14:paraId="5A3D25D6" w14:textId="7B528F07" w:rsidR="00CC6BF9" w:rsidRPr="00805152" w:rsidRDefault="00CC6BF9" w:rsidP="00D71836">
      <w:pPr>
        <w:suppressAutoHyphens/>
        <w:spacing w:after="0"/>
        <w:ind w:firstLine="709"/>
        <w:rPr>
          <w:rFonts w:ascii="Times New Roman" w:hAnsi="Times New Roman"/>
          <w:b/>
          <w:sz w:val="28"/>
          <w:szCs w:val="28"/>
          <w:lang w:val="bg-BG"/>
        </w:rPr>
      </w:pPr>
      <w:r w:rsidRPr="00805152">
        <w:rPr>
          <w:rFonts w:ascii="Times New Roman" w:hAnsi="Times New Roman"/>
          <w:sz w:val="28"/>
          <w:szCs w:val="28"/>
          <w:lang w:val="bg-BG"/>
        </w:rPr>
        <w:br w:type="page"/>
      </w:r>
    </w:p>
    <w:p w14:paraId="27499C19" w14:textId="523C9B0D" w:rsidR="00322BC9" w:rsidRPr="00F33014" w:rsidRDefault="00322BC9" w:rsidP="00F33014">
      <w:pPr>
        <w:pStyle w:val="Heading1"/>
        <w:rPr>
          <w:rFonts w:ascii="Times New Roman" w:hAnsi="Times New Roman"/>
          <w:lang w:val="bg-BG"/>
        </w:rPr>
      </w:pPr>
      <w:bookmarkStart w:id="60" w:name="_Toc136961096"/>
      <w:bookmarkStart w:id="61" w:name="_Toc486693482"/>
      <w:bookmarkEnd w:id="59"/>
      <w:r w:rsidRPr="00805152">
        <w:rPr>
          <w:rFonts w:ascii="Times New Roman" w:hAnsi="Times New Roman"/>
          <w:lang w:val="bg-BG"/>
        </w:rPr>
        <w:lastRenderedPageBreak/>
        <w:t>О</w:t>
      </w:r>
      <w:r w:rsidR="00C958EE" w:rsidRPr="00805152">
        <w:rPr>
          <w:rFonts w:ascii="Times New Roman" w:hAnsi="Times New Roman"/>
          <w:lang w:val="bg-BG"/>
        </w:rPr>
        <w:t>писание на отделните елементи на проекта</w:t>
      </w:r>
      <w:bookmarkEnd w:id="60"/>
    </w:p>
    <w:p w14:paraId="1A41148A" w14:textId="48A6C8E0" w:rsidR="00322BC9" w:rsidRPr="00805152" w:rsidRDefault="00322BC9" w:rsidP="00A127A2">
      <w:pPr>
        <w:pStyle w:val="Heading2"/>
        <w:rPr>
          <w:rFonts w:ascii="Times New Roman" w:hAnsi="Times New Roman"/>
          <w:lang w:val="bg-BG"/>
        </w:rPr>
      </w:pPr>
      <w:bookmarkStart w:id="62" w:name="_Toc95837667"/>
      <w:bookmarkStart w:id="63" w:name="_Toc136961097"/>
      <w:r w:rsidRPr="00805152">
        <w:rPr>
          <w:rFonts w:ascii="Times New Roman" w:hAnsi="Times New Roman"/>
          <w:lang w:val="bg-BG"/>
        </w:rPr>
        <w:t>Основни технически характеристики на проекта</w:t>
      </w:r>
      <w:bookmarkEnd w:id="62"/>
      <w:bookmarkEnd w:id="63"/>
    </w:p>
    <w:p w14:paraId="7B0EC7DD" w14:textId="7A1516B0" w:rsidR="006C79B1" w:rsidRPr="00805152" w:rsidRDefault="00322BC9" w:rsidP="00F33014">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При разработване на техни</w:t>
      </w:r>
      <w:r w:rsidR="006C79B1" w:rsidRPr="00805152">
        <w:rPr>
          <w:rFonts w:ascii="Times New Roman" w:eastAsia="Times New Roman" w:hAnsi="Times New Roman"/>
          <w:sz w:val="22"/>
          <w:lang w:val="bg-BG"/>
        </w:rPr>
        <w:t xml:space="preserve">ческите решения и варианти за рехабилитация на вълнолома на пристанище Бургас </w:t>
      </w:r>
      <w:r w:rsidR="00C958EE">
        <w:rPr>
          <w:rFonts w:ascii="Times New Roman" w:eastAsia="Times New Roman" w:hAnsi="Times New Roman"/>
          <w:sz w:val="22"/>
          <w:lang w:val="bg-BG"/>
        </w:rPr>
        <w:t>е взето пред</w:t>
      </w:r>
      <w:r w:rsidR="006C79B1" w:rsidRPr="00805152">
        <w:rPr>
          <w:rFonts w:ascii="Times New Roman" w:eastAsia="Times New Roman" w:hAnsi="Times New Roman"/>
          <w:sz w:val="22"/>
          <w:lang w:val="bg-BG"/>
        </w:rPr>
        <w:t>вид</w:t>
      </w:r>
      <w:r w:rsidR="00C958EE">
        <w:rPr>
          <w:rFonts w:ascii="Times New Roman" w:eastAsia="Times New Roman" w:hAnsi="Times New Roman"/>
          <w:sz w:val="22"/>
          <w:lang w:val="bg-BG"/>
        </w:rPr>
        <w:t>,</w:t>
      </w:r>
      <w:r w:rsidR="006C79B1" w:rsidRPr="00805152">
        <w:rPr>
          <w:rFonts w:ascii="Times New Roman" w:eastAsia="Times New Roman" w:hAnsi="Times New Roman"/>
          <w:sz w:val="22"/>
          <w:lang w:val="bg-BG"/>
        </w:rPr>
        <w:t xml:space="preserve"> че има изготвен технически проект от 2015 г. и актуализирана подробна количествено стойностна сметка от Януари 2023 г. Разработеният технически проект е разгледан като Вариант 1 за реализация на проекта. Трябва да се отбележи че към този технически проект няма издадено разрешително за строеж. </w:t>
      </w:r>
    </w:p>
    <w:p w14:paraId="3F95D5E0" w14:textId="7C0882C3" w:rsidR="00322BC9" w:rsidRPr="00805152" w:rsidRDefault="00C958EE" w:rsidP="00322BC9">
      <w:pPr>
        <w:spacing w:after="0"/>
        <w:ind w:firstLine="576"/>
        <w:rPr>
          <w:rFonts w:ascii="Times New Roman" w:eastAsia="Times New Roman" w:hAnsi="Times New Roman"/>
          <w:sz w:val="22"/>
          <w:lang w:val="bg-BG"/>
        </w:rPr>
      </w:pPr>
      <w:r>
        <w:rPr>
          <w:rFonts w:ascii="Times New Roman" w:eastAsia="Times New Roman" w:hAnsi="Times New Roman"/>
          <w:sz w:val="22"/>
          <w:lang w:val="bg-BG"/>
        </w:rPr>
        <w:t>В това пред</w:t>
      </w:r>
      <w:r w:rsidR="006C79B1" w:rsidRPr="00805152">
        <w:rPr>
          <w:rFonts w:ascii="Times New Roman" w:eastAsia="Times New Roman" w:hAnsi="Times New Roman"/>
          <w:sz w:val="22"/>
          <w:lang w:val="bg-BG"/>
        </w:rPr>
        <w:t>проектно проучване ние разглеждаме следните въ</w:t>
      </w:r>
      <w:r w:rsidR="00695A9E" w:rsidRPr="00805152">
        <w:rPr>
          <w:rFonts w:ascii="Times New Roman" w:eastAsia="Times New Roman" w:hAnsi="Times New Roman"/>
          <w:sz w:val="22"/>
          <w:lang w:val="bg-BG"/>
        </w:rPr>
        <w:t>з</w:t>
      </w:r>
      <w:r w:rsidR="006C79B1" w:rsidRPr="00805152">
        <w:rPr>
          <w:rFonts w:ascii="Times New Roman" w:eastAsia="Times New Roman" w:hAnsi="Times New Roman"/>
          <w:sz w:val="22"/>
          <w:lang w:val="bg-BG"/>
        </w:rPr>
        <w:t xml:space="preserve">можности за </w:t>
      </w:r>
      <w:r w:rsidR="00695A9E" w:rsidRPr="00805152">
        <w:rPr>
          <w:rFonts w:ascii="Times New Roman" w:eastAsia="Times New Roman" w:hAnsi="Times New Roman"/>
          <w:sz w:val="22"/>
          <w:lang w:val="bg-BG"/>
        </w:rPr>
        <w:t>варианти и на п</w:t>
      </w:r>
      <w:r w:rsidR="00322BC9" w:rsidRPr="00805152">
        <w:rPr>
          <w:rFonts w:ascii="Times New Roman" w:eastAsia="Times New Roman" w:hAnsi="Times New Roman"/>
          <w:sz w:val="22"/>
          <w:lang w:val="bg-BG"/>
        </w:rPr>
        <w:t xml:space="preserve">роектните решения </w:t>
      </w:r>
      <w:r w:rsidR="00695A9E" w:rsidRPr="00805152">
        <w:rPr>
          <w:rFonts w:ascii="Times New Roman" w:eastAsia="Times New Roman" w:hAnsi="Times New Roman"/>
          <w:sz w:val="22"/>
          <w:lang w:val="bg-BG"/>
        </w:rPr>
        <w:t xml:space="preserve">за рехабилитация на вълнолома: </w:t>
      </w:r>
    </w:p>
    <w:p w14:paraId="681F1A7A" w14:textId="1AF40CEB" w:rsidR="00322BC9" w:rsidRPr="00805152" w:rsidRDefault="00322BC9" w:rsidP="0021547C">
      <w:pPr>
        <w:numPr>
          <w:ilvl w:val="0"/>
          <w:numId w:val="34"/>
        </w:numPr>
        <w:spacing w:after="0"/>
        <w:rPr>
          <w:rFonts w:ascii="Times New Roman" w:eastAsia="Times New Roman" w:hAnsi="Times New Roman"/>
          <w:sz w:val="22"/>
          <w:lang w:val="bg-BG"/>
        </w:rPr>
      </w:pPr>
      <w:r w:rsidRPr="00805152">
        <w:rPr>
          <w:rFonts w:ascii="Times New Roman" w:eastAsia="Times New Roman" w:hAnsi="Times New Roman"/>
          <w:b/>
          <w:bCs/>
          <w:sz w:val="22"/>
          <w:u w:val="single"/>
          <w:lang w:val="bg-BG"/>
        </w:rPr>
        <w:t>Вариант 1:</w:t>
      </w:r>
      <w:r w:rsidRPr="00805152">
        <w:rPr>
          <w:rFonts w:ascii="Times New Roman" w:eastAsia="Times New Roman" w:hAnsi="Times New Roman"/>
          <w:sz w:val="22"/>
          <w:lang w:val="bg-BG"/>
        </w:rPr>
        <w:t xml:space="preserve"> </w:t>
      </w:r>
      <w:r w:rsidR="00695A9E" w:rsidRPr="00805152">
        <w:rPr>
          <w:rFonts w:ascii="Times New Roman" w:eastAsia="Times New Roman" w:hAnsi="Times New Roman"/>
          <w:sz w:val="22"/>
          <w:lang w:val="bg-BG"/>
        </w:rPr>
        <w:t>Вълнолом със защита от тетраподи с наклон 1/1.33 (по съществуващ технически проект)</w:t>
      </w:r>
      <w:r w:rsidR="00C571AD" w:rsidRPr="00805152">
        <w:rPr>
          <w:rFonts w:ascii="Times New Roman" w:eastAsia="Times New Roman" w:hAnsi="Times New Roman"/>
          <w:sz w:val="22"/>
          <w:lang w:val="bg-BG"/>
        </w:rPr>
        <w:t>;</w:t>
      </w:r>
    </w:p>
    <w:p w14:paraId="0C47B475" w14:textId="0EEFF9AC" w:rsidR="00322BC9" w:rsidRPr="00805152" w:rsidRDefault="00322BC9" w:rsidP="0021547C">
      <w:pPr>
        <w:numPr>
          <w:ilvl w:val="0"/>
          <w:numId w:val="34"/>
        </w:numPr>
        <w:spacing w:after="0"/>
        <w:rPr>
          <w:rFonts w:ascii="Times New Roman" w:eastAsia="Times New Roman" w:hAnsi="Times New Roman"/>
          <w:sz w:val="22"/>
          <w:lang w:val="bg-BG"/>
        </w:rPr>
      </w:pPr>
      <w:r w:rsidRPr="00805152">
        <w:rPr>
          <w:rFonts w:ascii="Times New Roman" w:eastAsia="Times New Roman" w:hAnsi="Times New Roman"/>
          <w:b/>
          <w:bCs/>
          <w:sz w:val="22"/>
          <w:lang w:val="bg-BG"/>
        </w:rPr>
        <w:t>Вариант 2:</w:t>
      </w:r>
      <w:r w:rsidRPr="00805152">
        <w:rPr>
          <w:rFonts w:ascii="Times New Roman" w:eastAsia="Times New Roman" w:hAnsi="Times New Roman"/>
          <w:sz w:val="22"/>
          <w:lang w:val="bg-BG"/>
        </w:rPr>
        <w:t xml:space="preserve"> </w:t>
      </w:r>
      <w:r w:rsidR="00695A9E" w:rsidRPr="00805152">
        <w:rPr>
          <w:rFonts w:ascii="Times New Roman" w:eastAsia="Times New Roman" w:hAnsi="Times New Roman"/>
          <w:sz w:val="22"/>
          <w:lang w:val="bg-BG"/>
        </w:rPr>
        <w:t>Вълнолом с защита от тетраподи с наклон 1/1.5 (модернизиран съществуващ технически проект)</w:t>
      </w:r>
      <w:r w:rsidR="00C571AD" w:rsidRPr="00805152">
        <w:rPr>
          <w:rFonts w:ascii="Times New Roman" w:eastAsia="Times New Roman" w:hAnsi="Times New Roman"/>
          <w:sz w:val="22"/>
          <w:lang w:val="bg-BG"/>
        </w:rPr>
        <w:t>;</w:t>
      </w:r>
    </w:p>
    <w:p w14:paraId="3AE01A39" w14:textId="1673C6A4" w:rsidR="00322BC9" w:rsidRPr="00F33014" w:rsidRDefault="00A70597" w:rsidP="00F33014">
      <w:pPr>
        <w:numPr>
          <w:ilvl w:val="0"/>
          <w:numId w:val="34"/>
        </w:numPr>
        <w:spacing w:after="0"/>
        <w:rPr>
          <w:rFonts w:ascii="Times New Roman" w:eastAsia="Times New Roman" w:hAnsi="Times New Roman"/>
          <w:b/>
          <w:bCs/>
          <w:sz w:val="22"/>
          <w:lang w:val="bg-BG"/>
        </w:rPr>
      </w:pPr>
      <w:r w:rsidRPr="00805152">
        <w:rPr>
          <w:rFonts w:ascii="Times New Roman" w:eastAsia="Times New Roman" w:hAnsi="Times New Roman"/>
          <w:b/>
          <w:bCs/>
          <w:sz w:val="22"/>
          <w:lang w:val="bg-BG"/>
        </w:rPr>
        <w:t>Вариант 3</w:t>
      </w:r>
      <w:r w:rsidR="008D157D">
        <w:rPr>
          <w:rFonts w:ascii="Times New Roman" w:eastAsia="Times New Roman" w:hAnsi="Times New Roman"/>
          <w:b/>
          <w:bCs/>
          <w:sz w:val="22"/>
          <w:lang w:val="bg-BG"/>
        </w:rPr>
        <w:t>:</w:t>
      </w:r>
      <w:r w:rsidRPr="00805152">
        <w:rPr>
          <w:rFonts w:ascii="Times New Roman" w:eastAsia="Times New Roman" w:hAnsi="Times New Roman"/>
          <w:b/>
          <w:bCs/>
          <w:sz w:val="22"/>
          <w:lang w:val="bg-BG"/>
        </w:rPr>
        <w:t xml:space="preserve"> </w:t>
      </w:r>
      <w:r w:rsidR="008D157D">
        <w:rPr>
          <w:rFonts w:ascii="Times New Roman" w:eastAsia="Times New Roman" w:hAnsi="Times New Roman"/>
          <w:sz w:val="22"/>
          <w:lang w:val="bg-BG"/>
        </w:rPr>
        <w:t xml:space="preserve"> К</w:t>
      </w:r>
      <w:r w:rsidRPr="00805152">
        <w:rPr>
          <w:rFonts w:ascii="Times New Roman" w:eastAsia="Times New Roman" w:hAnsi="Times New Roman"/>
          <w:sz w:val="22"/>
          <w:lang w:val="bg-BG"/>
        </w:rPr>
        <w:t>омбинация от вълнолом с</w:t>
      </w:r>
      <w:r w:rsidR="00C958EE">
        <w:rPr>
          <w:rFonts w:ascii="Times New Roman" w:eastAsia="Times New Roman" w:hAnsi="Times New Roman"/>
          <w:sz w:val="22"/>
          <w:lang w:val="bg-BG"/>
        </w:rPr>
        <w:t>ъс</w:t>
      </w:r>
      <w:r w:rsidRPr="00805152">
        <w:rPr>
          <w:rFonts w:ascii="Times New Roman" w:eastAsia="Times New Roman" w:hAnsi="Times New Roman"/>
          <w:sz w:val="22"/>
          <w:lang w:val="bg-BG"/>
        </w:rPr>
        <w:t xml:space="preserve"> защита от тетраподи с наклон 1/1.33 (или 1.1.5) и участък</w:t>
      </w:r>
      <w:r w:rsidR="008D157D">
        <w:rPr>
          <w:rFonts w:ascii="Times New Roman" w:eastAsia="Times New Roman" w:hAnsi="Times New Roman"/>
          <w:sz w:val="22"/>
          <w:lang w:val="bg-BG"/>
        </w:rPr>
        <w:t xml:space="preserve"> в началото на вълнолома (Зона/</w:t>
      </w:r>
      <w:r w:rsidRPr="00805152">
        <w:rPr>
          <w:rFonts w:ascii="Times New Roman" w:eastAsia="Times New Roman" w:hAnsi="Times New Roman"/>
          <w:sz w:val="22"/>
          <w:lang w:val="bg-BG"/>
        </w:rPr>
        <w:t xml:space="preserve">Етап III от 265 м) със защита от каменни блокове от 1500 </w:t>
      </w:r>
      <w:r w:rsidR="00C958EE">
        <w:rPr>
          <w:rFonts w:ascii="Times New Roman" w:eastAsia="Times New Roman" w:hAnsi="Times New Roman"/>
          <w:sz w:val="22"/>
          <w:lang w:val="bg-BG"/>
        </w:rPr>
        <w:t xml:space="preserve">кг </w:t>
      </w:r>
      <w:r w:rsidRPr="00805152">
        <w:rPr>
          <w:rFonts w:ascii="Times New Roman" w:eastAsia="Times New Roman" w:hAnsi="Times New Roman"/>
          <w:sz w:val="22"/>
          <w:lang w:val="bg-BG"/>
        </w:rPr>
        <w:t>до 4000</w:t>
      </w:r>
      <w:r w:rsidR="00C958EE">
        <w:rPr>
          <w:rFonts w:ascii="Times New Roman" w:eastAsia="Times New Roman" w:hAnsi="Times New Roman"/>
          <w:sz w:val="22"/>
          <w:lang w:val="bg-BG"/>
        </w:rPr>
        <w:t xml:space="preserve"> </w:t>
      </w:r>
      <w:r w:rsidRPr="00805152">
        <w:rPr>
          <w:rFonts w:ascii="Times New Roman" w:eastAsia="Times New Roman" w:hAnsi="Times New Roman"/>
          <w:sz w:val="22"/>
          <w:lang w:val="bg-BG"/>
        </w:rPr>
        <w:t xml:space="preserve">кг, с наклон 1:3 (с отворен достъп за разходки и развлечение). </w:t>
      </w:r>
    </w:p>
    <w:p w14:paraId="0C0D0D72" w14:textId="14D00E6D" w:rsidR="00ED43F7" w:rsidRPr="00805152" w:rsidRDefault="00ED43F7" w:rsidP="00ED43F7">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Оразмеряването на всички видове ХТС конструкции (вкл. на вълнолома и брегоукрепването) трябва</w:t>
      </w:r>
      <w:r w:rsidR="00F33014">
        <w:rPr>
          <w:rFonts w:ascii="Times New Roman" w:eastAsia="Times New Roman" w:hAnsi="Times New Roman"/>
          <w:sz w:val="22"/>
          <w:lang w:val="en-US"/>
        </w:rPr>
        <w:t xml:space="preserve"> </w:t>
      </w:r>
      <w:r w:rsidR="00F33014">
        <w:rPr>
          <w:rFonts w:ascii="Times New Roman" w:eastAsia="Times New Roman" w:hAnsi="Times New Roman"/>
          <w:sz w:val="22"/>
          <w:lang w:val="bg-BG"/>
        </w:rPr>
        <w:t>да</w:t>
      </w:r>
      <w:r w:rsidRPr="00805152">
        <w:rPr>
          <w:rFonts w:ascii="Times New Roman" w:eastAsia="Times New Roman" w:hAnsi="Times New Roman"/>
          <w:sz w:val="22"/>
          <w:lang w:val="bg-BG"/>
        </w:rPr>
        <w:t xml:space="preserve"> включва всички видове натоварвания и изчислителни ситуации в съответствие с приложимите норми и стандарти. Също така трябва да се вземат предвид функционалните изисквания към конструкциите: </w:t>
      </w:r>
    </w:p>
    <w:p w14:paraId="6BC996A5" w14:textId="77777777" w:rsidR="00ED43F7" w:rsidRPr="00805152" w:rsidRDefault="00ED43F7" w:rsidP="00ED43F7">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ХТС конструкции се оразмерят на следните основни натоварванията и критерии: </w:t>
      </w:r>
    </w:p>
    <w:p w14:paraId="2F188D17" w14:textId="50F7EF4F"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Ветрови натоварвания за скорост на вятъра 1:100 години</w:t>
      </w:r>
      <w:r w:rsidR="00C958EE">
        <w:rPr>
          <w:rFonts w:ascii="Times New Roman" w:eastAsia="Times New Roman" w:hAnsi="Times New Roman"/>
          <w:sz w:val="22"/>
          <w:lang w:val="bg-BG"/>
        </w:rPr>
        <w:t>;</w:t>
      </w:r>
    </w:p>
    <w:p w14:paraId="5BE98917" w14:textId="72CBB1BC"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Вълнови натоварвания за максимална вълна 1:100 години</w:t>
      </w:r>
      <w:r w:rsidR="00C958EE">
        <w:rPr>
          <w:rFonts w:ascii="Times New Roman" w:eastAsia="Times New Roman" w:hAnsi="Times New Roman"/>
          <w:sz w:val="22"/>
          <w:lang w:val="bg-BG"/>
        </w:rPr>
        <w:t>;</w:t>
      </w:r>
    </w:p>
    <w:p w14:paraId="281F8D73" w14:textId="66C8411F"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Сеизмични натоварвания</w:t>
      </w:r>
      <w:r w:rsidR="00C958EE">
        <w:rPr>
          <w:rFonts w:ascii="Times New Roman" w:eastAsia="Times New Roman" w:hAnsi="Times New Roman"/>
          <w:sz w:val="22"/>
          <w:lang w:val="bg-BG"/>
        </w:rPr>
        <w:t>;</w:t>
      </w:r>
    </w:p>
    <w:p w14:paraId="5D82301E" w14:textId="784F272C"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Земен Натиск</w:t>
      </w:r>
      <w:r w:rsidR="00C958EE">
        <w:rPr>
          <w:rFonts w:ascii="Times New Roman" w:eastAsia="Times New Roman" w:hAnsi="Times New Roman"/>
          <w:sz w:val="22"/>
          <w:lang w:val="bg-BG"/>
        </w:rPr>
        <w:t>;</w:t>
      </w:r>
    </w:p>
    <w:p w14:paraId="667CE9B4" w14:textId="4CCA4C39"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 xml:space="preserve">Равномерно разпределен товар от </w:t>
      </w:r>
      <w:r w:rsidR="00414200" w:rsidRPr="00805152">
        <w:rPr>
          <w:rFonts w:ascii="Times New Roman" w:eastAsia="Times New Roman" w:hAnsi="Times New Roman"/>
          <w:sz w:val="22"/>
          <w:lang w:val="bg-BG"/>
        </w:rPr>
        <w:t>20</w:t>
      </w:r>
      <w:r w:rsidRPr="00805152">
        <w:rPr>
          <w:rFonts w:ascii="Times New Roman" w:eastAsia="Times New Roman" w:hAnsi="Times New Roman"/>
          <w:sz w:val="22"/>
          <w:lang w:val="bg-BG"/>
        </w:rPr>
        <w:t xml:space="preserve"> kN/m2 (за достъп на превозни средства) и 5 kN/m2 (за пешеходци)</w:t>
      </w:r>
      <w:r w:rsidR="00C958EE">
        <w:rPr>
          <w:rFonts w:ascii="Times New Roman" w:eastAsia="Times New Roman" w:hAnsi="Times New Roman"/>
          <w:sz w:val="22"/>
          <w:lang w:val="bg-BG"/>
        </w:rPr>
        <w:t>;</w:t>
      </w:r>
    </w:p>
    <w:p w14:paraId="611E936D" w14:textId="0D08FBF3"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Хидравлична устойчивост на заскалявката на вълнолома</w:t>
      </w:r>
      <w:r w:rsidR="00C958EE">
        <w:rPr>
          <w:rFonts w:ascii="Times New Roman" w:eastAsia="Times New Roman" w:hAnsi="Times New Roman"/>
          <w:sz w:val="22"/>
          <w:lang w:val="bg-BG"/>
        </w:rPr>
        <w:t>;</w:t>
      </w:r>
    </w:p>
    <w:p w14:paraId="6D0AB228" w14:textId="7FC7700B"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Геотехническа устойчивост (дълбоко хлъзгане, преобръщане, носеща способност на основата)</w:t>
      </w:r>
      <w:r w:rsidR="00C958EE">
        <w:rPr>
          <w:rFonts w:ascii="Times New Roman" w:eastAsia="Times New Roman" w:hAnsi="Times New Roman"/>
          <w:sz w:val="22"/>
          <w:lang w:val="bg-BG"/>
        </w:rPr>
        <w:t>;</w:t>
      </w:r>
    </w:p>
    <w:p w14:paraId="4E61A882" w14:textId="62B34F21"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Каменните фракции на вълнолома да бъдат оразмерен</w:t>
      </w:r>
      <w:r w:rsidR="00C958EE">
        <w:rPr>
          <w:rFonts w:ascii="Times New Roman" w:eastAsia="Times New Roman" w:hAnsi="Times New Roman"/>
          <w:sz w:val="22"/>
          <w:lang w:val="bg-BG"/>
        </w:rPr>
        <w:t>и с подходящи филтърни пластове;</w:t>
      </w:r>
    </w:p>
    <w:p w14:paraId="138A665C" w14:textId="2920F09E"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Конструктивна на устойчивост на елементите</w:t>
      </w:r>
      <w:r w:rsidR="00C958EE">
        <w:rPr>
          <w:rFonts w:ascii="Times New Roman" w:eastAsia="Times New Roman" w:hAnsi="Times New Roman"/>
          <w:sz w:val="22"/>
          <w:lang w:val="bg-BG"/>
        </w:rPr>
        <w:t>;</w:t>
      </w:r>
    </w:p>
    <w:p w14:paraId="02F776AB" w14:textId="29FBB241" w:rsidR="00ED43F7" w:rsidRPr="00805152" w:rsidRDefault="00ED43F7" w:rsidP="0021547C">
      <w:pPr>
        <w:numPr>
          <w:ilvl w:val="0"/>
          <w:numId w:val="35"/>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Проверка на вълнолома за прехвърляне на вълната (</w:t>
      </w:r>
      <w:r w:rsidR="00F33014">
        <w:rPr>
          <w:rFonts w:ascii="Times New Roman" w:eastAsia="Times New Roman" w:hAnsi="Times New Roman"/>
          <w:sz w:val="22"/>
          <w:lang w:val="en-US"/>
        </w:rPr>
        <w:t>Overtopping</w:t>
      </w:r>
      <w:r w:rsidRPr="00805152">
        <w:rPr>
          <w:rFonts w:ascii="Times New Roman" w:eastAsia="Times New Roman" w:hAnsi="Times New Roman"/>
          <w:sz w:val="22"/>
          <w:lang w:val="bg-BG"/>
        </w:rPr>
        <w:t>):  q</w:t>
      </w:r>
      <w:r w:rsidRPr="00805152">
        <w:rPr>
          <w:rFonts w:ascii="Times New Roman" w:eastAsia="Times New Roman" w:hAnsi="Times New Roman"/>
          <w:sz w:val="22"/>
          <w:vertAlign w:val="subscript"/>
          <w:lang w:val="bg-BG"/>
        </w:rPr>
        <w:t>max</w:t>
      </w:r>
      <w:r w:rsidRPr="00805152">
        <w:rPr>
          <w:rFonts w:ascii="Times New Roman" w:eastAsia="Times New Roman" w:hAnsi="Times New Roman"/>
          <w:sz w:val="22"/>
          <w:lang w:val="bg-BG"/>
        </w:rPr>
        <w:t xml:space="preserve"> = 5 l/s/m или q</w:t>
      </w:r>
      <w:r w:rsidRPr="00805152">
        <w:rPr>
          <w:rFonts w:ascii="Times New Roman" w:eastAsia="Times New Roman" w:hAnsi="Times New Roman"/>
          <w:sz w:val="22"/>
          <w:vertAlign w:val="subscript"/>
          <w:lang w:val="bg-BG"/>
        </w:rPr>
        <w:t>max</w:t>
      </w:r>
      <w:r w:rsidRPr="00805152">
        <w:rPr>
          <w:rFonts w:ascii="Times New Roman" w:eastAsia="Times New Roman" w:hAnsi="Times New Roman"/>
          <w:sz w:val="22"/>
          <w:lang w:val="bg-BG"/>
        </w:rPr>
        <w:t xml:space="preserve"> = 20 l/s/m</w:t>
      </w:r>
      <w:r w:rsidR="00C958EE">
        <w:rPr>
          <w:rFonts w:ascii="Times New Roman" w:eastAsia="Times New Roman" w:hAnsi="Times New Roman"/>
          <w:sz w:val="22"/>
          <w:lang w:val="bg-BG"/>
        </w:rPr>
        <w:t>.</w:t>
      </w:r>
    </w:p>
    <w:p w14:paraId="34E31925" w14:textId="77777777" w:rsidR="00ED43F7" w:rsidRPr="00805152" w:rsidRDefault="00ED43F7" w:rsidP="00ED43F7">
      <w:pPr>
        <w:spacing w:after="0"/>
        <w:ind w:firstLine="576"/>
        <w:rPr>
          <w:rFonts w:ascii="Times New Roman" w:eastAsia="Times New Roman" w:hAnsi="Times New Roman"/>
          <w:sz w:val="22"/>
          <w:lang w:val="bg-BG"/>
        </w:rPr>
      </w:pPr>
    </w:p>
    <w:p w14:paraId="7D5F110D" w14:textId="07FF6D6F" w:rsidR="00ED43F7" w:rsidRPr="00C958EE" w:rsidRDefault="00322BC9" w:rsidP="00C958EE">
      <w:pPr>
        <w:pStyle w:val="Heading2"/>
        <w:rPr>
          <w:rFonts w:ascii="Times New Roman" w:hAnsi="Times New Roman"/>
          <w:lang w:val="bg-BG"/>
        </w:rPr>
      </w:pPr>
      <w:bookmarkStart w:id="64" w:name="_Toc136961098"/>
      <w:r w:rsidRPr="00805152">
        <w:rPr>
          <w:rFonts w:ascii="Times New Roman" w:hAnsi="Times New Roman"/>
          <w:lang w:val="bg-BG"/>
        </w:rPr>
        <w:lastRenderedPageBreak/>
        <w:t>Конструктивно решение – Вариант 1</w:t>
      </w:r>
      <w:bookmarkEnd w:id="64"/>
    </w:p>
    <w:p w14:paraId="6A76E555" w14:textId="553B7A4C" w:rsidR="00ED43F7" w:rsidRPr="00805152" w:rsidRDefault="00ED43F7" w:rsidP="00322BC9">
      <w:pPr>
        <w:spacing w:after="0"/>
        <w:ind w:firstLine="576"/>
        <w:rPr>
          <w:rFonts w:ascii="Times New Roman" w:eastAsia="Times New Roman" w:hAnsi="Times New Roman"/>
          <w:sz w:val="22"/>
          <w:lang w:val="bg-BG"/>
        </w:rPr>
      </w:pPr>
      <w:bookmarkStart w:id="65" w:name="_Hlk142310530"/>
      <w:r w:rsidRPr="00805152">
        <w:rPr>
          <w:rFonts w:ascii="Times New Roman" w:eastAsia="Times New Roman" w:hAnsi="Times New Roman"/>
          <w:sz w:val="22"/>
          <w:lang w:val="bg-BG"/>
        </w:rPr>
        <w:t>Вариант 1 представлява разработения технически проект от 2015 г.</w:t>
      </w:r>
      <w:r w:rsidR="00C958EE">
        <w:rPr>
          <w:rFonts w:ascii="Times New Roman" w:eastAsia="Times New Roman" w:hAnsi="Times New Roman"/>
          <w:sz w:val="22"/>
          <w:lang w:val="bg-BG"/>
        </w:rPr>
        <w:t xml:space="preserve"> за</w:t>
      </w:r>
      <w:r w:rsidRPr="00805152">
        <w:rPr>
          <w:rFonts w:ascii="Times New Roman" w:eastAsia="Times New Roman" w:hAnsi="Times New Roman"/>
          <w:sz w:val="22"/>
          <w:lang w:val="bg-BG"/>
        </w:rPr>
        <w:t xml:space="preserve"> рехабилитация на вълнолома на пристанище Бургас</w:t>
      </w:r>
      <w:r w:rsidR="0098742B" w:rsidRPr="00805152">
        <w:rPr>
          <w:rFonts w:ascii="Times New Roman" w:eastAsia="Times New Roman" w:hAnsi="Times New Roman"/>
          <w:sz w:val="22"/>
          <w:lang w:val="bg-BG"/>
        </w:rPr>
        <w:t xml:space="preserve"> и представлява вълнолом със защита от тетраподи с наклон 1/1.33. </w:t>
      </w:r>
    </w:p>
    <w:p w14:paraId="7D2AA116" w14:textId="329E0E1C" w:rsidR="00ED43F7" w:rsidRPr="00805152" w:rsidRDefault="0098742B" w:rsidP="00322BC9">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При Вариант 1, условно вълноломът е разделен на 3 части съвпадащи с етапите на строителство. </w:t>
      </w:r>
    </w:p>
    <w:bookmarkEnd w:id="65"/>
    <w:p w14:paraId="359D624F" w14:textId="77777777" w:rsidR="00B9575B" w:rsidRPr="00805152" w:rsidRDefault="00B9575B" w:rsidP="00B9575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Съгласно указанията в техническата литература се приемат два защитни пласта, които ще се положат върху съществуващият към момента каменен насип. </w:t>
      </w:r>
    </w:p>
    <w:p w14:paraId="71D13807" w14:textId="77777777" w:rsidR="00B9575B" w:rsidRPr="00805152" w:rsidRDefault="00B9575B" w:rsidP="00B9575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І-ви пласт от СБ-ІІ-ва категория (1500kg-4000kg) с приета дебелина до 2,0m.</w:t>
      </w:r>
    </w:p>
    <w:p w14:paraId="025F61C1" w14:textId="77777777" w:rsidR="00B9575B" w:rsidRPr="00805152" w:rsidRDefault="00B9575B" w:rsidP="00B9575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ІІ-ри пласт от тетраподи.</w:t>
      </w:r>
    </w:p>
    <w:p w14:paraId="74902096" w14:textId="77777777" w:rsidR="00B9575B" w:rsidRPr="00805152" w:rsidRDefault="00B9575B" w:rsidP="00322BC9">
      <w:pPr>
        <w:spacing w:after="0"/>
        <w:ind w:firstLine="576"/>
        <w:rPr>
          <w:rFonts w:ascii="Times New Roman" w:eastAsia="Times New Roman" w:hAnsi="Times New Roman"/>
          <w:sz w:val="22"/>
          <w:lang w:val="bg-BG"/>
        </w:rPr>
      </w:pPr>
    </w:p>
    <w:p w14:paraId="0F32BED7" w14:textId="7B04C2DB" w:rsidR="00B9575B" w:rsidRPr="00805152" w:rsidRDefault="00B9575B" w:rsidP="00C958EE">
      <w:pPr>
        <w:spacing w:after="0"/>
        <w:ind w:firstLine="576"/>
        <w:jc w:val="center"/>
        <w:rPr>
          <w:rFonts w:ascii="Times New Roman" w:eastAsia="Times New Roman" w:hAnsi="Times New Roman"/>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8</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Приети тип тетраподи по тегло за различните зони и дълбочина на водата</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0"/>
        <w:gridCol w:w="1170"/>
        <w:gridCol w:w="1260"/>
        <w:gridCol w:w="1170"/>
      </w:tblGrid>
      <w:tr w:rsidR="00B9575B" w:rsidRPr="00805152" w14:paraId="38673934" w14:textId="77777777" w:rsidTr="00C958EE">
        <w:trPr>
          <w:jc w:val="center"/>
        </w:trPr>
        <w:tc>
          <w:tcPr>
            <w:tcW w:w="3960" w:type="dxa"/>
            <w:tcBorders>
              <w:top w:val="single" w:sz="4" w:space="0" w:color="auto"/>
              <w:left w:val="single" w:sz="4" w:space="0" w:color="auto"/>
              <w:bottom w:val="single" w:sz="4" w:space="0" w:color="auto"/>
              <w:right w:val="single" w:sz="4" w:space="0" w:color="auto"/>
            </w:tcBorders>
            <w:shd w:val="clear" w:color="auto" w:fill="A8D08D"/>
            <w:hideMark/>
          </w:tcPr>
          <w:p w14:paraId="4CEA9EA1" w14:textId="77777777" w:rsidR="00B9575B" w:rsidRPr="00805152" w:rsidRDefault="00B9575B" w:rsidP="00B9575B">
            <w:pPr>
              <w:autoSpaceDE w:val="0"/>
              <w:autoSpaceDN w:val="0"/>
              <w:adjustRightInd w:val="0"/>
              <w:spacing w:after="0" w:line="360" w:lineRule="auto"/>
              <w:jc w:val="center"/>
              <w:rPr>
                <w:rFonts w:ascii="Times New Roman" w:eastAsia="SimSun" w:hAnsi="Times New Roman"/>
                <w:b/>
                <w:sz w:val="24"/>
                <w:szCs w:val="24"/>
                <w:lang w:val="bg-BG"/>
              </w:rPr>
            </w:pPr>
            <w:r w:rsidRPr="00805152">
              <w:rPr>
                <w:rFonts w:ascii="Times New Roman" w:eastAsia="SimSun" w:hAnsi="Times New Roman"/>
                <w:b/>
                <w:color w:val="000000"/>
                <w:sz w:val="24"/>
                <w:szCs w:val="24"/>
                <w:lang w:val="bg-BG"/>
              </w:rPr>
              <w:t>Зона</w:t>
            </w:r>
          </w:p>
        </w:tc>
        <w:tc>
          <w:tcPr>
            <w:tcW w:w="1170" w:type="dxa"/>
            <w:tcBorders>
              <w:top w:val="single" w:sz="4" w:space="0" w:color="auto"/>
              <w:left w:val="single" w:sz="4" w:space="0" w:color="auto"/>
              <w:bottom w:val="single" w:sz="4" w:space="0" w:color="auto"/>
              <w:right w:val="single" w:sz="4" w:space="0" w:color="auto"/>
            </w:tcBorders>
            <w:shd w:val="clear" w:color="auto" w:fill="A8D08D"/>
            <w:hideMark/>
          </w:tcPr>
          <w:p w14:paraId="5FD464BF" w14:textId="77777777" w:rsidR="00B9575B" w:rsidRPr="00805152" w:rsidRDefault="00B9575B" w:rsidP="00B9575B">
            <w:pPr>
              <w:autoSpaceDE w:val="0"/>
              <w:autoSpaceDN w:val="0"/>
              <w:adjustRightInd w:val="0"/>
              <w:spacing w:after="0" w:line="360" w:lineRule="auto"/>
              <w:jc w:val="center"/>
              <w:rPr>
                <w:rFonts w:ascii="Times New Roman" w:eastAsia="SimSun" w:hAnsi="Times New Roman"/>
                <w:b/>
                <w:sz w:val="24"/>
                <w:szCs w:val="24"/>
                <w:lang w:val="bg-BG"/>
              </w:rPr>
            </w:pPr>
            <w:r w:rsidRPr="00805152">
              <w:rPr>
                <w:rFonts w:ascii="Times New Roman" w:eastAsia="SimSun" w:hAnsi="Times New Roman"/>
                <w:b/>
                <w:color w:val="000000"/>
                <w:sz w:val="24"/>
                <w:szCs w:val="24"/>
                <w:lang w:val="bg-BG"/>
              </w:rPr>
              <w:t>І</w:t>
            </w:r>
          </w:p>
        </w:tc>
        <w:tc>
          <w:tcPr>
            <w:tcW w:w="1260" w:type="dxa"/>
            <w:tcBorders>
              <w:top w:val="single" w:sz="4" w:space="0" w:color="auto"/>
              <w:left w:val="single" w:sz="4" w:space="0" w:color="auto"/>
              <w:bottom w:val="single" w:sz="4" w:space="0" w:color="auto"/>
              <w:right w:val="single" w:sz="4" w:space="0" w:color="auto"/>
            </w:tcBorders>
            <w:shd w:val="clear" w:color="auto" w:fill="A8D08D"/>
            <w:hideMark/>
          </w:tcPr>
          <w:p w14:paraId="7229E08E" w14:textId="77777777" w:rsidR="00B9575B" w:rsidRPr="00805152" w:rsidRDefault="00B9575B" w:rsidP="00B9575B">
            <w:pPr>
              <w:autoSpaceDE w:val="0"/>
              <w:autoSpaceDN w:val="0"/>
              <w:adjustRightInd w:val="0"/>
              <w:spacing w:after="0" w:line="360" w:lineRule="auto"/>
              <w:jc w:val="center"/>
              <w:rPr>
                <w:rFonts w:ascii="Times New Roman" w:eastAsia="SimSun" w:hAnsi="Times New Roman"/>
                <w:b/>
                <w:sz w:val="24"/>
                <w:szCs w:val="24"/>
                <w:lang w:val="bg-BG"/>
              </w:rPr>
            </w:pPr>
            <w:r w:rsidRPr="00805152">
              <w:rPr>
                <w:rFonts w:ascii="Times New Roman" w:eastAsia="SimSun" w:hAnsi="Times New Roman"/>
                <w:b/>
                <w:color w:val="000000"/>
                <w:sz w:val="24"/>
                <w:szCs w:val="24"/>
                <w:lang w:val="bg-BG"/>
              </w:rPr>
              <w:t>ІІ</w:t>
            </w:r>
          </w:p>
        </w:tc>
        <w:tc>
          <w:tcPr>
            <w:tcW w:w="1170" w:type="dxa"/>
            <w:tcBorders>
              <w:top w:val="single" w:sz="4" w:space="0" w:color="auto"/>
              <w:left w:val="single" w:sz="4" w:space="0" w:color="auto"/>
              <w:bottom w:val="single" w:sz="4" w:space="0" w:color="auto"/>
              <w:right w:val="single" w:sz="4" w:space="0" w:color="auto"/>
            </w:tcBorders>
            <w:shd w:val="clear" w:color="auto" w:fill="A8D08D"/>
            <w:hideMark/>
          </w:tcPr>
          <w:p w14:paraId="4B989A60" w14:textId="77777777" w:rsidR="00B9575B" w:rsidRPr="00805152" w:rsidRDefault="00B9575B" w:rsidP="00B9575B">
            <w:pPr>
              <w:autoSpaceDE w:val="0"/>
              <w:autoSpaceDN w:val="0"/>
              <w:adjustRightInd w:val="0"/>
              <w:spacing w:after="0" w:line="360" w:lineRule="auto"/>
              <w:jc w:val="center"/>
              <w:rPr>
                <w:rFonts w:ascii="Times New Roman" w:eastAsia="SimSun" w:hAnsi="Times New Roman"/>
                <w:b/>
                <w:sz w:val="24"/>
                <w:szCs w:val="24"/>
                <w:lang w:val="bg-BG"/>
              </w:rPr>
            </w:pPr>
            <w:r w:rsidRPr="00805152">
              <w:rPr>
                <w:rFonts w:ascii="Times New Roman" w:eastAsia="SimSun" w:hAnsi="Times New Roman"/>
                <w:b/>
                <w:color w:val="000000"/>
                <w:sz w:val="24"/>
                <w:szCs w:val="24"/>
                <w:lang w:val="bg-BG"/>
              </w:rPr>
              <w:t>ІІІ</w:t>
            </w:r>
          </w:p>
        </w:tc>
      </w:tr>
      <w:tr w:rsidR="00B9575B" w:rsidRPr="00805152" w14:paraId="18C59938" w14:textId="77777777" w:rsidTr="00C958EE">
        <w:trPr>
          <w:jc w:val="center"/>
        </w:trPr>
        <w:tc>
          <w:tcPr>
            <w:tcW w:w="3960" w:type="dxa"/>
            <w:tcBorders>
              <w:top w:val="single" w:sz="4" w:space="0" w:color="auto"/>
              <w:left w:val="single" w:sz="4" w:space="0" w:color="auto"/>
              <w:bottom w:val="single" w:sz="4" w:space="0" w:color="auto"/>
              <w:right w:val="single" w:sz="4" w:space="0" w:color="auto"/>
            </w:tcBorders>
            <w:hideMark/>
          </w:tcPr>
          <w:p w14:paraId="6B0A620B" w14:textId="77777777" w:rsidR="00B9575B" w:rsidRPr="00C958EE" w:rsidRDefault="00B9575B" w:rsidP="00B9575B">
            <w:pPr>
              <w:autoSpaceDE w:val="0"/>
              <w:autoSpaceDN w:val="0"/>
              <w:adjustRightInd w:val="0"/>
              <w:spacing w:after="0" w:line="360" w:lineRule="auto"/>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Дълбочина d [m]</w:t>
            </w:r>
          </w:p>
        </w:tc>
        <w:tc>
          <w:tcPr>
            <w:tcW w:w="1170" w:type="dxa"/>
            <w:tcBorders>
              <w:top w:val="single" w:sz="4" w:space="0" w:color="auto"/>
              <w:left w:val="single" w:sz="4" w:space="0" w:color="auto"/>
              <w:bottom w:val="single" w:sz="4" w:space="0" w:color="auto"/>
              <w:right w:val="single" w:sz="4" w:space="0" w:color="auto"/>
            </w:tcBorders>
            <w:hideMark/>
          </w:tcPr>
          <w:p w14:paraId="08603E41"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11</w:t>
            </w:r>
          </w:p>
        </w:tc>
        <w:tc>
          <w:tcPr>
            <w:tcW w:w="1260" w:type="dxa"/>
            <w:tcBorders>
              <w:top w:val="single" w:sz="4" w:space="0" w:color="auto"/>
              <w:left w:val="single" w:sz="4" w:space="0" w:color="auto"/>
              <w:bottom w:val="single" w:sz="4" w:space="0" w:color="auto"/>
              <w:right w:val="single" w:sz="4" w:space="0" w:color="auto"/>
            </w:tcBorders>
            <w:hideMark/>
          </w:tcPr>
          <w:p w14:paraId="6F40F9A2"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9</w:t>
            </w:r>
          </w:p>
        </w:tc>
        <w:tc>
          <w:tcPr>
            <w:tcW w:w="1170" w:type="dxa"/>
            <w:tcBorders>
              <w:top w:val="single" w:sz="4" w:space="0" w:color="auto"/>
              <w:left w:val="single" w:sz="4" w:space="0" w:color="auto"/>
              <w:bottom w:val="single" w:sz="4" w:space="0" w:color="auto"/>
              <w:right w:val="single" w:sz="4" w:space="0" w:color="auto"/>
            </w:tcBorders>
            <w:hideMark/>
          </w:tcPr>
          <w:p w14:paraId="2AB5BAA2"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8</w:t>
            </w:r>
          </w:p>
        </w:tc>
      </w:tr>
      <w:tr w:rsidR="00B9575B" w:rsidRPr="00805152" w14:paraId="275FEC92" w14:textId="77777777" w:rsidTr="00C958EE">
        <w:trPr>
          <w:jc w:val="center"/>
        </w:trPr>
        <w:tc>
          <w:tcPr>
            <w:tcW w:w="3960" w:type="dxa"/>
            <w:tcBorders>
              <w:top w:val="single" w:sz="4" w:space="0" w:color="auto"/>
              <w:left w:val="single" w:sz="4" w:space="0" w:color="auto"/>
              <w:bottom w:val="single" w:sz="4" w:space="0" w:color="auto"/>
              <w:right w:val="single" w:sz="4" w:space="0" w:color="auto"/>
            </w:tcBorders>
            <w:hideMark/>
          </w:tcPr>
          <w:p w14:paraId="6F93ADF1" w14:textId="77777777" w:rsidR="00B9575B" w:rsidRPr="00C958EE" w:rsidRDefault="00B9575B" w:rsidP="00B9575B">
            <w:pPr>
              <w:autoSpaceDE w:val="0"/>
              <w:autoSpaceDN w:val="0"/>
              <w:adjustRightInd w:val="0"/>
              <w:spacing w:after="0" w:line="360" w:lineRule="auto"/>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 xml:space="preserve">Необходимо тегло - G [kN] </w:t>
            </w:r>
          </w:p>
        </w:tc>
        <w:tc>
          <w:tcPr>
            <w:tcW w:w="1170" w:type="dxa"/>
            <w:tcBorders>
              <w:top w:val="single" w:sz="4" w:space="0" w:color="auto"/>
              <w:left w:val="single" w:sz="4" w:space="0" w:color="auto"/>
              <w:bottom w:val="single" w:sz="4" w:space="0" w:color="auto"/>
              <w:right w:val="single" w:sz="4" w:space="0" w:color="auto"/>
            </w:tcBorders>
            <w:hideMark/>
          </w:tcPr>
          <w:p w14:paraId="0F84E406"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Times New Roman" w:hAnsi="Times New Roman"/>
                <w:color w:val="000000"/>
                <w:sz w:val="22"/>
                <w:szCs w:val="24"/>
                <w:lang w:val="bg-BG"/>
              </w:rPr>
              <w:t>94,62</w:t>
            </w:r>
          </w:p>
        </w:tc>
        <w:tc>
          <w:tcPr>
            <w:tcW w:w="1260" w:type="dxa"/>
            <w:tcBorders>
              <w:top w:val="single" w:sz="4" w:space="0" w:color="auto"/>
              <w:left w:val="single" w:sz="4" w:space="0" w:color="auto"/>
              <w:bottom w:val="single" w:sz="4" w:space="0" w:color="auto"/>
              <w:right w:val="single" w:sz="4" w:space="0" w:color="auto"/>
            </w:tcBorders>
            <w:hideMark/>
          </w:tcPr>
          <w:p w14:paraId="782C7C30"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55,66</w:t>
            </w:r>
          </w:p>
        </w:tc>
        <w:tc>
          <w:tcPr>
            <w:tcW w:w="1170" w:type="dxa"/>
            <w:tcBorders>
              <w:top w:val="single" w:sz="4" w:space="0" w:color="auto"/>
              <w:left w:val="single" w:sz="4" w:space="0" w:color="auto"/>
              <w:bottom w:val="single" w:sz="4" w:space="0" w:color="auto"/>
              <w:right w:val="single" w:sz="4" w:space="0" w:color="auto"/>
            </w:tcBorders>
            <w:hideMark/>
          </w:tcPr>
          <w:p w14:paraId="5DA53E9D"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25,63</w:t>
            </w:r>
          </w:p>
        </w:tc>
      </w:tr>
      <w:tr w:rsidR="00B9575B" w:rsidRPr="00805152" w14:paraId="094D0F46" w14:textId="77777777" w:rsidTr="00C958EE">
        <w:trPr>
          <w:jc w:val="center"/>
        </w:trPr>
        <w:tc>
          <w:tcPr>
            <w:tcW w:w="3960" w:type="dxa"/>
            <w:tcBorders>
              <w:top w:val="single" w:sz="4" w:space="0" w:color="auto"/>
              <w:left w:val="single" w:sz="4" w:space="0" w:color="auto"/>
              <w:bottom w:val="single" w:sz="4" w:space="0" w:color="auto"/>
              <w:right w:val="single" w:sz="4" w:space="0" w:color="auto"/>
            </w:tcBorders>
            <w:hideMark/>
          </w:tcPr>
          <w:p w14:paraId="26036738" w14:textId="77777777" w:rsidR="00B9575B" w:rsidRPr="00C958EE" w:rsidRDefault="00B9575B" w:rsidP="00B9575B">
            <w:pPr>
              <w:autoSpaceDE w:val="0"/>
              <w:autoSpaceDN w:val="0"/>
              <w:adjustRightInd w:val="0"/>
              <w:spacing w:after="0" w:line="360" w:lineRule="auto"/>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Приета дебелина на бронировката [cm]</w:t>
            </w:r>
          </w:p>
        </w:tc>
        <w:tc>
          <w:tcPr>
            <w:tcW w:w="1170" w:type="dxa"/>
            <w:tcBorders>
              <w:top w:val="single" w:sz="4" w:space="0" w:color="auto"/>
              <w:left w:val="single" w:sz="4" w:space="0" w:color="auto"/>
              <w:bottom w:val="single" w:sz="4" w:space="0" w:color="auto"/>
              <w:right w:val="single" w:sz="4" w:space="0" w:color="auto"/>
            </w:tcBorders>
            <w:hideMark/>
          </w:tcPr>
          <w:p w14:paraId="6B9BA270" w14:textId="77777777" w:rsidR="00B9575B" w:rsidRPr="00C958EE" w:rsidRDefault="00B9575B" w:rsidP="00B9575B">
            <w:pPr>
              <w:autoSpaceDE w:val="0"/>
              <w:autoSpaceDN w:val="0"/>
              <w:adjustRightInd w:val="0"/>
              <w:spacing w:after="0" w:line="360" w:lineRule="auto"/>
              <w:jc w:val="right"/>
              <w:rPr>
                <w:rFonts w:ascii="Times New Roman" w:eastAsia="Times New Roman" w:hAnsi="Times New Roman"/>
                <w:color w:val="000000"/>
                <w:sz w:val="22"/>
                <w:szCs w:val="24"/>
                <w:lang w:val="bg-BG"/>
              </w:rPr>
            </w:pPr>
            <w:r w:rsidRPr="00C958EE">
              <w:rPr>
                <w:rFonts w:ascii="Times New Roman" w:eastAsia="Times New Roman" w:hAnsi="Times New Roman"/>
                <w:color w:val="000000"/>
                <w:sz w:val="22"/>
                <w:szCs w:val="24"/>
                <w:lang w:val="bg-BG"/>
              </w:rPr>
              <w:t>360</w:t>
            </w:r>
          </w:p>
        </w:tc>
        <w:tc>
          <w:tcPr>
            <w:tcW w:w="1260" w:type="dxa"/>
            <w:tcBorders>
              <w:top w:val="single" w:sz="4" w:space="0" w:color="auto"/>
              <w:left w:val="single" w:sz="4" w:space="0" w:color="auto"/>
              <w:bottom w:val="single" w:sz="4" w:space="0" w:color="auto"/>
              <w:right w:val="single" w:sz="4" w:space="0" w:color="auto"/>
            </w:tcBorders>
            <w:hideMark/>
          </w:tcPr>
          <w:p w14:paraId="4CB38D63"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300</w:t>
            </w:r>
          </w:p>
        </w:tc>
        <w:tc>
          <w:tcPr>
            <w:tcW w:w="1170" w:type="dxa"/>
            <w:tcBorders>
              <w:top w:val="single" w:sz="4" w:space="0" w:color="auto"/>
              <w:left w:val="single" w:sz="4" w:space="0" w:color="auto"/>
              <w:bottom w:val="single" w:sz="4" w:space="0" w:color="auto"/>
              <w:right w:val="single" w:sz="4" w:space="0" w:color="auto"/>
            </w:tcBorders>
            <w:hideMark/>
          </w:tcPr>
          <w:p w14:paraId="1F43DB9E"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240</w:t>
            </w:r>
          </w:p>
        </w:tc>
      </w:tr>
      <w:tr w:rsidR="00B9575B" w:rsidRPr="00805152" w14:paraId="635E092D" w14:textId="77777777" w:rsidTr="00C958EE">
        <w:trPr>
          <w:trHeight w:val="493"/>
          <w:jc w:val="center"/>
        </w:trPr>
        <w:tc>
          <w:tcPr>
            <w:tcW w:w="3960" w:type="dxa"/>
            <w:tcBorders>
              <w:top w:val="single" w:sz="4" w:space="0" w:color="auto"/>
              <w:left w:val="single" w:sz="4" w:space="0" w:color="auto"/>
              <w:bottom w:val="single" w:sz="4" w:space="0" w:color="auto"/>
              <w:right w:val="single" w:sz="4" w:space="0" w:color="auto"/>
            </w:tcBorders>
            <w:hideMark/>
          </w:tcPr>
          <w:p w14:paraId="6C4F9FDB" w14:textId="77777777" w:rsidR="00B9575B" w:rsidRPr="00C958EE" w:rsidRDefault="00B9575B" w:rsidP="00B9575B">
            <w:pPr>
              <w:autoSpaceDE w:val="0"/>
              <w:autoSpaceDN w:val="0"/>
              <w:adjustRightInd w:val="0"/>
              <w:spacing w:after="0" w:line="360" w:lineRule="auto"/>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Прието тегло на тетраподи</w:t>
            </w:r>
          </w:p>
        </w:tc>
        <w:tc>
          <w:tcPr>
            <w:tcW w:w="1170" w:type="dxa"/>
            <w:tcBorders>
              <w:top w:val="single" w:sz="4" w:space="0" w:color="auto"/>
              <w:left w:val="single" w:sz="4" w:space="0" w:color="auto"/>
              <w:bottom w:val="single" w:sz="4" w:space="0" w:color="auto"/>
              <w:right w:val="single" w:sz="4" w:space="0" w:color="auto"/>
            </w:tcBorders>
            <w:hideMark/>
          </w:tcPr>
          <w:p w14:paraId="45B493F0"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Times New Roman" w:hAnsi="Times New Roman"/>
                <w:color w:val="000000"/>
                <w:sz w:val="22"/>
                <w:szCs w:val="24"/>
                <w:lang w:val="bg-BG"/>
              </w:rPr>
              <w:t>Т10</w:t>
            </w:r>
          </w:p>
        </w:tc>
        <w:tc>
          <w:tcPr>
            <w:tcW w:w="1260" w:type="dxa"/>
            <w:tcBorders>
              <w:top w:val="single" w:sz="4" w:space="0" w:color="auto"/>
              <w:left w:val="single" w:sz="4" w:space="0" w:color="auto"/>
              <w:bottom w:val="single" w:sz="4" w:space="0" w:color="auto"/>
              <w:right w:val="single" w:sz="4" w:space="0" w:color="auto"/>
            </w:tcBorders>
            <w:hideMark/>
          </w:tcPr>
          <w:p w14:paraId="3B9C2FEF"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Т8</w:t>
            </w:r>
          </w:p>
        </w:tc>
        <w:tc>
          <w:tcPr>
            <w:tcW w:w="1170" w:type="dxa"/>
            <w:tcBorders>
              <w:top w:val="single" w:sz="4" w:space="0" w:color="auto"/>
              <w:left w:val="single" w:sz="4" w:space="0" w:color="auto"/>
              <w:bottom w:val="single" w:sz="4" w:space="0" w:color="auto"/>
              <w:right w:val="single" w:sz="4" w:space="0" w:color="auto"/>
            </w:tcBorders>
            <w:hideMark/>
          </w:tcPr>
          <w:p w14:paraId="71E7C42E" w14:textId="77777777" w:rsidR="00B9575B" w:rsidRPr="00C958EE" w:rsidRDefault="00B9575B" w:rsidP="00B9575B">
            <w:pPr>
              <w:autoSpaceDE w:val="0"/>
              <w:autoSpaceDN w:val="0"/>
              <w:adjustRightInd w:val="0"/>
              <w:spacing w:after="0" w:line="360" w:lineRule="auto"/>
              <w:jc w:val="right"/>
              <w:rPr>
                <w:rFonts w:ascii="Times New Roman" w:eastAsia="SimSun" w:hAnsi="Times New Roman"/>
                <w:color w:val="000000"/>
                <w:sz w:val="22"/>
                <w:szCs w:val="24"/>
                <w:lang w:val="bg-BG"/>
              </w:rPr>
            </w:pPr>
            <w:r w:rsidRPr="00C958EE">
              <w:rPr>
                <w:rFonts w:ascii="Times New Roman" w:eastAsia="SimSun" w:hAnsi="Times New Roman"/>
                <w:color w:val="000000"/>
                <w:sz w:val="22"/>
                <w:szCs w:val="24"/>
                <w:lang w:val="bg-BG"/>
              </w:rPr>
              <w:t>Т4</w:t>
            </w:r>
          </w:p>
        </w:tc>
      </w:tr>
    </w:tbl>
    <w:p w14:paraId="2992F5EA" w14:textId="77777777" w:rsidR="00B9575B" w:rsidRPr="00805152" w:rsidRDefault="00B9575B" w:rsidP="00B9575B">
      <w:pPr>
        <w:shd w:val="clear" w:color="auto" w:fill="FFFFFF"/>
        <w:autoSpaceDE w:val="0"/>
        <w:autoSpaceDN w:val="0"/>
        <w:adjustRightInd w:val="0"/>
        <w:spacing w:after="0" w:line="360" w:lineRule="auto"/>
        <w:ind w:firstLine="709"/>
        <w:rPr>
          <w:rFonts w:ascii="Times New Roman" w:eastAsia="SimSun" w:hAnsi="Times New Roman"/>
          <w:color w:val="000000"/>
          <w:sz w:val="24"/>
          <w:szCs w:val="24"/>
          <w:lang w:val="bg-BG"/>
        </w:rPr>
      </w:pPr>
    </w:p>
    <w:p w14:paraId="6FFA8490" w14:textId="7319FBB1" w:rsidR="00B9575B" w:rsidRPr="00805152" w:rsidRDefault="00B9575B" w:rsidP="00602C90">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Съгласно техническия проект е приета </w:t>
      </w:r>
      <w:r w:rsidRPr="00805152">
        <w:rPr>
          <w:rFonts w:ascii="Times New Roman" w:eastAsia="Times New Roman" w:hAnsi="Times New Roman"/>
          <w:b/>
          <w:sz w:val="22"/>
          <w:lang w:val="bg-BG"/>
        </w:rPr>
        <w:t>Кота Било =  +7,50 м (7.78 мЧС)</w:t>
      </w:r>
    </w:p>
    <w:p w14:paraId="59208B35" w14:textId="78EEF81B" w:rsidR="00B9575B" w:rsidRPr="00805152" w:rsidRDefault="00B9575B" w:rsidP="00602C90">
      <w:pPr>
        <w:spacing w:after="0"/>
        <w:ind w:firstLine="576"/>
        <w:rPr>
          <w:rFonts w:ascii="Times New Roman" w:eastAsia="Times New Roman" w:hAnsi="Times New Roman"/>
          <w:sz w:val="22"/>
          <w:lang w:val="bg-BG"/>
        </w:rPr>
      </w:pPr>
      <w:bookmarkStart w:id="66" w:name="_Hlk142310570"/>
      <w:r w:rsidRPr="00805152">
        <w:rPr>
          <w:rFonts w:ascii="Times New Roman" w:eastAsia="Times New Roman" w:hAnsi="Times New Roman"/>
          <w:sz w:val="22"/>
          <w:lang w:val="bg-BG"/>
        </w:rPr>
        <w:t xml:space="preserve">Съгласно съществуващия технически проект за рехабилитация и възстановяване на бронировката на вълнолома, неговата реконструкция </w:t>
      </w:r>
      <w:r w:rsidR="009462E2" w:rsidRPr="00805152">
        <w:rPr>
          <w:rFonts w:ascii="Times New Roman" w:eastAsia="Times New Roman" w:hAnsi="Times New Roman"/>
          <w:sz w:val="22"/>
          <w:lang w:val="bg-BG"/>
        </w:rPr>
        <w:t xml:space="preserve">изисква и </w:t>
      </w:r>
      <w:r w:rsidRPr="00805152">
        <w:rPr>
          <w:rFonts w:ascii="Times New Roman" w:eastAsia="Times New Roman" w:hAnsi="Times New Roman"/>
          <w:sz w:val="22"/>
          <w:lang w:val="bg-BG"/>
        </w:rPr>
        <w:t xml:space="preserve">обособяване на пешеходна зона </w:t>
      </w:r>
      <w:bookmarkEnd w:id="66"/>
      <w:r w:rsidRPr="00805152">
        <w:rPr>
          <w:rFonts w:ascii="Times New Roman" w:eastAsia="Times New Roman" w:hAnsi="Times New Roman"/>
          <w:sz w:val="22"/>
          <w:lang w:val="bg-BG"/>
        </w:rPr>
        <w:t>на Кота +6,30м (+6,58м-ЧС)</w:t>
      </w:r>
      <w:r w:rsidR="009462E2" w:rsidRPr="00805152">
        <w:rPr>
          <w:rFonts w:ascii="Times New Roman" w:eastAsia="Times New Roman" w:hAnsi="Times New Roman"/>
          <w:sz w:val="22"/>
          <w:lang w:val="bg-BG"/>
        </w:rPr>
        <w:t>.</w:t>
      </w:r>
    </w:p>
    <w:p w14:paraId="50895110" w14:textId="09FB873E" w:rsidR="00B9575B" w:rsidRPr="00805152" w:rsidRDefault="00B9575B" w:rsidP="00602C90">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Това ще се постигне</w:t>
      </w:r>
      <w:r w:rsidR="00C958EE">
        <w:rPr>
          <w:rFonts w:ascii="Times New Roman" w:eastAsia="Times New Roman" w:hAnsi="Times New Roman"/>
          <w:sz w:val="22"/>
          <w:lang w:val="bg-BG"/>
        </w:rPr>
        <w:t>,</w:t>
      </w:r>
      <w:r w:rsidRPr="00805152">
        <w:rPr>
          <w:rFonts w:ascii="Times New Roman" w:eastAsia="Times New Roman" w:hAnsi="Times New Roman"/>
          <w:sz w:val="22"/>
          <w:lang w:val="bg-BG"/>
        </w:rPr>
        <w:t xml:space="preserve"> чрез изграждането на нов сглобяем вълнобой </w:t>
      </w:r>
      <w:r w:rsidR="009462E2" w:rsidRPr="00805152">
        <w:rPr>
          <w:rFonts w:ascii="Times New Roman" w:eastAsia="Times New Roman" w:hAnsi="Times New Roman"/>
          <w:sz w:val="22"/>
          <w:lang w:val="bg-BG"/>
        </w:rPr>
        <w:t xml:space="preserve">(надстройка) </w:t>
      </w:r>
      <w:r w:rsidRPr="00805152">
        <w:rPr>
          <w:rFonts w:ascii="Times New Roman" w:eastAsia="Times New Roman" w:hAnsi="Times New Roman"/>
          <w:sz w:val="22"/>
          <w:lang w:val="bg-BG"/>
        </w:rPr>
        <w:t>с H=2,10m достигащ до Кота +7,50</w:t>
      </w:r>
      <w:r w:rsidR="009462E2" w:rsidRPr="00805152">
        <w:rPr>
          <w:rFonts w:ascii="Times New Roman" w:eastAsia="Times New Roman" w:hAnsi="Times New Roman"/>
          <w:sz w:val="22"/>
          <w:lang w:val="bg-BG"/>
        </w:rPr>
        <w:t>м</w:t>
      </w:r>
      <w:r w:rsidRPr="00805152">
        <w:rPr>
          <w:rFonts w:ascii="Times New Roman" w:eastAsia="Times New Roman" w:hAnsi="Times New Roman"/>
          <w:sz w:val="22"/>
          <w:lang w:val="bg-BG"/>
        </w:rPr>
        <w:t xml:space="preserve"> (+7,78</w:t>
      </w:r>
      <w:r w:rsidR="009462E2" w:rsidRPr="00805152">
        <w:rPr>
          <w:rFonts w:ascii="Times New Roman" w:eastAsia="Times New Roman" w:hAnsi="Times New Roman"/>
          <w:sz w:val="22"/>
          <w:lang w:val="bg-BG"/>
        </w:rPr>
        <w:t>м</w:t>
      </w:r>
      <w:r w:rsidRPr="00805152">
        <w:rPr>
          <w:rFonts w:ascii="Times New Roman" w:eastAsia="Times New Roman" w:hAnsi="Times New Roman"/>
          <w:sz w:val="22"/>
          <w:lang w:val="bg-BG"/>
        </w:rPr>
        <w:t xml:space="preserve">-ЧС). Проектът за рехабилитацията на Вълнолома </w:t>
      </w:r>
      <w:r w:rsidR="009462E2" w:rsidRPr="00805152">
        <w:rPr>
          <w:rFonts w:ascii="Times New Roman" w:eastAsia="Times New Roman" w:hAnsi="Times New Roman"/>
          <w:sz w:val="22"/>
          <w:lang w:val="bg-BG"/>
        </w:rPr>
        <w:t>е</w:t>
      </w:r>
      <w:r w:rsidRPr="00805152">
        <w:rPr>
          <w:rFonts w:ascii="Times New Roman" w:eastAsia="Times New Roman" w:hAnsi="Times New Roman"/>
          <w:sz w:val="22"/>
          <w:lang w:val="bg-BG"/>
        </w:rPr>
        <w:t xml:space="preserve"> разделена на следните етапи:</w:t>
      </w:r>
    </w:p>
    <w:p w14:paraId="3EF7A05D" w14:textId="77777777" w:rsidR="00B9575B" w:rsidRPr="00805152" w:rsidRDefault="00B9575B" w:rsidP="00602C90">
      <w:pPr>
        <w:spacing w:after="0"/>
        <w:ind w:firstLine="576"/>
        <w:rPr>
          <w:rFonts w:ascii="Times New Roman" w:eastAsia="Times New Roman" w:hAnsi="Times New Roman"/>
          <w:sz w:val="22"/>
          <w:lang w:val="bg-BG"/>
        </w:rPr>
      </w:pPr>
      <w:r w:rsidRPr="00805152">
        <w:rPr>
          <w:rFonts w:ascii="Times New Roman" w:eastAsia="Times New Roman" w:hAnsi="Times New Roman"/>
          <w:b/>
          <w:sz w:val="22"/>
          <w:lang w:val="bg-BG"/>
        </w:rPr>
        <w:t>І ЕТАП</w:t>
      </w:r>
      <w:r w:rsidRPr="00805152">
        <w:rPr>
          <w:rFonts w:ascii="Times New Roman" w:eastAsia="Times New Roman" w:hAnsi="Times New Roman"/>
          <w:sz w:val="22"/>
          <w:lang w:val="bg-BG"/>
        </w:rPr>
        <w:t xml:space="preserve"> – L=227,00m – От фара до оградата на Яхтклуба.;</w:t>
      </w:r>
    </w:p>
    <w:p w14:paraId="3CCFE98D" w14:textId="77777777" w:rsidR="00B9575B" w:rsidRPr="00805152" w:rsidRDefault="00B9575B" w:rsidP="00602C90">
      <w:pPr>
        <w:spacing w:after="0"/>
        <w:ind w:firstLine="576"/>
        <w:rPr>
          <w:rFonts w:ascii="Times New Roman" w:eastAsia="Times New Roman" w:hAnsi="Times New Roman"/>
          <w:sz w:val="22"/>
          <w:lang w:val="bg-BG"/>
        </w:rPr>
      </w:pPr>
      <w:r w:rsidRPr="00805152">
        <w:rPr>
          <w:rFonts w:ascii="Times New Roman" w:eastAsia="Times New Roman" w:hAnsi="Times New Roman"/>
          <w:b/>
          <w:sz w:val="22"/>
          <w:lang w:val="bg-BG"/>
        </w:rPr>
        <w:t xml:space="preserve">ІІ ЕТАП </w:t>
      </w:r>
      <w:r w:rsidRPr="00805152">
        <w:rPr>
          <w:rFonts w:ascii="Times New Roman" w:eastAsia="Times New Roman" w:hAnsi="Times New Roman"/>
          <w:sz w:val="22"/>
          <w:lang w:val="bg-BG"/>
        </w:rPr>
        <w:t>– L=200,00m – От оградата на Яхтклуба до 50,00m след Морска гара;</w:t>
      </w:r>
    </w:p>
    <w:p w14:paraId="37AD9870" w14:textId="37F22B5A" w:rsidR="009462E2" w:rsidRDefault="00B9575B" w:rsidP="00F33014">
      <w:pPr>
        <w:spacing w:after="0"/>
        <w:ind w:firstLine="576"/>
        <w:rPr>
          <w:rFonts w:ascii="Times New Roman" w:eastAsia="Times New Roman" w:hAnsi="Times New Roman"/>
          <w:sz w:val="22"/>
          <w:lang w:val="bg-BG"/>
        </w:rPr>
      </w:pPr>
      <w:r w:rsidRPr="00805152">
        <w:rPr>
          <w:rFonts w:ascii="Times New Roman" w:eastAsia="Times New Roman" w:hAnsi="Times New Roman"/>
          <w:b/>
          <w:sz w:val="22"/>
          <w:lang w:val="bg-BG"/>
        </w:rPr>
        <w:t>ІІІ ЕТАП</w:t>
      </w:r>
      <w:r w:rsidRPr="00805152">
        <w:rPr>
          <w:rFonts w:ascii="Times New Roman" w:eastAsia="Times New Roman" w:hAnsi="Times New Roman"/>
          <w:sz w:val="22"/>
          <w:lang w:val="bg-BG"/>
        </w:rPr>
        <w:t xml:space="preserve"> –L=265,00m – От 50,00m след Морска гара до началото на Магазия І;</w:t>
      </w:r>
    </w:p>
    <w:p w14:paraId="27370781" w14:textId="77777777" w:rsidR="00F33014" w:rsidRPr="00805152" w:rsidRDefault="00F33014" w:rsidP="00F33014">
      <w:pPr>
        <w:spacing w:after="0"/>
        <w:ind w:firstLine="576"/>
        <w:rPr>
          <w:rFonts w:ascii="Times New Roman" w:eastAsia="Times New Roman" w:hAnsi="Times New Roman"/>
          <w:sz w:val="22"/>
          <w:lang w:val="bg-BG"/>
        </w:rPr>
      </w:pPr>
    </w:p>
    <w:p w14:paraId="14A7B19C" w14:textId="0696EA48" w:rsidR="00B9575B" w:rsidRPr="00805152" w:rsidRDefault="00B9575B" w:rsidP="00B9575B">
      <w:pPr>
        <w:spacing w:after="0"/>
        <w:ind w:firstLine="576"/>
        <w:rPr>
          <w:rFonts w:ascii="Times New Roman" w:eastAsia="Times New Roman" w:hAnsi="Times New Roman"/>
          <w:sz w:val="22"/>
          <w:lang w:val="bg-BG"/>
        </w:rPr>
      </w:pPr>
      <w:bookmarkStart w:id="67" w:name="_Hlk142310609"/>
      <w:r w:rsidRPr="00805152">
        <w:rPr>
          <w:rFonts w:ascii="Times New Roman" w:eastAsia="Times New Roman" w:hAnsi="Times New Roman"/>
          <w:sz w:val="22"/>
          <w:lang w:val="bg-BG"/>
        </w:rPr>
        <w:t>Предвидено е отстраняване на съществуващият вълнобой</w:t>
      </w:r>
      <w:r w:rsidR="00F33014">
        <w:rPr>
          <w:rFonts w:ascii="Times New Roman" w:eastAsia="Times New Roman" w:hAnsi="Times New Roman"/>
          <w:sz w:val="22"/>
          <w:lang w:val="en-US"/>
        </w:rPr>
        <w:t>,</w:t>
      </w:r>
      <w:r w:rsidRPr="00805152">
        <w:rPr>
          <w:rFonts w:ascii="Times New Roman" w:eastAsia="Times New Roman" w:hAnsi="Times New Roman"/>
          <w:sz w:val="22"/>
          <w:lang w:val="bg-BG"/>
        </w:rPr>
        <w:t xml:space="preserve"> монтиран на Кота +5,40</w:t>
      </w:r>
      <w:r w:rsidR="009462E2" w:rsidRPr="00805152">
        <w:rPr>
          <w:rFonts w:ascii="Times New Roman" w:eastAsia="Times New Roman" w:hAnsi="Times New Roman"/>
          <w:sz w:val="22"/>
          <w:lang w:val="bg-BG"/>
        </w:rPr>
        <w:t>м</w:t>
      </w:r>
      <w:r w:rsidRPr="00805152">
        <w:rPr>
          <w:rFonts w:ascii="Times New Roman" w:eastAsia="Times New Roman" w:hAnsi="Times New Roman"/>
          <w:sz w:val="22"/>
          <w:lang w:val="bg-BG"/>
        </w:rPr>
        <w:t xml:space="preserve"> (+5,68</w:t>
      </w:r>
      <w:r w:rsidR="009462E2" w:rsidRPr="00805152">
        <w:rPr>
          <w:rFonts w:ascii="Times New Roman" w:eastAsia="Times New Roman" w:hAnsi="Times New Roman"/>
          <w:sz w:val="22"/>
          <w:lang w:val="bg-BG"/>
        </w:rPr>
        <w:t>м</w:t>
      </w:r>
      <w:r w:rsidRPr="00805152">
        <w:rPr>
          <w:rFonts w:ascii="Times New Roman" w:eastAsia="Times New Roman" w:hAnsi="Times New Roman"/>
          <w:sz w:val="22"/>
          <w:lang w:val="bg-BG"/>
        </w:rPr>
        <w:t>-ЧС). Отстраняването ще стане посредством разкъртване на връзката между вълнобоя и фундамента и последващо изрязване на армировката.</w:t>
      </w:r>
    </w:p>
    <w:p w14:paraId="00557B87" w14:textId="38B1746E" w:rsidR="00B9575B" w:rsidRPr="00805152" w:rsidRDefault="00B9575B" w:rsidP="00B9575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Самият стар вълнобой е стоманобетонов елемент с дължина L=5,00</w:t>
      </w:r>
      <w:r w:rsidR="00C958EE">
        <w:rPr>
          <w:rFonts w:ascii="Times New Roman" w:eastAsia="Times New Roman" w:hAnsi="Times New Roman"/>
          <w:sz w:val="22"/>
          <w:lang w:val="bg-BG"/>
        </w:rPr>
        <w:t xml:space="preserve"> м.</w:t>
      </w:r>
      <w:r w:rsidRPr="00805152">
        <w:rPr>
          <w:rFonts w:ascii="Times New Roman" w:eastAsia="Times New Roman" w:hAnsi="Times New Roman"/>
          <w:sz w:val="22"/>
          <w:lang w:val="bg-BG"/>
        </w:rPr>
        <w:t xml:space="preserve"> и тегло 10,50</w:t>
      </w:r>
      <w:r w:rsidR="00C958EE">
        <w:rPr>
          <w:rFonts w:ascii="Times New Roman" w:eastAsia="Times New Roman" w:hAnsi="Times New Roman"/>
          <w:sz w:val="22"/>
          <w:lang w:val="bg-BG"/>
        </w:rPr>
        <w:t xml:space="preserve"> </w:t>
      </w:r>
      <w:r w:rsidRPr="00805152">
        <w:rPr>
          <w:rFonts w:ascii="Times New Roman" w:eastAsia="Times New Roman" w:hAnsi="Times New Roman"/>
          <w:sz w:val="22"/>
          <w:lang w:val="bg-BG"/>
        </w:rPr>
        <w:t>тона. Предвидено е сапаниране и повдигане на елемента посредством закрепването на анкери и химичен закотвящ разтвор.</w:t>
      </w:r>
    </w:p>
    <w:p w14:paraId="6EFE271A" w14:textId="4612A524" w:rsidR="00B9575B" w:rsidRPr="00805152" w:rsidRDefault="00B9575B" w:rsidP="00774536">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lastRenderedPageBreak/>
        <w:t>Демонтираните елементи се транспортират на депо за строителни отпадъци.</w:t>
      </w:r>
      <w:r w:rsidR="00774536">
        <w:rPr>
          <w:rFonts w:ascii="Times New Roman" w:eastAsia="Times New Roman" w:hAnsi="Times New Roman"/>
          <w:sz w:val="22"/>
          <w:lang w:val="bg-BG"/>
        </w:rPr>
        <w:t xml:space="preserve"> </w:t>
      </w:r>
      <w:r w:rsidRPr="00805152">
        <w:rPr>
          <w:rFonts w:ascii="Times New Roman" w:eastAsia="Times New Roman" w:hAnsi="Times New Roman"/>
          <w:sz w:val="22"/>
          <w:lang w:val="bg-BG"/>
        </w:rPr>
        <w:t>След извършване на демонтажа се пристъпва към почистване на всички видими повърхности за отстраняване на напуканите участъци торкрет. Почистването ще се извършва с водно бластиране с налягане над 300</w:t>
      </w:r>
      <w:r w:rsidR="009462E2"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бара.</w:t>
      </w:r>
      <w:r w:rsidR="00774536">
        <w:rPr>
          <w:rFonts w:ascii="Times New Roman" w:eastAsia="Times New Roman" w:hAnsi="Times New Roman"/>
          <w:sz w:val="22"/>
          <w:lang w:val="bg-BG"/>
        </w:rPr>
        <w:t xml:space="preserve"> </w:t>
      </w:r>
      <w:r w:rsidRPr="00805152">
        <w:rPr>
          <w:rFonts w:ascii="Times New Roman" w:eastAsia="Times New Roman" w:hAnsi="Times New Roman"/>
          <w:sz w:val="22"/>
          <w:lang w:val="bg-BG"/>
        </w:rPr>
        <w:t>От страната на морето са предвидени следните мероприятия:</w:t>
      </w:r>
    </w:p>
    <w:p w14:paraId="272EF1C7" w14:textId="77777777" w:rsidR="00B9575B" w:rsidRPr="00805152" w:rsidRDefault="00B9575B" w:rsidP="0021547C">
      <w:pPr>
        <w:numPr>
          <w:ilvl w:val="0"/>
          <w:numId w:val="3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Отстраняване на съществуващи тетраподи.</w:t>
      </w:r>
    </w:p>
    <w:p w14:paraId="4EFE3755" w14:textId="3EBED375" w:rsidR="00B9575B" w:rsidRPr="00805152" w:rsidRDefault="00B9575B" w:rsidP="0021547C">
      <w:pPr>
        <w:numPr>
          <w:ilvl w:val="0"/>
          <w:numId w:val="3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Направа на изкопи и откосиране на основен пласт СБ 500 - 1500kg с дебелина 2,00 - 2,50</w:t>
      </w:r>
      <w:r w:rsidR="0036466B">
        <w:rPr>
          <w:rFonts w:ascii="Times New Roman" w:eastAsia="Times New Roman" w:hAnsi="Times New Roman"/>
          <w:sz w:val="22"/>
          <w:lang w:val="bg-BG"/>
        </w:rPr>
        <w:t xml:space="preserve"> м.</w:t>
      </w:r>
      <w:r w:rsidRPr="00805152">
        <w:rPr>
          <w:rFonts w:ascii="Times New Roman" w:eastAsia="Times New Roman" w:hAnsi="Times New Roman"/>
          <w:sz w:val="22"/>
          <w:lang w:val="bg-BG"/>
        </w:rPr>
        <w:t xml:space="preserve"> и откос 1:1,33.</w:t>
      </w:r>
    </w:p>
    <w:p w14:paraId="099DA222" w14:textId="00BB1A8E" w:rsidR="00B9575B" w:rsidRPr="00805152" w:rsidRDefault="00B9575B" w:rsidP="0021547C">
      <w:pPr>
        <w:numPr>
          <w:ilvl w:val="0"/>
          <w:numId w:val="3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Полагане бронировка и откосиране на СБ 1500 - 4000kg с дебелина 2,00</w:t>
      </w:r>
      <w:r w:rsidR="0036466B">
        <w:rPr>
          <w:rFonts w:ascii="Times New Roman" w:eastAsia="Times New Roman" w:hAnsi="Times New Roman"/>
          <w:sz w:val="22"/>
          <w:lang w:val="bg-BG"/>
        </w:rPr>
        <w:t xml:space="preserve"> .</w:t>
      </w:r>
      <w:r w:rsidRPr="00805152">
        <w:rPr>
          <w:rFonts w:ascii="Times New Roman" w:eastAsia="Times New Roman" w:hAnsi="Times New Roman"/>
          <w:sz w:val="22"/>
          <w:lang w:val="bg-BG"/>
        </w:rPr>
        <w:t xml:space="preserve"> и откос с m =1,33</w:t>
      </w:r>
    </w:p>
    <w:p w14:paraId="7F619531" w14:textId="77777777" w:rsidR="00B9575B" w:rsidRPr="00805152" w:rsidRDefault="00B9575B" w:rsidP="0021547C">
      <w:pPr>
        <w:numPr>
          <w:ilvl w:val="0"/>
          <w:numId w:val="3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Полагане на тетраподи.</w:t>
      </w:r>
    </w:p>
    <w:p w14:paraId="2D09709A" w14:textId="77777777" w:rsidR="00B9575B" w:rsidRPr="00805152" w:rsidRDefault="00B9575B" w:rsidP="001779C0">
      <w:pPr>
        <w:spacing w:after="0"/>
        <w:rPr>
          <w:rFonts w:ascii="Times New Roman" w:eastAsia="Times New Roman" w:hAnsi="Times New Roman"/>
          <w:sz w:val="22"/>
          <w:lang w:val="bg-BG"/>
        </w:rPr>
      </w:pPr>
      <w:r w:rsidRPr="00805152">
        <w:rPr>
          <w:rFonts w:ascii="Times New Roman" w:eastAsia="Times New Roman" w:hAnsi="Times New Roman"/>
          <w:sz w:val="22"/>
          <w:lang w:val="bg-BG"/>
        </w:rPr>
        <w:t>По отношение на бронировката не са разгледани варианти предвид съществуващите на място тетраподи Т8 и Т10.</w:t>
      </w:r>
    </w:p>
    <w:bookmarkEnd w:id="67"/>
    <w:p w14:paraId="5D2F7C53" w14:textId="02FFEF6B" w:rsidR="00335F19" w:rsidRPr="00805152" w:rsidRDefault="00DC024B" w:rsidP="00B9575B">
      <w:pPr>
        <w:spacing w:after="0"/>
        <w:ind w:firstLine="576"/>
        <w:rPr>
          <w:rFonts w:ascii="Times New Roman" w:eastAsia="Times New Roman" w:hAnsi="Times New Roman"/>
          <w:sz w:val="22"/>
          <w:lang w:val="bg-BG"/>
        </w:rPr>
      </w:pPr>
      <w:r w:rsidRPr="00DC024B">
        <w:rPr>
          <w:rFonts w:ascii="Times New Roman" w:eastAsia="Times New Roman" w:hAnsi="Times New Roman"/>
          <w:sz w:val="22"/>
          <w:lang w:val="bg-BG"/>
        </w:rPr>
        <w:t>Предвид измерените дълбочини в зоната на трети етап параметрите на вълните са значително по-ниски и оттам и вълновото натоварване, но приетото техническо решение е съгласно изискванията на заданието за технически проект от 2015 г.</w:t>
      </w:r>
    </w:p>
    <w:p w14:paraId="791B7C8A" w14:textId="0314EBB1" w:rsidR="00335F19" w:rsidRPr="00805152" w:rsidRDefault="00335F19" w:rsidP="0036466B">
      <w:pPr>
        <w:spacing w:after="0"/>
        <w:jc w:val="center"/>
        <w:rPr>
          <w:rFonts w:ascii="Times New Roman" w:eastAsia="Times New Roman" w:hAnsi="Times New Roman"/>
          <w:sz w:val="22"/>
          <w:lang w:val="bg-BG"/>
        </w:rPr>
      </w:pPr>
      <w:r w:rsidRPr="00805152">
        <w:rPr>
          <w:rFonts w:ascii="Times New Roman" w:hAnsi="Times New Roman"/>
          <w:noProof/>
          <w:lang w:val="en-US"/>
        </w:rPr>
        <w:drawing>
          <wp:inline distT="0" distB="0" distL="0" distR="0" wp14:anchorId="54A297CD" wp14:editId="319F1A5D">
            <wp:extent cx="5981700" cy="3809817"/>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89401" cy="3814722"/>
                    </a:xfrm>
                    <a:prstGeom prst="rect">
                      <a:avLst/>
                    </a:prstGeom>
                  </pic:spPr>
                </pic:pic>
              </a:graphicData>
            </a:graphic>
          </wp:inline>
        </w:drawing>
      </w:r>
    </w:p>
    <w:p w14:paraId="4956B0EB" w14:textId="1DCE0D47" w:rsidR="00421B41" w:rsidRPr="00805152" w:rsidRDefault="00421B41" w:rsidP="00B306B3">
      <w:pPr>
        <w:pStyle w:val="BP-Figure"/>
        <w:ind w:left="1701" w:hanging="567"/>
        <w:jc w:val="center"/>
      </w:pPr>
      <w:r w:rsidRPr="00805152">
        <w:t>Типов Разрез на реконструиран вълнолом – Вариант 1 (Профил 1)</w:t>
      </w:r>
    </w:p>
    <w:p w14:paraId="59619CF9" w14:textId="2BAD16C9" w:rsidR="00335F19" w:rsidRPr="00805152" w:rsidRDefault="00335F19" w:rsidP="00335F19">
      <w:pPr>
        <w:spacing w:after="0"/>
        <w:rPr>
          <w:rFonts w:ascii="Times New Roman" w:eastAsia="Times New Roman" w:hAnsi="Times New Roman"/>
          <w:sz w:val="22"/>
          <w:lang w:val="bg-BG"/>
        </w:rPr>
      </w:pPr>
      <w:r w:rsidRPr="00805152">
        <w:rPr>
          <w:rFonts w:ascii="Times New Roman" w:eastAsia="Times New Roman" w:hAnsi="Times New Roman"/>
          <w:sz w:val="22"/>
          <w:lang w:val="bg-BG"/>
        </w:rPr>
        <w:t>*Профили № 2</w:t>
      </w:r>
      <w:r w:rsidR="001779C0" w:rsidRPr="00805152">
        <w:rPr>
          <w:rFonts w:ascii="Times New Roman" w:eastAsia="Times New Roman" w:hAnsi="Times New Roman"/>
          <w:sz w:val="22"/>
          <w:lang w:val="bg-BG"/>
        </w:rPr>
        <w:t>,</w:t>
      </w:r>
      <w:r w:rsidRPr="00805152">
        <w:rPr>
          <w:rFonts w:ascii="Times New Roman" w:eastAsia="Times New Roman" w:hAnsi="Times New Roman"/>
          <w:sz w:val="22"/>
          <w:lang w:val="bg-BG"/>
        </w:rPr>
        <w:t xml:space="preserve"> 3</w:t>
      </w:r>
      <w:r w:rsidR="001779C0" w:rsidRPr="00805152">
        <w:rPr>
          <w:rFonts w:ascii="Times New Roman" w:eastAsia="Times New Roman" w:hAnsi="Times New Roman"/>
          <w:sz w:val="22"/>
          <w:lang w:val="bg-BG"/>
        </w:rPr>
        <w:t>,</w:t>
      </w:r>
      <w:r w:rsidRPr="00805152">
        <w:rPr>
          <w:rFonts w:ascii="Times New Roman" w:eastAsia="Times New Roman" w:hAnsi="Times New Roman"/>
          <w:sz w:val="22"/>
          <w:lang w:val="bg-BG"/>
        </w:rPr>
        <w:t xml:space="preserve"> </w:t>
      </w:r>
      <w:r w:rsidR="001779C0" w:rsidRPr="00805152">
        <w:rPr>
          <w:rFonts w:ascii="Times New Roman" w:eastAsia="Times New Roman" w:hAnsi="Times New Roman"/>
          <w:sz w:val="22"/>
          <w:lang w:val="bg-BG"/>
        </w:rPr>
        <w:t xml:space="preserve">4, 5 </w:t>
      </w:r>
      <w:r w:rsidRPr="00805152">
        <w:rPr>
          <w:rFonts w:ascii="Times New Roman" w:eastAsia="Times New Roman" w:hAnsi="Times New Roman"/>
          <w:sz w:val="22"/>
          <w:lang w:val="bg-BG"/>
        </w:rPr>
        <w:t>са подобни, като разликата е в типа тетраподи (</w:t>
      </w:r>
      <w:r w:rsidR="001779C0" w:rsidRPr="00805152">
        <w:rPr>
          <w:rFonts w:ascii="Times New Roman" w:eastAsia="Times New Roman" w:hAnsi="Times New Roman"/>
          <w:sz w:val="22"/>
          <w:lang w:val="bg-BG"/>
        </w:rPr>
        <w:t xml:space="preserve">Т10, </w:t>
      </w:r>
      <w:r w:rsidRPr="00805152">
        <w:rPr>
          <w:rFonts w:ascii="Times New Roman" w:eastAsia="Times New Roman" w:hAnsi="Times New Roman"/>
          <w:sz w:val="22"/>
          <w:lang w:val="bg-BG"/>
        </w:rPr>
        <w:t>Т8</w:t>
      </w:r>
      <w:r w:rsidR="001779C0" w:rsidRPr="00805152">
        <w:rPr>
          <w:rFonts w:ascii="Times New Roman" w:eastAsia="Times New Roman" w:hAnsi="Times New Roman"/>
          <w:sz w:val="22"/>
          <w:lang w:val="bg-BG"/>
        </w:rPr>
        <w:t xml:space="preserve"> или Т4) и в дълбочината на водата (3.85м 3.82м, 3.43м, 2.16м , 2.18м)</w:t>
      </w:r>
    </w:p>
    <w:p w14:paraId="76679AAD" w14:textId="65E73435" w:rsidR="009462E2" w:rsidRPr="00805152" w:rsidRDefault="00335F19" w:rsidP="00A127A2">
      <w:pPr>
        <w:pStyle w:val="Heading3"/>
        <w:rPr>
          <w:rFonts w:ascii="Times New Roman" w:hAnsi="Times New Roman"/>
          <w:lang w:val="bg-BG"/>
        </w:rPr>
      </w:pPr>
      <w:bookmarkStart w:id="68" w:name="_Toc423520354"/>
      <w:bookmarkStart w:id="69" w:name="_Toc136961099"/>
      <w:r w:rsidRPr="00805152">
        <w:rPr>
          <w:rFonts w:ascii="Times New Roman" w:hAnsi="Times New Roman"/>
          <w:lang w:val="bg-BG"/>
        </w:rPr>
        <w:lastRenderedPageBreak/>
        <w:t>Нов Вълнобой</w:t>
      </w:r>
      <w:bookmarkEnd w:id="68"/>
      <w:r w:rsidRPr="00805152">
        <w:rPr>
          <w:rFonts w:ascii="Times New Roman" w:hAnsi="Times New Roman"/>
          <w:lang w:val="bg-BG"/>
        </w:rPr>
        <w:t xml:space="preserve"> (Надстройка)</w:t>
      </w:r>
      <w:bookmarkEnd w:id="69"/>
    </w:p>
    <w:p w14:paraId="43739C5D"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Съгласно техническото решение е предвидено изграждане на монолитни кутиеобразни елементи на Кота +4,40 с габарити B/H 1700/1900mm. Горната плоча на така изградените монолитни елементи оформя и алеята на пешеходната зона на Кота +6,30. Всички комуникации и инфраструктура ще бъдат прокарани в елементите и на практика те ще играят роля и на инфраструктурен колектор. Достъпът до вътрешността ще се извършва през шахти разположени на Кота +6,30. </w:t>
      </w:r>
    </w:p>
    <w:p w14:paraId="7FA5D023" w14:textId="6D363611"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По отношение на типа и конструкцията на вълнобоя не са разгледани варианти. Предвидено е монтажа на нов сглобяем вълнобой с височина H=2,10m достигащ до Кота +7,50m. (+7,78-ЧС). Отделните елементи са с дължина L=5,00m и обем V=7,36m</w:t>
      </w:r>
      <w:r w:rsidRPr="00805152">
        <w:rPr>
          <w:rFonts w:ascii="Times New Roman" w:eastAsia="Times New Roman" w:hAnsi="Times New Roman"/>
          <w:sz w:val="22"/>
          <w:vertAlign w:val="superscript"/>
          <w:lang w:val="bg-BG"/>
        </w:rPr>
        <w:t>3</w:t>
      </w:r>
      <w:r w:rsidRPr="00805152">
        <w:rPr>
          <w:rFonts w:ascii="Times New Roman" w:eastAsia="Times New Roman" w:hAnsi="Times New Roman"/>
          <w:sz w:val="22"/>
          <w:lang w:val="bg-BG"/>
        </w:rPr>
        <w:t>. Общото тегло на елемента е G=18,50t.</w:t>
      </w:r>
    </w:p>
    <w:p w14:paraId="172EC122"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Предвиден е за монтиране на Кота +5,40(+5,68-ЧС) върху съществуващият бетонов блок За осигуряване на неговата устойчивост е предвиден монтаж на фиби от армировъчна стомана B500, който ще се анкерират в съществуващият блок посредством химически анкери.</w:t>
      </w:r>
    </w:p>
    <w:p w14:paraId="77B3F6E9"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За достигане до Кота +6,30 на пешеходната алея се предвижда пространството зад вълнобойната стена да се запълни с пълнежен бетон до достигане на проектните Коти.</w:t>
      </w:r>
    </w:p>
    <w:p w14:paraId="13B5B3E8" w14:textId="4215D4F7" w:rsidR="009462E2" w:rsidRPr="00805152" w:rsidRDefault="009462E2" w:rsidP="004360FB">
      <w:pPr>
        <w:spacing w:after="0"/>
        <w:ind w:firstLine="576"/>
        <w:rPr>
          <w:rFonts w:ascii="Times New Roman" w:eastAsia="Times New Roman" w:hAnsi="Times New Roman"/>
          <w:sz w:val="22"/>
          <w:lang w:val="bg-BG"/>
        </w:rPr>
      </w:pPr>
      <w:r w:rsidRPr="00805152">
        <w:rPr>
          <w:rFonts w:ascii="Times New Roman" w:eastAsia="Times New Roman" w:hAnsi="Times New Roman"/>
          <w:b/>
          <w:sz w:val="22"/>
          <w:lang w:val="bg-BG"/>
        </w:rPr>
        <w:t>Материали:</w:t>
      </w:r>
      <w:r w:rsidR="001779C0" w:rsidRPr="00805152">
        <w:rPr>
          <w:rFonts w:ascii="Times New Roman" w:eastAsia="Times New Roman" w:hAnsi="Times New Roman"/>
          <w:b/>
          <w:sz w:val="22"/>
          <w:lang w:val="bg-BG"/>
        </w:rPr>
        <w:t xml:space="preserve"> </w:t>
      </w:r>
      <w:r w:rsidRPr="00805152">
        <w:rPr>
          <w:rFonts w:ascii="Times New Roman" w:eastAsia="Times New Roman" w:hAnsi="Times New Roman"/>
          <w:sz w:val="22"/>
          <w:lang w:val="bg-BG"/>
        </w:rPr>
        <w:t>Бетон С30/37, XC4, XS3, XF4, XA2 -  БДС EN 206-1</w:t>
      </w:r>
      <w:r w:rsidR="001779C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Армировъчна Стомана B420 БДС EN 50080, БДС 9252:2007Армировъчна Стомана B500 БДС EN 50080, БДС 9252:2007</w:t>
      </w:r>
    </w:p>
    <w:p w14:paraId="3CC38461" w14:textId="6ED7F970" w:rsidR="009462E2" w:rsidRPr="00805152" w:rsidRDefault="00335F19" w:rsidP="00A127A2">
      <w:pPr>
        <w:pStyle w:val="Heading3"/>
        <w:rPr>
          <w:rFonts w:ascii="Times New Roman" w:hAnsi="Times New Roman"/>
          <w:lang w:val="bg-BG"/>
        </w:rPr>
      </w:pPr>
      <w:bookmarkStart w:id="70" w:name="_Toc423520355"/>
      <w:bookmarkStart w:id="71" w:name="_Toc136961100"/>
      <w:r w:rsidRPr="00805152">
        <w:rPr>
          <w:rFonts w:ascii="Times New Roman" w:hAnsi="Times New Roman"/>
          <w:lang w:val="bg-BG"/>
        </w:rPr>
        <w:t>Пешеходна Зона</w:t>
      </w:r>
      <w:bookmarkEnd w:id="70"/>
      <w:bookmarkEnd w:id="71"/>
    </w:p>
    <w:p w14:paraId="33BA4073" w14:textId="6E6E1F6A"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Пешеходната зона е оформена на Кота +6,30. Достъпа до нея се осъществява посредством 2 броя стълбищни конструкции и в допълнение са предвидени хидравлични платформи за хора със затруднено придвижване. </w:t>
      </w:r>
    </w:p>
    <w:p w14:paraId="09AFE8E6" w14:textId="6A5A06A2" w:rsidR="00F11649" w:rsidRPr="00805152" w:rsidRDefault="00F11649" w:rsidP="00F11649">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Предл</w:t>
      </w:r>
      <w:r w:rsidR="002C54CB" w:rsidRPr="00805152">
        <w:rPr>
          <w:rFonts w:ascii="Times New Roman" w:eastAsia="Times New Roman" w:hAnsi="Times New Roman"/>
          <w:sz w:val="22"/>
          <w:lang w:val="bg-BG"/>
        </w:rPr>
        <w:t>ожението е</w:t>
      </w:r>
      <w:r w:rsidRPr="00805152">
        <w:rPr>
          <w:rFonts w:ascii="Times New Roman" w:eastAsia="Times New Roman" w:hAnsi="Times New Roman"/>
          <w:sz w:val="22"/>
          <w:lang w:val="bg-BG"/>
        </w:rPr>
        <w:t xml:space="preserve"> платформ</w:t>
      </w:r>
      <w:r w:rsidR="002C54CB" w:rsidRPr="00805152">
        <w:rPr>
          <w:rFonts w:ascii="Times New Roman" w:eastAsia="Times New Roman" w:hAnsi="Times New Roman"/>
          <w:sz w:val="22"/>
          <w:lang w:val="bg-BG"/>
        </w:rPr>
        <w:t>ите</w:t>
      </w:r>
      <w:r w:rsidRPr="00805152">
        <w:rPr>
          <w:rFonts w:ascii="Times New Roman" w:eastAsia="Times New Roman" w:hAnsi="Times New Roman"/>
          <w:sz w:val="22"/>
          <w:lang w:val="bg-BG"/>
        </w:rPr>
        <w:t xml:space="preserve"> да бъд</w:t>
      </w:r>
      <w:r w:rsidR="002C54CB" w:rsidRPr="00805152">
        <w:rPr>
          <w:rFonts w:ascii="Times New Roman" w:eastAsia="Times New Roman" w:hAnsi="Times New Roman"/>
          <w:sz w:val="22"/>
          <w:lang w:val="bg-BG"/>
        </w:rPr>
        <w:t>ат</w:t>
      </w:r>
      <w:r w:rsidRPr="00805152">
        <w:rPr>
          <w:rFonts w:ascii="Times New Roman" w:eastAsia="Times New Roman" w:hAnsi="Times New Roman"/>
          <w:sz w:val="22"/>
          <w:lang w:val="bg-BG"/>
        </w:rPr>
        <w:t xml:space="preserve"> затворен</w:t>
      </w:r>
      <w:r w:rsidR="002C54CB" w:rsidRPr="00805152">
        <w:rPr>
          <w:rFonts w:ascii="Times New Roman" w:eastAsia="Times New Roman" w:hAnsi="Times New Roman"/>
          <w:sz w:val="22"/>
          <w:lang w:val="bg-BG"/>
        </w:rPr>
        <w:t>и</w:t>
      </w:r>
      <w:r w:rsidRPr="00805152">
        <w:rPr>
          <w:rFonts w:ascii="Times New Roman" w:eastAsia="Times New Roman" w:hAnsi="Times New Roman"/>
          <w:sz w:val="22"/>
          <w:lang w:val="bg-BG"/>
        </w:rPr>
        <w:t xml:space="preserve"> готово изделие от фирма производител. </w:t>
      </w:r>
    </w:p>
    <w:p w14:paraId="64C8ECEB" w14:textId="5A97CDDD" w:rsidR="00DC024B" w:rsidRPr="00805152" w:rsidRDefault="00F11649" w:rsidP="004360F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Относно стълбата тя се предвижда да бъде изградена монолитно от стоманобетон на място и в обща конструкция с шахта за монтаж на платформата. </w:t>
      </w:r>
    </w:p>
    <w:p w14:paraId="7CFC628E" w14:textId="77777777" w:rsidR="002C54CB" w:rsidRPr="00805152" w:rsidRDefault="002C54CB" w:rsidP="0036466B">
      <w:pPr>
        <w:spacing w:after="0"/>
        <w:ind w:firstLine="576"/>
        <w:jc w:val="center"/>
        <w:rPr>
          <w:rFonts w:ascii="Times New Roman" w:eastAsia="Times New Roman" w:hAnsi="Times New Roman"/>
          <w:sz w:val="22"/>
          <w:lang w:val="bg-BG"/>
        </w:rPr>
      </w:pPr>
      <w:r w:rsidRPr="00805152">
        <w:rPr>
          <w:rFonts w:ascii="Times New Roman" w:hAnsi="Times New Roman"/>
          <w:noProof/>
          <w:lang w:val="en-US"/>
        </w:rPr>
        <w:drawing>
          <wp:inline distT="0" distB="0" distL="0" distR="0" wp14:anchorId="33B4AB86" wp14:editId="3524F817">
            <wp:extent cx="4479818" cy="21602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09949" cy="2174737"/>
                    </a:xfrm>
                    <a:prstGeom prst="rect">
                      <a:avLst/>
                    </a:prstGeom>
                  </pic:spPr>
                </pic:pic>
              </a:graphicData>
            </a:graphic>
          </wp:inline>
        </w:drawing>
      </w:r>
    </w:p>
    <w:p w14:paraId="55FFD32B" w14:textId="77777777" w:rsidR="00421B41" w:rsidRPr="00805152" w:rsidRDefault="00421B41" w:rsidP="004360FB">
      <w:pPr>
        <w:pStyle w:val="BP-Figure"/>
        <w:ind w:left="2268" w:hanging="567"/>
        <w:jc w:val="center"/>
      </w:pPr>
      <w:r w:rsidRPr="00805152">
        <w:t>План на стълбище и шахта за платформа</w:t>
      </w:r>
    </w:p>
    <w:p w14:paraId="795DD725" w14:textId="77777777" w:rsidR="002C54CB" w:rsidRPr="00805152" w:rsidRDefault="002C54CB" w:rsidP="002C54CB">
      <w:pPr>
        <w:spacing w:after="0"/>
        <w:ind w:firstLine="576"/>
        <w:rPr>
          <w:rFonts w:ascii="Times New Roman" w:eastAsia="Times New Roman" w:hAnsi="Times New Roman"/>
          <w:sz w:val="22"/>
          <w:lang w:val="bg-BG"/>
        </w:rPr>
      </w:pPr>
    </w:p>
    <w:tbl>
      <w:tblPr>
        <w:tblStyle w:val="TableGrid"/>
        <w:tblW w:w="0" w:type="auto"/>
        <w:jc w:val="center"/>
        <w:tblLook w:val="04A0" w:firstRow="1" w:lastRow="0" w:firstColumn="1" w:lastColumn="0" w:noHBand="0" w:noVBand="1"/>
      </w:tblPr>
      <w:tblGrid>
        <w:gridCol w:w="5226"/>
        <w:gridCol w:w="4544"/>
      </w:tblGrid>
      <w:tr w:rsidR="002C54CB" w:rsidRPr="00805152" w14:paraId="38DB4184" w14:textId="77777777" w:rsidTr="0036466B">
        <w:trPr>
          <w:jc w:val="center"/>
        </w:trPr>
        <w:tc>
          <w:tcPr>
            <w:tcW w:w="5226" w:type="dxa"/>
          </w:tcPr>
          <w:p w14:paraId="2013A67F" w14:textId="77777777" w:rsidR="002C54CB" w:rsidRPr="00805152" w:rsidRDefault="002C54CB" w:rsidP="0057608C">
            <w:pPr>
              <w:spacing w:after="0"/>
              <w:rPr>
                <w:rFonts w:ascii="Times New Roman" w:eastAsia="Times New Roman" w:hAnsi="Times New Roman"/>
                <w:sz w:val="22"/>
                <w:lang w:val="bg-BG"/>
              </w:rPr>
            </w:pPr>
            <w:r w:rsidRPr="00805152">
              <w:rPr>
                <w:rFonts w:ascii="Times New Roman" w:hAnsi="Times New Roman"/>
                <w:noProof/>
                <w:lang w:val="en-US"/>
              </w:rPr>
              <w:drawing>
                <wp:inline distT="0" distB="0" distL="0" distR="0" wp14:anchorId="664E5DF9" wp14:editId="67780E91">
                  <wp:extent cx="3180080" cy="2645668"/>
                  <wp:effectExtent l="0" t="0" r="127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95822" cy="2658764"/>
                          </a:xfrm>
                          <a:prstGeom prst="rect">
                            <a:avLst/>
                          </a:prstGeom>
                        </pic:spPr>
                      </pic:pic>
                    </a:graphicData>
                  </a:graphic>
                </wp:inline>
              </w:drawing>
            </w:r>
          </w:p>
        </w:tc>
        <w:tc>
          <w:tcPr>
            <w:tcW w:w="4544" w:type="dxa"/>
          </w:tcPr>
          <w:p w14:paraId="2CE719F3" w14:textId="77777777" w:rsidR="002C54CB" w:rsidRPr="00805152" w:rsidRDefault="002C54CB" w:rsidP="0057608C">
            <w:pPr>
              <w:spacing w:after="0"/>
              <w:rPr>
                <w:rFonts w:ascii="Times New Roman" w:eastAsia="Times New Roman" w:hAnsi="Times New Roman"/>
                <w:sz w:val="22"/>
                <w:lang w:val="bg-BG"/>
              </w:rPr>
            </w:pPr>
            <w:r w:rsidRPr="00805152">
              <w:rPr>
                <w:rFonts w:ascii="Times New Roman" w:hAnsi="Times New Roman"/>
                <w:noProof/>
                <w:lang w:val="en-US"/>
              </w:rPr>
              <w:drawing>
                <wp:inline distT="0" distB="0" distL="0" distR="0" wp14:anchorId="03D3CD36" wp14:editId="6F743FBF">
                  <wp:extent cx="2699385" cy="2664689"/>
                  <wp:effectExtent l="0" t="0" r="5715"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27108" cy="2692055"/>
                          </a:xfrm>
                          <a:prstGeom prst="rect">
                            <a:avLst/>
                          </a:prstGeom>
                        </pic:spPr>
                      </pic:pic>
                    </a:graphicData>
                  </a:graphic>
                </wp:inline>
              </w:drawing>
            </w:r>
          </w:p>
        </w:tc>
      </w:tr>
    </w:tbl>
    <w:p w14:paraId="5AF12E40" w14:textId="77777777" w:rsidR="00421B41" w:rsidRPr="00805152" w:rsidRDefault="00421B41" w:rsidP="004360FB">
      <w:pPr>
        <w:pStyle w:val="BP-Figure"/>
        <w:ind w:left="1985" w:hanging="567"/>
        <w:jc w:val="center"/>
      </w:pPr>
      <w:r w:rsidRPr="00805152">
        <w:t>Разрези на стълбище и шахта за платформа</w:t>
      </w:r>
    </w:p>
    <w:p w14:paraId="4E6D2E4F" w14:textId="77777777" w:rsidR="002C54CB" w:rsidRPr="00805152" w:rsidRDefault="002C54CB" w:rsidP="002C54CB">
      <w:pPr>
        <w:spacing w:after="0"/>
        <w:ind w:firstLine="576"/>
        <w:rPr>
          <w:rFonts w:ascii="Times New Roman" w:eastAsia="Times New Roman" w:hAnsi="Times New Roman"/>
          <w:sz w:val="22"/>
          <w:lang w:val="bg-BG"/>
        </w:rPr>
      </w:pPr>
    </w:p>
    <w:p w14:paraId="271A20F5" w14:textId="4B6D1909" w:rsidR="002C54CB"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Парапет</w:t>
      </w:r>
      <w:r w:rsidR="004360FB">
        <w:rPr>
          <w:rFonts w:ascii="Times New Roman" w:eastAsia="Times New Roman" w:hAnsi="Times New Roman"/>
          <w:sz w:val="22"/>
          <w:lang w:val="bg-BG"/>
        </w:rPr>
        <w:t>ът</w:t>
      </w:r>
      <w:r w:rsidRPr="00805152">
        <w:rPr>
          <w:rFonts w:ascii="Times New Roman" w:eastAsia="Times New Roman" w:hAnsi="Times New Roman"/>
          <w:sz w:val="22"/>
          <w:lang w:val="bg-BG"/>
        </w:rPr>
        <w:t xml:space="preserve"> се предвижда да е от неръждаема стомана с височината 110см, с ръкохватка и вертикални елементи за пълнеж съгласно приложен детайл.</w:t>
      </w:r>
    </w:p>
    <w:p w14:paraId="306F2A40" w14:textId="77777777" w:rsidR="002C54CB"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В зоната от края на вълнобоя пред Магазия 1 до първите стълби (средата на 4то корабно място) се предвижда ажурна метална ограда </w:t>
      </w:r>
      <w:r w:rsidRPr="00DC024B">
        <w:rPr>
          <w:rFonts w:ascii="Times New Roman" w:eastAsia="Times New Roman" w:hAnsi="Times New Roman"/>
          <w:sz w:val="22"/>
          <w:lang w:val="bg-BG"/>
        </w:rPr>
        <w:t>с кльон</w:t>
      </w:r>
      <w:r w:rsidRPr="00805152">
        <w:rPr>
          <w:rFonts w:ascii="Times New Roman" w:eastAsia="Times New Roman" w:hAnsi="Times New Roman"/>
          <w:sz w:val="22"/>
          <w:lang w:val="bg-BG"/>
        </w:rPr>
        <w:t xml:space="preserve"> с височина от кота +4,20м. до височината на темето на вълнобоя.</w:t>
      </w:r>
    </w:p>
    <w:p w14:paraId="6C575F75" w14:textId="77777777" w:rsidR="00DC024B" w:rsidRPr="00805152" w:rsidRDefault="00DC024B" w:rsidP="00DC024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Всеки етап от изграждането да има осигурен достъп, а именно – вертикалната комуникация в зоната на Яхтклуба е разположена в края на Етап 1, а стълбите при фара се реконструират. Така в двата края на завършения етап има комуникация.</w:t>
      </w:r>
    </w:p>
    <w:p w14:paraId="6EF607E2" w14:textId="77777777" w:rsidR="00DC024B" w:rsidRPr="00805152" w:rsidRDefault="00DC024B" w:rsidP="00DC024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Следващата комуникация е в края на Етап 2 – на границата с етап 3. </w:t>
      </w:r>
    </w:p>
    <w:p w14:paraId="6F995705" w14:textId="77777777" w:rsidR="00DC024B" w:rsidRPr="00805152" w:rsidRDefault="00DC024B" w:rsidP="00DC024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края на Етап 3 се предвижда да се реконструира съществуващата стълба в началото на вълноломна. По този начин всеки етап има за начало и край комуникация и е осигурен от функционална гледна точка.</w:t>
      </w:r>
    </w:p>
    <w:p w14:paraId="68AC46A3" w14:textId="77777777" w:rsidR="00DC024B" w:rsidRPr="00805152" w:rsidRDefault="00DC024B" w:rsidP="00DC024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Предлагаме платформата да бъде затворена готово изделие от фирма производител. </w:t>
      </w:r>
    </w:p>
    <w:p w14:paraId="41C7C20F" w14:textId="28782E8F" w:rsidR="002C54CB" w:rsidRPr="00805152" w:rsidRDefault="00DC024B" w:rsidP="00DC024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Относно стълбата тя се предвижда да бъде изградена монолитно от стоманобетон на място и в обща конструкция с шахта за монтаж на платформата. </w:t>
      </w:r>
    </w:p>
    <w:p w14:paraId="318C53ED" w14:textId="0EC4CD09" w:rsidR="00335F19"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проект</w:t>
      </w:r>
      <w:r w:rsidR="00DC024B">
        <w:rPr>
          <w:rFonts w:ascii="Times New Roman" w:eastAsia="Times New Roman" w:hAnsi="Times New Roman"/>
          <w:sz w:val="22"/>
          <w:lang w:val="bg-BG"/>
        </w:rPr>
        <w:t>а</w:t>
      </w:r>
      <w:r w:rsidRPr="00805152">
        <w:rPr>
          <w:rFonts w:ascii="Times New Roman" w:eastAsia="Times New Roman" w:hAnsi="Times New Roman"/>
          <w:sz w:val="22"/>
          <w:lang w:val="bg-BG"/>
        </w:rPr>
        <w:t xml:space="preserve"> се предвижда изграждане на изцяло ново осветление на пешеходната алея на рехабилитирания вълнолом на гр.</w:t>
      </w:r>
      <w:r w:rsidR="00733A8C"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Бургас,</w:t>
      </w:r>
      <w:r w:rsidR="00733A8C"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електрозахранване на нови електрически платформи, подмяна на захранващия кабел за морският фар, както и нова заземителна и мълниезащитна инсталация на самият фар.</w:t>
      </w:r>
    </w:p>
    <w:p w14:paraId="213EADEF" w14:textId="77777777" w:rsidR="002C54CB"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lastRenderedPageBreak/>
        <w:t xml:space="preserve">Електрозахранването на новото осветление ще стане от нова касетка за улично осветление (КУО), която ще се разположи до съществуващ трафопост ТП "ФАР". </w:t>
      </w:r>
    </w:p>
    <w:p w14:paraId="1FEE6BAB" w14:textId="7CA366BD" w:rsidR="002C54CB"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Осветлението на алеята ще става посредством два типа LED осветителни тела, монтирани на вълнобойната стена.</w:t>
      </w:r>
    </w:p>
    <w:p w14:paraId="23A9545A" w14:textId="0CB46C5F" w:rsidR="002C54CB" w:rsidRPr="00805152" w:rsidRDefault="002C54CB" w:rsidP="002C54CB">
      <w:pPr>
        <w:spacing w:after="0"/>
        <w:ind w:firstLine="576"/>
        <w:rPr>
          <w:rFonts w:ascii="Times New Roman" w:eastAsia="Times New Roman" w:hAnsi="Times New Roman"/>
          <w:sz w:val="22"/>
          <w:lang w:val="bg-BG"/>
        </w:rPr>
      </w:pPr>
      <w:r w:rsidRPr="00805152">
        <w:rPr>
          <w:rFonts w:ascii="Times New Roman" w:eastAsia="Times New Roman" w:hAnsi="Times New Roman"/>
          <w:b/>
          <w:sz w:val="22"/>
          <w:lang w:val="bg-BG"/>
        </w:rPr>
        <w:t>Първият тип</w:t>
      </w:r>
      <w:r w:rsidRPr="00805152">
        <w:rPr>
          <w:rFonts w:ascii="Times New Roman" w:eastAsia="Times New Roman" w:hAnsi="Times New Roman"/>
          <w:sz w:val="22"/>
          <w:lang w:val="bg-BG"/>
        </w:rPr>
        <w:t xml:space="preserve"> осветителни тела са с единична мощност 24W и са в комплект със стълб 50см. Осветителните тела ще се монтират отгоре на стената, осветявайки на 360</w:t>
      </w:r>
      <w:r w:rsidRPr="00805152">
        <w:rPr>
          <w:rFonts w:ascii="Times New Roman" w:eastAsia="Times New Roman" w:hAnsi="Times New Roman"/>
          <w:sz w:val="22"/>
          <w:vertAlign w:val="superscript"/>
          <w:lang w:val="bg-BG"/>
        </w:rPr>
        <w:t>0</w:t>
      </w:r>
      <w:r w:rsidRPr="00805152">
        <w:rPr>
          <w:rFonts w:ascii="Times New Roman" w:eastAsia="Times New Roman" w:hAnsi="Times New Roman"/>
          <w:sz w:val="22"/>
          <w:lang w:val="bg-BG"/>
        </w:rPr>
        <w:t>, като по този начин ще се очертава и бреговата линия.</w:t>
      </w:r>
    </w:p>
    <w:p w14:paraId="00AE294B" w14:textId="3CE4AF7D" w:rsidR="002C54CB" w:rsidRPr="00805152" w:rsidRDefault="009641BE" w:rsidP="002C54CB">
      <w:pPr>
        <w:spacing w:after="0"/>
        <w:ind w:firstLine="576"/>
        <w:rPr>
          <w:rFonts w:ascii="Times New Roman" w:eastAsia="Times New Roman" w:hAnsi="Times New Roman"/>
          <w:sz w:val="22"/>
          <w:lang w:val="bg-BG"/>
        </w:rPr>
      </w:pPr>
      <w:r w:rsidRPr="00805152">
        <w:rPr>
          <w:rFonts w:ascii="Times New Roman" w:hAnsi="Times New Roman"/>
          <w:noProof/>
          <w:lang w:val="en-US"/>
        </w:rPr>
        <w:drawing>
          <wp:inline distT="0" distB="0" distL="0" distR="0" wp14:anchorId="2C2D179E" wp14:editId="74484A28">
            <wp:extent cx="5300980" cy="203963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325793" cy="2049178"/>
                    </a:xfrm>
                    <a:prstGeom prst="rect">
                      <a:avLst/>
                    </a:prstGeom>
                  </pic:spPr>
                </pic:pic>
              </a:graphicData>
            </a:graphic>
          </wp:inline>
        </w:drawing>
      </w:r>
    </w:p>
    <w:p w14:paraId="16BB5D21" w14:textId="45F5AF4B" w:rsidR="009641BE" w:rsidRPr="00805152" w:rsidRDefault="00421B41" w:rsidP="004360FB">
      <w:pPr>
        <w:pStyle w:val="BP-Figure"/>
        <w:ind w:left="1134" w:hanging="567"/>
        <w:jc w:val="center"/>
        <w:rPr>
          <w:sz w:val="22"/>
        </w:rPr>
      </w:pPr>
      <w:r w:rsidRPr="00805152">
        <w:t>Първи тип осветителни тела</w:t>
      </w:r>
    </w:p>
    <w:p w14:paraId="54C30D46" w14:textId="77777777" w:rsidR="0036466B" w:rsidRDefault="0036466B" w:rsidP="009641BE">
      <w:pPr>
        <w:spacing w:after="0"/>
        <w:ind w:firstLine="576"/>
        <w:rPr>
          <w:rFonts w:ascii="Times New Roman" w:eastAsia="Times New Roman" w:hAnsi="Times New Roman"/>
          <w:sz w:val="22"/>
          <w:lang w:val="bg-BG"/>
        </w:rPr>
      </w:pPr>
    </w:p>
    <w:p w14:paraId="3472DF3D" w14:textId="4748F3F0" w:rsidR="002C54CB"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Втория тип осветителни тела са с мощност 6W и ще се монтират под темето на стената. Същите са с насочено осветление, осветявайки директно алеята.</w:t>
      </w:r>
    </w:p>
    <w:p w14:paraId="313FFDA5" w14:textId="5363192F"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hAnsi="Times New Roman"/>
          <w:noProof/>
          <w:lang w:val="en-US"/>
        </w:rPr>
        <w:drawing>
          <wp:inline distT="0" distB="0" distL="0" distR="0" wp14:anchorId="1BCA14F7" wp14:editId="24EA4F1E">
            <wp:extent cx="4823460" cy="2029503"/>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830837" cy="2032607"/>
                    </a:xfrm>
                    <a:prstGeom prst="rect">
                      <a:avLst/>
                    </a:prstGeom>
                  </pic:spPr>
                </pic:pic>
              </a:graphicData>
            </a:graphic>
          </wp:inline>
        </w:drawing>
      </w:r>
    </w:p>
    <w:p w14:paraId="6CEDD23F" w14:textId="63CF6C7F" w:rsidR="00421B41" w:rsidRPr="00805152" w:rsidRDefault="00421B41" w:rsidP="004360FB">
      <w:pPr>
        <w:pStyle w:val="BP-Figure"/>
        <w:ind w:left="1418" w:hanging="567"/>
        <w:jc w:val="center"/>
      </w:pPr>
      <w:r w:rsidRPr="00805152">
        <w:t>Втори тип осветителни тела</w:t>
      </w:r>
    </w:p>
    <w:p w14:paraId="6ACCEEDA" w14:textId="77777777" w:rsidR="00421B41" w:rsidRPr="00805152" w:rsidRDefault="00421B41" w:rsidP="009641BE">
      <w:pPr>
        <w:spacing w:after="0"/>
        <w:ind w:firstLine="576"/>
        <w:rPr>
          <w:rFonts w:ascii="Times New Roman" w:eastAsia="Times New Roman" w:hAnsi="Times New Roman"/>
          <w:sz w:val="22"/>
          <w:lang w:val="bg-BG"/>
        </w:rPr>
      </w:pPr>
    </w:p>
    <w:p w14:paraId="5D196343" w14:textId="6439EB9C"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Двата типа осветителните тела са избрани с повишена степен на защита както и повишена корозивна устойчивост.</w:t>
      </w:r>
    </w:p>
    <w:p w14:paraId="478AC1F7" w14:textId="3A34E921"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lastRenderedPageBreak/>
        <w:t>Изпълнението на осветлението е предвидено да става на три етапа в съответствие с етапноста на реконструкция на вълнолома. Всеки етап е самостоятелен и може да се изпълнява по различно време без това да нарушава работата на останалите.</w:t>
      </w:r>
    </w:p>
    <w:p w14:paraId="1AE0690A" w14:textId="4273DF54"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Захранването на осветлението ще става посредством медни кабели СВТ 5х6mm², изтеглени в защитни тръби предвидени под алеята.</w:t>
      </w:r>
    </w:p>
    <w:p w14:paraId="724B7659" w14:textId="10F406EB"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проекта по част „Електро“ се предвижда и електрозахранване на двата броя електрически платформи предвидени за хора със затруднено придвижване.</w:t>
      </w:r>
    </w:p>
    <w:p w14:paraId="7CBA0D61" w14:textId="7247B274"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проекта се предвижда и подмяна на съществуващия захранващ кабел, тъй като с реконструкцията той  се засяга от новите строителни съоръжения.</w:t>
      </w:r>
    </w:p>
    <w:p w14:paraId="534469AF" w14:textId="45B9BEDE"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За предпазване на обслужващия персонал от опасни допирни напрежения са предвидени необходимите заземителни мероприятия.</w:t>
      </w:r>
    </w:p>
    <w:p w14:paraId="439611AA" w14:textId="7845007D" w:rsidR="009641BE" w:rsidRPr="00805152" w:rsidRDefault="009641BE" w:rsidP="009641B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На защитно заземяване подлежат: металните стълбове за осветление, касетката за улично осветление, металните огради и парапети, и всички тоководещи части на съоръженията с електрическо захранване, които нормално не са под напрежение, но могат да попаднат под такова в аварийни ситуации.</w:t>
      </w:r>
    </w:p>
    <w:p w14:paraId="2D97E831" w14:textId="4ED23009" w:rsidR="00B0498B" w:rsidRPr="00805152" w:rsidRDefault="00DC024B" w:rsidP="00B0498B">
      <w:pPr>
        <w:spacing w:after="0"/>
        <w:ind w:firstLine="576"/>
        <w:rPr>
          <w:rFonts w:ascii="Times New Roman" w:eastAsia="Times New Roman" w:hAnsi="Times New Roman"/>
          <w:sz w:val="22"/>
          <w:lang w:val="bg-BG"/>
        </w:rPr>
      </w:pPr>
      <w:r w:rsidRPr="00DC024B">
        <w:rPr>
          <w:rFonts w:ascii="Times New Roman" w:eastAsia="Times New Roman" w:hAnsi="Times New Roman"/>
          <w:sz w:val="22"/>
          <w:lang w:val="bg-BG"/>
        </w:rPr>
        <w:t>За защита от пряко попадение на мълния на морският фар се предвижда подмяна на съществуващата мълниезащита. За мълниеприемници ще се използват металният покрив на самият фар и металният пилон на ветроуказателя, като същите се присъединят към новата заземителна инсталация на фара.</w:t>
      </w:r>
    </w:p>
    <w:p w14:paraId="0B4752FF" w14:textId="04E3FE61" w:rsidR="009462E2" w:rsidRPr="00805152" w:rsidRDefault="00335F19" w:rsidP="00A127A2">
      <w:pPr>
        <w:pStyle w:val="Heading3"/>
        <w:rPr>
          <w:rFonts w:ascii="Times New Roman" w:hAnsi="Times New Roman"/>
          <w:lang w:val="bg-BG"/>
        </w:rPr>
      </w:pPr>
      <w:bookmarkStart w:id="72" w:name="_Toc423520356"/>
      <w:bookmarkStart w:id="73" w:name="_Toc136961101"/>
      <w:r w:rsidRPr="00805152">
        <w:rPr>
          <w:rFonts w:ascii="Times New Roman" w:hAnsi="Times New Roman"/>
          <w:lang w:val="bg-BG"/>
        </w:rPr>
        <w:t>Саниране на Настилки и видими повърхности</w:t>
      </w:r>
      <w:bookmarkEnd w:id="72"/>
      <w:bookmarkEnd w:id="73"/>
    </w:p>
    <w:p w14:paraId="4A47C499"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При направените огледи се установиха редица нарушения по положените покрития на бетоновите елементи. В настоящият проект е предвидено следното третиране на всички повърхности за постигане на добра защита на бетоновите и стоманобетонови елементи и от друга страна за постигане на добър естетичен вид.</w:t>
      </w:r>
    </w:p>
    <w:p w14:paraId="3E4DF1C1"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В зоната откъм морето е установен участък с дължина L=95,00m с липсваща защита на съществуващата зидана конструкция. </w:t>
      </w:r>
    </w:p>
    <w:p w14:paraId="4F406097"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Предвидено е възстановяване на покритието посредством изграждане на защитна вертикална стоманобетонова плоча с дебелина d=200mm.</w:t>
      </w:r>
    </w:p>
    <w:p w14:paraId="73C654C6" w14:textId="780C3822" w:rsidR="009462E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По всички повърхности са установени следи от химична и физична корозия на бетона и по тази причина тяхното саниране е предвидено да стане с полагане на защитен пласт стоманоторкрет с дебелина d=20 - 30mm. Армировъчната мрежа е мрежа ф4 150/150.</w:t>
      </w:r>
    </w:p>
    <w:p w14:paraId="6D88DEE4" w14:textId="77777777" w:rsidR="004360FB" w:rsidRPr="00805152" w:rsidRDefault="004360FB" w:rsidP="009462E2">
      <w:pPr>
        <w:spacing w:after="0"/>
        <w:ind w:firstLine="576"/>
        <w:rPr>
          <w:rFonts w:ascii="Times New Roman" w:eastAsia="Times New Roman" w:hAnsi="Times New Roman"/>
          <w:sz w:val="22"/>
          <w:lang w:val="bg-BG"/>
        </w:rPr>
      </w:pPr>
    </w:p>
    <w:p w14:paraId="1AAF1A8E" w14:textId="2E8578DA" w:rsidR="009462E2" w:rsidRPr="00805152" w:rsidRDefault="001779C0" w:rsidP="00A127A2">
      <w:pPr>
        <w:pStyle w:val="Heading3"/>
        <w:rPr>
          <w:rFonts w:ascii="Times New Roman" w:eastAsia="Times New Roman" w:hAnsi="Times New Roman"/>
          <w:sz w:val="22"/>
          <w:lang w:val="bg-BG"/>
        </w:rPr>
      </w:pPr>
      <w:bookmarkStart w:id="74" w:name="_Toc423520357"/>
      <w:bookmarkStart w:id="75" w:name="_Toc136961102"/>
      <w:r w:rsidRPr="00805152">
        <w:rPr>
          <w:rFonts w:ascii="Times New Roman" w:hAnsi="Times New Roman"/>
          <w:lang w:val="bg-BG"/>
        </w:rPr>
        <w:lastRenderedPageBreak/>
        <w:t>Тетраподи</w:t>
      </w:r>
      <w:bookmarkEnd w:id="74"/>
      <w:bookmarkEnd w:id="75"/>
    </w:p>
    <w:p w14:paraId="4A9A7F58"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Съгласно извършените изчисления са предвидени 3 вида тетраподи:</w:t>
      </w:r>
    </w:p>
    <w:p w14:paraId="241430EE" w14:textId="1EF2F714" w:rsidR="009462E2" w:rsidRPr="00805152" w:rsidRDefault="009462E2" w:rsidP="0021547C">
      <w:pPr>
        <w:numPr>
          <w:ilvl w:val="0"/>
          <w:numId w:val="37"/>
        </w:numPr>
        <w:spacing w:after="0"/>
        <w:rPr>
          <w:rFonts w:ascii="Times New Roman" w:eastAsia="Times New Roman" w:hAnsi="Times New Roman"/>
          <w:sz w:val="22"/>
          <w:lang w:val="bg-BG"/>
        </w:rPr>
      </w:pPr>
      <w:r w:rsidRPr="00805152">
        <w:rPr>
          <w:rFonts w:ascii="Times New Roman" w:eastAsia="Times New Roman" w:hAnsi="Times New Roman"/>
          <w:sz w:val="22"/>
          <w:lang w:val="bg-BG"/>
        </w:rPr>
        <w:t>Т8 с обем V=3.2</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m</w:t>
      </w:r>
      <w:r w:rsidRPr="00805152">
        <w:rPr>
          <w:rFonts w:ascii="Times New Roman" w:eastAsia="Times New Roman" w:hAnsi="Times New Roman"/>
          <w:sz w:val="22"/>
          <w:vertAlign w:val="superscript"/>
          <w:lang w:val="bg-BG"/>
        </w:rPr>
        <w:t>3</w:t>
      </w:r>
      <w:r w:rsidRPr="00805152">
        <w:rPr>
          <w:rFonts w:ascii="Times New Roman" w:eastAsia="Times New Roman" w:hAnsi="Times New Roman"/>
          <w:sz w:val="22"/>
          <w:lang w:val="bg-BG"/>
        </w:rPr>
        <w:t xml:space="preserve"> и тегло G=8.0</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t – за ЕТАП ІІІ</w:t>
      </w:r>
    </w:p>
    <w:p w14:paraId="35A5EBC2" w14:textId="69FD8EA2" w:rsidR="009462E2" w:rsidRPr="00805152" w:rsidRDefault="009462E2" w:rsidP="0021547C">
      <w:pPr>
        <w:numPr>
          <w:ilvl w:val="0"/>
          <w:numId w:val="37"/>
        </w:numPr>
        <w:spacing w:after="0"/>
        <w:rPr>
          <w:rFonts w:ascii="Times New Roman" w:eastAsia="Times New Roman" w:hAnsi="Times New Roman"/>
          <w:sz w:val="22"/>
          <w:lang w:val="bg-BG"/>
        </w:rPr>
      </w:pPr>
      <w:r w:rsidRPr="00805152">
        <w:rPr>
          <w:rFonts w:ascii="Times New Roman" w:eastAsia="Times New Roman" w:hAnsi="Times New Roman"/>
          <w:sz w:val="22"/>
          <w:lang w:val="bg-BG"/>
        </w:rPr>
        <w:t>Т8 с обем V=3.2</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m</w:t>
      </w:r>
      <w:r w:rsidRPr="00805152">
        <w:rPr>
          <w:rFonts w:ascii="Times New Roman" w:eastAsia="Times New Roman" w:hAnsi="Times New Roman"/>
          <w:sz w:val="22"/>
          <w:vertAlign w:val="superscript"/>
          <w:lang w:val="bg-BG"/>
        </w:rPr>
        <w:t>3</w:t>
      </w:r>
      <w:r w:rsidRPr="00805152">
        <w:rPr>
          <w:rFonts w:ascii="Times New Roman" w:eastAsia="Times New Roman" w:hAnsi="Times New Roman"/>
          <w:sz w:val="22"/>
          <w:lang w:val="bg-BG"/>
        </w:rPr>
        <w:t xml:space="preserve"> и тегло G=8.0</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t – за ЕТАП ІІ</w:t>
      </w:r>
    </w:p>
    <w:p w14:paraId="78FB4F59" w14:textId="3A7CA62B" w:rsidR="001779C0" w:rsidRPr="004360FB" w:rsidRDefault="009462E2" w:rsidP="001779C0">
      <w:pPr>
        <w:numPr>
          <w:ilvl w:val="0"/>
          <w:numId w:val="37"/>
        </w:numPr>
        <w:spacing w:after="0"/>
        <w:rPr>
          <w:rFonts w:ascii="Times New Roman" w:eastAsia="Times New Roman" w:hAnsi="Times New Roman"/>
          <w:sz w:val="22"/>
          <w:lang w:val="bg-BG"/>
        </w:rPr>
      </w:pPr>
      <w:r w:rsidRPr="00805152">
        <w:rPr>
          <w:rFonts w:ascii="Times New Roman" w:eastAsia="Times New Roman" w:hAnsi="Times New Roman"/>
          <w:sz w:val="22"/>
          <w:lang w:val="bg-BG"/>
        </w:rPr>
        <w:t>Т10 с обем V=4.0</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m</w:t>
      </w:r>
      <w:r w:rsidRPr="00805152">
        <w:rPr>
          <w:rFonts w:ascii="Times New Roman" w:eastAsia="Times New Roman" w:hAnsi="Times New Roman"/>
          <w:sz w:val="22"/>
          <w:vertAlign w:val="superscript"/>
          <w:lang w:val="bg-BG"/>
        </w:rPr>
        <w:t>3</w:t>
      </w:r>
      <w:r w:rsidRPr="00805152">
        <w:rPr>
          <w:rFonts w:ascii="Times New Roman" w:eastAsia="Times New Roman" w:hAnsi="Times New Roman"/>
          <w:sz w:val="22"/>
          <w:lang w:val="bg-BG"/>
        </w:rPr>
        <w:t xml:space="preserve"> и тегло G=10.0</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t – за ЕТАП І</w:t>
      </w:r>
    </w:p>
    <w:p w14:paraId="25960ECC" w14:textId="77777777" w:rsidR="009462E2" w:rsidRPr="00805152" w:rsidRDefault="009462E2" w:rsidP="009462E2">
      <w:pPr>
        <w:spacing w:after="0"/>
        <w:ind w:firstLine="576"/>
        <w:rPr>
          <w:rFonts w:ascii="Times New Roman" w:eastAsia="Times New Roman" w:hAnsi="Times New Roman"/>
          <w:b/>
          <w:sz w:val="22"/>
          <w:lang w:val="bg-BG"/>
        </w:rPr>
      </w:pPr>
      <w:r w:rsidRPr="00805152">
        <w:rPr>
          <w:rFonts w:ascii="Times New Roman" w:eastAsia="Times New Roman" w:hAnsi="Times New Roman"/>
          <w:b/>
          <w:sz w:val="22"/>
          <w:lang w:val="bg-BG"/>
        </w:rPr>
        <w:t>Материали:</w:t>
      </w:r>
    </w:p>
    <w:p w14:paraId="08C271FE" w14:textId="77777777" w:rsidR="009462E2" w:rsidRPr="00805152" w:rsidRDefault="009462E2" w:rsidP="009462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Бетон С30/37, XC4, XS3, XF4, XA2 -  БДС EN 206-1</w:t>
      </w:r>
    </w:p>
    <w:p w14:paraId="7C45E94A" w14:textId="36DBD5D4" w:rsidR="00895EE2" w:rsidRPr="004360FB" w:rsidRDefault="009462E2" w:rsidP="004360F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ab/>
        <w:t xml:space="preserve">Броя на тетраподите във всеки участък е определен </w:t>
      </w:r>
      <w:r w:rsidR="001779C0" w:rsidRPr="00805152">
        <w:rPr>
          <w:rFonts w:ascii="Times New Roman" w:eastAsia="Times New Roman" w:hAnsi="Times New Roman"/>
          <w:sz w:val="22"/>
          <w:lang w:val="bg-BG"/>
        </w:rPr>
        <w:t xml:space="preserve">във следващата таблица: </w:t>
      </w:r>
    </w:p>
    <w:p w14:paraId="55A0C7AD" w14:textId="4783D7D0" w:rsidR="00895EE2" w:rsidRPr="00805152" w:rsidRDefault="00895EE2" w:rsidP="00070910">
      <w:pPr>
        <w:spacing w:after="0"/>
        <w:ind w:firstLine="576"/>
        <w:jc w:val="center"/>
        <w:rPr>
          <w:rFonts w:ascii="Times New Roman" w:eastAsia="Times New Roman" w:hAnsi="Times New Roman"/>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9</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Броя на тетраподите за всеки участък</w:t>
      </w:r>
    </w:p>
    <w:tbl>
      <w:tblPr>
        <w:tblW w:w="75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0"/>
        <w:gridCol w:w="1170"/>
        <w:gridCol w:w="1260"/>
        <w:gridCol w:w="1170"/>
      </w:tblGrid>
      <w:tr w:rsidR="001779C0" w:rsidRPr="00805152" w14:paraId="29AE2080" w14:textId="77777777" w:rsidTr="001779C0">
        <w:tc>
          <w:tcPr>
            <w:tcW w:w="3960" w:type="dxa"/>
            <w:tcBorders>
              <w:top w:val="single" w:sz="4" w:space="0" w:color="auto"/>
              <w:left w:val="single" w:sz="4" w:space="0" w:color="auto"/>
              <w:bottom w:val="single" w:sz="4" w:space="0" w:color="auto"/>
              <w:right w:val="single" w:sz="4" w:space="0" w:color="auto"/>
            </w:tcBorders>
            <w:shd w:val="clear" w:color="auto" w:fill="A8D08D"/>
            <w:hideMark/>
          </w:tcPr>
          <w:p w14:paraId="1512313B" w14:textId="77777777" w:rsidR="001779C0" w:rsidRPr="00805152" w:rsidRDefault="001779C0" w:rsidP="00895EE2">
            <w:pPr>
              <w:spacing w:after="0"/>
              <w:jc w:val="center"/>
              <w:rPr>
                <w:rFonts w:ascii="Times New Roman" w:eastAsia="Times New Roman" w:hAnsi="Times New Roman"/>
                <w:b/>
                <w:bCs/>
                <w:sz w:val="22"/>
                <w:lang w:val="bg-BG"/>
              </w:rPr>
            </w:pPr>
            <w:r w:rsidRPr="00805152">
              <w:rPr>
                <w:rFonts w:ascii="Times New Roman" w:eastAsia="Times New Roman" w:hAnsi="Times New Roman"/>
                <w:b/>
                <w:bCs/>
                <w:sz w:val="22"/>
                <w:lang w:val="bg-BG"/>
              </w:rPr>
              <w:t>Зона</w:t>
            </w:r>
          </w:p>
        </w:tc>
        <w:tc>
          <w:tcPr>
            <w:tcW w:w="1170" w:type="dxa"/>
            <w:tcBorders>
              <w:top w:val="single" w:sz="4" w:space="0" w:color="auto"/>
              <w:left w:val="single" w:sz="4" w:space="0" w:color="auto"/>
              <w:bottom w:val="single" w:sz="4" w:space="0" w:color="auto"/>
              <w:right w:val="single" w:sz="4" w:space="0" w:color="auto"/>
            </w:tcBorders>
            <w:shd w:val="clear" w:color="auto" w:fill="A8D08D"/>
            <w:hideMark/>
          </w:tcPr>
          <w:p w14:paraId="75F77188" w14:textId="77777777" w:rsidR="001779C0" w:rsidRPr="00805152" w:rsidRDefault="001779C0" w:rsidP="00895EE2">
            <w:pPr>
              <w:spacing w:after="0"/>
              <w:jc w:val="center"/>
              <w:rPr>
                <w:rFonts w:ascii="Times New Roman" w:eastAsia="Times New Roman" w:hAnsi="Times New Roman"/>
                <w:b/>
                <w:bCs/>
                <w:sz w:val="22"/>
                <w:lang w:val="bg-BG"/>
              </w:rPr>
            </w:pPr>
            <w:r w:rsidRPr="00805152">
              <w:rPr>
                <w:rFonts w:ascii="Times New Roman" w:eastAsia="Times New Roman" w:hAnsi="Times New Roman"/>
                <w:b/>
                <w:bCs/>
                <w:sz w:val="22"/>
                <w:lang w:val="bg-BG"/>
              </w:rPr>
              <w:t>І</w:t>
            </w:r>
          </w:p>
        </w:tc>
        <w:tc>
          <w:tcPr>
            <w:tcW w:w="1260" w:type="dxa"/>
            <w:tcBorders>
              <w:top w:val="single" w:sz="4" w:space="0" w:color="auto"/>
              <w:left w:val="single" w:sz="4" w:space="0" w:color="auto"/>
              <w:bottom w:val="single" w:sz="4" w:space="0" w:color="auto"/>
              <w:right w:val="single" w:sz="4" w:space="0" w:color="auto"/>
            </w:tcBorders>
            <w:shd w:val="clear" w:color="auto" w:fill="A8D08D"/>
            <w:hideMark/>
          </w:tcPr>
          <w:p w14:paraId="30CB6B17" w14:textId="77777777" w:rsidR="001779C0" w:rsidRPr="00805152" w:rsidRDefault="001779C0" w:rsidP="00895EE2">
            <w:pPr>
              <w:spacing w:after="0"/>
              <w:jc w:val="center"/>
              <w:rPr>
                <w:rFonts w:ascii="Times New Roman" w:eastAsia="Times New Roman" w:hAnsi="Times New Roman"/>
                <w:b/>
                <w:bCs/>
                <w:sz w:val="22"/>
                <w:lang w:val="bg-BG"/>
              </w:rPr>
            </w:pPr>
            <w:r w:rsidRPr="00805152">
              <w:rPr>
                <w:rFonts w:ascii="Times New Roman" w:eastAsia="Times New Roman" w:hAnsi="Times New Roman"/>
                <w:b/>
                <w:bCs/>
                <w:sz w:val="22"/>
                <w:lang w:val="bg-BG"/>
              </w:rPr>
              <w:t>ІІ</w:t>
            </w:r>
          </w:p>
        </w:tc>
        <w:tc>
          <w:tcPr>
            <w:tcW w:w="1170" w:type="dxa"/>
            <w:tcBorders>
              <w:top w:val="single" w:sz="4" w:space="0" w:color="auto"/>
              <w:left w:val="single" w:sz="4" w:space="0" w:color="auto"/>
              <w:bottom w:val="single" w:sz="4" w:space="0" w:color="auto"/>
              <w:right w:val="single" w:sz="4" w:space="0" w:color="auto"/>
            </w:tcBorders>
            <w:shd w:val="clear" w:color="auto" w:fill="A8D08D"/>
            <w:hideMark/>
          </w:tcPr>
          <w:p w14:paraId="06D80E6D" w14:textId="77777777" w:rsidR="001779C0" w:rsidRPr="00805152" w:rsidRDefault="001779C0" w:rsidP="00895EE2">
            <w:pPr>
              <w:spacing w:after="0"/>
              <w:jc w:val="center"/>
              <w:rPr>
                <w:rFonts w:ascii="Times New Roman" w:eastAsia="Times New Roman" w:hAnsi="Times New Roman"/>
                <w:b/>
                <w:bCs/>
                <w:sz w:val="22"/>
                <w:lang w:val="bg-BG"/>
              </w:rPr>
            </w:pPr>
            <w:r w:rsidRPr="00805152">
              <w:rPr>
                <w:rFonts w:ascii="Times New Roman" w:eastAsia="Times New Roman" w:hAnsi="Times New Roman"/>
                <w:b/>
                <w:bCs/>
                <w:sz w:val="22"/>
                <w:lang w:val="bg-BG"/>
              </w:rPr>
              <w:t>ІІІ</w:t>
            </w:r>
          </w:p>
        </w:tc>
      </w:tr>
      <w:tr w:rsidR="001779C0" w:rsidRPr="00805152" w14:paraId="23E1A4F8" w14:textId="77777777" w:rsidTr="00895EE2">
        <w:trPr>
          <w:trHeight w:val="337"/>
        </w:trPr>
        <w:tc>
          <w:tcPr>
            <w:tcW w:w="3960" w:type="dxa"/>
            <w:tcBorders>
              <w:top w:val="single" w:sz="4" w:space="0" w:color="auto"/>
              <w:left w:val="single" w:sz="4" w:space="0" w:color="auto"/>
              <w:bottom w:val="single" w:sz="4" w:space="0" w:color="auto"/>
              <w:right w:val="single" w:sz="4" w:space="0" w:color="auto"/>
            </w:tcBorders>
            <w:hideMark/>
          </w:tcPr>
          <w:p w14:paraId="18218B1F" w14:textId="77777777" w:rsidR="001779C0" w:rsidRPr="00805152" w:rsidRDefault="001779C0" w:rsidP="001779C0">
            <w:pPr>
              <w:spacing w:after="0"/>
              <w:rPr>
                <w:rFonts w:ascii="Times New Roman" w:eastAsia="Times New Roman" w:hAnsi="Times New Roman"/>
                <w:sz w:val="22"/>
                <w:lang w:val="bg-BG"/>
              </w:rPr>
            </w:pPr>
            <w:r w:rsidRPr="00805152">
              <w:rPr>
                <w:rFonts w:ascii="Times New Roman" w:eastAsia="Times New Roman" w:hAnsi="Times New Roman"/>
                <w:sz w:val="22"/>
                <w:lang w:val="bg-BG"/>
              </w:rPr>
              <w:t>Прието тегло тетраподи G [kN]</w:t>
            </w:r>
          </w:p>
        </w:tc>
        <w:tc>
          <w:tcPr>
            <w:tcW w:w="1170" w:type="dxa"/>
            <w:tcBorders>
              <w:top w:val="single" w:sz="4" w:space="0" w:color="auto"/>
              <w:left w:val="single" w:sz="4" w:space="0" w:color="auto"/>
              <w:bottom w:val="single" w:sz="4" w:space="0" w:color="auto"/>
              <w:right w:val="single" w:sz="4" w:space="0" w:color="auto"/>
            </w:tcBorders>
            <w:hideMark/>
          </w:tcPr>
          <w:p w14:paraId="59E2D5B7"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Т10-98,1</w:t>
            </w:r>
          </w:p>
        </w:tc>
        <w:tc>
          <w:tcPr>
            <w:tcW w:w="1260" w:type="dxa"/>
            <w:tcBorders>
              <w:top w:val="single" w:sz="4" w:space="0" w:color="auto"/>
              <w:left w:val="single" w:sz="4" w:space="0" w:color="auto"/>
              <w:bottom w:val="single" w:sz="4" w:space="0" w:color="auto"/>
              <w:right w:val="single" w:sz="4" w:space="0" w:color="auto"/>
            </w:tcBorders>
            <w:hideMark/>
          </w:tcPr>
          <w:p w14:paraId="6E2DA2D2"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Т8-78,5</w:t>
            </w:r>
          </w:p>
        </w:tc>
        <w:tc>
          <w:tcPr>
            <w:tcW w:w="1170" w:type="dxa"/>
            <w:tcBorders>
              <w:top w:val="single" w:sz="4" w:space="0" w:color="auto"/>
              <w:left w:val="single" w:sz="4" w:space="0" w:color="auto"/>
              <w:bottom w:val="single" w:sz="4" w:space="0" w:color="auto"/>
              <w:right w:val="single" w:sz="4" w:space="0" w:color="auto"/>
            </w:tcBorders>
            <w:hideMark/>
          </w:tcPr>
          <w:p w14:paraId="67CC4E38"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Т8-39,25</w:t>
            </w:r>
          </w:p>
        </w:tc>
      </w:tr>
      <w:tr w:rsidR="001779C0" w:rsidRPr="00805152" w14:paraId="3E7133A2" w14:textId="77777777" w:rsidTr="001779C0">
        <w:tc>
          <w:tcPr>
            <w:tcW w:w="3960" w:type="dxa"/>
            <w:tcBorders>
              <w:top w:val="single" w:sz="4" w:space="0" w:color="auto"/>
              <w:left w:val="single" w:sz="4" w:space="0" w:color="auto"/>
              <w:bottom w:val="single" w:sz="4" w:space="0" w:color="auto"/>
              <w:right w:val="single" w:sz="4" w:space="0" w:color="auto"/>
            </w:tcBorders>
            <w:hideMark/>
          </w:tcPr>
          <w:p w14:paraId="228283C7" w14:textId="77777777" w:rsidR="001779C0" w:rsidRPr="00805152" w:rsidRDefault="001779C0" w:rsidP="001779C0">
            <w:pPr>
              <w:spacing w:after="0"/>
              <w:rPr>
                <w:rFonts w:ascii="Times New Roman" w:eastAsia="Times New Roman" w:hAnsi="Times New Roman"/>
                <w:sz w:val="22"/>
                <w:lang w:val="bg-BG"/>
              </w:rPr>
            </w:pPr>
            <w:r w:rsidRPr="00805152">
              <w:rPr>
                <w:rFonts w:ascii="Times New Roman" w:eastAsia="Times New Roman" w:hAnsi="Times New Roman"/>
                <w:sz w:val="22"/>
                <w:lang w:val="bg-BG"/>
              </w:rPr>
              <w:t>Приета дебелина на бронировката [cm]</w:t>
            </w:r>
          </w:p>
        </w:tc>
        <w:tc>
          <w:tcPr>
            <w:tcW w:w="1170" w:type="dxa"/>
            <w:tcBorders>
              <w:top w:val="single" w:sz="4" w:space="0" w:color="auto"/>
              <w:left w:val="single" w:sz="4" w:space="0" w:color="auto"/>
              <w:bottom w:val="single" w:sz="4" w:space="0" w:color="auto"/>
              <w:right w:val="single" w:sz="4" w:space="0" w:color="auto"/>
            </w:tcBorders>
            <w:hideMark/>
          </w:tcPr>
          <w:p w14:paraId="0406404A"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360</w:t>
            </w:r>
          </w:p>
        </w:tc>
        <w:tc>
          <w:tcPr>
            <w:tcW w:w="1260" w:type="dxa"/>
            <w:tcBorders>
              <w:top w:val="single" w:sz="4" w:space="0" w:color="auto"/>
              <w:left w:val="single" w:sz="4" w:space="0" w:color="auto"/>
              <w:bottom w:val="single" w:sz="4" w:space="0" w:color="auto"/>
              <w:right w:val="single" w:sz="4" w:space="0" w:color="auto"/>
            </w:tcBorders>
            <w:hideMark/>
          </w:tcPr>
          <w:p w14:paraId="7EDD05EF"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300</w:t>
            </w:r>
          </w:p>
        </w:tc>
        <w:tc>
          <w:tcPr>
            <w:tcW w:w="1170" w:type="dxa"/>
            <w:tcBorders>
              <w:top w:val="single" w:sz="4" w:space="0" w:color="auto"/>
              <w:left w:val="single" w:sz="4" w:space="0" w:color="auto"/>
              <w:bottom w:val="single" w:sz="4" w:space="0" w:color="auto"/>
              <w:right w:val="single" w:sz="4" w:space="0" w:color="auto"/>
            </w:tcBorders>
            <w:hideMark/>
          </w:tcPr>
          <w:p w14:paraId="0039A4BA"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300</w:t>
            </w:r>
          </w:p>
        </w:tc>
      </w:tr>
      <w:tr w:rsidR="001779C0" w:rsidRPr="00805152" w14:paraId="5749FA53" w14:textId="77777777" w:rsidTr="00414200">
        <w:trPr>
          <w:trHeight w:val="319"/>
        </w:trPr>
        <w:tc>
          <w:tcPr>
            <w:tcW w:w="3960" w:type="dxa"/>
            <w:tcBorders>
              <w:top w:val="single" w:sz="4" w:space="0" w:color="auto"/>
              <w:left w:val="single" w:sz="4" w:space="0" w:color="auto"/>
              <w:bottom w:val="single" w:sz="4" w:space="0" w:color="auto"/>
              <w:right w:val="single" w:sz="4" w:space="0" w:color="auto"/>
            </w:tcBorders>
            <w:hideMark/>
          </w:tcPr>
          <w:p w14:paraId="17D6B34F" w14:textId="77777777" w:rsidR="001779C0" w:rsidRPr="00805152" w:rsidRDefault="001779C0" w:rsidP="001779C0">
            <w:pPr>
              <w:spacing w:after="0"/>
              <w:rPr>
                <w:rFonts w:ascii="Times New Roman" w:eastAsia="Times New Roman" w:hAnsi="Times New Roman"/>
                <w:sz w:val="22"/>
                <w:lang w:val="bg-BG"/>
              </w:rPr>
            </w:pPr>
            <w:r w:rsidRPr="00805152">
              <w:rPr>
                <w:rFonts w:ascii="Times New Roman" w:eastAsia="Times New Roman" w:hAnsi="Times New Roman"/>
                <w:sz w:val="22"/>
                <w:lang w:val="bg-BG"/>
              </w:rPr>
              <w:t>Прието количество тетраподи N– бр.</w:t>
            </w:r>
          </w:p>
        </w:tc>
        <w:tc>
          <w:tcPr>
            <w:tcW w:w="1170" w:type="dxa"/>
            <w:tcBorders>
              <w:top w:val="single" w:sz="4" w:space="0" w:color="auto"/>
              <w:left w:val="single" w:sz="4" w:space="0" w:color="auto"/>
              <w:bottom w:val="single" w:sz="4" w:space="0" w:color="auto"/>
              <w:right w:val="single" w:sz="4" w:space="0" w:color="auto"/>
            </w:tcBorders>
            <w:hideMark/>
          </w:tcPr>
          <w:p w14:paraId="22A99D51"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3280</w:t>
            </w:r>
          </w:p>
        </w:tc>
        <w:tc>
          <w:tcPr>
            <w:tcW w:w="1260" w:type="dxa"/>
            <w:tcBorders>
              <w:top w:val="single" w:sz="4" w:space="0" w:color="auto"/>
              <w:left w:val="single" w:sz="4" w:space="0" w:color="auto"/>
              <w:bottom w:val="single" w:sz="4" w:space="0" w:color="auto"/>
              <w:right w:val="single" w:sz="4" w:space="0" w:color="auto"/>
            </w:tcBorders>
            <w:hideMark/>
          </w:tcPr>
          <w:p w14:paraId="6004E811"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2038</w:t>
            </w:r>
          </w:p>
        </w:tc>
        <w:tc>
          <w:tcPr>
            <w:tcW w:w="1170" w:type="dxa"/>
            <w:tcBorders>
              <w:top w:val="single" w:sz="4" w:space="0" w:color="auto"/>
              <w:left w:val="single" w:sz="4" w:space="0" w:color="auto"/>
              <w:bottom w:val="single" w:sz="4" w:space="0" w:color="auto"/>
              <w:right w:val="single" w:sz="4" w:space="0" w:color="auto"/>
            </w:tcBorders>
            <w:hideMark/>
          </w:tcPr>
          <w:p w14:paraId="3747C47F" w14:textId="77777777" w:rsidR="001779C0" w:rsidRPr="00805152" w:rsidRDefault="001779C0" w:rsidP="001779C0">
            <w:pPr>
              <w:spacing w:after="0"/>
              <w:jc w:val="right"/>
              <w:rPr>
                <w:rFonts w:ascii="Times New Roman" w:eastAsia="Times New Roman" w:hAnsi="Times New Roman"/>
                <w:sz w:val="22"/>
                <w:lang w:val="bg-BG"/>
              </w:rPr>
            </w:pPr>
            <w:r w:rsidRPr="00805152">
              <w:rPr>
                <w:rFonts w:ascii="Times New Roman" w:eastAsia="Times New Roman" w:hAnsi="Times New Roman"/>
                <w:sz w:val="22"/>
                <w:lang w:val="bg-BG"/>
              </w:rPr>
              <w:t>2303</w:t>
            </w:r>
          </w:p>
        </w:tc>
      </w:tr>
    </w:tbl>
    <w:p w14:paraId="4C153937" w14:textId="77777777" w:rsidR="001779C0" w:rsidRPr="00805152" w:rsidRDefault="001779C0" w:rsidP="001779C0">
      <w:pPr>
        <w:shd w:val="clear" w:color="auto" w:fill="FFFFFF"/>
        <w:autoSpaceDE w:val="0"/>
        <w:autoSpaceDN w:val="0"/>
        <w:adjustRightInd w:val="0"/>
        <w:spacing w:after="0" w:line="360" w:lineRule="auto"/>
        <w:ind w:firstLine="709"/>
        <w:rPr>
          <w:rFonts w:ascii="Times New Roman" w:hAnsi="Times New Roman"/>
          <w:color w:val="000000"/>
          <w:sz w:val="24"/>
          <w:szCs w:val="24"/>
          <w:lang w:val="bg-BG"/>
        </w:rPr>
      </w:pPr>
    </w:p>
    <w:p w14:paraId="2941ADEA"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Всички мерки за приемане, маркировка, съхранение, транспортиране и полагане да отговарят на ГОСТ 20425-75 – „Тетраподи для брегозащитних и оградних соорижения“.</w:t>
      </w:r>
    </w:p>
    <w:p w14:paraId="57B9BDDA"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Съществуващите тетраподи на място ще се извадят, оценят и ще се пренаредят по зони.</w:t>
      </w:r>
    </w:p>
    <w:p w14:paraId="214E7428" w14:textId="2AA6E961" w:rsidR="00895EE2" w:rsidRPr="00805152" w:rsidRDefault="00895EE2" w:rsidP="004360FB">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За така приетото техническото решение са изготвени и количествено стойностни сметки.</w:t>
      </w:r>
    </w:p>
    <w:p w14:paraId="422C7000" w14:textId="69099D80" w:rsidR="00895EE2" w:rsidRPr="00805152" w:rsidRDefault="00414200" w:rsidP="00A127A2">
      <w:pPr>
        <w:pStyle w:val="Heading2"/>
        <w:rPr>
          <w:rFonts w:ascii="Times New Roman" w:hAnsi="Times New Roman"/>
          <w:lang w:val="bg-BG"/>
        </w:rPr>
      </w:pPr>
      <w:bookmarkStart w:id="76" w:name="_Toc423520358"/>
      <w:bookmarkStart w:id="77" w:name="_Toc136961103"/>
      <w:r w:rsidRPr="00805152">
        <w:rPr>
          <w:rFonts w:ascii="Times New Roman" w:hAnsi="Times New Roman"/>
          <w:lang w:val="bg-BG"/>
        </w:rPr>
        <w:t>Технология на Изпълнение</w:t>
      </w:r>
      <w:bookmarkEnd w:id="76"/>
      <w:bookmarkEnd w:id="77"/>
    </w:p>
    <w:p w14:paraId="3DD1869E" w14:textId="19DFB3CB"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Най-общо технологията на изпълнение на конструкциите и защитните слоеве е разделена на две основни части за всеки един от етапите.</w:t>
      </w:r>
    </w:p>
    <w:p w14:paraId="2A263457" w14:textId="18FF2FE7" w:rsidR="00895EE2" w:rsidRPr="00805152" w:rsidRDefault="00414200" w:rsidP="00A127A2">
      <w:pPr>
        <w:pStyle w:val="Heading3"/>
        <w:rPr>
          <w:rFonts w:ascii="Times New Roman" w:hAnsi="Times New Roman"/>
          <w:lang w:val="bg-BG"/>
        </w:rPr>
      </w:pPr>
      <w:bookmarkStart w:id="78" w:name="_Toc423520359"/>
      <w:bookmarkStart w:id="79" w:name="_Toc136961104"/>
      <w:r w:rsidRPr="00805152">
        <w:rPr>
          <w:rFonts w:ascii="Times New Roman" w:hAnsi="Times New Roman"/>
          <w:lang w:val="bg-BG"/>
        </w:rPr>
        <w:t>Дейности и СМР извършвани от сушата</w:t>
      </w:r>
      <w:bookmarkEnd w:id="78"/>
      <w:bookmarkEnd w:id="79"/>
    </w:p>
    <w:p w14:paraId="16B2B863"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тази част се извършват последователно следните дейности:</w:t>
      </w:r>
    </w:p>
    <w:p w14:paraId="61586C14" w14:textId="6AB38029" w:rsidR="00895EE2" w:rsidRPr="00805152" w:rsidRDefault="00414200"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Р</w:t>
      </w:r>
      <w:r w:rsidR="00895EE2" w:rsidRPr="00805152">
        <w:rPr>
          <w:rFonts w:ascii="Times New Roman" w:eastAsia="Times New Roman" w:hAnsi="Times New Roman"/>
          <w:sz w:val="22"/>
          <w:lang w:val="bg-BG"/>
        </w:rPr>
        <w:t>азкъртване на съществуващият вълнолом и изнасянето и депонирането на елементите на депо за строителни отпадъци.</w:t>
      </w:r>
    </w:p>
    <w:p w14:paraId="18372B5C" w14:textId="1476E751" w:rsidR="00895EE2" w:rsidRPr="00805152" w:rsidRDefault="00414200"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w:t>
      </w:r>
      <w:r w:rsidR="00895EE2" w:rsidRPr="00805152">
        <w:rPr>
          <w:rFonts w:ascii="Times New Roman" w:eastAsia="Times New Roman" w:hAnsi="Times New Roman"/>
          <w:sz w:val="22"/>
          <w:lang w:val="bg-BG"/>
        </w:rPr>
        <w:t>очистване на повърхностите и подготовка за последващо бетониране.</w:t>
      </w:r>
    </w:p>
    <w:p w14:paraId="17873813"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Изграждане на защитна стена в участъци с видим зид – поставяне на допълнителна армировка, направа на кофраж и полагане на бетон</w:t>
      </w:r>
    </w:p>
    <w:p w14:paraId="397EE79A"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Монтаж на нов вълнобой.</w:t>
      </w:r>
    </w:p>
    <w:p w14:paraId="5487C959"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Изграждане на стоманобетонови кутиеобразни елементи.</w:t>
      </w:r>
    </w:p>
    <w:p w14:paraId="78444354"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Третиране и репариране на съществуващи повърхности.</w:t>
      </w:r>
    </w:p>
    <w:p w14:paraId="6DD7F236"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Изграждане на вертикални комуникации.</w:t>
      </w:r>
    </w:p>
    <w:p w14:paraId="4BAABBBA" w14:textId="543DFBA1" w:rsidR="00895EE2" w:rsidRPr="004360FB" w:rsidRDefault="00895EE2" w:rsidP="004360FB">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Довършителни работи.</w:t>
      </w:r>
    </w:p>
    <w:p w14:paraId="6FF0B61E"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lastRenderedPageBreak/>
        <w:t>Разкъртване на съществуващият вълнолом и изнасянето и депонирането на елементите на депо за строителни отпадъци.</w:t>
      </w:r>
    </w:p>
    <w:p w14:paraId="00879E27"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Разкъртването ще се извършва посредством пневматични или дизелови къртачи, като ще се разкъртва основно мястото на връзката на съществуващият вълнобой с бетоновите блокове. </w:t>
      </w:r>
    </w:p>
    <w:p w14:paraId="6DCAFE61" w14:textId="4E68C9E2"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разкъртване се пристъпва към изрязване на армировката и освобождаване на вълнобоя. Елементите ще се сапанират посредством направа на отвори с боркорона с d=40mm и дълбочина до 40cm. В дупките се полага смола HILTI HIT RE 500 /или подобни/ и шпилка M33 с дължина 50cm. След замонолитване  се монтира гайка с ухо за сапаниране. На всеки елемент се слагат минимум по 2</w:t>
      </w:r>
      <w:r w:rsidR="00070910">
        <w:rPr>
          <w:rFonts w:ascii="Times New Roman" w:eastAsia="Times New Roman" w:hAnsi="Times New Roman"/>
          <w:sz w:val="22"/>
          <w:lang w:val="bg-BG"/>
        </w:rPr>
        <w:t xml:space="preserve"> </w:t>
      </w:r>
      <w:r w:rsidRPr="00805152">
        <w:rPr>
          <w:rFonts w:ascii="Times New Roman" w:eastAsia="Times New Roman" w:hAnsi="Times New Roman"/>
          <w:sz w:val="22"/>
          <w:lang w:val="bg-BG"/>
        </w:rPr>
        <w:t>бр. шпилки. На елементи, при които се оцени, че стоманените „уши“ за повдигане са годни не се извършва допълнително сапаниране, а се използват съществуващите.</w:t>
      </w:r>
    </w:p>
    <w:p w14:paraId="1F8DC2A2" w14:textId="35C0C9B4"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За повдигане на стоманобетоновите елементи се предвижда използването на автокран с товароподемност до 130t.</w:t>
      </w:r>
    </w:p>
    <w:p w14:paraId="1C707561"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зоните на изградените стоманени халета на територията на яхт-клуба да се използва автокран с товароподемност мин. 220t.</w:t>
      </w:r>
    </w:p>
    <w:p w14:paraId="2153CA61"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Стоманобетоновите елементи да се натоварват на транспорт и да се отвеждат на депо за строителни отпадъци на разстояние до 20km. </w:t>
      </w:r>
    </w:p>
    <w:p w14:paraId="2687B14C" w14:textId="771E7289"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Освен вълнобоя се предвижда и разбиване на бетоновите блокове в етапи ІІ и ІІІ и доразкъртване на съществуващия бетонов елемент при етап І с дълбочина до 50</w:t>
      </w:r>
      <w:r w:rsidR="00414200"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см за фундиране на вълнобоя.</w:t>
      </w:r>
    </w:p>
    <w:p w14:paraId="595D9B5F" w14:textId="77777777" w:rsidR="00414200" w:rsidRPr="00805152" w:rsidRDefault="00414200" w:rsidP="00895EE2">
      <w:pPr>
        <w:spacing w:after="0"/>
        <w:ind w:firstLine="576"/>
        <w:rPr>
          <w:rFonts w:ascii="Times New Roman" w:eastAsia="Times New Roman" w:hAnsi="Times New Roman"/>
          <w:sz w:val="22"/>
          <w:lang w:val="bg-BG"/>
        </w:rPr>
      </w:pPr>
    </w:p>
    <w:p w14:paraId="3EA98414"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Почистване на повърхностите и подготовка за последващо бетониране.</w:t>
      </w:r>
    </w:p>
    <w:p w14:paraId="083CDA72"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приключване на дейностите по демонтаж на вълнобоя и останалите бетонови елементи се пристъпва към почистване на повърхностите и отстраняване на компрометираният торкрет.</w:t>
      </w:r>
    </w:p>
    <w:p w14:paraId="2194FF76"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Почистването ще се извършва посредством водно бластиране с налягане 300-500bar.</w:t>
      </w:r>
    </w:p>
    <w:p w14:paraId="6C19269C"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Отстраненият торкрет се натоварва на транспорт и се депонира на депо за строителни отпадъци на разстояние до 20km.</w:t>
      </w:r>
    </w:p>
    <w:p w14:paraId="1BEB1939" w14:textId="661CE89B"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При необходимост повърхностите се подмазват с Ц:П 1:2 р-р и се подравняват за последващо монтиране на нов вълнобой и/или изграждане на кутиеобразния елемент от типовия профил.</w:t>
      </w:r>
    </w:p>
    <w:p w14:paraId="7E145F71" w14:textId="6E9E69C9" w:rsidR="00414200" w:rsidRPr="00805152" w:rsidRDefault="00414200" w:rsidP="00895EE2">
      <w:pPr>
        <w:spacing w:after="0"/>
        <w:ind w:firstLine="576"/>
        <w:rPr>
          <w:rFonts w:ascii="Times New Roman" w:eastAsia="Times New Roman" w:hAnsi="Times New Roman"/>
          <w:sz w:val="22"/>
          <w:lang w:val="bg-BG"/>
        </w:rPr>
      </w:pPr>
    </w:p>
    <w:p w14:paraId="25335E93"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Монтаж на нов вълнобой.</w:t>
      </w:r>
    </w:p>
    <w:p w14:paraId="3EBFF017" w14:textId="6631BD51"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Новият вълнобой се изготвя на елементи с дължина L=5.0m и тегло G=18.00t. До площадката се транспортират </w:t>
      </w:r>
      <w:r w:rsidR="00733A8C" w:rsidRPr="00805152">
        <w:rPr>
          <w:rFonts w:ascii="Times New Roman" w:eastAsia="Times New Roman" w:hAnsi="Times New Roman"/>
          <w:sz w:val="22"/>
          <w:lang w:val="bg-BG"/>
        </w:rPr>
        <w:t>посредством</w:t>
      </w:r>
      <w:r w:rsidRPr="00805152">
        <w:rPr>
          <w:rFonts w:ascii="Times New Roman" w:eastAsia="Times New Roman" w:hAnsi="Times New Roman"/>
          <w:sz w:val="22"/>
          <w:lang w:val="bg-BG"/>
        </w:rPr>
        <w:t xml:space="preserve"> пневмоколесен транспорт. Монтажът ще се извърши чрез използване на автокран с товароподемност до 130t. В зоните на халетата товароподемността на крана да е мин. 220t. </w:t>
      </w:r>
    </w:p>
    <w:p w14:paraId="646A6F28"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lastRenderedPageBreak/>
        <w:t>В Етап І полагането на вълнобоя се извършва върху новоизграден блок с дебелина до 50см и скосена страна откъм морето. Върху добре оформената и загладена повърхност ще се пристъпи към монтажа на вълнобоя.</w:t>
      </w:r>
    </w:p>
    <w:p w14:paraId="62373256"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Етапи ІІ и ІІІ е предвидено вълнобоя да се монтира директно върху съществуващата конструкция. За целта преди монтажа е предвидено полагане на цим. пясъчен разтвор 1:2 с дебелина до 2 см с цел изравняване на грапавите повърхности на съоръжението до достигане на Кота . След полагане на разтвора и изглаждане на повърхността се пристъпва към монтаж на новият вълнобой.</w:t>
      </w:r>
    </w:p>
    <w:p w14:paraId="7A930127"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полагане на елементите се пристъпва към замонолитване на анкериращите фиби към съществуващата основа. Замонолитката става чрез химически анкери HILTI HIT RE 500 /или подобни/.</w:t>
      </w:r>
    </w:p>
    <w:p w14:paraId="74A0354B" w14:textId="3827B65E"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набиране на якост се разполага надлъжната разпределителна армировка и след приемане от СН и Проектанта се пристъпва към бетониране.</w:t>
      </w:r>
    </w:p>
    <w:p w14:paraId="668BF928" w14:textId="77777777" w:rsidR="00414200" w:rsidRPr="00805152" w:rsidRDefault="00414200" w:rsidP="00895EE2">
      <w:pPr>
        <w:spacing w:after="0"/>
        <w:ind w:firstLine="576"/>
        <w:rPr>
          <w:rFonts w:ascii="Times New Roman" w:eastAsia="Times New Roman" w:hAnsi="Times New Roman"/>
          <w:sz w:val="22"/>
          <w:lang w:val="bg-BG"/>
        </w:rPr>
      </w:pPr>
    </w:p>
    <w:p w14:paraId="41296F77"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Изграждане на стоманобетонови кутиеобразни елементи.</w:t>
      </w:r>
    </w:p>
    <w:p w14:paraId="6DA5ED63"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Изграждането на стоманобетоновите елементи се извършва изцяло от сушата. Това е стандартна процедура по изграждане на подобни конструкции.</w:t>
      </w:r>
    </w:p>
    <w:p w14:paraId="1190E1E8"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Доставката на бетон до площадката ще се осъществява чрез автобетоновози с обем до 9 m</w:t>
      </w:r>
      <w:r w:rsidRPr="00070910">
        <w:rPr>
          <w:rFonts w:ascii="Times New Roman" w:eastAsia="Times New Roman" w:hAnsi="Times New Roman"/>
          <w:sz w:val="22"/>
          <w:vertAlign w:val="superscript"/>
          <w:lang w:val="bg-BG"/>
        </w:rPr>
        <w:t>3</w:t>
      </w:r>
      <w:r w:rsidRPr="00805152">
        <w:rPr>
          <w:rFonts w:ascii="Times New Roman" w:eastAsia="Times New Roman" w:hAnsi="Times New Roman"/>
          <w:sz w:val="22"/>
          <w:lang w:val="bg-BG"/>
        </w:rPr>
        <w:t>, а полагането ще се извършва с бетон помпи.</w:t>
      </w:r>
    </w:p>
    <w:p w14:paraId="107F112D" w14:textId="73B5B1C0" w:rsidR="00414200"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 оглед постигане на добър контакт между стар и нов бетон всички повърхности </w:t>
      </w:r>
      <w:r w:rsidR="00070910">
        <w:rPr>
          <w:rFonts w:ascii="Times New Roman" w:eastAsia="Times New Roman" w:hAnsi="Times New Roman"/>
          <w:sz w:val="22"/>
          <w:lang w:val="bg-BG"/>
        </w:rPr>
        <w:t>ще</w:t>
      </w:r>
      <w:r w:rsidRPr="00805152">
        <w:rPr>
          <w:rFonts w:ascii="Times New Roman" w:eastAsia="Times New Roman" w:hAnsi="Times New Roman"/>
          <w:sz w:val="22"/>
          <w:lang w:val="bg-BG"/>
        </w:rPr>
        <w:t xml:space="preserve"> се обмажат с </w:t>
      </w:r>
      <w:r w:rsidR="00733A8C" w:rsidRPr="00805152">
        <w:rPr>
          <w:rFonts w:ascii="Times New Roman" w:eastAsia="Times New Roman" w:hAnsi="Times New Roman"/>
          <w:sz w:val="22"/>
          <w:lang w:val="bg-BG"/>
        </w:rPr>
        <w:t>подходящ</w:t>
      </w:r>
      <w:r w:rsidRPr="00805152">
        <w:rPr>
          <w:rFonts w:ascii="Times New Roman" w:eastAsia="Times New Roman" w:hAnsi="Times New Roman"/>
          <w:sz w:val="22"/>
          <w:lang w:val="bg-BG"/>
        </w:rPr>
        <w:t xml:space="preserve"> контакт-бетон. Положеният бетон да отговаря на изискванията за видим бетон. </w:t>
      </w:r>
    </w:p>
    <w:p w14:paraId="47340C3D" w14:textId="77777777" w:rsidR="00414200" w:rsidRPr="00805152" w:rsidRDefault="00414200" w:rsidP="00895EE2">
      <w:pPr>
        <w:spacing w:after="0"/>
        <w:ind w:firstLine="576"/>
        <w:rPr>
          <w:rFonts w:ascii="Times New Roman" w:eastAsia="Times New Roman" w:hAnsi="Times New Roman"/>
          <w:sz w:val="22"/>
          <w:lang w:val="bg-BG"/>
        </w:rPr>
      </w:pPr>
    </w:p>
    <w:p w14:paraId="2A9E9DBB" w14:textId="75C2A4AA"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Третиране и репариране на съществуващи повърхности.</w:t>
      </w:r>
    </w:p>
    <w:p w14:paraId="2215DF7C"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достигане на необходимата якост на бетоновите и стоманобетонови елементи се пристъпва към полагане на защитен слой от стоманоторкрет с дебелина 2-3сm. Всички стопанства се разполагат от сухата страна.</w:t>
      </w:r>
    </w:p>
    <w:p w14:paraId="3C2B55A3"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Преди полагане на торкрета се анкерира стоманена мрежа ф4mm-150/150mm за повърхностите с анкери мин. 4бр./m</w:t>
      </w:r>
      <w:r w:rsidRPr="00070910">
        <w:rPr>
          <w:rFonts w:ascii="Times New Roman" w:eastAsia="Times New Roman" w:hAnsi="Times New Roman"/>
          <w:sz w:val="22"/>
          <w:vertAlign w:val="superscript"/>
          <w:lang w:val="bg-BG"/>
        </w:rPr>
        <w:t>2</w:t>
      </w:r>
      <w:r w:rsidRPr="00805152">
        <w:rPr>
          <w:rFonts w:ascii="Times New Roman" w:eastAsia="Times New Roman" w:hAnsi="Times New Roman"/>
          <w:sz w:val="22"/>
          <w:lang w:val="bg-BG"/>
        </w:rPr>
        <w:t xml:space="preserve"> за осигуряване на пукнатиноустойчивост на положеното покритие.</w:t>
      </w:r>
    </w:p>
    <w:p w14:paraId="658133E4"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Поради изискването за видим бетон се допуска новоизградените съоръжения да не се покриват със защитен пласт. След преценка на място съществуващите зидове от страна на акваторията ще се префугират и ще се оформят като декоративни повърхности.</w:t>
      </w:r>
    </w:p>
    <w:p w14:paraId="28B09E53" w14:textId="3794E359" w:rsidR="00895EE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 тези дейности ще се включи и полагането на асфалтобетон из</w:t>
      </w:r>
      <w:r w:rsidR="00070910">
        <w:rPr>
          <w:rFonts w:ascii="Times New Roman" w:eastAsia="Times New Roman" w:hAnsi="Times New Roman"/>
          <w:sz w:val="22"/>
          <w:lang w:val="bg-BG"/>
        </w:rPr>
        <w:t>носоустойчив пласт с дебелина 4-</w:t>
      </w:r>
      <w:r w:rsidRPr="00805152">
        <w:rPr>
          <w:rFonts w:ascii="Times New Roman" w:eastAsia="Times New Roman" w:hAnsi="Times New Roman"/>
          <w:sz w:val="22"/>
          <w:lang w:val="bg-BG"/>
        </w:rPr>
        <w:t>6</w:t>
      </w:r>
      <w:r w:rsidR="00070910">
        <w:rPr>
          <w:rFonts w:ascii="Times New Roman" w:eastAsia="Times New Roman" w:hAnsi="Times New Roman"/>
          <w:sz w:val="22"/>
          <w:lang w:val="bg-BG"/>
        </w:rPr>
        <w:t xml:space="preserve"> </w:t>
      </w:r>
      <w:r w:rsidRPr="00805152">
        <w:rPr>
          <w:rFonts w:ascii="Times New Roman" w:eastAsia="Times New Roman" w:hAnsi="Times New Roman"/>
          <w:sz w:val="22"/>
          <w:lang w:val="bg-BG"/>
        </w:rPr>
        <w:t>см по пешеходната алея на Кота 6,30m.</w:t>
      </w:r>
    </w:p>
    <w:p w14:paraId="20E4DAF3" w14:textId="77777777" w:rsidR="004639AA" w:rsidRDefault="004639AA" w:rsidP="00895EE2">
      <w:pPr>
        <w:spacing w:after="0"/>
        <w:ind w:firstLine="576"/>
        <w:rPr>
          <w:rFonts w:ascii="Times New Roman" w:eastAsia="Times New Roman" w:hAnsi="Times New Roman"/>
          <w:sz w:val="22"/>
          <w:lang w:val="bg-BG"/>
        </w:rPr>
      </w:pPr>
    </w:p>
    <w:p w14:paraId="360FE3DA" w14:textId="77777777" w:rsidR="004639AA" w:rsidRDefault="004639AA" w:rsidP="00895EE2">
      <w:pPr>
        <w:spacing w:after="0"/>
        <w:ind w:firstLine="576"/>
        <w:rPr>
          <w:rFonts w:ascii="Times New Roman" w:eastAsia="Times New Roman" w:hAnsi="Times New Roman"/>
          <w:sz w:val="22"/>
          <w:lang w:val="bg-BG"/>
        </w:rPr>
      </w:pPr>
    </w:p>
    <w:p w14:paraId="65E29FE7" w14:textId="77777777" w:rsidR="00070910" w:rsidRPr="00805152" w:rsidRDefault="00070910" w:rsidP="00895EE2">
      <w:pPr>
        <w:spacing w:after="0"/>
        <w:ind w:firstLine="576"/>
        <w:rPr>
          <w:rFonts w:ascii="Times New Roman" w:eastAsia="Times New Roman" w:hAnsi="Times New Roman"/>
          <w:sz w:val="22"/>
          <w:lang w:val="bg-BG"/>
        </w:rPr>
      </w:pPr>
    </w:p>
    <w:p w14:paraId="1AB6B098"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lastRenderedPageBreak/>
        <w:t>Изграждане на вертикални комуникации.</w:t>
      </w:r>
    </w:p>
    <w:p w14:paraId="001400AA" w14:textId="1AA5057A" w:rsidR="00F11649" w:rsidRPr="00805152" w:rsidRDefault="00895EE2" w:rsidP="004639AA">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След завършване на дейностите по репариране на повърхностите се пристъпва към изграждане на вертикалните комуникации. Те са стоманобетонови конструкции, които ще се изграждат по стандартни методи от сухата страна. </w:t>
      </w:r>
    </w:p>
    <w:p w14:paraId="25F99D43" w14:textId="6EC5C4EE"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Ако към момента на стартиране на настоящият проект вертикалната планировка на Морска гара е изградена</w:t>
      </w:r>
      <w:r w:rsidR="00070910">
        <w:rPr>
          <w:rFonts w:ascii="Times New Roman" w:eastAsia="Times New Roman" w:hAnsi="Times New Roman"/>
          <w:sz w:val="22"/>
          <w:lang w:val="bg-BG"/>
        </w:rPr>
        <w:t>,</w:t>
      </w:r>
      <w:r w:rsidRPr="00805152">
        <w:rPr>
          <w:rFonts w:ascii="Times New Roman" w:eastAsia="Times New Roman" w:hAnsi="Times New Roman"/>
          <w:sz w:val="22"/>
          <w:lang w:val="bg-BG"/>
        </w:rPr>
        <w:t xml:space="preserve"> временната вертикална планировка ще отпадне, а количествата ще останат за възстановяване на съществуващата.</w:t>
      </w:r>
    </w:p>
    <w:p w14:paraId="1C602E07" w14:textId="77777777" w:rsidR="00414200" w:rsidRPr="00805152" w:rsidRDefault="00414200" w:rsidP="00895EE2">
      <w:pPr>
        <w:spacing w:after="0"/>
        <w:ind w:firstLine="576"/>
        <w:rPr>
          <w:rFonts w:ascii="Times New Roman" w:eastAsia="Times New Roman" w:hAnsi="Times New Roman"/>
          <w:sz w:val="22"/>
          <w:lang w:val="bg-BG"/>
        </w:rPr>
      </w:pPr>
    </w:p>
    <w:p w14:paraId="7412C9E3" w14:textId="77777777" w:rsidR="00895EE2" w:rsidRPr="00805152" w:rsidRDefault="00895EE2" w:rsidP="00895EE2">
      <w:pPr>
        <w:spacing w:after="0"/>
        <w:ind w:firstLine="576"/>
        <w:rPr>
          <w:rFonts w:ascii="Times New Roman" w:eastAsia="Times New Roman" w:hAnsi="Times New Roman"/>
          <w:b/>
          <w:sz w:val="22"/>
          <w:lang w:val="bg-BG"/>
        </w:rPr>
      </w:pPr>
      <w:r w:rsidRPr="00805152">
        <w:rPr>
          <w:rFonts w:ascii="Times New Roman" w:eastAsia="Times New Roman" w:hAnsi="Times New Roman"/>
          <w:b/>
          <w:sz w:val="22"/>
          <w:lang w:val="bg-BG"/>
        </w:rPr>
        <w:t>Довършителни работи.</w:t>
      </w:r>
    </w:p>
    <w:p w14:paraId="0FD7EC4C" w14:textId="32C64B04" w:rsidR="00895EE2" w:rsidRPr="00805152" w:rsidRDefault="00895EE2" w:rsidP="0072632E">
      <w:pPr>
        <w:spacing w:after="0"/>
        <w:rPr>
          <w:rFonts w:ascii="Times New Roman" w:eastAsia="Times New Roman" w:hAnsi="Times New Roman"/>
          <w:sz w:val="22"/>
          <w:lang w:val="bg-BG"/>
        </w:rPr>
      </w:pPr>
      <w:r w:rsidRPr="00805152">
        <w:rPr>
          <w:rFonts w:ascii="Times New Roman" w:eastAsia="Times New Roman" w:hAnsi="Times New Roman"/>
          <w:sz w:val="22"/>
          <w:lang w:val="bg-BG"/>
        </w:rPr>
        <w:t>Свързани са с монтажи на парапети, платформи, осветителни тела и провеждане на изпитвания за тяхната работа.</w:t>
      </w:r>
    </w:p>
    <w:p w14:paraId="1655628F" w14:textId="77777777" w:rsidR="009B4D53" w:rsidRPr="00805152" w:rsidRDefault="009B4D53" w:rsidP="00895EE2">
      <w:pPr>
        <w:spacing w:after="0"/>
        <w:ind w:firstLine="576"/>
        <w:rPr>
          <w:rFonts w:ascii="Times New Roman" w:eastAsia="Times New Roman" w:hAnsi="Times New Roman"/>
          <w:sz w:val="22"/>
          <w:lang w:val="bg-BG"/>
        </w:rPr>
      </w:pPr>
    </w:p>
    <w:p w14:paraId="6990E990" w14:textId="68B274E6" w:rsidR="00895EE2" w:rsidRPr="00805152" w:rsidRDefault="00414200" w:rsidP="00A127A2">
      <w:pPr>
        <w:pStyle w:val="Heading3"/>
        <w:rPr>
          <w:rFonts w:ascii="Times New Roman" w:hAnsi="Times New Roman"/>
          <w:lang w:val="bg-BG"/>
        </w:rPr>
      </w:pPr>
      <w:bookmarkStart w:id="80" w:name="_Toc423520360"/>
      <w:bookmarkStart w:id="81" w:name="_Toc136961105"/>
      <w:r w:rsidRPr="00805152">
        <w:rPr>
          <w:rFonts w:ascii="Times New Roman" w:hAnsi="Times New Roman"/>
          <w:lang w:val="bg-BG"/>
        </w:rPr>
        <w:t>Дейности и СМР извършвани от водата</w:t>
      </w:r>
      <w:bookmarkEnd w:id="80"/>
      <w:bookmarkEnd w:id="81"/>
    </w:p>
    <w:p w14:paraId="775D1DDD" w14:textId="7358061B"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Преди започване на дейностите и СМР извършвани от водната страна задължително </w:t>
      </w:r>
      <w:r w:rsidR="00070910">
        <w:rPr>
          <w:rFonts w:ascii="Times New Roman" w:eastAsia="Times New Roman" w:hAnsi="Times New Roman"/>
          <w:sz w:val="22"/>
          <w:lang w:val="bg-BG"/>
        </w:rPr>
        <w:t>ще</w:t>
      </w:r>
      <w:r w:rsidRPr="00805152">
        <w:rPr>
          <w:rFonts w:ascii="Times New Roman" w:eastAsia="Times New Roman" w:hAnsi="Times New Roman"/>
          <w:sz w:val="22"/>
          <w:lang w:val="bg-BG"/>
        </w:rPr>
        <w:t xml:space="preserve"> се направи водолазен оглед с цел картиране и оценка на съществуващото към началото на СМР фактическо състояние на подводната част на съоръжението.</w:t>
      </w:r>
    </w:p>
    <w:p w14:paraId="4A4F9E59" w14:textId="2EE265C4"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След извършване на огледа и съгласуване с проектанта </w:t>
      </w:r>
      <w:r w:rsidR="00070910">
        <w:rPr>
          <w:rFonts w:ascii="Times New Roman" w:eastAsia="Times New Roman" w:hAnsi="Times New Roman"/>
          <w:sz w:val="22"/>
          <w:lang w:val="bg-BG"/>
        </w:rPr>
        <w:t xml:space="preserve">ще </w:t>
      </w:r>
      <w:r w:rsidRPr="00805152">
        <w:rPr>
          <w:rFonts w:ascii="Times New Roman" w:eastAsia="Times New Roman" w:hAnsi="Times New Roman"/>
          <w:sz w:val="22"/>
          <w:lang w:val="bg-BG"/>
        </w:rPr>
        <w:t>се пристъпва към извършване на следните дейности:</w:t>
      </w:r>
    </w:p>
    <w:p w14:paraId="6B7A87EF" w14:textId="0F0AF59C"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Отстраняване на съществув</w:t>
      </w:r>
      <w:r w:rsidR="00070910">
        <w:rPr>
          <w:rFonts w:ascii="Times New Roman" w:eastAsia="Times New Roman" w:hAnsi="Times New Roman"/>
          <w:sz w:val="22"/>
          <w:lang w:val="bg-BG"/>
        </w:rPr>
        <w:t>ащи тетраподи Т8 и Т10;</w:t>
      </w:r>
    </w:p>
    <w:p w14:paraId="56BDC03A"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Извършване на драгажни дейности /изкопи/ за оформяне на подложен пласт от СБ-І-ва категория (500kg-1500kg);</w:t>
      </w:r>
    </w:p>
    <w:p w14:paraId="48845A32"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Полагане на защитен пласт от СБ-І-ва категория (500kg-1500kg);</w:t>
      </w:r>
    </w:p>
    <w:p w14:paraId="188503F0" w14:textId="77777777"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Полагане на защитен пласт от СБ-ІІ-ва категория (1500kg-4000kg);</w:t>
      </w:r>
    </w:p>
    <w:p w14:paraId="41F4C483" w14:textId="51A503BB" w:rsidR="00895EE2" w:rsidRPr="00805152" w:rsidRDefault="00895EE2" w:rsidP="0021547C">
      <w:pPr>
        <w:numPr>
          <w:ilvl w:val="0"/>
          <w:numId w:val="3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Полагане на защи</w:t>
      </w:r>
      <w:r w:rsidR="00070910">
        <w:rPr>
          <w:rFonts w:ascii="Times New Roman" w:eastAsia="Times New Roman" w:hAnsi="Times New Roman"/>
          <w:sz w:val="22"/>
          <w:lang w:val="bg-BG"/>
        </w:rPr>
        <w:t>тен пласт от тетраподи Т8 (T10).</w:t>
      </w:r>
    </w:p>
    <w:p w14:paraId="054964DF" w14:textId="77777777" w:rsidR="00414200" w:rsidRPr="00805152" w:rsidRDefault="00414200" w:rsidP="00414200">
      <w:pPr>
        <w:spacing w:after="0"/>
        <w:ind w:left="1126"/>
        <w:rPr>
          <w:rFonts w:ascii="Times New Roman" w:eastAsia="Times New Roman" w:hAnsi="Times New Roman"/>
          <w:sz w:val="22"/>
          <w:lang w:val="bg-BG"/>
        </w:rPr>
      </w:pPr>
    </w:p>
    <w:p w14:paraId="6623A383"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Отстраняване на съществуващи тетраподи Т8 и Т10.</w:t>
      </w:r>
    </w:p>
    <w:p w14:paraId="0044D533"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Към момента, по цялото протежение на етапите има положени тетраподи както следва:</w:t>
      </w:r>
    </w:p>
    <w:p w14:paraId="4DB23647" w14:textId="77777777" w:rsidR="00070910" w:rsidRDefault="00895EE2" w:rsidP="0021547C">
      <w:pPr>
        <w:pStyle w:val="ListParagraph"/>
        <w:numPr>
          <w:ilvl w:val="0"/>
          <w:numId w:val="38"/>
        </w:numPr>
        <w:spacing w:after="0"/>
        <w:rPr>
          <w:rFonts w:ascii="Times New Roman" w:eastAsia="Times New Roman" w:hAnsi="Times New Roman"/>
          <w:lang w:val="bg-BG"/>
        </w:rPr>
      </w:pPr>
      <w:r w:rsidRPr="00070910">
        <w:rPr>
          <w:rFonts w:ascii="Times New Roman" w:eastAsia="Times New Roman" w:hAnsi="Times New Roman"/>
          <w:lang w:val="bg-BG"/>
        </w:rPr>
        <w:t>І Етап – Тетраподи Т10</w:t>
      </w:r>
      <w:r w:rsidR="00070910">
        <w:rPr>
          <w:rFonts w:ascii="Times New Roman" w:eastAsia="Times New Roman" w:hAnsi="Times New Roman"/>
          <w:lang w:val="bg-BG"/>
        </w:rPr>
        <w:t>;</w:t>
      </w:r>
    </w:p>
    <w:p w14:paraId="6931C882" w14:textId="3BD3F6DC" w:rsidR="00895EE2" w:rsidRPr="00070910" w:rsidRDefault="00895EE2" w:rsidP="0021547C">
      <w:pPr>
        <w:pStyle w:val="ListParagraph"/>
        <w:numPr>
          <w:ilvl w:val="0"/>
          <w:numId w:val="38"/>
        </w:numPr>
        <w:spacing w:after="0"/>
        <w:rPr>
          <w:rFonts w:ascii="Times New Roman" w:eastAsia="Times New Roman" w:hAnsi="Times New Roman"/>
          <w:lang w:val="bg-BG"/>
        </w:rPr>
      </w:pPr>
      <w:r w:rsidRPr="00070910">
        <w:rPr>
          <w:rFonts w:ascii="Times New Roman" w:eastAsia="Times New Roman" w:hAnsi="Times New Roman"/>
          <w:lang w:val="bg-BG"/>
        </w:rPr>
        <w:t>ІІ и ІІІ Етапи – Тетраподи Т8</w:t>
      </w:r>
    </w:p>
    <w:p w14:paraId="35E6144B" w14:textId="77777777" w:rsidR="00895EE2" w:rsidRPr="004639AA" w:rsidRDefault="00895EE2" w:rsidP="00D353C8">
      <w:pPr>
        <w:ind w:firstLine="576"/>
        <w:rPr>
          <w:rFonts w:ascii="Times New Roman" w:hAnsi="Times New Roman"/>
          <w:b/>
          <w:lang w:val="bg-BG"/>
        </w:rPr>
      </w:pPr>
      <w:r w:rsidRPr="004639AA">
        <w:rPr>
          <w:rFonts w:ascii="Times New Roman" w:hAnsi="Times New Roman"/>
          <w:b/>
          <w:lang w:val="bg-BG"/>
        </w:rPr>
        <w:t>В настоящият проект е оценено, че наличните на обекта тетраподи са до 50% от общите тетраподи необходими за укрепването на вълнолома.</w:t>
      </w:r>
    </w:p>
    <w:p w14:paraId="56A55EC1" w14:textId="77777777" w:rsidR="00895EE2" w:rsidRPr="004639AA" w:rsidRDefault="00895EE2" w:rsidP="00D353C8">
      <w:pPr>
        <w:ind w:firstLine="576"/>
        <w:rPr>
          <w:rFonts w:ascii="Times New Roman" w:hAnsi="Times New Roman"/>
          <w:lang w:val="bg-BG"/>
        </w:rPr>
      </w:pPr>
      <w:r w:rsidRPr="004639AA">
        <w:rPr>
          <w:rFonts w:ascii="Times New Roman" w:hAnsi="Times New Roman"/>
          <w:b/>
          <w:lang w:val="bg-BG"/>
        </w:rPr>
        <w:lastRenderedPageBreak/>
        <w:t xml:space="preserve">От направеният оглед на място е установено, че до 10% от наличните тетраподи не отговарят на изискванията </w:t>
      </w:r>
      <w:r w:rsidRPr="004639AA">
        <w:rPr>
          <w:rFonts w:ascii="Times New Roman" w:hAnsi="Times New Roman"/>
          <w:lang w:val="bg-BG"/>
        </w:rPr>
        <w:t>на ГОСТ 20425-75 – „Тетраподи для брегозащитних и оградних соорижения“ и следва да се отстранят и депонират на депо за строителни отпадъци.</w:t>
      </w:r>
    </w:p>
    <w:p w14:paraId="21310654"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Останалите тетраподи ще се върнат обратно като част от новата бронировка.</w:t>
      </w:r>
    </w:p>
    <w:p w14:paraId="70CC93C9"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Предвидено е изваждането на съществуващите тетраподи да става посредством кран с товароподемност до 100т монтиран на баржа.</w:t>
      </w:r>
    </w:p>
    <w:p w14:paraId="734E8CF6"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Баржата ще разтоварва тетраподите на определено и съгласувано с пристанище Бургас място където ще става огледа и оценката на всеки един елемент. При сапанирането на отделните елементи ще се извършват и водолазни дейности с оглед окачване на отделните носещи елементи и такелажи по елементите.</w:t>
      </w:r>
    </w:p>
    <w:p w14:paraId="2782BED1"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Преди началото на строителството е необходимо Строителят и Възложителят да определят и съгласуват площадка за разтоварване и оглед на съществуващите Тетраподи. На същата площадка е възможно да става и доставката и претоварването на баржата и на скалните блокове. </w:t>
      </w:r>
    </w:p>
    <w:p w14:paraId="5DDF1EBB"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Всички транспортни схеми и депа да се отразят в РПОИС разработен от Строителя преди началото на строителството и съгласуван с Проектанта.</w:t>
      </w:r>
    </w:p>
    <w:p w14:paraId="32E4F586" w14:textId="77777777" w:rsidR="00414200" w:rsidRPr="00805152" w:rsidRDefault="00414200" w:rsidP="00895EE2">
      <w:pPr>
        <w:spacing w:after="0"/>
        <w:ind w:firstLine="576"/>
        <w:rPr>
          <w:rFonts w:ascii="Times New Roman" w:eastAsia="Times New Roman" w:hAnsi="Times New Roman"/>
          <w:b/>
          <w:sz w:val="22"/>
          <w:u w:val="single"/>
          <w:lang w:val="bg-BG"/>
        </w:rPr>
      </w:pPr>
    </w:p>
    <w:p w14:paraId="53AADEB9" w14:textId="7C06FB55"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Извършване на драгажни дейности /изкопи/ за оформяне на подложен пласт от СБ-І-ва категория (500kg-1500kg);</w:t>
      </w:r>
    </w:p>
    <w:p w14:paraId="5D2F4389" w14:textId="1D76FF85" w:rsidR="00895EE2" w:rsidRPr="005C5BB4" w:rsidRDefault="00895EE2" w:rsidP="00895EE2">
      <w:pPr>
        <w:spacing w:after="0"/>
        <w:ind w:firstLine="576"/>
        <w:rPr>
          <w:rFonts w:ascii="Times New Roman" w:eastAsia="Times New Roman" w:hAnsi="Times New Roman"/>
          <w:sz w:val="22"/>
          <w:lang w:val="en-US"/>
        </w:rPr>
      </w:pPr>
      <w:r w:rsidRPr="00805152">
        <w:rPr>
          <w:rFonts w:ascii="Times New Roman" w:eastAsia="Times New Roman" w:hAnsi="Times New Roman"/>
          <w:sz w:val="22"/>
          <w:lang w:val="bg-BG"/>
        </w:rPr>
        <w:t xml:space="preserve">За полагане на защитния пласт по дъното е предвидено направа на изкоп /драгиране/ на дъното с дълбочина до 2,5m. Изкопът ще се извършва от баржа с багер-грайфер и след това масата </w:t>
      </w:r>
      <w:r w:rsidR="009B4D53" w:rsidRPr="009B4D53">
        <w:rPr>
          <w:rFonts w:ascii="Times New Roman" w:eastAsia="Times New Roman" w:hAnsi="Times New Roman"/>
          <w:sz w:val="22"/>
          <w:lang w:val="bg-BG"/>
        </w:rPr>
        <w:t>(ще се транспортира до района определен със заповед №250/07.10.2021г. на Директора на Басейнова Дирекция Черноморски Район за изхвърляне на земни маси и дънни утайки получени от драгажни дейности в 12 милната зона на акваторията на Бургаския залив с координати:</w:t>
      </w:r>
      <w:r w:rsidR="009B4D53" w:rsidRPr="009B4D53">
        <w:rPr>
          <w:rFonts w:ascii="Times New Roman" w:eastAsia="Times New Roman" w:hAnsi="Times New Roman"/>
          <w:sz w:val="22"/>
          <w:lang w:val="en-US"/>
        </w:rPr>
        <w:t xml:space="preserve">WGS(BL) 42°32′1.45″ </w:t>
      </w:r>
      <w:r w:rsidR="009B4D53" w:rsidRPr="009B4D53">
        <w:rPr>
          <w:rFonts w:ascii="Times New Roman" w:eastAsia="Times New Roman" w:hAnsi="Times New Roman"/>
          <w:sz w:val="22"/>
          <w:lang w:val="bg-BG"/>
        </w:rPr>
        <w:t xml:space="preserve">и 27°54′1.40″ и в координатна система </w:t>
      </w:r>
      <w:r w:rsidR="009B4D53" w:rsidRPr="009B4D53">
        <w:rPr>
          <w:rFonts w:ascii="Times New Roman" w:eastAsia="Times New Roman" w:hAnsi="Times New Roman"/>
          <w:sz w:val="22"/>
          <w:lang w:val="en-US"/>
        </w:rPr>
        <w:t xml:space="preserve">BG </w:t>
      </w:r>
      <w:r w:rsidR="009B4D53" w:rsidRPr="009B4D53">
        <w:rPr>
          <w:rFonts w:ascii="Times New Roman" w:eastAsia="Times New Roman" w:hAnsi="Times New Roman"/>
          <w:sz w:val="22"/>
          <w:lang w:val="bg-BG"/>
        </w:rPr>
        <w:t>с координати: х 698006.330; у 4715091.954)</w:t>
      </w:r>
      <w:r w:rsidR="005C5BB4">
        <w:rPr>
          <w:rFonts w:ascii="Times New Roman" w:eastAsia="Times New Roman" w:hAnsi="Times New Roman"/>
          <w:sz w:val="22"/>
          <w:lang w:val="en-US"/>
        </w:rPr>
        <w:t>.</w:t>
      </w:r>
    </w:p>
    <w:p w14:paraId="793EC0EC"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Дейностите по изкопите завършват с направата на водолазен оглед за състоянието на дъното.</w:t>
      </w:r>
    </w:p>
    <w:p w14:paraId="236BDCEB" w14:textId="77777777" w:rsidR="00414200" w:rsidRPr="00805152" w:rsidRDefault="00414200" w:rsidP="00895EE2">
      <w:pPr>
        <w:spacing w:after="0"/>
        <w:ind w:firstLine="576"/>
        <w:rPr>
          <w:rFonts w:ascii="Times New Roman" w:eastAsia="Times New Roman" w:hAnsi="Times New Roman"/>
          <w:b/>
          <w:sz w:val="22"/>
          <w:u w:val="single"/>
          <w:lang w:val="bg-BG"/>
        </w:rPr>
      </w:pPr>
    </w:p>
    <w:p w14:paraId="777C1BFC" w14:textId="42ED448E"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Полагане на защитен пласт от СБ-І-ва категория (500kg-1500kg);</w:t>
      </w:r>
    </w:p>
    <w:p w14:paraId="6F4A954B"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завършване на изкопа се предвижда полагането на защитен пласт от скални блокове І-ва категория  (500kg-1500kg). Полагането ще се извърша отново посредством баржа и 500т кран от водната страна. Скалните блокове ще се транспортират до пристанище Бургас и от там ще се претоварват на баржата.</w:t>
      </w:r>
    </w:p>
    <w:p w14:paraId="1B4E5D1A"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Скалните блокове имат форма, каквато е получена след взривяване на скалния масив, без допълнителна обработка, да не са плочести. Якостта на скалата трябва да бъде &gt; 600 кг/см2.</w:t>
      </w:r>
    </w:p>
    <w:p w14:paraId="285675DB"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lastRenderedPageBreak/>
        <w:t>Не се допуска съдържание на късове от слаби и изветрели скали и земни примеси, както и на глинести и други размекващи се материали. Процентното съдържание на скални блокове от група 500kg-1500kg следва да бъде 50% с маса 1200kg-1500kg. Допускат се скални късове с маса над горната и под горната граница за отделните групи, с отклонение 8% по маса не повече от 2%.</w:t>
      </w:r>
    </w:p>
    <w:p w14:paraId="17F40A02"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Откосирането ще се извърша с монтирания върху баржата кран.</w:t>
      </w:r>
    </w:p>
    <w:p w14:paraId="0830B217" w14:textId="77777777" w:rsidR="00895EE2" w:rsidRPr="00805152" w:rsidRDefault="00895EE2" w:rsidP="00895EE2">
      <w:pPr>
        <w:spacing w:after="0"/>
        <w:ind w:firstLine="576"/>
        <w:rPr>
          <w:rFonts w:ascii="Times New Roman" w:eastAsia="Times New Roman" w:hAnsi="Times New Roman"/>
          <w:b/>
          <w:sz w:val="22"/>
          <w:lang w:val="bg-BG"/>
        </w:rPr>
      </w:pPr>
      <w:r w:rsidRPr="00805152">
        <w:rPr>
          <w:rFonts w:ascii="Times New Roman" w:eastAsia="Times New Roman" w:hAnsi="Times New Roman"/>
          <w:sz w:val="22"/>
          <w:lang w:val="bg-BG"/>
        </w:rPr>
        <w:t>Полагането на пласта завършва след направа на водолазен оглед за качеството на насипа.</w:t>
      </w:r>
    </w:p>
    <w:p w14:paraId="4F2CDB25" w14:textId="4BC3F4FF"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Доставката на скалните блокове да се извърши от кариери „Върли бряг“ и/или „Горно езерово“. </w:t>
      </w:r>
    </w:p>
    <w:p w14:paraId="3C2CFA2C" w14:textId="4D4498FE" w:rsidR="0072632E" w:rsidRPr="00805152" w:rsidRDefault="0072632E" w:rsidP="00895EE2">
      <w:pPr>
        <w:spacing w:after="0"/>
        <w:ind w:firstLine="576"/>
        <w:rPr>
          <w:rFonts w:ascii="Times New Roman" w:eastAsia="Times New Roman" w:hAnsi="Times New Roman"/>
          <w:sz w:val="22"/>
          <w:lang w:val="bg-BG"/>
        </w:rPr>
      </w:pPr>
    </w:p>
    <w:p w14:paraId="06DFFC87" w14:textId="77777777"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Полагане на защитен пласт от СБ-ІІ-ва категория (1500kg-4000kg);</w:t>
      </w:r>
    </w:p>
    <w:p w14:paraId="59E7719A"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След завършване на насипа от СБ І-ва категория  (500kg-1500kg) се предвижда полагането на защитен пласт от СБ-ІІ-ва категория (1500kg-4000kg). Полагането ще се извърша отново посредством баржа и 500т кран от водната страна. Скалните блокове ще се транспортират до пристанище Бургас и от там ще се претоварват на баржата. Подреждането на скалните блокове следва да се извършва отдолу нагоре като се следи за наклона на откоса. За подреждане на насипа са предвидени водолазни дейности.</w:t>
      </w:r>
    </w:p>
    <w:p w14:paraId="1EFE0161"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Скалните блокове имат форма, каквато е получена след взривяване на скалния масив, без допълнителна обработка, да не са плочести. Якостта на скалата трябва да бъде &gt; 600 кг/см2.</w:t>
      </w:r>
    </w:p>
    <w:p w14:paraId="1187B750"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Не се допуска съдържание на късове от слаби и изветрели скали и земни примеси, както и на глинести и други размекващи се материали. Процентното съдържание на скални блокове от група 1500kg-4000kg следва да бъде 50% с маса 3000kg-4000kg. Допускат се скални късове с маса над горната и под горната граница за отделните групи, с отклонение 8% по маса не повече от 2%.</w:t>
      </w:r>
    </w:p>
    <w:p w14:paraId="1E904012"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Откосирането ще се извърша с монтирания върху баржата кран. Полагането на пласта завършва след направа на водолазен оглед за качеството на насипа.</w:t>
      </w:r>
    </w:p>
    <w:p w14:paraId="1EF6BB5F" w14:textId="50F022D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Доставката на скалните блокове да се извърши от кариери „Върли бряг“ и/или „Горно </w:t>
      </w:r>
      <w:r w:rsidR="00A019D2" w:rsidRPr="00805152">
        <w:rPr>
          <w:rFonts w:ascii="Times New Roman" w:eastAsia="Times New Roman" w:hAnsi="Times New Roman"/>
          <w:sz w:val="22"/>
          <w:lang w:val="bg-BG"/>
        </w:rPr>
        <w:t>Е</w:t>
      </w:r>
      <w:r w:rsidRPr="00805152">
        <w:rPr>
          <w:rFonts w:ascii="Times New Roman" w:eastAsia="Times New Roman" w:hAnsi="Times New Roman"/>
          <w:sz w:val="22"/>
          <w:lang w:val="bg-BG"/>
        </w:rPr>
        <w:t xml:space="preserve">зерово“. </w:t>
      </w:r>
    </w:p>
    <w:p w14:paraId="51C1CD0B" w14:textId="77777777" w:rsidR="00A019D2" w:rsidRPr="00805152" w:rsidRDefault="00A019D2" w:rsidP="00895EE2">
      <w:pPr>
        <w:spacing w:after="0"/>
        <w:ind w:firstLine="576"/>
        <w:rPr>
          <w:rFonts w:ascii="Times New Roman" w:eastAsia="Times New Roman" w:hAnsi="Times New Roman"/>
          <w:sz w:val="22"/>
          <w:lang w:val="bg-BG"/>
        </w:rPr>
      </w:pPr>
    </w:p>
    <w:p w14:paraId="7A7EF444" w14:textId="620DCE4E" w:rsidR="00895EE2" w:rsidRPr="00805152" w:rsidRDefault="00895EE2" w:rsidP="00895EE2">
      <w:pPr>
        <w:spacing w:after="0"/>
        <w:ind w:firstLine="576"/>
        <w:rPr>
          <w:rFonts w:ascii="Times New Roman" w:eastAsia="Times New Roman" w:hAnsi="Times New Roman"/>
          <w:b/>
          <w:sz w:val="22"/>
          <w:u w:val="single"/>
          <w:lang w:val="bg-BG"/>
        </w:rPr>
      </w:pPr>
      <w:r w:rsidRPr="00805152">
        <w:rPr>
          <w:rFonts w:ascii="Times New Roman" w:eastAsia="Times New Roman" w:hAnsi="Times New Roman"/>
          <w:b/>
          <w:sz w:val="22"/>
          <w:u w:val="single"/>
          <w:lang w:val="bg-BG"/>
        </w:rPr>
        <w:t>Полагане на защитен пласт от тетраподи Т8 (T10)</w:t>
      </w:r>
      <w:r w:rsidR="00A019D2" w:rsidRPr="00805152">
        <w:rPr>
          <w:rFonts w:ascii="Times New Roman" w:eastAsia="Times New Roman" w:hAnsi="Times New Roman"/>
          <w:b/>
          <w:sz w:val="22"/>
          <w:u w:val="single"/>
          <w:lang w:val="bg-BG"/>
        </w:rPr>
        <w:t>:</w:t>
      </w:r>
    </w:p>
    <w:p w14:paraId="736DBCDA" w14:textId="0542FCDC"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След завършване на насипа от СБ-ІІ-ва категория (1500kg-4000kg) се предвижда полагането на защитен пласт от тетраподи Т10 и Т8. Полагането ще се извърша отново посредством баржа и 500т кран от водната страна. 40% от тетраподите са съществуващи и след оглед и оценка на тяхното състояние следва да се върнат обратно в защитния пласт. </w:t>
      </w:r>
      <w:r w:rsidRPr="00805152">
        <w:rPr>
          <w:rFonts w:ascii="Times New Roman" w:eastAsia="Times New Roman" w:hAnsi="Times New Roman"/>
          <w:b/>
          <w:bCs/>
          <w:sz w:val="22"/>
          <w:u w:val="single"/>
          <w:lang w:val="bg-BG"/>
        </w:rPr>
        <w:t xml:space="preserve">60% от тетраподите ще </w:t>
      </w:r>
      <w:r w:rsidR="00A019D2" w:rsidRPr="00805152">
        <w:rPr>
          <w:rFonts w:ascii="Times New Roman" w:eastAsia="Times New Roman" w:hAnsi="Times New Roman"/>
          <w:b/>
          <w:bCs/>
          <w:sz w:val="22"/>
          <w:u w:val="single"/>
          <w:lang w:val="bg-BG"/>
        </w:rPr>
        <w:t xml:space="preserve">са нови и ще </w:t>
      </w:r>
      <w:r w:rsidRPr="00805152">
        <w:rPr>
          <w:rFonts w:ascii="Times New Roman" w:eastAsia="Times New Roman" w:hAnsi="Times New Roman"/>
          <w:b/>
          <w:bCs/>
          <w:sz w:val="22"/>
          <w:u w:val="single"/>
          <w:lang w:val="bg-BG"/>
        </w:rPr>
        <w:t xml:space="preserve">се </w:t>
      </w:r>
      <w:r w:rsidR="00DC024B" w:rsidRPr="00DC024B">
        <w:rPr>
          <w:rFonts w:ascii="Times New Roman" w:eastAsia="Times New Roman" w:hAnsi="Times New Roman"/>
          <w:b/>
          <w:bCs/>
          <w:sz w:val="22"/>
          <w:u w:val="single"/>
          <w:lang w:val="bg-BG"/>
        </w:rPr>
        <w:t>произвеждат</w:t>
      </w:r>
      <w:r w:rsidR="00DC024B">
        <w:rPr>
          <w:rFonts w:ascii="Times New Roman" w:eastAsia="Times New Roman" w:hAnsi="Times New Roman"/>
          <w:b/>
          <w:bCs/>
          <w:sz w:val="22"/>
          <w:u w:val="single"/>
          <w:lang w:val="bg-BG"/>
        </w:rPr>
        <w:t xml:space="preserve"> </w:t>
      </w:r>
      <w:r w:rsidRPr="00805152">
        <w:rPr>
          <w:rFonts w:ascii="Times New Roman" w:eastAsia="Times New Roman" w:hAnsi="Times New Roman"/>
          <w:b/>
          <w:bCs/>
          <w:sz w:val="22"/>
          <w:u w:val="single"/>
          <w:lang w:val="bg-BG"/>
        </w:rPr>
        <w:t>в заводски условия</w:t>
      </w:r>
      <w:r w:rsidRPr="00805152">
        <w:rPr>
          <w:rFonts w:ascii="Times New Roman" w:eastAsia="Times New Roman" w:hAnsi="Times New Roman"/>
          <w:sz w:val="22"/>
          <w:lang w:val="bg-BG"/>
        </w:rPr>
        <w:t xml:space="preserve"> и  ще се транспортират до пристанище Бургас и от там ще се претоварват на баржата. Подреждането им следва да се извършва отдолу нагоре като се следи за наклона на откоса. За подреждане на тетраподите са предвидени водолазни дейности.</w:t>
      </w:r>
    </w:p>
    <w:p w14:paraId="53F2E39E" w14:textId="77777777" w:rsidR="00895EE2" w:rsidRPr="00805152" w:rsidRDefault="00895EE2" w:rsidP="00895EE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При изработка на елементите, съхранението, транспортирането и полагането следва да се спазват изискванията на ГОСТ 20425-75 – „Тетраподи для брегозащитних и оградних соорижения“.</w:t>
      </w:r>
    </w:p>
    <w:p w14:paraId="425AF37A" w14:textId="6337B189" w:rsidR="0098742B" w:rsidRPr="00805152" w:rsidRDefault="00895EE2" w:rsidP="004639AA">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lastRenderedPageBreak/>
        <w:t>Полагането на пласта завършва след направа на водолазен оглед за качеството на насипа. Откосирането ще се извърша с монтирания върху баржата кран.</w:t>
      </w:r>
    </w:p>
    <w:p w14:paraId="64BCEC28" w14:textId="6640F367" w:rsidR="0098742B" w:rsidRPr="00805152" w:rsidRDefault="0098742B" w:rsidP="00A127A2">
      <w:pPr>
        <w:pStyle w:val="Heading2"/>
        <w:rPr>
          <w:rFonts w:ascii="Times New Roman" w:hAnsi="Times New Roman"/>
          <w:lang w:val="bg-BG"/>
        </w:rPr>
      </w:pPr>
      <w:bookmarkStart w:id="82" w:name="_Toc136961106"/>
      <w:r w:rsidRPr="00805152">
        <w:rPr>
          <w:rFonts w:ascii="Times New Roman" w:hAnsi="Times New Roman"/>
          <w:lang w:val="bg-BG"/>
        </w:rPr>
        <w:t>Конструктивното решение – Вариант 2:</w:t>
      </w:r>
      <w:bookmarkEnd w:id="82"/>
      <w:r w:rsidRPr="00805152">
        <w:rPr>
          <w:rFonts w:ascii="Times New Roman" w:hAnsi="Times New Roman"/>
          <w:lang w:val="bg-BG"/>
        </w:rPr>
        <w:t xml:space="preserve"> </w:t>
      </w:r>
    </w:p>
    <w:p w14:paraId="5DE613E2" w14:textId="70080837" w:rsidR="00AD090E" w:rsidRPr="00805152" w:rsidRDefault="00B06412" w:rsidP="00AD090E">
      <w:pPr>
        <w:spacing w:after="0"/>
        <w:ind w:firstLine="576"/>
        <w:rPr>
          <w:rFonts w:ascii="Times New Roman" w:eastAsia="Times New Roman" w:hAnsi="Times New Roman"/>
          <w:sz w:val="22"/>
          <w:lang w:val="bg-BG"/>
        </w:rPr>
      </w:pPr>
      <w:r w:rsidRPr="00805152">
        <w:rPr>
          <w:rFonts w:ascii="Times New Roman" w:eastAsia="Times New Roman" w:hAnsi="Times New Roman"/>
          <w:b/>
          <w:bCs/>
          <w:sz w:val="22"/>
          <w:lang w:val="bg-BG"/>
        </w:rPr>
        <w:t xml:space="preserve">Вариант 2 </w:t>
      </w:r>
      <w:r w:rsidRPr="00805152">
        <w:rPr>
          <w:rFonts w:ascii="Times New Roman" w:eastAsia="Times New Roman" w:hAnsi="Times New Roman"/>
          <w:sz w:val="22"/>
          <w:lang w:val="bg-BG"/>
        </w:rPr>
        <w:t xml:space="preserve">е подобен на вариант 1 с единствената разлика че защитните елементи от каменни фракции и тетраподи са с наклон 1/1.5 (за разлика от вариант 1 където наклона е 1:1.33). Предлагането на този вариант е обосновано основно от техническа </w:t>
      </w:r>
      <w:r w:rsidR="0053373F" w:rsidRPr="00805152">
        <w:rPr>
          <w:rFonts w:ascii="Times New Roman" w:eastAsia="Times New Roman" w:hAnsi="Times New Roman"/>
          <w:sz w:val="22"/>
          <w:lang w:val="bg-BG"/>
        </w:rPr>
        <w:t>гледна точка. Вълнолома с по-малък наклон на защитните фракции и тетраподи е геотехнически и хидростатически ще подобри устойчивостта и ще гарантира дълготрайност на цялата конструкция</w:t>
      </w:r>
      <w:r w:rsidR="0053488B">
        <w:rPr>
          <w:rFonts w:ascii="Times New Roman" w:eastAsia="Times New Roman" w:hAnsi="Times New Roman"/>
          <w:sz w:val="22"/>
          <w:lang w:val="bg-BG"/>
        </w:rPr>
        <w:t xml:space="preserve"> съобразно с</w:t>
      </w:r>
      <w:r w:rsidR="00AD090E" w:rsidRPr="00805152">
        <w:rPr>
          <w:rFonts w:ascii="Times New Roman" w:eastAsia="Times New Roman" w:hAnsi="Times New Roman"/>
          <w:sz w:val="22"/>
          <w:lang w:val="bg-BG"/>
        </w:rPr>
        <w:t xml:space="preserve"> по-честите екстремни метеорологични и хидродинамични условия</w:t>
      </w:r>
      <w:r w:rsidR="0053373F" w:rsidRPr="00805152">
        <w:rPr>
          <w:rFonts w:ascii="Times New Roman" w:eastAsia="Times New Roman" w:hAnsi="Times New Roman"/>
          <w:sz w:val="22"/>
          <w:lang w:val="bg-BG"/>
        </w:rPr>
        <w:t xml:space="preserve">. </w:t>
      </w:r>
    </w:p>
    <w:p w14:paraId="16F91154" w14:textId="7935526D" w:rsidR="00B06412" w:rsidRPr="00805152" w:rsidRDefault="0053373F" w:rsidP="00B06412">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Факт е че съществуващата конструкция от същите тетраподи и каменни блокове не са били устойчиви през изминалите години и затова са се срутили и счупили. Очаква се стойността за СМР да се увеличи </w:t>
      </w:r>
      <w:r w:rsidRPr="00DC024B">
        <w:rPr>
          <w:rFonts w:ascii="Times New Roman" w:eastAsia="Times New Roman" w:hAnsi="Times New Roman"/>
          <w:sz w:val="22"/>
          <w:lang w:val="bg-BG"/>
        </w:rPr>
        <w:t xml:space="preserve">незначително </w:t>
      </w:r>
      <w:r w:rsidR="001262D2" w:rsidRPr="00DC024B">
        <w:rPr>
          <w:rFonts w:ascii="Times New Roman" w:eastAsia="Times New Roman" w:hAnsi="Times New Roman"/>
          <w:sz w:val="22"/>
          <w:lang w:val="bg-BG"/>
        </w:rPr>
        <w:t xml:space="preserve">(виж КСС) </w:t>
      </w:r>
      <w:r w:rsidRPr="00DC024B">
        <w:rPr>
          <w:rFonts w:ascii="Times New Roman" w:eastAsia="Times New Roman" w:hAnsi="Times New Roman"/>
          <w:sz w:val="22"/>
          <w:lang w:val="bg-BG"/>
        </w:rPr>
        <w:t>за този</w:t>
      </w:r>
      <w:r w:rsidRPr="00805152">
        <w:rPr>
          <w:rFonts w:ascii="Times New Roman" w:eastAsia="Times New Roman" w:hAnsi="Times New Roman"/>
          <w:sz w:val="22"/>
          <w:lang w:val="bg-BG"/>
        </w:rPr>
        <w:t xml:space="preserve"> вариант но това  да се компенсира с намалени разходи за </w:t>
      </w:r>
      <w:r w:rsidR="001262D2" w:rsidRPr="00805152">
        <w:rPr>
          <w:rFonts w:ascii="Times New Roman" w:eastAsia="Times New Roman" w:hAnsi="Times New Roman"/>
          <w:sz w:val="22"/>
          <w:lang w:val="bg-BG"/>
        </w:rPr>
        <w:t>ремонт и поддръжка по време на експлоатация в следващите години</w:t>
      </w:r>
      <w:r w:rsidR="0053488B">
        <w:rPr>
          <w:rFonts w:ascii="Times New Roman" w:eastAsia="Times New Roman" w:hAnsi="Times New Roman"/>
          <w:sz w:val="22"/>
          <w:lang w:val="bg-BG"/>
        </w:rPr>
        <w:t>,</w:t>
      </w:r>
      <w:r w:rsidR="001262D2" w:rsidRPr="00805152">
        <w:rPr>
          <w:rFonts w:ascii="Times New Roman" w:eastAsia="Times New Roman" w:hAnsi="Times New Roman"/>
          <w:sz w:val="22"/>
          <w:lang w:val="bg-BG"/>
        </w:rPr>
        <w:t xml:space="preserve"> поради гаранцията за по-добра устойчивост. В допълнение, промяната на наклона на защитния слой ще намали височината на въздействие на вълните и е мярка за оразмеряване за очакваното повишаване на морското ниво в резултат на глобалното затопляне (30 см за следващите 50 г.  –</w:t>
      </w:r>
      <w:r w:rsidR="00307A73">
        <w:rPr>
          <w:rFonts w:ascii="Times New Roman" w:eastAsia="Times New Roman" w:hAnsi="Times New Roman"/>
          <w:sz w:val="22"/>
          <w:lang w:val="bg-BG"/>
        </w:rPr>
        <w:t>фигура 9</w:t>
      </w:r>
      <w:r w:rsidR="001262D2" w:rsidRPr="00805152">
        <w:rPr>
          <w:rFonts w:ascii="Times New Roman" w:eastAsia="Times New Roman" w:hAnsi="Times New Roman"/>
          <w:sz w:val="22"/>
          <w:lang w:val="bg-BG"/>
        </w:rPr>
        <w:t xml:space="preserve">). </w:t>
      </w:r>
      <w:r w:rsidR="00B06412" w:rsidRPr="00805152">
        <w:rPr>
          <w:rFonts w:ascii="Times New Roman" w:eastAsia="Times New Roman" w:hAnsi="Times New Roman"/>
          <w:sz w:val="22"/>
          <w:lang w:val="bg-BG"/>
        </w:rPr>
        <w:t xml:space="preserve">Типов профил на Вариант 2 на вълнолома е представен на следващата фигура: </w:t>
      </w:r>
    </w:p>
    <w:p w14:paraId="382BAF33" w14:textId="77777777" w:rsidR="00AD090E" w:rsidRPr="00805152" w:rsidRDefault="00AD090E" w:rsidP="00B06412">
      <w:pPr>
        <w:spacing w:after="0"/>
        <w:rPr>
          <w:rFonts w:ascii="Times New Roman" w:eastAsia="Times New Roman" w:hAnsi="Times New Roman"/>
          <w:i/>
          <w:iCs/>
          <w:sz w:val="22"/>
          <w:lang w:val="bg-BG"/>
        </w:rPr>
      </w:pPr>
    </w:p>
    <w:p w14:paraId="3AFB2E0E" w14:textId="6FB40A92" w:rsidR="00B06412" w:rsidRPr="00805152" w:rsidRDefault="00B06412" w:rsidP="00B06412">
      <w:pPr>
        <w:spacing w:after="0"/>
        <w:rPr>
          <w:rFonts w:ascii="Times New Roman" w:eastAsia="Times New Roman" w:hAnsi="Times New Roman"/>
          <w:sz w:val="22"/>
          <w:lang w:val="bg-BG"/>
        </w:rPr>
      </w:pPr>
      <w:r w:rsidRPr="00805152">
        <w:rPr>
          <w:rFonts w:ascii="Times New Roman" w:hAnsi="Times New Roman"/>
          <w:noProof/>
          <w:lang w:val="en-US"/>
        </w:rPr>
        <w:lastRenderedPageBreak/>
        <w:drawing>
          <wp:inline distT="0" distB="0" distL="0" distR="0" wp14:anchorId="69067933" wp14:editId="56CC5AF8">
            <wp:extent cx="6210300" cy="42665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210300" cy="4266565"/>
                    </a:xfrm>
                    <a:prstGeom prst="rect">
                      <a:avLst/>
                    </a:prstGeom>
                  </pic:spPr>
                </pic:pic>
              </a:graphicData>
            </a:graphic>
          </wp:inline>
        </w:drawing>
      </w:r>
    </w:p>
    <w:p w14:paraId="7C6C9FA6" w14:textId="6E359F89" w:rsidR="00421B41" w:rsidRPr="00805152" w:rsidRDefault="00421B41" w:rsidP="004639AA">
      <w:pPr>
        <w:pStyle w:val="BP-Figure"/>
        <w:ind w:left="2835" w:hanging="567"/>
        <w:jc w:val="center"/>
      </w:pPr>
      <w:r w:rsidRPr="00805152">
        <w:t>Вариант 2  - Типов Разрез на Вълнолом с наклон на откоса 1:1.5</w:t>
      </w:r>
    </w:p>
    <w:p w14:paraId="2B638DA3" w14:textId="77777777" w:rsidR="00421B41" w:rsidRPr="00805152" w:rsidRDefault="00421B41" w:rsidP="00B06412">
      <w:pPr>
        <w:spacing w:after="0"/>
        <w:rPr>
          <w:rFonts w:ascii="Times New Roman" w:eastAsia="Times New Roman" w:hAnsi="Times New Roman"/>
          <w:sz w:val="22"/>
          <w:lang w:val="bg-BG"/>
        </w:rPr>
      </w:pPr>
    </w:p>
    <w:p w14:paraId="7C72ACEB" w14:textId="589C0BB7" w:rsidR="0098742B" w:rsidRPr="00805152" w:rsidRDefault="0098742B" w:rsidP="00A127A2">
      <w:pPr>
        <w:pStyle w:val="Heading2"/>
        <w:rPr>
          <w:rFonts w:ascii="Times New Roman" w:hAnsi="Times New Roman"/>
          <w:lang w:val="bg-BG"/>
        </w:rPr>
      </w:pPr>
      <w:bookmarkStart w:id="83" w:name="_Toc136961107"/>
      <w:r w:rsidRPr="00805152">
        <w:rPr>
          <w:rFonts w:ascii="Times New Roman" w:hAnsi="Times New Roman"/>
          <w:lang w:val="bg-BG"/>
        </w:rPr>
        <w:t>Конструктивното решение – Вариант 3:</w:t>
      </w:r>
      <w:bookmarkEnd w:id="83"/>
      <w:r w:rsidRPr="00805152">
        <w:rPr>
          <w:rFonts w:ascii="Times New Roman" w:hAnsi="Times New Roman"/>
          <w:lang w:val="bg-BG"/>
        </w:rPr>
        <w:t xml:space="preserve"> </w:t>
      </w:r>
    </w:p>
    <w:p w14:paraId="1FFB916B" w14:textId="57521280" w:rsidR="00B06412" w:rsidRPr="00805152" w:rsidRDefault="00B06412" w:rsidP="00FA2971">
      <w:pPr>
        <w:spacing w:after="0"/>
        <w:ind w:firstLine="576"/>
        <w:rPr>
          <w:rFonts w:ascii="Times New Roman" w:eastAsia="Times New Roman" w:hAnsi="Times New Roman"/>
          <w:sz w:val="22"/>
          <w:lang w:val="bg-BG"/>
        </w:rPr>
      </w:pPr>
      <w:r w:rsidRPr="00805152">
        <w:rPr>
          <w:rFonts w:ascii="Times New Roman" w:eastAsia="Times New Roman" w:hAnsi="Times New Roman"/>
          <w:b/>
          <w:bCs/>
          <w:sz w:val="22"/>
          <w:lang w:val="bg-BG"/>
        </w:rPr>
        <w:t>Вариант 3</w:t>
      </w:r>
      <w:r w:rsidR="00FA2971" w:rsidRPr="00805152">
        <w:rPr>
          <w:rFonts w:ascii="Times New Roman" w:eastAsia="Times New Roman" w:hAnsi="Times New Roman"/>
          <w:b/>
          <w:bCs/>
          <w:sz w:val="22"/>
          <w:lang w:val="bg-BG"/>
        </w:rPr>
        <w:t xml:space="preserve"> </w:t>
      </w:r>
      <w:r w:rsidRPr="00805152">
        <w:rPr>
          <w:rFonts w:ascii="Times New Roman" w:eastAsia="Times New Roman" w:hAnsi="Times New Roman"/>
          <w:sz w:val="22"/>
          <w:lang w:val="bg-BG"/>
        </w:rPr>
        <w:t xml:space="preserve"> </w:t>
      </w:r>
      <w:r w:rsidR="00FA2971" w:rsidRPr="00805152">
        <w:rPr>
          <w:rFonts w:ascii="Times New Roman" w:eastAsia="Times New Roman" w:hAnsi="Times New Roman"/>
          <w:sz w:val="22"/>
          <w:lang w:val="bg-BG"/>
        </w:rPr>
        <w:t>е к</w:t>
      </w:r>
      <w:r w:rsidRPr="00805152">
        <w:rPr>
          <w:rFonts w:ascii="Times New Roman" w:eastAsia="Times New Roman" w:hAnsi="Times New Roman"/>
          <w:sz w:val="22"/>
          <w:lang w:val="bg-BG"/>
        </w:rPr>
        <w:t>омбинация от вълнолом с</w:t>
      </w:r>
      <w:r w:rsidR="0053488B">
        <w:rPr>
          <w:rFonts w:ascii="Times New Roman" w:eastAsia="Times New Roman" w:hAnsi="Times New Roman"/>
          <w:sz w:val="22"/>
          <w:lang w:val="bg-BG"/>
        </w:rPr>
        <w:t>ъс</w:t>
      </w:r>
      <w:r w:rsidRPr="00805152">
        <w:rPr>
          <w:rFonts w:ascii="Times New Roman" w:eastAsia="Times New Roman" w:hAnsi="Times New Roman"/>
          <w:sz w:val="22"/>
          <w:lang w:val="bg-BG"/>
        </w:rPr>
        <w:t xml:space="preserve"> защита от тетраподи с наклон 1/1.33 (или 1.1.5) и участък в началото на вълнолома (</w:t>
      </w:r>
      <w:r w:rsidR="00763EB1" w:rsidRPr="00805152">
        <w:rPr>
          <w:rFonts w:ascii="Times New Roman" w:eastAsia="Times New Roman" w:hAnsi="Times New Roman"/>
          <w:sz w:val="22"/>
          <w:lang w:val="bg-BG"/>
        </w:rPr>
        <w:t xml:space="preserve">Зона/ Етап III от 265 м) </w:t>
      </w:r>
      <w:r w:rsidRPr="00805152">
        <w:rPr>
          <w:rFonts w:ascii="Times New Roman" w:eastAsia="Times New Roman" w:hAnsi="Times New Roman"/>
          <w:sz w:val="22"/>
          <w:lang w:val="bg-BG"/>
        </w:rPr>
        <w:t xml:space="preserve">със защита от каменни блокове </w:t>
      </w:r>
      <w:r w:rsidR="00A85345" w:rsidRPr="00805152">
        <w:rPr>
          <w:rFonts w:ascii="Times New Roman" w:eastAsia="Times New Roman" w:hAnsi="Times New Roman"/>
          <w:sz w:val="22"/>
          <w:lang w:val="bg-BG"/>
        </w:rPr>
        <w:t xml:space="preserve">от 1500 до 4000кг, </w:t>
      </w:r>
      <w:r w:rsidRPr="00805152">
        <w:rPr>
          <w:rFonts w:ascii="Times New Roman" w:eastAsia="Times New Roman" w:hAnsi="Times New Roman"/>
          <w:sz w:val="22"/>
          <w:lang w:val="bg-BG"/>
        </w:rPr>
        <w:t>с наклон 1:3 (с отворен достъп за разходки и развлечение)</w:t>
      </w:r>
      <w:r w:rsidR="00FA2971" w:rsidRPr="00805152">
        <w:rPr>
          <w:rFonts w:ascii="Times New Roman" w:eastAsia="Times New Roman" w:hAnsi="Times New Roman"/>
          <w:sz w:val="22"/>
          <w:lang w:val="bg-BG"/>
        </w:rPr>
        <w:t xml:space="preserve">. </w:t>
      </w:r>
      <w:r w:rsidR="00763EB1" w:rsidRPr="00805152">
        <w:rPr>
          <w:rFonts w:ascii="Times New Roman" w:eastAsia="Times New Roman" w:hAnsi="Times New Roman"/>
          <w:sz w:val="22"/>
          <w:lang w:val="bg-BG"/>
        </w:rPr>
        <w:t xml:space="preserve">Профилите за  зоните на Етапи I и II, са същите както при вариант 1 или вариант 2. </w:t>
      </w:r>
    </w:p>
    <w:p w14:paraId="7C7D0506" w14:textId="7A9D1657" w:rsidR="00B06412" w:rsidRPr="00805152" w:rsidRDefault="00B06412" w:rsidP="0021547C">
      <w:pPr>
        <w:pStyle w:val="ListParagraph"/>
        <w:numPr>
          <w:ilvl w:val="0"/>
          <w:numId w:val="39"/>
        </w:numPr>
        <w:spacing w:after="0"/>
        <w:rPr>
          <w:rFonts w:ascii="Times New Roman" w:eastAsia="Times New Roman" w:hAnsi="Times New Roman"/>
          <w:lang w:val="bg-BG"/>
        </w:rPr>
      </w:pPr>
      <w:r w:rsidRPr="00805152">
        <w:rPr>
          <w:rFonts w:ascii="Times New Roman" w:eastAsia="Times New Roman" w:hAnsi="Times New Roman"/>
          <w:b/>
          <w:lang w:val="bg-BG"/>
        </w:rPr>
        <w:t>І ЕТАП</w:t>
      </w:r>
      <w:r w:rsidRPr="00805152">
        <w:rPr>
          <w:rFonts w:ascii="Times New Roman" w:eastAsia="Times New Roman" w:hAnsi="Times New Roman"/>
          <w:lang w:val="bg-BG"/>
        </w:rPr>
        <w:t xml:space="preserve"> – L=227,00</w:t>
      </w:r>
      <w:r w:rsidR="00763EB1" w:rsidRPr="00805152">
        <w:rPr>
          <w:rFonts w:ascii="Times New Roman" w:eastAsia="Times New Roman" w:hAnsi="Times New Roman"/>
          <w:lang w:val="bg-BG"/>
        </w:rPr>
        <w:t>м</w:t>
      </w:r>
      <w:r w:rsidRPr="00805152">
        <w:rPr>
          <w:rFonts w:ascii="Times New Roman" w:eastAsia="Times New Roman" w:hAnsi="Times New Roman"/>
          <w:lang w:val="bg-BG"/>
        </w:rPr>
        <w:t xml:space="preserve"> – От фара до оградата на Яхтклуба</w:t>
      </w:r>
      <w:r w:rsidR="0053488B">
        <w:rPr>
          <w:rFonts w:ascii="Times New Roman" w:eastAsia="Times New Roman" w:hAnsi="Times New Roman"/>
          <w:lang w:val="bg-BG"/>
        </w:rPr>
        <w:t xml:space="preserve"> – Защита с Тетраподи;</w:t>
      </w:r>
    </w:p>
    <w:p w14:paraId="6336C325" w14:textId="17D2987B" w:rsidR="00B06412" w:rsidRPr="00805152" w:rsidRDefault="00B06412" w:rsidP="0021547C">
      <w:pPr>
        <w:pStyle w:val="ListParagraph"/>
        <w:numPr>
          <w:ilvl w:val="0"/>
          <w:numId w:val="39"/>
        </w:numPr>
        <w:spacing w:after="0"/>
        <w:rPr>
          <w:rFonts w:ascii="Times New Roman" w:eastAsia="Times New Roman" w:hAnsi="Times New Roman"/>
          <w:bCs/>
          <w:lang w:val="bg-BG"/>
        </w:rPr>
      </w:pPr>
      <w:r w:rsidRPr="00805152">
        <w:rPr>
          <w:rFonts w:ascii="Times New Roman" w:eastAsia="Times New Roman" w:hAnsi="Times New Roman"/>
          <w:b/>
          <w:lang w:val="bg-BG"/>
        </w:rPr>
        <w:t xml:space="preserve">ІІ ЕТАП </w:t>
      </w:r>
      <w:r w:rsidRPr="00805152">
        <w:rPr>
          <w:rFonts w:ascii="Times New Roman" w:eastAsia="Times New Roman" w:hAnsi="Times New Roman"/>
          <w:bCs/>
          <w:lang w:val="bg-BG"/>
        </w:rPr>
        <w:t>– L=200,00m – От оградата на Яхтклуба до 50,00m след Морска гара</w:t>
      </w:r>
      <w:r w:rsidR="00763EB1" w:rsidRPr="00805152">
        <w:rPr>
          <w:rFonts w:ascii="Times New Roman" w:eastAsia="Times New Roman" w:hAnsi="Times New Roman"/>
          <w:bCs/>
          <w:lang w:val="bg-BG"/>
        </w:rPr>
        <w:t xml:space="preserve"> - Защита с Тетраподи</w:t>
      </w:r>
      <w:r w:rsidR="0053488B">
        <w:rPr>
          <w:rFonts w:ascii="Times New Roman" w:eastAsia="Times New Roman" w:hAnsi="Times New Roman"/>
          <w:bCs/>
          <w:lang w:val="bg-BG"/>
        </w:rPr>
        <w:t>;</w:t>
      </w:r>
    </w:p>
    <w:p w14:paraId="46E947F8" w14:textId="0074A45F" w:rsidR="00B06412" w:rsidRPr="00805152" w:rsidRDefault="00B06412" w:rsidP="0021547C">
      <w:pPr>
        <w:pStyle w:val="ListParagraph"/>
        <w:numPr>
          <w:ilvl w:val="0"/>
          <w:numId w:val="39"/>
        </w:numPr>
        <w:spacing w:after="0"/>
        <w:rPr>
          <w:rFonts w:ascii="Times New Roman" w:eastAsia="Times New Roman" w:hAnsi="Times New Roman"/>
          <w:bCs/>
          <w:lang w:val="bg-BG"/>
        </w:rPr>
      </w:pPr>
      <w:r w:rsidRPr="00805152">
        <w:rPr>
          <w:rFonts w:ascii="Times New Roman" w:eastAsia="Times New Roman" w:hAnsi="Times New Roman"/>
          <w:b/>
          <w:lang w:val="bg-BG"/>
        </w:rPr>
        <w:t>ІІІ ЕТАП</w:t>
      </w:r>
      <w:r w:rsidRPr="00805152">
        <w:rPr>
          <w:rFonts w:ascii="Times New Roman" w:eastAsia="Times New Roman" w:hAnsi="Times New Roman"/>
          <w:bCs/>
          <w:lang w:val="bg-BG"/>
        </w:rPr>
        <w:t xml:space="preserve"> –</w:t>
      </w:r>
      <w:r w:rsidR="00763EB1" w:rsidRPr="00805152">
        <w:rPr>
          <w:rFonts w:ascii="Times New Roman" w:eastAsia="Times New Roman" w:hAnsi="Times New Roman"/>
          <w:bCs/>
          <w:lang w:val="bg-BG"/>
        </w:rPr>
        <w:t xml:space="preserve"> </w:t>
      </w:r>
      <w:r w:rsidRPr="00805152">
        <w:rPr>
          <w:rFonts w:ascii="Times New Roman" w:eastAsia="Times New Roman" w:hAnsi="Times New Roman"/>
          <w:bCs/>
          <w:lang w:val="bg-BG"/>
        </w:rPr>
        <w:t>L=265,00m – От 50,00m след Морска гара до началото на Магазия І</w:t>
      </w:r>
      <w:r w:rsidR="00763EB1" w:rsidRPr="00805152">
        <w:rPr>
          <w:rFonts w:ascii="Times New Roman" w:eastAsia="Times New Roman" w:hAnsi="Times New Roman"/>
          <w:bCs/>
          <w:lang w:val="bg-BG"/>
        </w:rPr>
        <w:t xml:space="preserve"> - Защита с Каменни блокове</w:t>
      </w:r>
      <w:r w:rsidR="0053488B">
        <w:rPr>
          <w:rFonts w:ascii="Times New Roman" w:eastAsia="Times New Roman" w:hAnsi="Times New Roman"/>
          <w:bCs/>
          <w:lang w:val="bg-BG"/>
        </w:rPr>
        <w:t>.</w:t>
      </w:r>
    </w:p>
    <w:p w14:paraId="4B572A99" w14:textId="77777777" w:rsidR="00763EB1" w:rsidRPr="00805152" w:rsidRDefault="00763EB1" w:rsidP="00763EB1">
      <w:pPr>
        <w:spacing w:after="0"/>
        <w:rPr>
          <w:rFonts w:ascii="Times New Roman" w:eastAsia="Times New Roman" w:hAnsi="Times New Roman"/>
          <w:i/>
          <w:iCs/>
          <w:sz w:val="22"/>
          <w:lang w:val="bg-BG"/>
        </w:rPr>
      </w:pPr>
    </w:p>
    <w:p w14:paraId="17BDD8EA" w14:textId="081AE7AE" w:rsidR="00763EB1" w:rsidRPr="00805152" w:rsidRDefault="00763EB1" w:rsidP="00763EB1">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lastRenderedPageBreak/>
        <w:t xml:space="preserve">При този вариант височината на заскалявката </w:t>
      </w:r>
      <w:r w:rsidR="00602C90" w:rsidRPr="00805152">
        <w:rPr>
          <w:rFonts w:ascii="Times New Roman" w:eastAsia="Times New Roman" w:hAnsi="Times New Roman"/>
          <w:sz w:val="22"/>
          <w:lang w:val="bg-BG"/>
        </w:rPr>
        <w:t xml:space="preserve">и </w:t>
      </w:r>
      <w:r w:rsidRPr="00805152">
        <w:rPr>
          <w:rFonts w:ascii="Times New Roman" w:eastAsia="Times New Roman" w:hAnsi="Times New Roman"/>
          <w:sz w:val="22"/>
          <w:lang w:val="bg-BG"/>
        </w:rPr>
        <w:t>вълнолома е намалена до +4.40м и е предвидена малка бетонна вълнобойна стоманобетонна с</w:t>
      </w:r>
      <w:r w:rsidR="00504BB4" w:rsidRPr="00805152">
        <w:rPr>
          <w:rFonts w:ascii="Times New Roman" w:eastAsia="Times New Roman" w:hAnsi="Times New Roman"/>
          <w:sz w:val="22"/>
          <w:lang w:val="bg-BG"/>
        </w:rPr>
        <w:t xml:space="preserve">теничка до кота +5.0м. </w:t>
      </w:r>
      <w:r w:rsidR="0053488B">
        <w:rPr>
          <w:rFonts w:ascii="Times New Roman" w:eastAsia="Times New Roman" w:hAnsi="Times New Roman"/>
          <w:sz w:val="22"/>
          <w:lang w:val="bg-BG"/>
        </w:rPr>
        <w:t>Билото на вълнолома е с</w:t>
      </w:r>
      <w:r w:rsidR="00040F9B" w:rsidRPr="00805152">
        <w:rPr>
          <w:rFonts w:ascii="Times New Roman" w:eastAsia="Times New Roman" w:hAnsi="Times New Roman"/>
          <w:sz w:val="22"/>
          <w:lang w:val="bg-BG"/>
        </w:rPr>
        <w:t xml:space="preserve"> широчина 6.0м, което освен със своята височина допринася за гасене на вълните и предотвратяване на преливане. </w:t>
      </w:r>
    </w:p>
    <w:p w14:paraId="2B2345ED" w14:textId="77777777" w:rsidR="00763EB1" w:rsidRPr="00805152" w:rsidRDefault="00763EB1" w:rsidP="00763EB1">
      <w:pPr>
        <w:spacing w:after="0"/>
        <w:ind w:firstLine="576"/>
        <w:rPr>
          <w:rFonts w:ascii="Times New Roman" w:eastAsia="Times New Roman" w:hAnsi="Times New Roman"/>
          <w:sz w:val="22"/>
          <w:lang w:val="bg-BG"/>
        </w:rPr>
      </w:pPr>
    </w:p>
    <w:p w14:paraId="1D57D751" w14:textId="77777777" w:rsidR="00C64DF9" w:rsidRPr="00805152" w:rsidRDefault="00763EB1" w:rsidP="00421B41">
      <w:pPr>
        <w:spacing w:after="0"/>
        <w:rPr>
          <w:rFonts w:ascii="Times New Roman" w:eastAsia="Times New Roman" w:hAnsi="Times New Roman"/>
          <w:sz w:val="22"/>
          <w:lang w:val="bg-BG"/>
        </w:rPr>
      </w:pPr>
      <w:r w:rsidRPr="00805152">
        <w:rPr>
          <w:rFonts w:ascii="Times New Roman" w:hAnsi="Times New Roman"/>
          <w:noProof/>
          <w:lang w:val="en-US"/>
        </w:rPr>
        <w:drawing>
          <wp:inline distT="0" distB="0" distL="0" distR="0" wp14:anchorId="07A73B6A" wp14:editId="40CAF70F">
            <wp:extent cx="6210300" cy="31889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210300" cy="3188970"/>
                    </a:xfrm>
                    <a:prstGeom prst="rect">
                      <a:avLst/>
                    </a:prstGeom>
                  </pic:spPr>
                </pic:pic>
              </a:graphicData>
            </a:graphic>
          </wp:inline>
        </w:drawing>
      </w:r>
    </w:p>
    <w:p w14:paraId="6EE0160B" w14:textId="46A612A9" w:rsidR="00421B41" w:rsidRPr="00805152" w:rsidRDefault="00421B41" w:rsidP="004639AA">
      <w:pPr>
        <w:pStyle w:val="BP-Figure"/>
        <w:ind w:left="1843" w:hanging="567"/>
        <w:jc w:val="center"/>
      </w:pPr>
      <w:r w:rsidRPr="00805152">
        <w:t>Вариант 3  - Типов Разрез на Вълнолом с каменни блокове – Етап III – 265м</w:t>
      </w:r>
    </w:p>
    <w:p w14:paraId="2A6F1AE8" w14:textId="2B18BB8F" w:rsidR="0098742B" w:rsidRPr="00805152" w:rsidRDefault="0098742B" w:rsidP="00763EB1">
      <w:pPr>
        <w:spacing w:after="0"/>
        <w:rPr>
          <w:rFonts w:ascii="Times New Roman" w:eastAsia="Times New Roman" w:hAnsi="Times New Roman"/>
          <w:sz w:val="22"/>
          <w:lang w:val="bg-BG"/>
        </w:rPr>
      </w:pPr>
    </w:p>
    <w:p w14:paraId="69374DF1" w14:textId="0DA819E2" w:rsidR="00763EB1" w:rsidRPr="00805152" w:rsidRDefault="00763EB1" w:rsidP="00763EB1">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Този вариант е обоснован </w:t>
      </w:r>
      <w:r w:rsidR="00A85345" w:rsidRPr="00805152">
        <w:rPr>
          <w:rFonts w:ascii="Times New Roman" w:eastAsia="Times New Roman" w:hAnsi="Times New Roman"/>
          <w:sz w:val="22"/>
          <w:lang w:val="bg-BG"/>
        </w:rPr>
        <w:t xml:space="preserve">от </w:t>
      </w:r>
      <w:r w:rsidRPr="00805152">
        <w:rPr>
          <w:rFonts w:ascii="Times New Roman" w:eastAsia="Times New Roman" w:hAnsi="Times New Roman"/>
          <w:sz w:val="22"/>
          <w:lang w:val="bg-BG"/>
        </w:rPr>
        <w:t>факта</w:t>
      </w:r>
      <w:r w:rsidR="0053488B">
        <w:rPr>
          <w:rFonts w:ascii="Times New Roman" w:eastAsia="Times New Roman" w:hAnsi="Times New Roman"/>
          <w:sz w:val="22"/>
          <w:lang w:val="bg-BG"/>
        </w:rPr>
        <w:t>,</w:t>
      </w:r>
      <w:r w:rsidRPr="00805152">
        <w:rPr>
          <w:rFonts w:ascii="Times New Roman" w:eastAsia="Times New Roman" w:hAnsi="Times New Roman"/>
          <w:sz w:val="22"/>
          <w:lang w:val="bg-BG"/>
        </w:rPr>
        <w:t xml:space="preserve"> че в </w:t>
      </w:r>
      <w:r w:rsidR="00A85345" w:rsidRPr="00805152">
        <w:rPr>
          <w:rFonts w:ascii="Times New Roman" w:eastAsia="Times New Roman" w:hAnsi="Times New Roman"/>
          <w:sz w:val="22"/>
          <w:lang w:val="bg-BG"/>
        </w:rPr>
        <w:t>началната зона на вълнолома е плитка с дълбочина на дъното от 2.0 до 3.0 м, където вълните са със значително по-малка височина и въздействие. Поради тази причина се смята</w:t>
      </w:r>
      <w:r w:rsidR="0057608C" w:rsidRPr="00805152">
        <w:rPr>
          <w:rFonts w:ascii="Times New Roman" w:eastAsia="Times New Roman" w:hAnsi="Times New Roman"/>
          <w:sz w:val="22"/>
          <w:lang w:val="bg-BG"/>
        </w:rPr>
        <w:t>,</w:t>
      </w:r>
      <w:r w:rsidR="00A85345" w:rsidRPr="00805152">
        <w:rPr>
          <w:rFonts w:ascii="Times New Roman" w:eastAsia="Times New Roman" w:hAnsi="Times New Roman"/>
          <w:sz w:val="22"/>
          <w:lang w:val="bg-BG"/>
        </w:rPr>
        <w:t xml:space="preserve"> че в тази зона защитния слой на вълнолома може да се изгради само от каменни блокове</w:t>
      </w:r>
      <w:r w:rsidR="00B379AA">
        <w:rPr>
          <w:rFonts w:ascii="Times New Roman" w:eastAsia="Times New Roman" w:hAnsi="Times New Roman"/>
          <w:sz w:val="22"/>
          <w:lang w:val="bg-BG"/>
        </w:rPr>
        <w:t xml:space="preserve">, без </w:t>
      </w:r>
      <w:r w:rsidR="00A85345" w:rsidRPr="00805152">
        <w:rPr>
          <w:rFonts w:ascii="Times New Roman" w:eastAsia="Times New Roman" w:hAnsi="Times New Roman"/>
          <w:sz w:val="22"/>
          <w:lang w:val="bg-BG"/>
        </w:rPr>
        <w:t xml:space="preserve"> тетраподи. Така ще се спести от изграждането на значителен брой нови тетраподи. </w:t>
      </w:r>
    </w:p>
    <w:p w14:paraId="478D65F9" w14:textId="3C972301" w:rsidR="0098742B" w:rsidRPr="00805152" w:rsidRDefault="0098742B" w:rsidP="00322BC9">
      <w:pPr>
        <w:spacing w:after="0"/>
        <w:ind w:firstLine="576"/>
        <w:rPr>
          <w:rFonts w:ascii="Times New Roman" w:eastAsia="Times New Roman" w:hAnsi="Times New Roman"/>
          <w:sz w:val="22"/>
          <w:lang w:val="bg-BG"/>
        </w:rPr>
      </w:pPr>
    </w:p>
    <w:p w14:paraId="54F8DB49" w14:textId="691917BA" w:rsidR="00504BB4" w:rsidRPr="00805152" w:rsidRDefault="00AD090E" w:rsidP="00A85345">
      <w:pPr>
        <w:spacing w:after="0"/>
        <w:ind w:firstLine="576"/>
        <w:rPr>
          <w:rFonts w:ascii="Times New Roman" w:eastAsia="Times New Roman" w:hAnsi="Times New Roman"/>
          <w:iCs/>
          <w:sz w:val="22"/>
          <w:lang w:val="bg-BG"/>
        </w:rPr>
      </w:pPr>
      <w:r w:rsidRPr="00805152">
        <w:rPr>
          <w:rFonts w:ascii="Times New Roman" w:eastAsia="Times New Roman" w:hAnsi="Times New Roman"/>
          <w:iCs/>
          <w:sz w:val="22"/>
          <w:lang w:val="bg-BG"/>
        </w:rPr>
        <w:t>При този вариант р</w:t>
      </w:r>
      <w:r w:rsidR="00504BB4" w:rsidRPr="00805152">
        <w:rPr>
          <w:rFonts w:ascii="Times New Roman" w:eastAsia="Times New Roman" w:hAnsi="Times New Roman"/>
          <w:iCs/>
          <w:sz w:val="22"/>
          <w:lang w:val="bg-BG"/>
        </w:rPr>
        <w:t xml:space="preserve">ехабилитацията </w:t>
      </w:r>
      <w:r w:rsidRPr="00805152">
        <w:rPr>
          <w:rFonts w:ascii="Times New Roman" w:eastAsia="Times New Roman" w:hAnsi="Times New Roman"/>
          <w:iCs/>
          <w:sz w:val="22"/>
          <w:lang w:val="bg-BG"/>
        </w:rPr>
        <w:t>на вълнолома е в съответствие</w:t>
      </w:r>
      <w:r w:rsidR="0057608C" w:rsidRPr="00805152">
        <w:rPr>
          <w:rFonts w:ascii="Times New Roman" w:eastAsia="Times New Roman" w:hAnsi="Times New Roman"/>
          <w:iCs/>
          <w:sz w:val="22"/>
          <w:lang w:val="bg-BG"/>
        </w:rPr>
        <w:t xml:space="preserve"> с</w:t>
      </w:r>
      <w:r w:rsidRPr="00805152">
        <w:rPr>
          <w:rFonts w:ascii="Times New Roman" w:eastAsia="Times New Roman" w:hAnsi="Times New Roman"/>
          <w:iCs/>
          <w:sz w:val="22"/>
          <w:lang w:val="bg-BG"/>
        </w:rPr>
        <w:t xml:space="preserve"> </w:t>
      </w:r>
      <w:r w:rsidR="00504BB4" w:rsidRPr="00805152">
        <w:rPr>
          <w:rFonts w:ascii="Times New Roman" w:eastAsia="Times New Roman" w:hAnsi="Times New Roman"/>
          <w:iCs/>
          <w:sz w:val="22"/>
          <w:lang w:val="bg-BG"/>
        </w:rPr>
        <w:t xml:space="preserve">най-модерните </w:t>
      </w:r>
      <w:r w:rsidRPr="00805152">
        <w:rPr>
          <w:rFonts w:ascii="Times New Roman" w:eastAsia="Times New Roman" w:hAnsi="Times New Roman"/>
          <w:iCs/>
          <w:sz w:val="22"/>
          <w:lang w:val="bg-BG"/>
        </w:rPr>
        <w:t xml:space="preserve">напоследък </w:t>
      </w:r>
      <w:r w:rsidR="00504BB4" w:rsidRPr="00805152">
        <w:rPr>
          <w:rFonts w:ascii="Times New Roman" w:eastAsia="Times New Roman" w:hAnsi="Times New Roman"/>
          <w:iCs/>
          <w:sz w:val="22"/>
          <w:lang w:val="bg-BG"/>
        </w:rPr>
        <w:t>подходи</w:t>
      </w:r>
      <w:r w:rsidRPr="00805152">
        <w:rPr>
          <w:rFonts w:ascii="Times New Roman" w:eastAsia="Times New Roman" w:hAnsi="Times New Roman"/>
          <w:iCs/>
          <w:sz w:val="22"/>
          <w:lang w:val="bg-BG"/>
        </w:rPr>
        <w:t xml:space="preserve"> за проектиране и  използване на естествени материали на принципа </w:t>
      </w:r>
      <w:r w:rsidR="00504BB4" w:rsidRPr="00805152">
        <w:rPr>
          <w:rFonts w:ascii="Times New Roman" w:eastAsia="Times New Roman" w:hAnsi="Times New Roman"/>
          <w:iCs/>
          <w:sz w:val="22"/>
          <w:lang w:val="bg-BG"/>
        </w:rPr>
        <w:t>„Изграждане с природата“ (Building with Nature), „Изграждане като природата“ (Building as Nature), „Гъвкаво адаптиране“ (Flexible Adaptation) като се наблегне на много-функционалността на инженерната намеса.</w:t>
      </w:r>
    </w:p>
    <w:p w14:paraId="7E47C904" w14:textId="6B2742CB" w:rsidR="00A85345" w:rsidRPr="00805152" w:rsidRDefault="00504BB4" w:rsidP="00504BB4">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Предимство на представения </w:t>
      </w:r>
      <w:r w:rsidR="00AD090E" w:rsidRPr="00805152">
        <w:rPr>
          <w:rFonts w:ascii="Times New Roman" w:eastAsia="Times New Roman" w:hAnsi="Times New Roman"/>
          <w:sz w:val="22"/>
          <w:lang w:val="bg-BG"/>
        </w:rPr>
        <w:t xml:space="preserve">вариант е </w:t>
      </w:r>
      <w:r w:rsidRPr="00805152">
        <w:rPr>
          <w:rFonts w:ascii="Times New Roman" w:eastAsia="Times New Roman" w:hAnsi="Times New Roman"/>
          <w:sz w:val="22"/>
          <w:lang w:val="bg-BG"/>
        </w:rPr>
        <w:t xml:space="preserve">че търсеният брегозащитен ефект се базира на природосъобразно решение </w:t>
      </w:r>
      <w:r w:rsidR="00AD090E" w:rsidRPr="00805152">
        <w:rPr>
          <w:rFonts w:ascii="Times New Roman" w:eastAsia="Times New Roman" w:hAnsi="Times New Roman"/>
          <w:sz w:val="22"/>
          <w:lang w:val="bg-BG"/>
        </w:rPr>
        <w:t xml:space="preserve">с използване на естествени каменни материали, </w:t>
      </w:r>
      <w:r w:rsidRPr="00805152">
        <w:rPr>
          <w:rFonts w:ascii="Times New Roman" w:eastAsia="Times New Roman" w:hAnsi="Times New Roman"/>
          <w:sz w:val="22"/>
          <w:lang w:val="bg-BG"/>
        </w:rPr>
        <w:t xml:space="preserve">които </w:t>
      </w:r>
      <w:r w:rsidRPr="00DC024B">
        <w:rPr>
          <w:rFonts w:ascii="Times New Roman" w:eastAsia="Times New Roman" w:hAnsi="Times New Roman"/>
          <w:sz w:val="22"/>
          <w:lang w:val="bg-BG"/>
        </w:rPr>
        <w:t>имитират обрушване</w:t>
      </w:r>
      <w:r w:rsidRPr="00805152">
        <w:rPr>
          <w:rFonts w:ascii="Times New Roman" w:eastAsia="Times New Roman" w:hAnsi="Times New Roman"/>
          <w:sz w:val="22"/>
          <w:lang w:val="bg-BG"/>
        </w:rPr>
        <w:t xml:space="preserve"> на естествен </w:t>
      </w:r>
      <w:r w:rsidR="00AD090E" w:rsidRPr="00805152">
        <w:rPr>
          <w:rFonts w:ascii="Times New Roman" w:eastAsia="Times New Roman" w:hAnsi="Times New Roman"/>
          <w:sz w:val="22"/>
          <w:lang w:val="bg-BG"/>
        </w:rPr>
        <w:t xml:space="preserve">бряг с полегат наклон </w:t>
      </w:r>
      <w:r w:rsidRPr="00805152">
        <w:rPr>
          <w:rFonts w:ascii="Times New Roman" w:eastAsia="Times New Roman" w:hAnsi="Times New Roman"/>
          <w:sz w:val="22"/>
          <w:lang w:val="bg-BG"/>
        </w:rPr>
        <w:t xml:space="preserve">и създават условия за </w:t>
      </w:r>
      <w:r w:rsidR="00AD090E" w:rsidRPr="00805152">
        <w:rPr>
          <w:rFonts w:ascii="Times New Roman" w:eastAsia="Times New Roman" w:hAnsi="Times New Roman"/>
          <w:sz w:val="22"/>
          <w:lang w:val="bg-BG"/>
        </w:rPr>
        <w:t>достъп на хора до морето, разходки и развлечения</w:t>
      </w:r>
      <w:r w:rsidR="00A85345" w:rsidRPr="00805152">
        <w:rPr>
          <w:rFonts w:ascii="Times New Roman" w:eastAsia="Times New Roman" w:hAnsi="Times New Roman"/>
          <w:sz w:val="22"/>
          <w:lang w:val="bg-BG"/>
        </w:rPr>
        <w:t>, което е много важно като се има предвид отварянето на тази зона за обществени дейности.</w:t>
      </w:r>
      <w:r w:rsidR="004639AA">
        <w:rPr>
          <w:rFonts w:ascii="Times New Roman" w:eastAsia="Times New Roman" w:hAnsi="Times New Roman"/>
          <w:sz w:val="22"/>
          <w:lang w:val="bg-BG"/>
        </w:rPr>
        <w:t xml:space="preserve"> </w:t>
      </w:r>
      <w:r w:rsidR="00040F9B" w:rsidRPr="00805152">
        <w:rPr>
          <w:rFonts w:ascii="Times New Roman" w:eastAsia="Times New Roman" w:hAnsi="Times New Roman"/>
          <w:sz w:val="22"/>
          <w:lang w:val="bg-BG"/>
        </w:rPr>
        <w:lastRenderedPageBreak/>
        <w:t xml:space="preserve">При добро подреждане на каменните блокове тази зона може да се превърне в зона с високо естетически характеристики и атрактивна за гражданите и туристите на гр. Бургас. </w:t>
      </w:r>
    </w:p>
    <w:p w14:paraId="0E16013C" w14:textId="0093D909" w:rsidR="00A85345" w:rsidRPr="00805152" w:rsidRDefault="00A85345" w:rsidP="00504BB4">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В допълнение, като вторичен ефект се очаква естествено създаване и задържане на нови плажни зони. </w:t>
      </w:r>
    </w:p>
    <w:p w14:paraId="2EAA96D9" w14:textId="1857BD81" w:rsidR="003837A0" w:rsidRDefault="003837A0" w:rsidP="00322BC9">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Забележка: Точната големина на каменната фракция трябва да се оразмери след подробни изчисления при следващи етапи на проектиране. Възможно е допълнително разделение на зоната от Етап III на под -зони, за да се оптимизира профила и евентуално използване на по-малки и по-икономични профили и фракции (например 1000-3000 кг, 500-1000 кг и т.н.).   </w:t>
      </w:r>
    </w:p>
    <w:p w14:paraId="790DCE68" w14:textId="77777777" w:rsidR="0053488B" w:rsidRPr="00805152" w:rsidRDefault="0053488B" w:rsidP="00322BC9">
      <w:pPr>
        <w:spacing w:after="0"/>
        <w:ind w:firstLine="576"/>
        <w:rPr>
          <w:rFonts w:ascii="Times New Roman" w:eastAsia="Times New Roman" w:hAnsi="Times New Roman"/>
          <w:sz w:val="22"/>
          <w:lang w:val="bg-BG"/>
        </w:rPr>
      </w:pPr>
    </w:p>
    <w:p w14:paraId="51DB1274" w14:textId="205BCC95" w:rsidR="005571AB" w:rsidRPr="00805152" w:rsidRDefault="005571AB" w:rsidP="005571AB">
      <w:pPr>
        <w:spacing w:after="0"/>
        <w:rPr>
          <w:rFonts w:ascii="Times New Roman" w:eastAsia="Times New Roman" w:hAnsi="Times New Roman"/>
          <w:sz w:val="22"/>
          <w:lang w:val="bg-BG"/>
        </w:rPr>
      </w:pPr>
      <w:r w:rsidRPr="00805152">
        <w:rPr>
          <w:rFonts w:ascii="Times New Roman" w:hAnsi="Times New Roman"/>
          <w:noProof/>
          <w:lang w:val="en-US"/>
        </w:rPr>
        <w:drawing>
          <wp:inline distT="0" distB="0" distL="0" distR="0" wp14:anchorId="54700F04" wp14:editId="49BAF7BE">
            <wp:extent cx="3002400" cy="1692000"/>
            <wp:effectExtent l="0" t="0" r="7620" b="3810"/>
            <wp:docPr id="6" name="Picture 5">
              <a:extLst xmlns:a="http://schemas.openxmlformats.org/drawingml/2006/main">
                <a:ext uri="{FF2B5EF4-FFF2-40B4-BE49-F238E27FC236}">
                  <a16:creationId xmlns:a16="http://schemas.microsoft.com/office/drawing/2014/main" id="{C597A0C3-795B-46C1-8EF2-7C99C2938B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597A0C3-795B-46C1-8EF2-7C99C2938B0A}"/>
                        </a:ext>
                      </a:extLst>
                    </pic:cNvPr>
                    <pic:cNvPicPr>
                      <a:picLocks noChangeAspect="1"/>
                    </pic:cNvPicPr>
                  </pic:nvPicPr>
                  <pic:blipFill>
                    <a:blip r:embed="rId37" cstate="screen">
                      <a:extLst>
                        <a:ext uri="{28A0092B-C50C-407E-A947-70E740481C1C}">
                          <a14:useLocalDpi xmlns:a14="http://schemas.microsoft.com/office/drawing/2010/main"/>
                        </a:ext>
                      </a:extLst>
                    </a:blip>
                    <a:stretch>
                      <a:fillRect/>
                    </a:stretch>
                  </pic:blipFill>
                  <pic:spPr>
                    <a:xfrm>
                      <a:off x="0" y="0"/>
                      <a:ext cx="3002400" cy="1692000"/>
                    </a:xfrm>
                    <a:prstGeom prst="rect">
                      <a:avLst/>
                    </a:prstGeom>
                  </pic:spPr>
                </pic:pic>
              </a:graphicData>
            </a:graphic>
          </wp:inline>
        </w:drawing>
      </w:r>
      <w:r w:rsidR="00BC4D9D"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 xml:space="preserve"> </w:t>
      </w:r>
      <w:r w:rsidRPr="00805152">
        <w:rPr>
          <w:rFonts w:ascii="Times New Roman" w:hAnsi="Times New Roman"/>
          <w:noProof/>
          <w:lang w:val="en-US"/>
        </w:rPr>
        <w:drawing>
          <wp:inline distT="0" distB="0" distL="0" distR="0" wp14:anchorId="59E90F72" wp14:editId="4E595AB1">
            <wp:extent cx="3074400" cy="169200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3074400" cy="1692000"/>
                    </a:xfrm>
                    <a:prstGeom prst="rect">
                      <a:avLst/>
                    </a:prstGeom>
                  </pic:spPr>
                </pic:pic>
              </a:graphicData>
            </a:graphic>
          </wp:inline>
        </w:drawing>
      </w:r>
    </w:p>
    <w:p w14:paraId="2883952C" w14:textId="623C6A6F" w:rsidR="005571AB" w:rsidRPr="00805152" w:rsidRDefault="00BC4D9D" w:rsidP="005571AB">
      <w:pPr>
        <w:spacing w:after="0"/>
        <w:rPr>
          <w:rFonts w:ascii="Times New Roman" w:eastAsia="Times New Roman" w:hAnsi="Times New Roman"/>
          <w:sz w:val="22"/>
          <w:lang w:val="bg-BG"/>
        </w:rPr>
      </w:pPr>
      <w:r w:rsidRPr="00805152">
        <w:rPr>
          <w:rFonts w:ascii="Times New Roman" w:hAnsi="Times New Roman"/>
          <w:noProof/>
          <w:lang w:val="en-US"/>
        </w:rPr>
        <w:drawing>
          <wp:inline distT="0" distB="0" distL="0" distR="0" wp14:anchorId="1C0CA45B" wp14:editId="1DB16454">
            <wp:extent cx="2516400" cy="162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2516400" cy="1620000"/>
                    </a:xfrm>
                    <a:prstGeom prst="rect">
                      <a:avLst/>
                    </a:prstGeom>
                  </pic:spPr>
                </pic:pic>
              </a:graphicData>
            </a:graphic>
          </wp:inline>
        </w:drawing>
      </w:r>
      <w:r w:rsidRPr="00805152">
        <w:rPr>
          <w:rFonts w:ascii="Times New Roman" w:eastAsia="Times New Roman" w:hAnsi="Times New Roman"/>
          <w:sz w:val="22"/>
          <w:lang w:val="bg-BG"/>
        </w:rPr>
        <w:t xml:space="preserve"> </w:t>
      </w:r>
      <w:r w:rsidR="00AA11DF"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 xml:space="preserve"> </w:t>
      </w:r>
      <w:r w:rsidRPr="00805152">
        <w:rPr>
          <w:rFonts w:ascii="Times New Roman" w:hAnsi="Times New Roman"/>
          <w:noProof/>
          <w:lang w:val="en-US"/>
        </w:rPr>
        <w:drawing>
          <wp:inline distT="0" distB="0" distL="0" distR="0" wp14:anchorId="4749E836" wp14:editId="0535BCDE">
            <wp:extent cx="3402965" cy="1619853"/>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screen">
                      <a:extLst>
                        <a:ext uri="{28A0092B-C50C-407E-A947-70E740481C1C}">
                          <a14:useLocalDpi xmlns:a14="http://schemas.microsoft.com/office/drawing/2010/main"/>
                        </a:ext>
                      </a:extLst>
                    </a:blip>
                    <a:stretch>
                      <a:fillRect/>
                    </a:stretch>
                  </pic:blipFill>
                  <pic:spPr>
                    <a:xfrm>
                      <a:off x="0" y="0"/>
                      <a:ext cx="3426160" cy="1630894"/>
                    </a:xfrm>
                    <a:prstGeom prst="rect">
                      <a:avLst/>
                    </a:prstGeom>
                  </pic:spPr>
                </pic:pic>
              </a:graphicData>
            </a:graphic>
          </wp:inline>
        </w:drawing>
      </w:r>
    </w:p>
    <w:p w14:paraId="36E6583A" w14:textId="77DDFA69" w:rsidR="005571AB" w:rsidRPr="0053488B" w:rsidRDefault="00C64DF9" w:rsidP="004639AA">
      <w:pPr>
        <w:pStyle w:val="BP-Figure"/>
        <w:ind w:left="1134" w:hanging="283"/>
        <w:jc w:val="center"/>
      </w:pPr>
      <w:r w:rsidRPr="00805152">
        <w:t>Вариант 3  - Пример на вълнолом с добре подредени каменни блокове за зона за обществен достъп</w:t>
      </w:r>
    </w:p>
    <w:p w14:paraId="0BD8102A" w14:textId="77777777" w:rsidR="002F02AD" w:rsidRPr="00805152" w:rsidRDefault="002F02AD" w:rsidP="00D54D9F">
      <w:pPr>
        <w:spacing w:after="0"/>
        <w:ind w:firstLine="360"/>
        <w:rPr>
          <w:rFonts w:ascii="Times New Roman" w:eastAsia="Times New Roman" w:hAnsi="Times New Roman"/>
          <w:sz w:val="22"/>
          <w:lang w:val="bg-BG"/>
        </w:rPr>
      </w:pPr>
      <w:bookmarkStart w:id="84" w:name="_Toc437589622"/>
      <w:bookmarkEnd w:id="61"/>
    </w:p>
    <w:p w14:paraId="2192684B" w14:textId="33FE4404" w:rsidR="0069671A" w:rsidRPr="00805152" w:rsidRDefault="0069671A" w:rsidP="0069671A">
      <w:pPr>
        <w:pStyle w:val="Heading2"/>
        <w:rPr>
          <w:rFonts w:ascii="Times New Roman" w:hAnsi="Times New Roman"/>
          <w:sz w:val="28"/>
          <w:szCs w:val="28"/>
          <w:lang w:val="bg-BG"/>
        </w:rPr>
      </w:pPr>
      <w:bookmarkStart w:id="85" w:name="_Toc136961108"/>
      <w:bookmarkEnd w:id="84"/>
      <w:r w:rsidRPr="00805152">
        <w:rPr>
          <w:rFonts w:ascii="Times New Roman" w:hAnsi="Times New Roman"/>
          <w:lang w:val="bg-BG"/>
        </w:rPr>
        <w:t>Проучвания за осъществимост на проекта</w:t>
      </w:r>
      <w:bookmarkEnd w:id="85"/>
      <w:r w:rsidRPr="00805152">
        <w:rPr>
          <w:rFonts w:ascii="Times New Roman" w:hAnsi="Times New Roman"/>
          <w:sz w:val="28"/>
          <w:szCs w:val="28"/>
          <w:lang w:val="bg-BG"/>
        </w:rPr>
        <w:t xml:space="preserve"> </w:t>
      </w:r>
    </w:p>
    <w:p w14:paraId="29904E4E" w14:textId="0B90C109" w:rsidR="00C64DF9" w:rsidRPr="00805152" w:rsidRDefault="00C64DF9" w:rsidP="00C64DF9">
      <w:pPr>
        <w:pStyle w:val="Heading3"/>
        <w:rPr>
          <w:rFonts w:ascii="Times New Roman" w:hAnsi="Times New Roman"/>
          <w:lang w:val="bg-BG"/>
        </w:rPr>
      </w:pPr>
      <w:bookmarkStart w:id="86" w:name="_Toc136961109"/>
      <w:r w:rsidRPr="00805152">
        <w:rPr>
          <w:rFonts w:ascii="Times New Roman" w:hAnsi="Times New Roman"/>
          <w:lang w:val="bg-BG"/>
        </w:rPr>
        <w:t>Устройствени проучвания и разработки за допустимост на строителството</w:t>
      </w:r>
      <w:bookmarkEnd w:id="86"/>
    </w:p>
    <w:p w14:paraId="037F253D" w14:textId="77777777" w:rsidR="002E2F58" w:rsidRPr="00805152" w:rsidRDefault="002E2F58" w:rsidP="00C16D6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За гр. Бургас е изготвен Общ устройствен план, който е одобрен с Решение № 51-1/21.07.2011 г. на Общински съвет Бургас, обнародвано в Държавен вестник бр.71, 13.09.2011 г.</w:t>
      </w:r>
    </w:p>
    <w:p w14:paraId="076BB92B" w14:textId="66A23837" w:rsidR="002E2F58" w:rsidRPr="00805152" w:rsidRDefault="002E2F58" w:rsidP="00C16D6B">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Съгласно ОУП на гр. Бургас, територията на пристанищен терминал „Бургас – Изток 1“, попада в устройствена зона 7/Ц – устройствена зона за многофункционално ползване тип смесена централна зона.</w:t>
      </w:r>
    </w:p>
    <w:p w14:paraId="5352831F" w14:textId="77777777" w:rsidR="00C16D6B" w:rsidRPr="00805152" w:rsidRDefault="00C16D6B" w:rsidP="00C16D6B">
      <w:pPr>
        <w:spacing w:after="0" w:line="360" w:lineRule="auto"/>
        <w:ind w:firstLine="709"/>
        <w:rPr>
          <w:rFonts w:ascii="Times New Roman" w:eastAsiaTheme="minorEastAsia" w:hAnsi="Times New Roman"/>
          <w:iCs/>
          <w:sz w:val="22"/>
          <w:lang w:val="bg-BG" w:eastAsia="bg-BG"/>
        </w:rPr>
      </w:pPr>
      <w:r w:rsidRPr="00805152">
        <w:rPr>
          <w:rFonts w:ascii="Times New Roman" w:eastAsiaTheme="minorEastAsia" w:hAnsi="Times New Roman"/>
          <w:iCs/>
          <w:sz w:val="22"/>
          <w:lang w:val="bg-BG" w:eastAsia="bg-BG"/>
        </w:rPr>
        <w:lastRenderedPageBreak/>
        <w:t>За територията на пристанищен терминал „Бургас - Изток 1” предвижданията на ОУП за гр. Бургас са за зона за многофункционално ползване от тип смесена централна зона със следното допустимо застрояване:</w:t>
      </w:r>
    </w:p>
    <w:p w14:paraId="1F7D0DB6" w14:textId="77777777"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 xml:space="preserve">изграждане на административни и делови сгради; </w:t>
      </w:r>
    </w:p>
    <w:p w14:paraId="1B83C39B" w14:textId="71EAF0E4"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сгради за социални, просветни,</w:t>
      </w:r>
      <w:r w:rsidR="00733A8C" w:rsidRPr="00805152">
        <w:rPr>
          <w:rFonts w:ascii="Times New Roman" w:eastAsiaTheme="minorEastAsia" w:hAnsi="Times New Roman"/>
          <w:iCs/>
          <w:sz w:val="22"/>
          <w:lang w:val="bg-BG" w:eastAsia="bg-BG"/>
        </w:rPr>
        <w:t xml:space="preserve"> </w:t>
      </w:r>
      <w:r w:rsidRPr="00805152">
        <w:rPr>
          <w:rFonts w:ascii="Times New Roman" w:eastAsiaTheme="minorEastAsia" w:hAnsi="Times New Roman"/>
          <w:iCs/>
          <w:sz w:val="22"/>
          <w:lang w:val="bg-BG" w:eastAsia="bg-BG"/>
        </w:rPr>
        <w:t>учебни, културни, религиозни и други обществени дейности;</w:t>
      </w:r>
    </w:p>
    <w:p w14:paraId="28F3C589" w14:textId="77777777"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 xml:space="preserve">търговски и други обслужващи сгради и комплекси; </w:t>
      </w:r>
    </w:p>
    <w:p w14:paraId="2AEDE366" w14:textId="77777777"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жилищни и смесени сгради; хотели и ЗОХ;</w:t>
      </w:r>
    </w:p>
    <w:p w14:paraId="0339969A" w14:textId="77777777"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 xml:space="preserve">сгради за безвредни производствени и занаятчийски дейности; </w:t>
      </w:r>
    </w:p>
    <w:p w14:paraId="53533D8D" w14:textId="77777777" w:rsidR="00C16D6B" w:rsidRPr="00805152" w:rsidRDefault="00C16D6B" w:rsidP="0021547C">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 xml:space="preserve">бензиностанции, газостанции и надземни и подземни гаражи и паркинги за леки автомобили; </w:t>
      </w:r>
    </w:p>
    <w:p w14:paraId="69297327" w14:textId="76C1C5E5" w:rsidR="00C16D6B" w:rsidRPr="004639AA" w:rsidRDefault="00C16D6B" w:rsidP="00C16D6B">
      <w:pPr>
        <w:numPr>
          <w:ilvl w:val="0"/>
          <w:numId w:val="7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сгради, мрежи и съоръжения на техническата инфраструктура.</w:t>
      </w:r>
    </w:p>
    <w:p w14:paraId="1D369AF3" w14:textId="6B7EDAE6" w:rsidR="00C16D6B" w:rsidRPr="004639AA" w:rsidRDefault="00C16D6B" w:rsidP="004639A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 xml:space="preserve">В концепцията на ОУП за територията на пристанищен терминал „Бургас – Изток 1“ е предвидено отваряне на гр. Бургас към морето, изнасяне на промишлените дейности и преструктуриране на крайбрежните промишлени зони, възможност за изграждане на нов пътнически пристанищен терминал и яхтено пристанище, създаване на вторичен градски обслужващ център чрез определяне на нови терени за обществено обслужване с предлагане на услуги от различен характер, обособяване на зони за отдих и риболов, предвиждания на терени за детски и спортни площадки и публично озеленяване. </w:t>
      </w:r>
    </w:p>
    <w:p w14:paraId="71503B79" w14:textId="73880BD9" w:rsidR="00C16D6B" w:rsidRPr="00805152" w:rsidRDefault="00C16D6B" w:rsidP="00C16D6B">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t>За територията от корабно място № 1 до корабно място № 4, представляваща част от пристанищен терминал „Бургас – Изток 1“ от яхтено  пристанище до склад  "Булгартабак", в която част се намира и вълнолома,  има одобрен ПУП-ПРЗ с конкретни градоустройствени предвиждания за територията, включително възможните обекти на техническата и социалната инфраструктура, които могат да бъдат изградени. В съответствие с разпоредбите на чл. 10, ал. 3, т. 2 от ЗУЧК, първоначалните предвиждания на ПУП-ПРЗ са за следните градоустройствени параметри:</w:t>
      </w:r>
    </w:p>
    <w:p w14:paraId="2E069761" w14:textId="77777777" w:rsidR="00C16D6B" w:rsidRPr="00805152" w:rsidRDefault="00C16D6B" w:rsidP="0021547C">
      <w:pPr>
        <w:numPr>
          <w:ilvl w:val="0"/>
          <w:numId w:val="7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плътност на застрояване - до 20 на сто;</w:t>
      </w:r>
    </w:p>
    <w:p w14:paraId="4DEA38FB" w14:textId="77777777" w:rsidR="00C16D6B" w:rsidRPr="00805152" w:rsidRDefault="00C16D6B" w:rsidP="0021547C">
      <w:pPr>
        <w:numPr>
          <w:ilvl w:val="0"/>
          <w:numId w:val="7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интензивност на застрояване (КИНТ) - до 0,5;</w:t>
      </w:r>
    </w:p>
    <w:p w14:paraId="2D98DFBC" w14:textId="77777777" w:rsidR="00C16D6B" w:rsidRPr="00805152" w:rsidRDefault="00C16D6B" w:rsidP="0021547C">
      <w:pPr>
        <w:numPr>
          <w:ilvl w:val="0"/>
          <w:numId w:val="76"/>
        </w:numPr>
        <w:spacing w:after="0"/>
        <w:rPr>
          <w:rFonts w:ascii="Times New Roman" w:eastAsia="Times New Roman" w:hAnsi="Times New Roman"/>
          <w:sz w:val="22"/>
          <w:lang w:val="bg-BG"/>
        </w:rPr>
      </w:pPr>
      <w:r w:rsidRPr="00805152">
        <w:rPr>
          <w:rFonts w:ascii="Times New Roman" w:eastAsia="Times New Roman" w:hAnsi="Times New Roman"/>
          <w:sz w:val="22"/>
          <w:lang w:val="bg-BG"/>
        </w:rPr>
        <w:t>минимална озеленена площ - най-малко 70 на сто, като половината от нея трябва да бъде осигурена за дървесна растителност;</w:t>
      </w:r>
    </w:p>
    <w:p w14:paraId="1676C435" w14:textId="16AA180E" w:rsidR="00C16D6B" w:rsidRPr="004639AA" w:rsidRDefault="00C16D6B" w:rsidP="004639AA">
      <w:pPr>
        <w:numPr>
          <w:ilvl w:val="0"/>
          <w:numId w:val="76"/>
        </w:numPr>
        <w:spacing w:after="0"/>
        <w:rPr>
          <w:rFonts w:ascii="Times New Roman" w:eastAsia="Times New Roman" w:hAnsi="Times New Roman"/>
          <w:sz w:val="22"/>
          <w:lang w:val="bg-BG"/>
        </w:rPr>
      </w:pPr>
      <w:r w:rsidRPr="00805152">
        <w:rPr>
          <w:rFonts w:ascii="Times New Roman" w:eastAsia="Times New Roman" w:hAnsi="Times New Roman"/>
          <w:sz w:val="22"/>
          <w:lang w:val="bg-BG"/>
        </w:rPr>
        <w:t>характер на застрояването- ниско, с височина до 7,5 м.</w:t>
      </w:r>
    </w:p>
    <w:p w14:paraId="6551D3EF" w14:textId="77777777" w:rsidR="00C16D6B" w:rsidRPr="00805152" w:rsidRDefault="00C16D6B" w:rsidP="00C16D6B">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t>С Протокол № УТП-01-02-08/08.10.2010 г. е приет ПУП-ИПРЗ с промяна в градоустройствените параметри за част от УПИ, както следва:</w:t>
      </w:r>
    </w:p>
    <w:p w14:paraId="0F3C57E3" w14:textId="77777777" w:rsidR="00C16D6B" w:rsidRPr="00805152" w:rsidRDefault="00C16D6B" w:rsidP="0021547C">
      <w:pPr>
        <w:numPr>
          <w:ilvl w:val="0"/>
          <w:numId w:val="77"/>
        </w:numPr>
        <w:spacing w:after="0"/>
        <w:rPr>
          <w:rFonts w:ascii="Times New Roman" w:eastAsia="Times New Roman" w:hAnsi="Times New Roman"/>
          <w:sz w:val="22"/>
          <w:lang w:val="bg-BG"/>
        </w:rPr>
      </w:pPr>
      <w:r w:rsidRPr="00805152">
        <w:rPr>
          <w:rFonts w:ascii="Times New Roman" w:eastAsia="Times New Roman" w:hAnsi="Times New Roman"/>
          <w:sz w:val="22"/>
          <w:lang w:val="bg-BG"/>
        </w:rPr>
        <w:t>За квартал 1, УПИ V /07079.618.1019/ - за обществено обслужване, озеленяване и пристанищна инфраструктура се приемат следните параметри:</w:t>
      </w:r>
    </w:p>
    <w:p w14:paraId="19044DB3"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плътност на застрояване - до 10 на сто;</w:t>
      </w:r>
    </w:p>
    <w:p w14:paraId="55258246"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lastRenderedPageBreak/>
        <w:t>интензивност на застрояване (КИНТ) - до 3;</w:t>
      </w:r>
    </w:p>
    <w:p w14:paraId="1B03A4C1"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минимална озеленена площ - най-малко 90 на сто;</w:t>
      </w:r>
    </w:p>
    <w:p w14:paraId="75D4341C"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височина на застояването – до 10 метра.</w:t>
      </w:r>
    </w:p>
    <w:p w14:paraId="68E0189F" w14:textId="77777777" w:rsidR="00C16D6B" w:rsidRPr="00805152" w:rsidRDefault="00C16D6B" w:rsidP="0021547C">
      <w:pPr>
        <w:numPr>
          <w:ilvl w:val="0"/>
          <w:numId w:val="77"/>
        </w:numPr>
        <w:spacing w:after="0"/>
        <w:rPr>
          <w:rFonts w:ascii="Times New Roman" w:eastAsia="Times New Roman" w:hAnsi="Times New Roman"/>
          <w:sz w:val="22"/>
          <w:lang w:val="bg-BG"/>
        </w:rPr>
      </w:pPr>
      <w:r w:rsidRPr="00805152">
        <w:rPr>
          <w:rFonts w:ascii="Times New Roman" w:eastAsia="Times New Roman" w:hAnsi="Times New Roman"/>
          <w:sz w:val="22"/>
          <w:lang w:val="bg-BG"/>
        </w:rPr>
        <w:t>За квартал 1, УПИ VI /07079.618.1019, 07079.618.1021, 07079.618.1023/ - за обществено обслужване, озеленяване и пристанищна инфраструктура и трафик кула се приемат следните параметри:</w:t>
      </w:r>
    </w:p>
    <w:p w14:paraId="781D6EBD"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плътност на застрояване - до 35 на сто;</w:t>
      </w:r>
    </w:p>
    <w:p w14:paraId="1C2E46D8"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интензивност на застрояване (КИНТ) - до 1;</w:t>
      </w:r>
    </w:p>
    <w:p w14:paraId="36607B73"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минимална озеленена площ - най-малко 30 на сто;</w:t>
      </w:r>
    </w:p>
    <w:p w14:paraId="1D1BDA72" w14:textId="4FF45D16" w:rsidR="00C16D6B" w:rsidRPr="004639AA" w:rsidRDefault="00C16D6B" w:rsidP="004639AA">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височина на застояването – до 12 метра.</w:t>
      </w:r>
    </w:p>
    <w:p w14:paraId="5097FF29" w14:textId="77777777" w:rsidR="00C16D6B" w:rsidRPr="00805152" w:rsidRDefault="00C16D6B" w:rsidP="00C16D6B">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t>Следва да се отбележи, че с ДВ, бр. 40 от 13.05.2014 г. са приети изменения в ЗУЧК, с които се приемат следните минимални параметри за територията на проекта, описан по-горе (Зона “А“ извън територията на морските плажове), които влизат в сила от 16.03.2015 г.:</w:t>
      </w:r>
    </w:p>
    <w:p w14:paraId="7224A720"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плътност на застрояване - до 20 на сто;</w:t>
      </w:r>
    </w:p>
    <w:p w14:paraId="032C71A9"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интензивност на застрояване (КИНТ) - до 0.5;</w:t>
      </w:r>
    </w:p>
    <w:p w14:paraId="5B111DC2" w14:textId="77777777" w:rsidR="00C16D6B" w:rsidRPr="00805152" w:rsidRDefault="00C16D6B" w:rsidP="0021547C">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минимална озеленена площ - най-малко 70 на сто, като половината от нея трябва да бъде осигурена за дървесна растителност;</w:t>
      </w:r>
    </w:p>
    <w:p w14:paraId="58DB8929" w14:textId="79BB3E5D" w:rsidR="00C16D6B" w:rsidRPr="004639AA" w:rsidRDefault="00C16D6B" w:rsidP="004639AA">
      <w:pPr>
        <w:numPr>
          <w:ilvl w:val="0"/>
          <w:numId w:val="78"/>
        </w:numPr>
        <w:spacing w:after="0"/>
        <w:rPr>
          <w:rFonts w:ascii="Times New Roman" w:eastAsia="Times New Roman" w:hAnsi="Times New Roman"/>
          <w:sz w:val="22"/>
          <w:lang w:val="bg-BG"/>
        </w:rPr>
      </w:pPr>
      <w:r w:rsidRPr="00805152">
        <w:rPr>
          <w:rFonts w:ascii="Times New Roman" w:eastAsia="Times New Roman" w:hAnsi="Times New Roman"/>
          <w:sz w:val="22"/>
          <w:lang w:val="bg-BG"/>
        </w:rPr>
        <w:t>височина на застояването – ниско, с височина до 7.5 метра.</w:t>
      </w:r>
    </w:p>
    <w:p w14:paraId="0F2A355C" w14:textId="6F8215BF" w:rsidR="0069671A" w:rsidRPr="00805152" w:rsidRDefault="0069671A" w:rsidP="0069671A">
      <w:pPr>
        <w:spacing w:after="0"/>
        <w:ind w:firstLine="360"/>
        <w:rPr>
          <w:rFonts w:ascii="Times New Roman" w:eastAsia="Times New Roman" w:hAnsi="Times New Roman"/>
          <w:sz w:val="22"/>
          <w:lang w:val="bg-BG"/>
        </w:rPr>
      </w:pPr>
      <w:r w:rsidRPr="00805152">
        <w:rPr>
          <w:rFonts w:ascii="Times New Roman" w:eastAsia="Times New Roman" w:hAnsi="Times New Roman"/>
          <w:b/>
          <w:sz w:val="22"/>
          <w:lang w:val="bg-BG"/>
        </w:rPr>
        <w:t>Вълноломът</w:t>
      </w:r>
      <w:r w:rsidRPr="00805152">
        <w:rPr>
          <w:rFonts w:ascii="Times New Roman" w:eastAsia="Times New Roman" w:hAnsi="Times New Roman"/>
          <w:sz w:val="22"/>
          <w:lang w:val="bg-BG"/>
        </w:rPr>
        <w:t xml:space="preserve"> на пристанище Бургас се намира в ПИ 07079.618.1019, който попада в </w:t>
      </w:r>
      <w:r w:rsidR="002C6FF0" w:rsidRPr="00805152">
        <w:rPr>
          <w:rFonts w:ascii="Times New Roman" w:eastAsia="Times New Roman" w:hAnsi="Times New Roman"/>
          <w:sz w:val="22"/>
          <w:lang w:val="bg-BG"/>
        </w:rPr>
        <w:t xml:space="preserve">териториалния обхват на </w:t>
      </w:r>
      <w:r w:rsidRPr="00805152">
        <w:rPr>
          <w:rFonts w:ascii="Times New Roman" w:eastAsia="Times New Roman" w:hAnsi="Times New Roman"/>
          <w:sz w:val="22"/>
          <w:lang w:val="bg-BG"/>
        </w:rPr>
        <w:t>одобрен</w:t>
      </w:r>
      <w:r w:rsidR="00C16D6B" w:rsidRPr="00805152">
        <w:rPr>
          <w:rFonts w:ascii="Times New Roman" w:eastAsia="Times New Roman" w:hAnsi="Times New Roman"/>
          <w:sz w:val="22"/>
          <w:lang w:val="bg-BG"/>
        </w:rPr>
        <w:t>ия</w:t>
      </w:r>
      <w:r w:rsidRPr="00805152">
        <w:rPr>
          <w:rFonts w:ascii="Times New Roman" w:eastAsia="Times New Roman" w:hAnsi="Times New Roman"/>
          <w:sz w:val="22"/>
          <w:lang w:val="bg-BG"/>
        </w:rPr>
        <w:t xml:space="preserve"> </w:t>
      </w:r>
      <w:r w:rsidR="00481E5F" w:rsidRPr="00805152">
        <w:rPr>
          <w:rFonts w:ascii="Times New Roman" w:eastAsia="Times New Roman" w:hAnsi="Times New Roman"/>
          <w:sz w:val="22"/>
          <w:lang w:val="bg-BG"/>
        </w:rPr>
        <w:t xml:space="preserve">през 2010 г.  </w:t>
      </w:r>
      <w:r w:rsidRPr="00805152">
        <w:rPr>
          <w:rFonts w:ascii="Times New Roman" w:eastAsia="Times New Roman" w:hAnsi="Times New Roman"/>
          <w:sz w:val="22"/>
          <w:lang w:val="bg-BG"/>
        </w:rPr>
        <w:t>ПУП-</w:t>
      </w:r>
      <w:r w:rsidR="00C16D6B" w:rsidRPr="00805152">
        <w:rPr>
          <w:rFonts w:ascii="Times New Roman" w:eastAsia="Times New Roman" w:hAnsi="Times New Roman"/>
          <w:sz w:val="22"/>
          <w:lang w:val="bg-BG"/>
        </w:rPr>
        <w:t>И</w:t>
      </w:r>
      <w:r w:rsidRPr="00805152">
        <w:rPr>
          <w:rFonts w:ascii="Times New Roman" w:eastAsia="Times New Roman" w:hAnsi="Times New Roman"/>
          <w:sz w:val="22"/>
          <w:lang w:val="bg-BG"/>
        </w:rPr>
        <w:t>П</w:t>
      </w:r>
      <w:r w:rsidR="00C16D6B" w:rsidRPr="00805152">
        <w:rPr>
          <w:rFonts w:ascii="Times New Roman" w:eastAsia="Times New Roman" w:hAnsi="Times New Roman"/>
          <w:sz w:val="22"/>
          <w:lang w:val="bg-BG"/>
        </w:rPr>
        <w:t>Р</w:t>
      </w:r>
      <w:r w:rsidRPr="00805152">
        <w:rPr>
          <w:rFonts w:ascii="Times New Roman" w:eastAsia="Times New Roman" w:hAnsi="Times New Roman"/>
          <w:sz w:val="22"/>
          <w:lang w:val="bg-BG"/>
        </w:rPr>
        <w:t>З за УПИ VI - 1019, 1021, 1022, 1023 в кв. 1 по плана на ЦГЧ - гр. Бургас.</w:t>
      </w:r>
    </w:p>
    <w:p w14:paraId="1C00F48A" w14:textId="77777777" w:rsidR="002C6FF0" w:rsidRPr="00805152" w:rsidRDefault="002C6FF0" w:rsidP="00545AE7">
      <w:pPr>
        <w:pStyle w:val="a9"/>
        <w:shd w:val="clear" w:color="auto" w:fill="auto"/>
        <w:spacing w:before="169" w:after="0" w:line="360" w:lineRule="auto"/>
        <w:ind w:left="20" w:right="20" w:firstLine="340"/>
        <w:rPr>
          <w:rFonts w:ascii="Times New Roman" w:hAnsi="Times New Roman"/>
        </w:rPr>
      </w:pPr>
      <w:r w:rsidRPr="00805152">
        <w:rPr>
          <w:rFonts w:ascii="Times New Roman" w:hAnsi="Times New Roman"/>
          <w:color w:val="000000"/>
        </w:rPr>
        <w:t xml:space="preserve">Територията на вълнолома </w:t>
      </w:r>
      <w:r w:rsidRPr="00805152">
        <w:rPr>
          <w:rStyle w:val="ac"/>
          <w:rFonts w:eastAsia="Calibri"/>
          <w:sz w:val="22"/>
          <w:szCs w:val="22"/>
        </w:rPr>
        <w:t xml:space="preserve">не попада в границите на защитени територии </w:t>
      </w:r>
      <w:r w:rsidRPr="00805152">
        <w:rPr>
          <w:rFonts w:ascii="Times New Roman" w:hAnsi="Times New Roman"/>
          <w:color w:val="000000"/>
        </w:rPr>
        <w:t xml:space="preserve">по смисъла на Закона за защитените територии и </w:t>
      </w:r>
      <w:r w:rsidRPr="00805152">
        <w:rPr>
          <w:rStyle w:val="ac"/>
          <w:rFonts w:eastAsia="Calibri"/>
          <w:sz w:val="22"/>
          <w:szCs w:val="22"/>
        </w:rPr>
        <w:t xml:space="preserve">не засяга защитени зони </w:t>
      </w:r>
      <w:r w:rsidRPr="00805152">
        <w:rPr>
          <w:rFonts w:ascii="Times New Roman" w:hAnsi="Times New Roman"/>
          <w:color w:val="000000"/>
        </w:rPr>
        <w:t>по смисъла на Закона за биологичното разнообразие.</w:t>
      </w:r>
    </w:p>
    <w:p w14:paraId="6BB20801" w14:textId="5DE67EAC" w:rsidR="002C6FF0" w:rsidRPr="00805152" w:rsidRDefault="002C6FF0" w:rsidP="00545AE7">
      <w:pPr>
        <w:pStyle w:val="a9"/>
        <w:shd w:val="clear" w:color="auto" w:fill="auto"/>
        <w:spacing w:before="0" w:after="0" w:line="360" w:lineRule="auto"/>
        <w:ind w:left="20" w:firstLine="0"/>
        <w:rPr>
          <w:rFonts w:ascii="Times New Roman" w:hAnsi="Times New Roman"/>
        </w:rPr>
      </w:pPr>
      <w:r w:rsidRPr="00805152">
        <w:rPr>
          <w:rFonts w:ascii="Times New Roman" w:hAnsi="Times New Roman"/>
          <w:color w:val="000000"/>
        </w:rPr>
        <w:t>Най-близките защитени зони са както следва:</w:t>
      </w:r>
    </w:p>
    <w:p w14:paraId="27E9FF35" w14:textId="77777777" w:rsidR="002C6FF0" w:rsidRPr="00805152" w:rsidRDefault="002C6FF0" w:rsidP="0021547C">
      <w:pPr>
        <w:pStyle w:val="a9"/>
        <w:numPr>
          <w:ilvl w:val="0"/>
          <w:numId w:val="42"/>
        </w:numPr>
        <w:shd w:val="clear" w:color="auto" w:fill="auto"/>
        <w:spacing w:before="0" w:after="0" w:line="360" w:lineRule="auto"/>
        <w:ind w:left="720" w:right="20" w:hanging="340"/>
        <w:jc w:val="left"/>
        <w:rPr>
          <w:rFonts w:ascii="Times New Roman" w:hAnsi="Times New Roman"/>
        </w:rPr>
      </w:pPr>
      <w:r w:rsidRPr="00805152">
        <w:rPr>
          <w:rFonts w:ascii="Times New Roman" w:hAnsi="Times New Roman"/>
          <w:color w:val="000000"/>
        </w:rPr>
        <w:t xml:space="preserve"> Защитена зона “Атанасовско Езеро”, с код ЕЮ0000270, обявена и по двете Директиви. Зоната отстои на около 2900 ш северно от вълнолома;</w:t>
      </w:r>
    </w:p>
    <w:p w14:paraId="56F05D02" w14:textId="77777777" w:rsidR="002C6FF0" w:rsidRPr="00805152" w:rsidRDefault="002C6FF0" w:rsidP="0021547C">
      <w:pPr>
        <w:pStyle w:val="a9"/>
        <w:numPr>
          <w:ilvl w:val="0"/>
          <w:numId w:val="42"/>
        </w:numPr>
        <w:shd w:val="clear" w:color="auto" w:fill="auto"/>
        <w:spacing w:before="0" w:after="0" w:line="360" w:lineRule="auto"/>
        <w:ind w:left="720" w:right="20" w:hanging="340"/>
        <w:jc w:val="left"/>
        <w:rPr>
          <w:rFonts w:ascii="Times New Roman" w:hAnsi="Times New Roman"/>
        </w:rPr>
      </w:pPr>
      <w:r w:rsidRPr="00805152">
        <w:rPr>
          <w:rFonts w:ascii="Times New Roman" w:hAnsi="Times New Roman"/>
          <w:color w:val="000000"/>
        </w:rPr>
        <w:t xml:space="preserve"> Защитена зона “Бургаско Езеро”, с код ЕЮ0000273, обявена и по двете Директиви. Зоната отстои на около 1080 ш северозападно от вълнолома;</w:t>
      </w:r>
    </w:p>
    <w:p w14:paraId="5E2CFDE0" w14:textId="77777777" w:rsidR="002C6FF0" w:rsidRPr="00805152" w:rsidRDefault="002C6FF0" w:rsidP="0021547C">
      <w:pPr>
        <w:pStyle w:val="a9"/>
        <w:numPr>
          <w:ilvl w:val="0"/>
          <w:numId w:val="42"/>
        </w:numPr>
        <w:shd w:val="clear" w:color="auto" w:fill="auto"/>
        <w:spacing w:before="0" w:after="0" w:line="360" w:lineRule="auto"/>
        <w:ind w:left="720" w:hanging="340"/>
        <w:jc w:val="left"/>
        <w:rPr>
          <w:rFonts w:ascii="Times New Roman" w:hAnsi="Times New Roman"/>
        </w:rPr>
      </w:pPr>
      <w:r w:rsidRPr="00805152">
        <w:rPr>
          <w:rFonts w:ascii="Times New Roman" w:hAnsi="Times New Roman"/>
          <w:color w:val="000000"/>
        </w:rPr>
        <w:t xml:space="preserve"> Защитена зона “Мандра - Пода”, с код ВС0000271, обявена и по двете Директиви.</w:t>
      </w:r>
    </w:p>
    <w:p w14:paraId="7F1466A5" w14:textId="77777777" w:rsidR="002C6FF0" w:rsidRPr="00805152" w:rsidRDefault="002C6FF0" w:rsidP="00545AE7">
      <w:pPr>
        <w:pStyle w:val="a9"/>
        <w:shd w:val="clear" w:color="auto" w:fill="auto"/>
        <w:spacing w:before="0" w:after="0" w:line="360" w:lineRule="auto"/>
        <w:ind w:left="740" w:firstLine="0"/>
        <w:jc w:val="left"/>
        <w:rPr>
          <w:rFonts w:ascii="Times New Roman" w:hAnsi="Times New Roman"/>
        </w:rPr>
      </w:pPr>
      <w:r w:rsidRPr="00805152">
        <w:rPr>
          <w:rFonts w:ascii="Times New Roman" w:hAnsi="Times New Roman"/>
          <w:color w:val="000000"/>
        </w:rPr>
        <w:t>Зоната отстои на около 1750 ш южно от вълнолома;</w:t>
      </w:r>
    </w:p>
    <w:p w14:paraId="37B25AA6" w14:textId="24C350FD" w:rsidR="002C6FF0" w:rsidRPr="00805152" w:rsidRDefault="002C6FF0" w:rsidP="00545AE7">
      <w:pPr>
        <w:pStyle w:val="a9"/>
        <w:shd w:val="clear" w:color="auto" w:fill="auto"/>
        <w:spacing w:before="0" w:after="186" w:line="360" w:lineRule="auto"/>
        <w:ind w:left="740" w:right="20" w:hanging="320"/>
        <w:jc w:val="left"/>
        <w:rPr>
          <w:rFonts w:ascii="Times New Roman" w:hAnsi="Times New Roman"/>
        </w:rPr>
      </w:pPr>
      <w:r w:rsidRPr="00805152">
        <w:rPr>
          <w:rFonts w:ascii="Times New Roman" w:hAnsi="Times New Roman"/>
          <w:color w:val="000000"/>
        </w:rPr>
        <w:t>• Защитена зона “Бакърлъка”, с код ЕЮ0002077, обявена по Директивата за птиците. Зоната отстои на около 2380 ш източно от вълнолома.</w:t>
      </w:r>
    </w:p>
    <w:p w14:paraId="504C6B65" w14:textId="77777777" w:rsidR="002C6FF0" w:rsidRPr="00805152" w:rsidRDefault="002C6FF0" w:rsidP="00545AE7">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lastRenderedPageBreak/>
        <w:t>В близост няма обекти, подлежащи на здравна защита, нито обекти на културното наследство, върху които би се оказали някакво негативно въздействие.</w:t>
      </w:r>
    </w:p>
    <w:p w14:paraId="1EC0DA69" w14:textId="77777777" w:rsidR="002C6FF0" w:rsidRPr="00805152" w:rsidRDefault="002C6FF0" w:rsidP="00545AE7">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t>Не се предвижда нова или промяна на съществуваща пътна инфраструктура.</w:t>
      </w:r>
    </w:p>
    <w:p w14:paraId="7B7B8A31" w14:textId="16AC0BA0" w:rsidR="002C6FF0" w:rsidRPr="00805152" w:rsidRDefault="00A82A1F" w:rsidP="00545AE7">
      <w:pPr>
        <w:spacing w:after="0"/>
        <w:ind w:firstLine="360"/>
        <w:rPr>
          <w:rFonts w:ascii="Times New Roman" w:eastAsia="Times New Roman" w:hAnsi="Times New Roman"/>
          <w:sz w:val="22"/>
          <w:lang w:val="bg-BG"/>
        </w:rPr>
      </w:pPr>
      <w:r w:rsidRPr="00805152">
        <w:rPr>
          <w:rFonts w:ascii="Times New Roman" w:eastAsia="Times New Roman" w:hAnsi="Times New Roman"/>
          <w:sz w:val="22"/>
          <w:lang w:val="bg-BG"/>
        </w:rPr>
        <w:t xml:space="preserve">В резултат на подадено от ДППИ Уведомление за инвестиционно предложение, </w:t>
      </w:r>
      <w:r w:rsidR="00545AE7" w:rsidRPr="00805152">
        <w:rPr>
          <w:rFonts w:ascii="Times New Roman" w:eastAsia="Times New Roman" w:hAnsi="Times New Roman"/>
          <w:sz w:val="22"/>
          <w:lang w:val="bg-BG"/>
        </w:rPr>
        <w:t xml:space="preserve">през 2020 г.  </w:t>
      </w:r>
      <w:r w:rsidRPr="00805152">
        <w:rPr>
          <w:rFonts w:ascii="Times New Roman" w:eastAsia="Times New Roman" w:hAnsi="Times New Roman"/>
          <w:sz w:val="22"/>
          <w:lang w:val="bg-BG"/>
        </w:rPr>
        <w:t xml:space="preserve">компетентният орган  Министерство на околната среда и водите (МОСВ)  е </w:t>
      </w:r>
      <w:r w:rsidRPr="00DC024B">
        <w:rPr>
          <w:rFonts w:ascii="Times New Roman" w:eastAsia="Times New Roman" w:hAnsi="Times New Roman"/>
          <w:sz w:val="22"/>
          <w:lang w:val="bg-BG"/>
        </w:rPr>
        <w:t>изда</w:t>
      </w:r>
      <w:r w:rsidR="00DC024B" w:rsidRPr="00DC024B">
        <w:rPr>
          <w:rFonts w:ascii="Times New Roman" w:eastAsia="Times New Roman" w:hAnsi="Times New Roman"/>
          <w:sz w:val="22"/>
          <w:lang w:val="bg-BG"/>
        </w:rPr>
        <w:t>ло</w:t>
      </w:r>
      <w:r w:rsidRPr="00DC024B">
        <w:rPr>
          <w:rFonts w:ascii="Times New Roman" w:eastAsia="Times New Roman" w:hAnsi="Times New Roman"/>
          <w:sz w:val="22"/>
          <w:lang w:val="bg-BG"/>
        </w:rPr>
        <w:t xml:space="preserve">  Д</w:t>
      </w:r>
      <w:r w:rsidRPr="00805152">
        <w:rPr>
          <w:rFonts w:ascii="Times New Roman" w:eastAsia="Times New Roman" w:hAnsi="Times New Roman"/>
          <w:sz w:val="22"/>
          <w:lang w:val="bg-BG"/>
        </w:rPr>
        <w:t>екларация от органа, отговорен за мониторинга на обектите по Натура 2000, за проект: „Рехабилитация на вълнолом в пристанище Бургас“, която потвър</w:t>
      </w:r>
      <w:r w:rsidR="00545AE7" w:rsidRPr="00805152">
        <w:rPr>
          <w:rFonts w:ascii="Times New Roman" w:eastAsia="Times New Roman" w:hAnsi="Times New Roman"/>
          <w:sz w:val="22"/>
          <w:lang w:val="bg-BG"/>
        </w:rPr>
        <w:t xml:space="preserve">дена и на 01.12. 2021 г. и съдържа </w:t>
      </w:r>
      <w:r w:rsidRPr="00805152">
        <w:rPr>
          <w:rFonts w:ascii="Times New Roman" w:eastAsia="Times New Roman" w:hAnsi="Times New Roman"/>
          <w:sz w:val="22"/>
          <w:lang w:val="bg-BG"/>
        </w:rPr>
        <w:t>следното:</w:t>
      </w:r>
    </w:p>
    <w:p w14:paraId="48685C97" w14:textId="77777777" w:rsidR="00545AE7" w:rsidRPr="00805152" w:rsidRDefault="00545AE7" w:rsidP="00545AE7">
      <w:pPr>
        <w:spacing w:after="0"/>
        <w:ind w:firstLine="360"/>
        <w:rPr>
          <w:rFonts w:ascii="Times New Roman" w:eastAsia="Times New Roman" w:hAnsi="Times New Roman"/>
          <w:i/>
          <w:sz w:val="22"/>
          <w:lang w:val="bg-BG"/>
        </w:rPr>
      </w:pPr>
      <w:r w:rsidRPr="00805152">
        <w:rPr>
          <w:rFonts w:ascii="Times New Roman" w:eastAsia="Times New Roman" w:hAnsi="Times New Roman"/>
          <w:sz w:val="22"/>
          <w:lang w:val="bg-BG"/>
        </w:rPr>
        <w:t>„</w:t>
      </w:r>
      <w:r w:rsidR="00A82A1F" w:rsidRPr="00805152">
        <w:rPr>
          <w:rFonts w:ascii="Times New Roman" w:eastAsia="Times New Roman" w:hAnsi="Times New Roman"/>
          <w:i/>
          <w:sz w:val="22"/>
          <w:lang w:val="bg-BG"/>
        </w:rPr>
        <w:t>Проект  „Рехабилитация на вълнолом в пристанище Бургас“ няма вероятност да окаже значително влияние върху обектите по НАТУРА 2000 на основание писмо № ПД-335- (3)/27.02.2020 г. на директора на регионална инспекция по околна среда и водите - Бургас, съгласно което преценката на компетентния орган е, че не е необходимо провеждане на процедура по реда на Глава втора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(Наредбата за ОС, обн., ДВ, бр.73/11.09.2007 щ, изм. и доп.), отчитайки местоположението, обема и характера на предвидените дейности, както и че при реализирането им не се засягат природни местообитания и местообитания на видове, не се предполага увреждане и трансформация на местообитания и местообитания на видове в зоните, не се създава трайна преграда, която да възпрепятства миграция на видове, а възможните шумови и антропогенни въздействия са временни и обратими, считаме, че при реализацията им няма вероятност от отрицателно въздействие върху защитени зони от екологичната мрежа НАТУРА 2000.</w:t>
      </w:r>
    </w:p>
    <w:p w14:paraId="3E7B689E" w14:textId="6651D2C2" w:rsidR="00A82A1F" w:rsidRPr="00805152" w:rsidRDefault="00A82A1F" w:rsidP="00545AE7">
      <w:pPr>
        <w:spacing w:after="0"/>
        <w:ind w:firstLine="360"/>
        <w:rPr>
          <w:rFonts w:ascii="Times New Roman" w:eastAsia="Times New Roman" w:hAnsi="Times New Roman"/>
          <w:i/>
          <w:sz w:val="22"/>
          <w:lang w:val="bg-BG"/>
        </w:rPr>
      </w:pPr>
      <w:r w:rsidRPr="00805152">
        <w:rPr>
          <w:rFonts w:ascii="Times New Roman" w:eastAsia="Times New Roman" w:hAnsi="Times New Roman"/>
          <w:i/>
          <w:sz w:val="22"/>
          <w:lang w:val="bg-BG"/>
        </w:rPr>
        <w:t>Следователно не се счита за необходимо да се извършва съответната оценка съгласно член 6,</w:t>
      </w:r>
      <w:r w:rsidR="00545AE7" w:rsidRPr="00805152">
        <w:rPr>
          <w:rFonts w:ascii="Times New Roman" w:eastAsia="Times New Roman" w:hAnsi="Times New Roman"/>
          <w:i/>
          <w:sz w:val="22"/>
          <w:lang w:val="bg-BG"/>
        </w:rPr>
        <w:t xml:space="preserve"> </w:t>
      </w:r>
      <w:r w:rsidRPr="00805152">
        <w:rPr>
          <w:rFonts w:ascii="Times New Roman" w:eastAsia="Times New Roman" w:hAnsi="Times New Roman"/>
          <w:i/>
          <w:sz w:val="22"/>
          <w:lang w:val="bg-BG"/>
        </w:rPr>
        <w:t>параграф 3 от Директива 92/43/ЕЕС.</w:t>
      </w:r>
      <w:r w:rsidR="00545AE7" w:rsidRPr="00805152">
        <w:rPr>
          <w:rFonts w:ascii="Times New Roman" w:eastAsia="Times New Roman" w:hAnsi="Times New Roman"/>
          <w:i/>
          <w:sz w:val="22"/>
          <w:lang w:val="bg-BG"/>
        </w:rPr>
        <w:t>“</w:t>
      </w:r>
    </w:p>
    <w:p w14:paraId="55DD94B2" w14:textId="1A5D3131" w:rsidR="000A2DDE" w:rsidRPr="00805152" w:rsidRDefault="000A2DDE" w:rsidP="00545AE7">
      <w:pPr>
        <w:spacing w:after="0"/>
        <w:ind w:firstLine="360"/>
        <w:rPr>
          <w:rFonts w:ascii="Times New Roman" w:hAnsi="Times New Roman"/>
          <w:bCs/>
          <w:iCs/>
          <w:lang w:val="bg-BG"/>
        </w:rPr>
      </w:pPr>
      <w:r w:rsidRPr="00805152">
        <w:rPr>
          <w:rFonts w:ascii="Times New Roman" w:hAnsi="Times New Roman"/>
          <w:bCs/>
          <w:iCs/>
          <w:lang w:val="bg-BG"/>
        </w:rPr>
        <w:t xml:space="preserve">В последните години са изготвяни планове за преустрояване на част от зоната на терминал </w:t>
      </w:r>
      <w:r w:rsidR="0053488B">
        <w:rPr>
          <w:rFonts w:ascii="Times New Roman" w:hAnsi="Times New Roman"/>
          <w:bCs/>
          <w:iCs/>
          <w:lang w:val="bg-BG"/>
        </w:rPr>
        <w:t xml:space="preserve">„Бургас – Изток </w:t>
      </w:r>
      <w:r w:rsidRPr="00805152">
        <w:rPr>
          <w:rFonts w:ascii="Times New Roman" w:hAnsi="Times New Roman"/>
          <w:bCs/>
          <w:iCs/>
          <w:lang w:val="bg-BG"/>
        </w:rPr>
        <w:t>1</w:t>
      </w:r>
      <w:r w:rsidR="0053488B">
        <w:rPr>
          <w:rFonts w:ascii="Times New Roman" w:hAnsi="Times New Roman"/>
          <w:bCs/>
          <w:iCs/>
          <w:lang w:val="bg-BG"/>
        </w:rPr>
        <w:t>“</w:t>
      </w:r>
      <w:r w:rsidRPr="00805152">
        <w:rPr>
          <w:rFonts w:ascii="Times New Roman" w:hAnsi="Times New Roman"/>
          <w:bCs/>
          <w:iCs/>
          <w:lang w:val="bg-BG"/>
        </w:rPr>
        <w:t xml:space="preserve"> в градска крайбрежна зона като „Зона Обществен Достъп“, известна също като Проект „Супер Бургас”.</w:t>
      </w:r>
    </w:p>
    <w:p w14:paraId="4F677A10" w14:textId="748B554E" w:rsidR="000A2DDE" w:rsidRPr="00805152" w:rsidRDefault="000A2DDE" w:rsidP="000A2DDE">
      <w:pPr>
        <w:spacing w:line="360" w:lineRule="auto"/>
        <w:ind w:firstLine="360"/>
        <w:rPr>
          <w:rFonts w:ascii="Times New Roman" w:hAnsi="Times New Roman"/>
          <w:bCs/>
          <w:iCs/>
          <w:lang w:val="bg-BG"/>
        </w:rPr>
      </w:pPr>
      <w:r w:rsidRPr="00805152">
        <w:rPr>
          <w:rFonts w:ascii="Times New Roman" w:hAnsi="Times New Roman"/>
          <w:bCs/>
          <w:iCs/>
          <w:lang w:val="bg-BG"/>
        </w:rPr>
        <w:t xml:space="preserve">Съгласно изготвения и процедиран за одобряване проект на Генерален план на пристанищен терминал  </w:t>
      </w:r>
      <w:r w:rsidR="0053488B">
        <w:rPr>
          <w:rFonts w:ascii="Times New Roman" w:hAnsi="Times New Roman"/>
          <w:bCs/>
          <w:iCs/>
          <w:lang w:val="bg-BG"/>
        </w:rPr>
        <w:t>„</w:t>
      </w:r>
      <w:r w:rsidRPr="00805152">
        <w:rPr>
          <w:rFonts w:ascii="Times New Roman" w:hAnsi="Times New Roman"/>
          <w:bCs/>
          <w:iCs/>
          <w:lang w:val="bg-BG"/>
        </w:rPr>
        <w:t xml:space="preserve">Бургас – </w:t>
      </w:r>
      <w:r w:rsidR="0053488B">
        <w:rPr>
          <w:rFonts w:ascii="Times New Roman" w:hAnsi="Times New Roman"/>
          <w:bCs/>
          <w:iCs/>
          <w:lang w:val="bg-BG"/>
        </w:rPr>
        <w:t>И</w:t>
      </w:r>
      <w:r w:rsidRPr="00805152">
        <w:rPr>
          <w:rFonts w:ascii="Times New Roman" w:hAnsi="Times New Roman"/>
          <w:bCs/>
          <w:iCs/>
          <w:lang w:val="bg-BG"/>
        </w:rPr>
        <w:t>зток 1</w:t>
      </w:r>
      <w:r w:rsidR="0053488B">
        <w:rPr>
          <w:rFonts w:ascii="Times New Roman" w:hAnsi="Times New Roman"/>
          <w:bCs/>
          <w:iCs/>
          <w:lang w:val="bg-BG"/>
        </w:rPr>
        <w:t>“</w:t>
      </w:r>
      <w:r w:rsidRPr="00805152">
        <w:rPr>
          <w:rFonts w:ascii="Times New Roman" w:hAnsi="Times New Roman"/>
          <w:bCs/>
          <w:iCs/>
          <w:lang w:val="bg-BG"/>
        </w:rPr>
        <w:t xml:space="preserve">   ПУП-ПРЗ за имотите в обхвата на които попада и Вълнолом </w:t>
      </w:r>
      <w:r w:rsidR="00B842D5" w:rsidRPr="00805152">
        <w:rPr>
          <w:rFonts w:ascii="Times New Roman" w:hAnsi="Times New Roman"/>
          <w:bCs/>
          <w:iCs/>
          <w:lang w:val="bg-BG"/>
        </w:rPr>
        <w:t>Бургас</w:t>
      </w:r>
      <w:r w:rsidRPr="00805152">
        <w:rPr>
          <w:rFonts w:ascii="Times New Roman" w:hAnsi="Times New Roman"/>
          <w:bCs/>
          <w:iCs/>
          <w:lang w:val="bg-BG"/>
        </w:rPr>
        <w:t>, се предвижда следното:</w:t>
      </w:r>
    </w:p>
    <w:p w14:paraId="4FC299AB" w14:textId="651A308E"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Терените попадат в предимно в устройствена зона – Зона це</w:t>
      </w:r>
      <w:r w:rsidR="0053488B">
        <w:rPr>
          <w:rFonts w:ascii="Times New Roman" w:hAnsi="Times New Roman"/>
          <w:bCs/>
          <w:iCs/>
          <w:lang w:val="bg-BG"/>
        </w:rPr>
        <w:t>нтрална със смесено застрояване;</w:t>
      </w:r>
    </w:p>
    <w:p w14:paraId="778E1780"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Начин на трайно ползване – За Пристанище;</w:t>
      </w:r>
    </w:p>
    <w:p w14:paraId="2128764C"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Плътност на застрояване /П застр/ - 60;</w:t>
      </w:r>
    </w:p>
    <w:p w14:paraId="284F118F"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Коефициент на интензивност /К инт/ - 3,5;</w:t>
      </w:r>
    </w:p>
    <w:p w14:paraId="7C616D84"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Минимална озеленена площ в урегулирания имот /Позел./ - 40;</w:t>
      </w:r>
    </w:p>
    <w:p w14:paraId="40B36799"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lastRenderedPageBreak/>
        <w:t>Височина и етажност на застрояване - не се ограничава;</w:t>
      </w:r>
    </w:p>
    <w:p w14:paraId="3D9A4228" w14:textId="77777777" w:rsidR="000A2DDE" w:rsidRPr="00805152" w:rsidRDefault="000A2DDE" w:rsidP="0021547C">
      <w:pPr>
        <w:pStyle w:val="ListParagraph"/>
        <w:numPr>
          <w:ilvl w:val="0"/>
          <w:numId w:val="43"/>
        </w:numPr>
        <w:suppressAutoHyphens/>
        <w:spacing w:after="160" w:line="360" w:lineRule="auto"/>
        <w:rPr>
          <w:rFonts w:ascii="Times New Roman" w:hAnsi="Times New Roman"/>
          <w:bCs/>
          <w:iCs/>
          <w:lang w:val="bg-BG"/>
        </w:rPr>
      </w:pPr>
      <w:r w:rsidRPr="00805152">
        <w:rPr>
          <w:rFonts w:ascii="Times New Roman" w:hAnsi="Times New Roman"/>
          <w:bCs/>
          <w:iCs/>
          <w:lang w:val="bg-BG"/>
        </w:rPr>
        <w:t>Начинът на застрояване - /е/ свободно;</w:t>
      </w:r>
    </w:p>
    <w:p w14:paraId="5C0D2675" w14:textId="509BEACF" w:rsidR="000A2DDE" w:rsidRPr="00805152" w:rsidRDefault="000A2DDE" w:rsidP="00C64DF9">
      <w:pPr>
        <w:spacing w:after="0"/>
        <w:ind w:firstLine="709"/>
        <w:rPr>
          <w:rFonts w:ascii="Times New Roman" w:eastAsia="Times New Roman" w:hAnsi="Times New Roman"/>
          <w:sz w:val="22"/>
          <w:lang w:val="bg-BG"/>
        </w:rPr>
      </w:pPr>
      <w:r w:rsidRPr="00805152">
        <w:rPr>
          <w:rFonts w:ascii="Times New Roman" w:eastAsia="Times New Roman" w:hAnsi="Times New Roman"/>
          <w:sz w:val="22"/>
          <w:lang w:val="bg-BG"/>
        </w:rPr>
        <w:t>В проекта за ПУП – ПРЗ в  Генералния план за пристанищен терминал „Бургас Изток 1” са образувани нови самостоятелни урегулирани поземлени имота, които дават възможност на Възложителя, в съответствие с инвестиционната си програма да реализира последователно изграждането на сгради и другите пристанищни съоръжения.</w:t>
      </w:r>
      <w:r w:rsidR="00C64DF9"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По този начин строителството във всяко отделно УПИ може да се реализира в отделен и самостоятелен етап.</w:t>
      </w:r>
    </w:p>
    <w:p w14:paraId="1FC5587E" w14:textId="52770736" w:rsidR="005E7BEB" w:rsidRPr="00805152" w:rsidRDefault="005E7BEB" w:rsidP="00310912">
      <w:pPr>
        <w:spacing w:after="120" w:line="360" w:lineRule="auto"/>
        <w:ind w:firstLine="576"/>
        <w:rPr>
          <w:rFonts w:ascii="Times New Roman" w:hAnsi="Times New Roman"/>
          <w:lang w:val="bg-BG"/>
        </w:rPr>
      </w:pPr>
      <w:bookmarkStart w:id="87" w:name="_Hlk95398524"/>
      <w:r w:rsidRPr="00805152">
        <w:rPr>
          <w:rFonts w:ascii="Times New Roman" w:hAnsi="Times New Roman"/>
          <w:lang w:val="bg-BG"/>
        </w:rPr>
        <w:t xml:space="preserve">За реализиране на обекта (според избрания вариант) е изготвен инвестиционен проект: „Рехабилитация </w:t>
      </w:r>
      <w:r w:rsidR="00310912" w:rsidRPr="00805152">
        <w:rPr>
          <w:rFonts w:ascii="Times New Roman" w:hAnsi="Times New Roman"/>
          <w:lang w:val="bg-BG"/>
        </w:rPr>
        <w:t xml:space="preserve">на вълнолом </w:t>
      </w:r>
      <w:r w:rsidR="00B842D5" w:rsidRPr="00805152">
        <w:rPr>
          <w:rFonts w:ascii="Times New Roman" w:hAnsi="Times New Roman"/>
          <w:lang w:val="bg-BG"/>
        </w:rPr>
        <w:t>Бургас</w:t>
      </w:r>
      <w:r w:rsidRPr="00805152">
        <w:rPr>
          <w:rFonts w:ascii="Times New Roman" w:hAnsi="Times New Roman"/>
          <w:lang w:val="bg-BG"/>
        </w:rPr>
        <w:t xml:space="preserve">“, който е оформен в съответствие с изискванията на чл.139 ал. 3 от Закона за устройство на територията и Наредба № 4 от 21.05.2001 г. за обема и съдържанието на инвестиционните проекти във фаза: </w:t>
      </w:r>
      <w:bookmarkEnd w:id="87"/>
      <w:r w:rsidR="00310912" w:rsidRPr="00805152">
        <w:rPr>
          <w:rFonts w:ascii="Times New Roman" w:hAnsi="Times New Roman"/>
          <w:lang w:val="bg-BG"/>
        </w:rPr>
        <w:t>Работен</w:t>
      </w:r>
      <w:r w:rsidRPr="00805152">
        <w:rPr>
          <w:rFonts w:ascii="Times New Roman" w:hAnsi="Times New Roman"/>
          <w:lang w:val="bg-BG"/>
        </w:rPr>
        <w:t xml:space="preserve"> проект</w:t>
      </w:r>
      <w:r w:rsidR="00151812">
        <w:rPr>
          <w:rFonts w:ascii="Times New Roman" w:hAnsi="Times New Roman"/>
          <w:lang w:val="bg-BG"/>
        </w:rPr>
        <w:t xml:space="preserve">, </w:t>
      </w:r>
      <w:r w:rsidRPr="00805152">
        <w:rPr>
          <w:rFonts w:ascii="Times New Roman" w:hAnsi="Times New Roman"/>
          <w:lang w:val="bg-BG"/>
        </w:rPr>
        <w:t>който съдържа  следните проектни части:</w:t>
      </w:r>
    </w:p>
    <w:p w14:paraId="70E0A838" w14:textId="6BD07E9A"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Проектна част: ХТС;</w:t>
      </w:r>
    </w:p>
    <w:p w14:paraId="74309CE9" w14:textId="64E7D7B1" w:rsidR="005E7BEB" w:rsidRPr="00805152" w:rsidRDefault="005E7BEB" w:rsidP="0021547C">
      <w:pPr>
        <w:pStyle w:val="ListParagraph"/>
        <w:numPr>
          <w:ilvl w:val="0"/>
          <w:numId w:val="44"/>
        </w:numPr>
        <w:spacing w:after="120" w:line="360" w:lineRule="auto"/>
        <w:rPr>
          <w:rFonts w:ascii="Times New Roman" w:hAnsi="Times New Roman"/>
          <w:smallCaps/>
          <w:lang w:val="bg-BG"/>
        </w:rPr>
      </w:pPr>
      <w:r w:rsidRPr="00805152">
        <w:rPr>
          <w:rFonts w:ascii="Times New Roman" w:hAnsi="Times New Roman"/>
          <w:lang w:val="bg-BG"/>
        </w:rPr>
        <w:t>Проектна част „Конструктивна“</w:t>
      </w:r>
    </w:p>
    <w:p w14:paraId="080086AB" w14:textId="77777777" w:rsidR="005E7BEB" w:rsidRPr="00805152" w:rsidRDefault="005E7BEB" w:rsidP="0021547C">
      <w:pPr>
        <w:pStyle w:val="ListParagraph"/>
        <w:numPr>
          <w:ilvl w:val="0"/>
          <w:numId w:val="44"/>
        </w:numPr>
        <w:spacing w:after="120" w:line="360" w:lineRule="auto"/>
        <w:rPr>
          <w:rFonts w:ascii="Times New Roman" w:hAnsi="Times New Roman"/>
          <w:smallCaps/>
          <w:lang w:val="bg-BG"/>
        </w:rPr>
      </w:pPr>
      <w:r w:rsidRPr="00805152">
        <w:rPr>
          <w:rFonts w:ascii="Times New Roman" w:hAnsi="Times New Roman"/>
          <w:lang w:val="bg-BG"/>
        </w:rPr>
        <w:t>Проектна част „Пътна“</w:t>
      </w:r>
    </w:p>
    <w:p w14:paraId="173AF084" w14:textId="28AEDBD2"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Част: „Геодези</w:t>
      </w:r>
      <w:r w:rsidR="00310912" w:rsidRPr="00805152">
        <w:rPr>
          <w:rFonts w:ascii="Times New Roman" w:hAnsi="Times New Roman"/>
          <w:lang w:val="bg-BG"/>
        </w:rPr>
        <w:t>я“</w:t>
      </w:r>
      <w:r w:rsidRPr="00805152">
        <w:rPr>
          <w:rFonts w:ascii="Times New Roman" w:hAnsi="Times New Roman"/>
          <w:lang w:val="bg-BG"/>
        </w:rPr>
        <w:t>;</w:t>
      </w:r>
    </w:p>
    <w:p w14:paraId="1AC773EF" w14:textId="15660430"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Част: „Електротехническа“;</w:t>
      </w:r>
    </w:p>
    <w:p w14:paraId="2813350F" w14:textId="77777777"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Част: „ПБЗ“;</w:t>
      </w:r>
    </w:p>
    <w:p w14:paraId="03E73CD8" w14:textId="77777777"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Част: „ПУСО“;</w:t>
      </w:r>
    </w:p>
    <w:p w14:paraId="5915ED61" w14:textId="77777777" w:rsidR="005E7BEB" w:rsidRPr="00805152" w:rsidRDefault="005E7BEB" w:rsidP="0021547C">
      <w:pPr>
        <w:pStyle w:val="ListParagraph"/>
        <w:numPr>
          <w:ilvl w:val="0"/>
          <w:numId w:val="44"/>
        </w:numPr>
        <w:spacing w:after="120" w:line="360" w:lineRule="auto"/>
        <w:rPr>
          <w:rFonts w:ascii="Times New Roman" w:hAnsi="Times New Roman"/>
          <w:lang w:val="bg-BG"/>
        </w:rPr>
      </w:pPr>
      <w:r w:rsidRPr="00805152">
        <w:rPr>
          <w:rFonts w:ascii="Times New Roman" w:hAnsi="Times New Roman"/>
          <w:lang w:val="bg-BG"/>
        </w:rPr>
        <w:t>Част: „Пожарна безопасност“.</w:t>
      </w:r>
    </w:p>
    <w:p w14:paraId="394083F2" w14:textId="7F4BFACE" w:rsidR="005E7BEB" w:rsidRPr="00805152" w:rsidRDefault="005E7BEB" w:rsidP="0021547C">
      <w:pPr>
        <w:pStyle w:val="ListParagraph"/>
        <w:numPr>
          <w:ilvl w:val="0"/>
          <w:numId w:val="44"/>
        </w:numPr>
        <w:spacing w:after="120" w:line="360" w:lineRule="auto"/>
        <w:rPr>
          <w:rFonts w:ascii="Times New Roman" w:hAnsi="Times New Roman"/>
          <w:smallCaps/>
          <w:lang w:val="bg-BG"/>
        </w:rPr>
      </w:pPr>
      <w:r w:rsidRPr="00805152">
        <w:rPr>
          <w:rFonts w:ascii="Times New Roman" w:hAnsi="Times New Roman"/>
          <w:lang w:val="bg-BG"/>
        </w:rPr>
        <w:t>Инженерно-геоложки доклад;</w:t>
      </w:r>
    </w:p>
    <w:p w14:paraId="16DE2B19" w14:textId="77777777" w:rsidR="005E7BEB" w:rsidRPr="00805152" w:rsidRDefault="005E7BEB" w:rsidP="005E7BEB">
      <w:pPr>
        <w:spacing w:after="120" w:line="360" w:lineRule="auto"/>
        <w:rPr>
          <w:rFonts w:ascii="Times New Roman" w:hAnsi="Times New Roman"/>
          <w:lang w:val="bg-BG"/>
        </w:rPr>
      </w:pPr>
      <w:bookmarkStart w:id="88" w:name="_Hlk95398508"/>
      <w:r w:rsidRPr="00805152">
        <w:rPr>
          <w:rFonts w:ascii="Times New Roman" w:hAnsi="Times New Roman"/>
          <w:lang w:val="bg-BG"/>
        </w:rPr>
        <w:t>За инвестиционния проект са извършени необходимите съгласувателни дейности.</w:t>
      </w:r>
    </w:p>
    <w:p w14:paraId="64282D6E" w14:textId="5E7F0B9E" w:rsidR="005E7BEB" w:rsidRPr="00805152" w:rsidRDefault="005E7BEB" w:rsidP="005E7BEB">
      <w:pPr>
        <w:spacing w:after="120" w:line="360" w:lineRule="auto"/>
        <w:rPr>
          <w:rFonts w:ascii="Times New Roman" w:hAnsi="Times New Roman"/>
          <w:lang w:val="bg-BG"/>
        </w:rPr>
      </w:pPr>
      <w:r w:rsidRPr="00805152">
        <w:rPr>
          <w:rFonts w:ascii="Times New Roman" w:hAnsi="Times New Roman"/>
          <w:lang w:val="bg-BG"/>
        </w:rPr>
        <w:t>Проектът е съгласуван от Министерство на транспорта, информационните технологии и съобщенията (МТИТС) по реда на чл. 112г, ал. 3 от ЗМПВВППРБ</w:t>
      </w:r>
      <w:r w:rsidR="00B03C86" w:rsidRPr="00805152">
        <w:rPr>
          <w:rFonts w:ascii="Times New Roman" w:hAnsi="Times New Roman"/>
          <w:lang w:val="bg-BG"/>
        </w:rPr>
        <w:t>.</w:t>
      </w:r>
    </w:p>
    <w:p w14:paraId="7463BC82" w14:textId="335E3B49" w:rsidR="005E7BEB" w:rsidRPr="00805152" w:rsidRDefault="005E7BEB" w:rsidP="00310912">
      <w:pPr>
        <w:spacing w:after="120" w:line="360" w:lineRule="auto"/>
        <w:ind w:firstLine="709"/>
        <w:rPr>
          <w:rFonts w:ascii="Times New Roman" w:hAnsi="Times New Roman"/>
          <w:lang w:val="bg-BG"/>
        </w:rPr>
      </w:pPr>
      <w:r w:rsidRPr="00805152">
        <w:rPr>
          <w:rFonts w:ascii="Times New Roman" w:hAnsi="Times New Roman"/>
          <w:lang w:val="bg-BG"/>
        </w:rPr>
        <w:t>За реализиране на инвестиционното намерение са проведени необходимите процедури по Закона за опазване на околната среда (ЗООС), Закона за биологичното разнообразие (ЗБР) и Закона за водите</w:t>
      </w:r>
      <w:r w:rsidR="00B03C86" w:rsidRPr="00805152">
        <w:rPr>
          <w:rFonts w:ascii="Times New Roman" w:hAnsi="Times New Roman"/>
          <w:lang w:val="bg-BG"/>
        </w:rPr>
        <w:t>.</w:t>
      </w:r>
    </w:p>
    <w:p w14:paraId="411538D6" w14:textId="77777777" w:rsidR="00B03C86" w:rsidRPr="00805152" w:rsidRDefault="00B03C86" w:rsidP="00A10844">
      <w:pPr>
        <w:spacing w:after="0"/>
        <w:ind w:firstLine="709"/>
        <w:rPr>
          <w:rFonts w:ascii="Times New Roman" w:hAnsi="Times New Roman"/>
          <w:bCs/>
          <w:iCs/>
          <w:lang w:val="bg-BG"/>
        </w:rPr>
      </w:pPr>
      <w:r w:rsidRPr="00805152">
        <w:rPr>
          <w:rFonts w:ascii="Times New Roman" w:hAnsi="Times New Roman"/>
          <w:bCs/>
          <w:iCs/>
          <w:lang w:val="bg-BG"/>
        </w:rPr>
        <w:t>От ДППИ е подадено заявление до Басейнова дирекция – Черноморски район и предстои издаване на Разрешение за ползване на воден обект.</w:t>
      </w:r>
    </w:p>
    <w:p w14:paraId="646ADD7A" w14:textId="244EE799" w:rsidR="005E7BEB" w:rsidRPr="00805152" w:rsidRDefault="00A10844" w:rsidP="00A10844">
      <w:pPr>
        <w:spacing w:after="120" w:line="360" w:lineRule="auto"/>
        <w:ind w:firstLine="709"/>
        <w:rPr>
          <w:rFonts w:ascii="Times New Roman" w:hAnsi="Times New Roman"/>
          <w:lang w:val="bg-BG"/>
        </w:rPr>
      </w:pPr>
      <w:r w:rsidRPr="00805152">
        <w:rPr>
          <w:rFonts w:ascii="Times New Roman" w:hAnsi="Times New Roman"/>
          <w:lang w:val="bg-BG"/>
        </w:rPr>
        <w:lastRenderedPageBreak/>
        <w:t>В съответствие с нормативните изисквания е н</w:t>
      </w:r>
      <w:r w:rsidR="00310912" w:rsidRPr="00805152">
        <w:rPr>
          <w:rFonts w:ascii="Times New Roman" w:hAnsi="Times New Roman"/>
          <w:lang w:val="bg-BG"/>
        </w:rPr>
        <w:t>еобходимо да бъде изготвен</w:t>
      </w:r>
      <w:r w:rsidR="005E7BEB" w:rsidRPr="00805152">
        <w:rPr>
          <w:rFonts w:ascii="Times New Roman" w:hAnsi="Times New Roman"/>
          <w:lang w:val="bg-BG"/>
        </w:rPr>
        <w:t xml:space="preserve"> </w:t>
      </w:r>
      <w:r w:rsidRPr="00805152">
        <w:rPr>
          <w:rFonts w:ascii="Times New Roman" w:hAnsi="Times New Roman"/>
          <w:lang w:val="bg-BG"/>
        </w:rPr>
        <w:t>Д</w:t>
      </w:r>
      <w:r w:rsidR="005E7BEB" w:rsidRPr="00805152">
        <w:rPr>
          <w:rFonts w:ascii="Times New Roman" w:hAnsi="Times New Roman"/>
          <w:lang w:val="bg-BG"/>
        </w:rPr>
        <w:t xml:space="preserve">оклад за оценка на съответствието на </w:t>
      </w:r>
      <w:r w:rsidR="00EE6979">
        <w:rPr>
          <w:rFonts w:ascii="Times New Roman" w:hAnsi="Times New Roman"/>
          <w:lang w:val="bg-BG"/>
        </w:rPr>
        <w:t xml:space="preserve">изготвения </w:t>
      </w:r>
      <w:r w:rsidR="005E7BEB" w:rsidRPr="00805152">
        <w:rPr>
          <w:rFonts w:ascii="Times New Roman" w:hAnsi="Times New Roman"/>
          <w:lang w:val="bg-BG"/>
        </w:rPr>
        <w:t>инвестицион</w:t>
      </w:r>
      <w:r w:rsidR="00EE6979">
        <w:rPr>
          <w:rFonts w:ascii="Times New Roman" w:hAnsi="Times New Roman"/>
          <w:lang w:val="bg-BG"/>
        </w:rPr>
        <w:t>е</w:t>
      </w:r>
      <w:r w:rsidR="005C5BB4">
        <w:rPr>
          <w:rFonts w:ascii="Times New Roman" w:hAnsi="Times New Roman"/>
          <w:lang w:val="bg-BG"/>
        </w:rPr>
        <w:t>н</w:t>
      </w:r>
      <w:r w:rsidR="005C5BB4">
        <w:rPr>
          <w:rFonts w:ascii="Times New Roman" w:hAnsi="Times New Roman"/>
          <w:lang w:val="en-US"/>
        </w:rPr>
        <w:t xml:space="preserve"> </w:t>
      </w:r>
      <w:r w:rsidR="005E7BEB" w:rsidRPr="00805152">
        <w:rPr>
          <w:rFonts w:ascii="Times New Roman" w:hAnsi="Times New Roman"/>
          <w:lang w:val="bg-BG"/>
        </w:rPr>
        <w:t xml:space="preserve">проект </w:t>
      </w:r>
      <w:r w:rsidR="00EE6979" w:rsidRPr="00EE6979">
        <w:rPr>
          <w:rFonts w:ascii="Times New Roman" w:hAnsi="Times New Roman"/>
          <w:lang w:val="bg-BG"/>
        </w:rPr>
        <w:t>за „Рехабилитация на вълнолом в пристанище Бургас“</w:t>
      </w:r>
      <w:r w:rsidR="00EE6979">
        <w:rPr>
          <w:rFonts w:ascii="Times New Roman" w:hAnsi="Times New Roman"/>
          <w:lang w:val="bg-BG"/>
        </w:rPr>
        <w:t xml:space="preserve"> </w:t>
      </w:r>
      <w:r w:rsidR="005E7BEB" w:rsidRPr="00805152">
        <w:rPr>
          <w:rFonts w:ascii="Times New Roman" w:hAnsi="Times New Roman"/>
          <w:lang w:val="bg-BG"/>
        </w:rPr>
        <w:t xml:space="preserve">от назначен от ДП „Пристанищна инфраструктура“ лицензиран консултант - Строителен надзор (чл. 166 от ЗУТ), </w:t>
      </w:r>
      <w:r w:rsidRPr="00805152">
        <w:rPr>
          <w:rFonts w:ascii="Times New Roman" w:hAnsi="Times New Roman"/>
          <w:lang w:val="bg-BG"/>
        </w:rPr>
        <w:t>с който проекта да бъде внесен в</w:t>
      </w:r>
      <w:r w:rsidR="005E7BEB" w:rsidRPr="00805152">
        <w:rPr>
          <w:rFonts w:ascii="Times New Roman" w:hAnsi="Times New Roman"/>
          <w:lang w:val="bg-BG"/>
        </w:rPr>
        <w:t xml:space="preserve"> Министерство на регионалното развитие и благоустройство за одобр</w:t>
      </w:r>
      <w:r w:rsidRPr="00805152">
        <w:rPr>
          <w:rFonts w:ascii="Times New Roman" w:hAnsi="Times New Roman"/>
          <w:lang w:val="bg-BG"/>
        </w:rPr>
        <w:t xml:space="preserve">яване и </w:t>
      </w:r>
      <w:r w:rsidR="005E7BEB" w:rsidRPr="00805152">
        <w:rPr>
          <w:rFonts w:ascii="Times New Roman" w:hAnsi="Times New Roman"/>
          <w:lang w:val="bg-BG"/>
        </w:rPr>
        <w:t>изда</w:t>
      </w:r>
      <w:r w:rsidRPr="00805152">
        <w:rPr>
          <w:rFonts w:ascii="Times New Roman" w:hAnsi="Times New Roman"/>
          <w:lang w:val="bg-BG"/>
        </w:rPr>
        <w:t>ване на Разрешение за строеж.</w:t>
      </w:r>
    </w:p>
    <w:bookmarkEnd w:id="88"/>
    <w:p w14:paraId="07CB78E5" w14:textId="0DC6DE79" w:rsidR="00E21053" w:rsidRPr="00805152" w:rsidRDefault="00E21053" w:rsidP="00E21053">
      <w:pPr>
        <w:widowControl w:val="0"/>
        <w:autoSpaceDE w:val="0"/>
        <w:autoSpaceDN w:val="0"/>
        <w:adjustRightInd w:val="0"/>
        <w:ind w:firstLine="708"/>
        <w:rPr>
          <w:rFonts w:ascii="Times New Roman" w:eastAsia="Times New Roman" w:hAnsi="Times New Roman"/>
          <w:bCs/>
          <w:lang w:val="bg-BG"/>
        </w:rPr>
      </w:pPr>
      <w:r w:rsidRPr="00805152">
        <w:rPr>
          <w:rFonts w:ascii="Times New Roman" w:eastAsia="Times New Roman" w:hAnsi="Times New Roman"/>
          <w:bCs/>
          <w:lang w:val="bg-BG"/>
        </w:rPr>
        <w:t>Правният анализ на собствеността на територията и на пристанищните съоръжения на пристанище Бургас и по точно на пристанищен терминал Бургас – изток 1, на територията на който е разположен Вълнолома</w:t>
      </w:r>
      <w:r w:rsidR="000D5FC9" w:rsidRPr="00805152">
        <w:rPr>
          <w:rFonts w:ascii="Times New Roman" w:eastAsia="Times New Roman" w:hAnsi="Times New Roman"/>
          <w:bCs/>
          <w:lang w:val="bg-BG"/>
        </w:rPr>
        <w:t>,</w:t>
      </w:r>
      <w:r w:rsidRPr="00805152">
        <w:rPr>
          <w:rFonts w:ascii="Times New Roman" w:eastAsia="Times New Roman" w:hAnsi="Times New Roman"/>
          <w:bCs/>
          <w:lang w:val="bg-BG"/>
        </w:rPr>
        <w:t xml:space="preserve"> </w:t>
      </w:r>
      <w:r w:rsidR="00DC024B" w:rsidRPr="00DC024B">
        <w:rPr>
          <w:rFonts w:ascii="Times New Roman" w:eastAsia="Times New Roman" w:hAnsi="Times New Roman"/>
          <w:bCs/>
          <w:lang w:val="bg-BG"/>
        </w:rPr>
        <w:t>съдържа описаните в т. 4.6.2 до т. 4.6.5 констатации, изводи и заключения</w:t>
      </w:r>
      <w:r w:rsidR="00A80F7D">
        <w:rPr>
          <w:rFonts w:ascii="Times New Roman" w:eastAsia="Times New Roman" w:hAnsi="Times New Roman"/>
          <w:bCs/>
          <w:lang w:val="bg-BG"/>
        </w:rPr>
        <w:t>.</w:t>
      </w:r>
    </w:p>
    <w:p w14:paraId="50BE6C6A" w14:textId="66448116" w:rsidR="00E21053" w:rsidRPr="00805152" w:rsidRDefault="00E21053" w:rsidP="007D3201">
      <w:pPr>
        <w:pStyle w:val="Heading3"/>
        <w:rPr>
          <w:rFonts w:ascii="Times New Roman" w:hAnsi="Times New Roman"/>
          <w:lang w:val="bg-BG" w:eastAsia="bg-BG"/>
        </w:rPr>
      </w:pPr>
      <w:bookmarkStart w:id="89" w:name="_Toc136961110"/>
      <w:r w:rsidRPr="00805152">
        <w:rPr>
          <w:rFonts w:ascii="Times New Roman" w:hAnsi="Times New Roman"/>
          <w:lang w:val="bg-BG" w:eastAsia="bg-BG"/>
        </w:rPr>
        <w:t>П</w:t>
      </w:r>
      <w:r w:rsidR="00D353C8" w:rsidRPr="00805152">
        <w:rPr>
          <w:rFonts w:ascii="Times New Roman" w:hAnsi="Times New Roman"/>
          <w:lang w:val="bg-BG" w:eastAsia="bg-BG"/>
        </w:rPr>
        <w:t>риложимо право</w:t>
      </w:r>
      <w:bookmarkEnd w:id="89"/>
    </w:p>
    <w:p w14:paraId="3451FD38" w14:textId="77777777" w:rsidR="00E21053" w:rsidRPr="00805152" w:rsidRDefault="00E21053" w:rsidP="00E21053">
      <w:pPr>
        <w:spacing w:after="0" w:line="240" w:lineRule="auto"/>
        <w:ind w:firstLine="709"/>
        <w:rPr>
          <w:rFonts w:ascii="Times New Roman" w:eastAsiaTheme="minorEastAsia" w:hAnsi="Times New Roman"/>
          <w:sz w:val="24"/>
          <w:lang w:val="bg-BG" w:eastAsia="bg-BG"/>
        </w:rPr>
      </w:pPr>
    </w:p>
    <w:p w14:paraId="486C1799"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b/>
          <w:lang w:val="bg-BG" w:eastAsia="bg-BG"/>
        </w:rPr>
      </w:pPr>
      <w:r w:rsidRPr="00151812">
        <w:rPr>
          <w:rFonts w:ascii="Times New Roman" w:eastAsiaTheme="minorEastAsia" w:hAnsi="Times New Roman"/>
          <w:b/>
          <w:lang w:val="bg-BG" w:eastAsia="bg-BG"/>
        </w:rPr>
        <w:t>ЗАКОН ЗА МОРСКИТЕ ПРОСТРАНСТВА, ВЪТРЕШНИТЕ ВОДНИ ПЪТИЩА И ПРИСТАНИЩАТА НА РЕПУБЛИКА БЪЛГАРИЯ (</w:t>
      </w:r>
      <w:r w:rsidRPr="00151812">
        <w:rPr>
          <w:rFonts w:ascii="Times New Roman" w:eastAsiaTheme="minorEastAsia" w:hAnsi="Times New Roman"/>
          <w:lang w:val="bg-BG" w:eastAsia="bg-BG"/>
        </w:rPr>
        <w:t>Обн., ДВ, бр. 12 от 11.02.2000 г., посл. изм. и доп. ДВ, бр. 102 от 23.12.2022 г., в сила от 1.01.2023 г.)</w:t>
      </w:r>
    </w:p>
    <w:p w14:paraId="75D222A5"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lang w:val="bg-BG" w:eastAsia="bg-BG"/>
        </w:rPr>
      </w:pPr>
      <w:r w:rsidRPr="00151812">
        <w:rPr>
          <w:rFonts w:ascii="Times New Roman" w:eastAsiaTheme="minorEastAsia" w:hAnsi="Times New Roman"/>
          <w:b/>
          <w:lang w:val="bg-BG" w:eastAsia="bg-BG"/>
        </w:rPr>
        <w:t>ЗАКОН ЗА КОНЦЕСИИТЕ (</w:t>
      </w:r>
      <w:r w:rsidRPr="00151812">
        <w:rPr>
          <w:rFonts w:ascii="Times New Roman" w:eastAsiaTheme="minorEastAsia" w:hAnsi="Times New Roman"/>
          <w:lang w:val="bg-BG" w:eastAsia="bg-BG"/>
        </w:rPr>
        <w:t>обн., ДВ, бр. 96 от 1.12.2017 г., посл. изм. и доп. бр. 8 от 25.01.2023 г.)</w:t>
      </w:r>
    </w:p>
    <w:p w14:paraId="1987FA85"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lang w:val="bg-BG" w:eastAsia="bg-BG"/>
        </w:rPr>
      </w:pPr>
      <w:r w:rsidRPr="00151812">
        <w:rPr>
          <w:rFonts w:ascii="Times New Roman" w:eastAsiaTheme="minorEastAsia" w:hAnsi="Times New Roman"/>
          <w:b/>
          <w:lang w:val="bg-BG" w:eastAsia="bg-BG"/>
        </w:rPr>
        <w:t>ЗАКОН ЗА УСТРОЙСТВО НА ТЕРИТОРИЯТА (</w:t>
      </w:r>
      <w:r w:rsidRPr="00151812">
        <w:rPr>
          <w:rFonts w:ascii="Times New Roman" w:eastAsiaTheme="minorEastAsia" w:hAnsi="Times New Roman"/>
          <w:lang w:val="bg-BG" w:eastAsia="bg-BG"/>
        </w:rPr>
        <w:t>Обн., ДВ, бр. 1 от 2.01.2001 г., посл. изм. и доп., бр. 6 от 20.01.2023 г., в сила от 20.01.2023 г.)</w:t>
      </w:r>
    </w:p>
    <w:p w14:paraId="10A28D6C"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lang w:val="bg-BG" w:eastAsia="bg-BG"/>
        </w:rPr>
      </w:pPr>
      <w:r w:rsidRPr="00151812">
        <w:rPr>
          <w:rFonts w:ascii="Times New Roman" w:eastAsiaTheme="minorEastAsia" w:hAnsi="Times New Roman"/>
          <w:b/>
          <w:lang w:val="bg-BG" w:eastAsia="bg-BG"/>
        </w:rPr>
        <w:t>ЗАКОН ЗА ДЪРЖАВНИТЕ ПОМОЩИ</w:t>
      </w:r>
      <w:r w:rsidRPr="00151812">
        <w:rPr>
          <w:rFonts w:ascii="Times New Roman" w:eastAsiaTheme="minorEastAsia" w:hAnsi="Times New Roman"/>
          <w:lang w:val="bg-BG" w:eastAsia="bg-BG"/>
        </w:rPr>
        <w:t xml:space="preserve"> (Обн., ДВ, бр. 85 от 24.10.2017 г., изм., бр. 102 от 23.12.2022 г., в сила от 1.01.2023 г.)</w:t>
      </w:r>
    </w:p>
    <w:p w14:paraId="47181830"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lang w:val="bg-BG"/>
        </w:rPr>
      </w:pPr>
      <w:r w:rsidRPr="00151812">
        <w:rPr>
          <w:rFonts w:ascii="Times New Roman" w:eastAsiaTheme="minorEastAsia" w:hAnsi="Times New Roman"/>
          <w:b/>
          <w:lang w:val="bg-BG"/>
        </w:rPr>
        <w:t>РЕГЛАМЕНТ (ЕС) 2017/352 НА ЕВРОПЕЙСКИЯ ПАРЛАМЕНТ И НА СЪВЕТА</w:t>
      </w:r>
      <w:r w:rsidRPr="00151812">
        <w:rPr>
          <w:rFonts w:ascii="Times New Roman" w:eastAsiaTheme="minorEastAsia" w:hAnsi="Times New Roman"/>
          <w:lang w:val="bg-BG"/>
        </w:rPr>
        <w:t xml:space="preserve"> от 15 февруари 2017 г. за създаване на рамка за предоставянето на пристанищни услуги и общи правила за финансовата прозрачност на пристанищата, (ОВ L 57., 03.03.2017 г., стр. 1-19), влязъл в сила на 24 март 2017 г., прилагащ се пряко в своята цялост във всички държави членки от 24 март 2019 г.</w:t>
      </w:r>
    </w:p>
    <w:p w14:paraId="0264CCDF" w14:textId="77777777" w:rsidR="00E21053" w:rsidRPr="00151812" w:rsidRDefault="00E21053" w:rsidP="00571E5E">
      <w:pPr>
        <w:pStyle w:val="ListParagraph"/>
        <w:numPr>
          <w:ilvl w:val="0"/>
          <w:numId w:val="79"/>
        </w:numPr>
        <w:spacing w:after="0" w:line="360" w:lineRule="auto"/>
        <w:ind w:left="567" w:hanging="283"/>
        <w:rPr>
          <w:rFonts w:ascii="Times New Roman" w:eastAsiaTheme="minorHAnsi" w:hAnsi="Times New Roman"/>
          <w:b/>
          <w:lang w:val="bg-BG"/>
        </w:rPr>
      </w:pPr>
      <w:r w:rsidRPr="00151812">
        <w:rPr>
          <w:rFonts w:ascii="Times New Roman" w:eastAsiaTheme="minorHAnsi" w:hAnsi="Times New Roman"/>
          <w:b/>
          <w:lang w:val="bg-BG"/>
        </w:rPr>
        <w:t>РЕГЛАМЕНТ (ЕС) № 651/2014 НА КОМИСИЯТА НА КОМИСИЯТА ОТ 17 ЮНИ 2014 ГОДИНА ЗА ОБЯВЯВАНЕ НА НЯКОИ КАТЕГОРИИ ПОМОЩИ ЗА СЪВМЕСТИМИ С ВЪТРЕШНИЯ ПАЗАР В ПРИЛОЖЕНИЕ НА ЧЛЕНОВЕ 107 И 108 ОТ ДОГОВОРА (ОВ L 187, 26.6.2014 Г.) ИЛИ ОБЩИЯТ РЕГЛАМЕНТ ЗА ГРУПОВО ОСВОБОЖДАВАНЕ (ОРГО)</w:t>
      </w:r>
    </w:p>
    <w:p w14:paraId="70143BE9" w14:textId="77777777" w:rsidR="00E21053" w:rsidRPr="00151812" w:rsidRDefault="00E21053" w:rsidP="00571E5E">
      <w:pPr>
        <w:pStyle w:val="ListParagraph"/>
        <w:numPr>
          <w:ilvl w:val="0"/>
          <w:numId w:val="79"/>
        </w:numPr>
        <w:spacing w:after="0" w:line="360" w:lineRule="auto"/>
        <w:ind w:left="567" w:hanging="283"/>
        <w:rPr>
          <w:rFonts w:ascii="Times New Roman" w:eastAsiaTheme="minorEastAsia" w:hAnsi="Times New Roman"/>
          <w:lang w:val="bg-BG"/>
        </w:rPr>
      </w:pPr>
      <w:r w:rsidRPr="00151812">
        <w:rPr>
          <w:rFonts w:ascii="Times New Roman" w:eastAsiaTheme="minorEastAsia" w:hAnsi="Times New Roman"/>
          <w:b/>
          <w:bCs/>
          <w:lang w:val="bg-BG"/>
        </w:rPr>
        <w:t>НАРЕДБА № 10 ОТ 31.03.2014 Г. ЗА ОБХВАТА И СЪДЪРЖАНИЕТО, ИЗРАБОТВАНЕТО, ОДОБРЯВАНЕТО И ИЗМЕНЕНИЕТО НА ГЕНЕРАЛНИТЕ ПЛАНОВЕ НА ПРИСТАНИЩАТА ЗА ОБЩЕСТВЕН ТРАНСПОРТ (</w:t>
      </w:r>
      <w:r w:rsidRPr="00151812">
        <w:rPr>
          <w:rFonts w:ascii="Times New Roman" w:eastAsiaTheme="minorEastAsia" w:hAnsi="Times New Roman"/>
          <w:lang w:val="bg-BG"/>
        </w:rPr>
        <w:t xml:space="preserve">Издадена от министъра на транспорта, </w:t>
      </w:r>
      <w:r w:rsidRPr="00151812">
        <w:rPr>
          <w:rFonts w:ascii="Times New Roman" w:eastAsiaTheme="minorEastAsia" w:hAnsi="Times New Roman"/>
          <w:lang w:val="bg-BG"/>
        </w:rPr>
        <w:lastRenderedPageBreak/>
        <w:t>информационните технологии и съобщенията и министъра на регионалното развитие, обн., ДВ, бр. 32 от 8.04.2014 г., посл. изм., бр. 2 от 9.01.2015 г., в сила от 9.01.2015 г.)</w:t>
      </w:r>
    </w:p>
    <w:p w14:paraId="0861B4F3" w14:textId="75751CD7" w:rsidR="00E21053" w:rsidRPr="00571E5E" w:rsidRDefault="00E21053" w:rsidP="00571E5E">
      <w:pPr>
        <w:pStyle w:val="ListParagraph"/>
        <w:numPr>
          <w:ilvl w:val="0"/>
          <w:numId w:val="79"/>
        </w:numPr>
        <w:spacing w:after="0" w:line="360" w:lineRule="auto"/>
        <w:ind w:left="567" w:hanging="283"/>
        <w:rPr>
          <w:rFonts w:ascii="Times New Roman" w:eastAsiaTheme="minorEastAsia" w:hAnsi="Times New Roman"/>
          <w:lang w:val="bg-BG" w:eastAsia="bg-BG"/>
        </w:rPr>
      </w:pPr>
      <w:r w:rsidRPr="00151812">
        <w:rPr>
          <w:rFonts w:ascii="Times New Roman" w:eastAsiaTheme="minorEastAsia" w:hAnsi="Times New Roman"/>
          <w:b/>
          <w:lang w:val="bg-BG" w:eastAsia="bg-BG"/>
        </w:rPr>
        <w:t xml:space="preserve">НАРЕДБА № 9 ОТ 17.10.2013 Г. ЗА ИЗИСКВАНИЯТА ЗА ЕКСПЛОАТАЦИОННА ГОДНОСТ НА ПРИСТАНИЩАТА И СПЕЦИАЛИЗИРАНИТЕ ПРИСТАНИЩНИ ОБЕКТИ </w:t>
      </w:r>
      <w:r w:rsidRPr="00151812">
        <w:rPr>
          <w:rFonts w:ascii="Times New Roman" w:eastAsiaTheme="minorEastAsia" w:hAnsi="Times New Roman"/>
          <w:lang w:val="bg-BG" w:eastAsia="bg-BG"/>
        </w:rPr>
        <w:t>(издадена от министъра на транспорта, информационните технологии и съобщенията, обн., ДВ, </w:t>
      </w:r>
      <w:hyperlink r:id="rId41" w:tgtFrame="_blank" w:history="1">
        <w:r w:rsidRPr="00151812">
          <w:rPr>
            <w:rFonts w:ascii="Times New Roman" w:eastAsiaTheme="minorEastAsia" w:hAnsi="Times New Roman"/>
            <w:lang w:val="bg-BG" w:eastAsia="bg-BG"/>
          </w:rPr>
          <w:t>бр. 96</w:t>
        </w:r>
      </w:hyperlink>
      <w:r w:rsidRPr="00151812">
        <w:rPr>
          <w:rFonts w:ascii="Times New Roman" w:eastAsiaTheme="minorEastAsia" w:hAnsi="Times New Roman"/>
          <w:lang w:val="bg-BG" w:eastAsia="bg-BG"/>
        </w:rPr>
        <w:t> от 5.11.2013 г., посл. доп., бр. 103 от 28.12.2017 г., в сила от 28.12.2017 г.)</w:t>
      </w:r>
    </w:p>
    <w:p w14:paraId="27677431" w14:textId="2D005906" w:rsidR="00E21053" w:rsidRPr="00805152" w:rsidRDefault="00E21053" w:rsidP="00571E5E">
      <w:pPr>
        <w:pStyle w:val="Heading3"/>
        <w:spacing w:line="360" w:lineRule="auto"/>
        <w:jc w:val="both"/>
        <w:rPr>
          <w:rFonts w:ascii="Times New Roman" w:hAnsi="Times New Roman"/>
          <w:lang w:val="bg-BG" w:eastAsia="bg-BG"/>
        </w:rPr>
      </w:pPr>
      <w:bookmarkStart w:id="90" w:name="_Toc136961111"/>
      <w:r w:rsidRPr="00805152">
        <w:rPr>
          <w:rFonts w:ascii="Times New Roman" w:hAnsi="Times New Roman"/>
          <w:lang w:val="bg-BG" w:eastAsia="bg-BG"/>
        </w:rPr>
        <w:t>У</w:t>
      </w:r>
      <w:r w:rsidR="00D353C8" w:rsidRPr="00805152">
        <w:rPr>
          <w:rFonts w:ascii="Times New Roman" w:hAnsi="Times New Roman"/>
          <w:lang w:val="bg-BG" w:eastAsia="bg-BG"/>
        </w:rPr>
        <w:t>становяване и анализ на собствеността върху пристанищен терминал „Бургас – Изток 1“, част от пристанище за обществен транспорт Бургас по см. на чл. 106а от ЗМПВВППРБ</w:t>
      </w:r>
      <w:bookmarkEnd w:id="90"/>
      <w:r w:rsidR="00D353C8" w:rsidRPr="00805152">
        <w:rPr>
          <w:rFonts w:ascii="Times New Roman" w:hAnsi="Times New Roman"/>
          <w:lang w:val="bg-BG" w:eastAsia="bg-BG"/>
        </w:rPr>
        <w:t xml:space="preserve"> </w:t>
      </w:r>
    </w:p>
    <w:p w14:paraId="4D1B0C33"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Пристанищен терминал „Бургас – Изток 1“ представлява териториално обособена зона от пристанище за обществен транспорт по см. на чл. 106а от ЗМПВВППРБ Бургас, която осигурява завършен процес по приемане, обработка, съхраняване и експедиране на определен тип товари и/или поща по определена технология или за обслужване на пътници.</w:t>
      </w:r>
    </w:p>
    <w:p w14:paraId="21AFD7AC" w14:textId="77777777" w:rsidR="00E21053" w:rsidRPr="00805152" w:rsidRDefault="00E21053" w:rsidP="000C5C5A">
      <w:pPr>
        <w:spacing w:after="0" w:line="360" w:lineRule="auto"/>
        <w:ind w:firstLine="709"/>
        <w:rPr>
          <w:rFonts w:ascii="Times New Roman" w:eastAsiaTheme="minorEastAsia" w:hAnsi="Times New Roman"/>
          <w:b/>
          <w:sz w:val="22"/>
          <w:lang w:val="bg-BG" w:eastAsia="bg-BG"/>
        </w:rPr>
      </w:pPr>
      <w:r w:rsidRPr="00805152">
        <w:rPr>
          <w:rFonts w:ascii="Times New Roman" w:eastAsiaTheme="minorEastAsia" w:hAnsi="Times New Roman"/>
          <w:sz w:val="22"/>
          <w:lang w:val="bg-BG" w:eastAsia="bg-BG"/>
        </w:rPr>
        <w:t xml:space="preserve">Член 103, ал. 5 от ЗМПВВППРБ определя, че пристанищните терминали включват оперативна зона, която е съоръжена в съответствие с предназначението на терминала и технологията на обработка на съответния тип товари. Според технологията на обработка на съответния тип товари и предназначението на терминала той може да включва зона за съхраняване на товари </w:t>
      </w:r>
      <w:r w:rsidRPr="00805152">
        <w:rPr>
          <w:rFonts w:ascii="Times New Roman" w:eastAsiaTheme="minorEastAsia" w:hAnsi="Times New Roman"/>
          <w:b/>
          <w:sz w:val="22"/>
          <w:lang w:val="bg-BG" w:eastAsia="bg-BG"/>
        </w:rPr>
        <w:t>и части от общата техническа инфраструктура на пристанището.</w:t>
      </w:r>
    </w:p>
    <w:p w14:paraId="5D59829D" w14:textId="7C3CD576" w:rsidR="00E21053" w:rsidRPr="00805152" w:rsidRDefault="00E21053" w:rsidP="00571E5E">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Територията и пристанищната инфраструктура в Пристанищен терминал „Бургас – Изток 1“ е публична държавна собственост, предоставена за управление на Държавно предприятие „Пристанищна инфраструктура“ (ДППИ).</w:t>
      </w:r>
    </w:p>
    <w:p w14:paraId="4DF4A836"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Видно от Регистъра на пристанищата, воден от Изпълнителна агенция „Морска администрация”, по отношение на Пристанищен терминал „Бургас – Изток 1“ са налице две вписвания, а именно:</w:t>
      </w:r>
    </w:p>
    <w:p w14:paraId="3DE5FE07" w14:textId="5D22A496" w:rsidR="00E21053" w:rsidRPr="00805152" w:rsidRDefault="00E21053" w:rsidP="000C5C5A">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1) Пристанище за обществен транспорт Бургас, Пристанищен терминал Бургас-изток-1 с предлагани пристанищни услуги: обработка на товари (товарене, разтоварване, подреждане, съхраняване, преопаковка, вътрешнопристанищен превоз на товари, контейнеризация, деконтейнеризация); пътнически услуги; швартоване; снабдяване на корабите с вода, комуникации и електрическа енергия; приемане и обработване на отпадъци – резултат от корабоплавателна дейност (съгласно Анекси І, ІV и V от МАРПОЛ 73/78) по отношение на типове обработвани товари: неопасни генерални, насипни, наливни, Ро-Ро товари и контейнери, опасни насипни и генерални товари от клас 4, подклас 4.1. и 4.3.; клас 5, подклас 5.1.; клас 6, подклас 6.1. по Класификацията на ИМО.</w:t>
      </w:r>
    </w:p>
    <w:p w14:paraId="3B4F274A" w14:textId="77777777" w:rsidR="00E21053" w:rsidRPr="00805152" w:rsidRDefault="00E21053" w:rsidP="000C5C5A">
      <w:pPr>
        <w:spacing w:after="0" w:line="360" w:lineRule="auto"/>
        <w:ind w:firstLine="709"/>
        <w:rPr>
          <w:rFonts w:ascii="Times New Roman" w:eastAsiaTheme="minorEastAsia" w:hAnsi="Times New Roman"/>
          <w:b/>
          <w:bCs/>
          <w:sz w:val="22"/>
          <w:lang w:val="bg-BG" w:eastAsia="bg-BG"/>
        </w:rPr>
      </w:pPr>
      <w:r w:rsidRPr="00805152">
        <w:rPr>
          <w:rFonts w:ascii="Times New Roman" w:eastAsiaTheme="minorEastAsia" w:hAnsi="Times New Roman"/>
          <w:bCs/>
          <w:sz w:val="22"/>
          <w:lang w:val="bg-BG" w:eastAsia="bg-BG"/>
        </w:rPr>
        <w:lastRenderedPageBreak/>
        <w:t>2) Пристанищен терминал Бургас-изток-1, Обособена зона МАРИНА ПОРТ БУРГАС, която по своето предназначение отговаря на характеристиките на пристанище по чл. 108 от ЗМПВВППРБ с предлагани пристанищни услуги: швартоване, снабдяване на корабите с вода, комуникации и електрическа енергия; приемане и обработване на отпадъци – резултат от корабоплавателна дейност (съгласно Анекси V от МАРПОЛ 73/78)</w:t>
      </w:r>
    </w:p>
    <w:p w14:paraId="66A30611" w14:textId="6C8933B3"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Посочените по-горе две вписвания по отношение на </w:t>
      </w:r>
      <w:r w:rsidRPr="00805152">
        <w:rPr>
          <w:rFonts w:ascii="Times New Roman" w:eastAsiaTheme="minorEastAsia" w:hAnsi="Times New Roman"/>
          <w:bCs/>
          <w:sz w:val="22"/>
          <w:lang w:val="bg-BG" w:eastAsia="bg-BG"/>
        </w:rPr>
        <w:t>Пристанищен терминал „Бургас – Изток 1“</w:t>
      </w:r>
      <w:r w:rsidRPr="00805152">
        <w:rPr>
          <w:rFonts w:ascii="Times New Roman" w:eastAsiaTheme="minorEastAsia" w:hAnsi="Times New Roman"/>
          <w:sz w:val="22"/>
          <w:lang w:val="bg-BG" w:eastAsia="bg-BG"/>
        </w:rPr>
        <w:t xml:space="preserve"> са под № 1/01.02.2021 г., стр. 1-4 и 45-48. Пристанищен терминал „Бургас – Изток 1“ притежава Удостоверение за експлоатационна годност № 12007 от 21.01.2021 г. Обособена зона </w:t>
      </w:r>
      <w:r w:rsidRPr="00805152">
        <w:rPr>
          <w:rFonts w:ascii="Times New Roman" w:eastAsiaTheme="minorEastAsia" w:hAnsi="Times New Roman"/>
          <w:bCs/>
          <w:sz w:val="22"/>
          <w:lang w:val="bg-BG" w:eastAsia="bg-BG"/>
        </w:rPr>
        <w:t>„Марина Порт Бургас“</w:t>
      </w:r>
      <w:r w:rsidRPr="00805152">
        <w:rPr>
          <w:rFonts w:ascii="Times New Roman" w:eastAsiaTheme="minorEastAsia" w:hAnsi="Times New Roman"/>
          <w:sz w:val="22"/>
          <w:lang w:val="bg-BG" w:eastAsia="bg-BG"/>
        </w:rPr>
        <w:t xml:space="preserve"> притежава самостоятелно Удостоверение за експлоатационна годност № 32014 от 21.01.2021 г., и двете удостоверения - издадени от министъра на транспорта и съобщенията.</w:t>
      </w:r>
    </w:p>
    <w:p w14:paraId="172C9F42"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Съгласно чл. 3, ал. 2 от Договор № ПрО – 1/24.01.2007 г. при сключване на концесионен договор за „терминал от пристанището за обществен транспорт с национално значение“, а след влизане в сила на ЗИД на ЗМПВВППРБ (обн. ДВ, бр. 104 от 2020 г.) – вече „терминал от пристанище за обществен транспорт Бургас по см. на чл. 106а ЗМПВВППРБ“, вписаният в Регистъра на пристанищните оператори и получил достъп до пазара на пристанищни услуги държавен пристанищен оператор „Пристанище Бургас“ ЕАД запазва правото си да ползва частите (терминалите) от пристанището, за които не е предоставена концесия, като в този случай правата и задълженията на „Пристанище Бургас“ ЕАД се отнасят само до тези части. В допълнение, чл. 44 от Договор № ПрО – 1/24.01.2007 г. предвижда, че когато бъде предоставена концесия за обекти, попадащи в обхвата на договора, страните се задължават да изменят договора, считано от датата на влизане в сила на съответния договор за концесия, предвид обектите, попадащи в неговия обхват.</w:t>
      </w:r>
    </w:p>
    <w:p w14:paraId="25E65BBA"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Общата площ на Пристанищен терминал „Бургас – Изток 1“, част от пристанище за обществен транспорт по см. на чл. 106а ЗМПВВППР Бургас е </w:t>
      </w:r>
      <w:r w:rsidRPr="00805152">
        <w:rPr>
          <w:rFonts w:ascii="Times New Roman" w:eastAsiaTheme="minorEastAsia" w:hAnsi="Times New Roman"/>
          <w:bCs/>
          <w:sz w:val="22"/>
          <w:lang w:val="bg-BG" w:eastAsia="bg-BG"/>
        </w:rPr>
        <w:t>266 461</w:t>
      </w:r>
      <w:r w:rsidRPr="00805152">
        <w:rPr>
          <w:rFonts w:ascii="Times New Roman" w:eastAsiaTheme="minorEastAsia" w:hAnsi="Times New Roman"/>
          <w:b/>
          <w:bCs/>
          <w:sz w:val="22"/>
          <w:lang w:val="bg-BG" w:eastAsia="bg-BG"/>
        </w:rPr>
        <w:t xml:space="preserve"> </w:t>
      </w:r>
      <w:r w:rsidRPr="00805152">
        <w:rPr>
          <w:rFonts w:ascii="Times New Roman" w:eastAsiaTheme="minorEastAsia" w:hAnsi="Times New Roman"/>
          <w:sz w:val="22"/>
          <w:lang w:val="bg-BG" w:eastAsia="bg-BG"/>
        </w:rPr>
        <w:t>кв. м., като в нея са обособени:</w:t>
      </w:r>
    </w:p>
    <w:p w14:paraId="1159C39E" w14:textId="77777777" w:rsidR="00E21053" w:rsidRPr="00805152" w:rsidRDefault="00E21053" w:rsidP="000C5C5A">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sz w:val="22"/>
          <w:lang w:val="bg-BG" w:eastAsia="bg-BG"/>
        </w:rPr>
        <w:t xml:space="preserve">1. </w:t>
      </w:r>
      <w:r w:rsidRPr="00805152">
        <w:rPr>
          <w:rFonts w:ascii="Times New Roman" w:eastAsiaTheme="minorEastAsia" w:hAnsi="Times New Roman"/>
          <w:bCs/>
          <w:sz w:val="22"/>
          <w:lang w:val="bg-BG" w:eastAsia="bg-BG"/>
        </w:rPr>
        <w:t xml:space="preserve">Пристанищен терминал „Бургас – Изток 1“, който разполага с 14 корабни места  (от корабно място № 1 до корабно място № 14) с обща дължина на кейовия фронт 2 020 метра и дълбочина от 4 до 10 метра. </w:t>
      </w:r>
    </w:p>
    <w:p w14:paraId="3BB23E18" w14:textId="77777777" w:rsidR="00E21053" w:rsidRPr="00805152" w:rsidRDefault="00E21053" w:rsidP="000C5C5A">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 xml:space="preserve">2. Зона „Марина Порт Бургас”, която по своето предназначение отговаря на характеристиките на пристанище по чл. 108 от ЗМПВВППРБ, с площ от 15 730 кв.м. и обща дължина на кейовия фронт от 265 метра. </w:t>
      </w:r>
      <w:r w:rsidRPr="00805152">
        <w:rPr>
          <w:rFonts w:ascii="Times New Roman" w:eastAsiaTheme="minorEastAsia" w:hAnsi="Times New Roman"/>
          <w:bCs/>
          <w:sz w:val="22"/>
          <w:lang w:val="bg-BG" w:eastAsia="bg-BG" w:bidi="bg-BG"/>
        </w:rPr>
        <w:t>Зоната разполага с обща дължина на кейовия фронт 265 м., 200 метра от които са обособени за престой и домуване на яхти и лодки и 65 метра - за спомагателни дейности. На кейовия фронт са обособени 27 (двадесет и седем) корабни места. Територията на зоната представлява част от поземлен имот № 07079.618.1019 (площ 15 730 кв.м</w:t>
      </w:r>
      <w:r w:rsidRPr="00805152">
        <w:rPr>
          <w:rFonts w:ascii="Times New Roman" w:eastAsiaTheme="minorEastAsia" w:hAnsi="Times New Roman"/>
          <w:sz w:val="22"/>
          <w:lang w:val="bg-BG" w:eastAsia="bg-BG" w:bidi="bg-BG"/>
        </w:rPr>
        <w:t>.)</w:t>
      </w:r>
    </w:p>
    <w:p w14:paraId="4004F350" w14:textId="77777777" w:rsidR="00E21053" w:rsidRPr="00805152" w:rsidRDefault="00E21053" w:rsidP="000C5C5A">
      <w:pPr>
        <w:spacing w:after="0" w:line="360" w:lineRule="auto"/>
        <w:ind w:firstLine="690"/>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lastRenderedPageBreak/>
        <w:t xml:space="preserve">Територията на Пристанищен терминал „Бургас – Изток 1“ е съгласно актове за държавна собственост – 250 770 кв.м., а по скици на поземлени имоти -  250 732 кв. м. и е разделена на поземлени имоти </w:t>
      </w:r>
      <w:r w:rsidRPr="00805152">
        <w:rPr>
          <w:rFonts w:ascii="Times New Roman" w:eastAsiaTheme="minorEastAsia" w:hAnsi="Times New Roman"/>
          <w:bCs/>
          <w:sz w:val="22"/>
          <w:lang w:val="bg-BG" w:eastAsia="bg-BG"/>
        </w:rPr>
        <w:t xml:space="preserve">ПИ № 07079.618.1079; ПИ № 07079.618.1021; ПИ № 07079.618.1025; ПИ № 07079.618.1020; ПИ № 07079.618.1019; ПИ № 07079.618.1081; ПИ № 07079.618.1084; ПИ № 07079.618.1083, </w:t>
      </w:r>
      <w:r w:rsidRPr="00805152">
        <w:rPr>
          <w:rFonts w:ascii="Times New Roman" w:eastAsiaTheme="minorEastAsia" w:hAnsi="Times New Roman"/>
          <w:sz w:val="22"/>
          <w:lang w:val="bg-BG" w:eastAsia="bg-BG"/>
        </w:rPr>
        <w:t>по кадастрална карта и кадастралните регистри на гр. Бургас, одобрени със Заповед № РД-18-9/30.01.2009 г. на изпълнителния директор на Агенцията по геодезия, картография и кадастър.</w:t>
      </w:r>
    </w:p>
    <w:p w14:paraId="18F720AD" w14:textId="77777777" w:rsidR="00E21053" w:rsidRPr="00805152" w:rsidRDefault="00E21053" w:rsidP="000C5C5A">
      <w:pPr>
        <w:spacing w:after="0" w:line="360" w:lineRule="auto"/>
        <w:ind w:firstLine="690"/>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Съгласно актове за държавна собственост и скици от кадастралната карта и кадастралните регистри, територията на Пристанищен терминал „Бургас – Изток 1“ е образувана от следните поземлени имоти:</w:t>
      </w:r>
    </w:p>
    <w:p w14:paraId="5BAD53CE"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Cs/>
          <w:color w:val="000000" w:themeColor="text1"/>
          <w:sz w:val="22"/>
          <w:lang w:val="bg-BG" w:eastAsia="bg-BG"/>
        </w:rPr>
      </w:pPr>
      <w:r w:rsidRPr="00805152">
        <w:rPr>
          <w:rFonts w:ascii="Times New Roman" w:eastAsiaTheme="minorEastAsia" w:hAnsi="Times New Roman"/>
          <w:b/>
          <w:color w:val="000000" w:themeColor="text1"/>
          <w:sz w:val="22"/>
          <w:lang w:val="bg-BG" w:eastAsia="bg-BG"/>
        </w:rPr>
        <w:t xml:space="preserve">ПИ № 07079.618.1079 </w:t>
      </w:r>
      <w:r w:rsidRPr="00805152">
        <w:rPr>
          <w:rFonts w:ascii="Times New Roman" w:eastAsiaTheme="minorEastAsia" w:hAnsi="Times New Roman"/>
          <w:bCs/>
          <w:color w:val="000000" w:themeColor="text1"/>
          <w:sz w:val="22"/>
          <w:lang w:val="bg-BG" w:eastAsia="bg-BG"/>
        </w:rPr>
        <w:t>(Акт за публична държавна собственост (АПДС) № 9420 от 15.05.2019 г., скица № 15-927868 от 12.12.2018 г. на поземлен имот):</w:t>
      </w:r>
    </w:p>
    <w:p w14:paraId="2374E034"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w:t>
      </w:r>
    </w:p>
    <w:p w14:paraId="55C9E09D"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3CBAC9F1"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 </w:t>
      </w:r>
    </w:p>
    <w:p w14:paraId="64E1F365"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w:t>
      </w:r>
    </w:p>
    <w:p w14:paraId="4B436985"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- 87153 кв. м.;</w:t>
      </w:r>
    </w:p>
    <w:p w14:paraId="7433E882"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07079.618.1083; ПИ № 07079.618.21; ПИ № 07079.618.1087; ПИ № 07079.618.1078.</w:t>
      </w:r>
    </w:p>
    <w:p w14:paraId="6C7AA40E" w14:textId="7E95D54E" w:rsidR="00E21053" w:rsidRPr="00805152" w:rsidRDefault="00E21053" w:rsidP="000274FA">
      <w:pPr>
        <w:spacing w:after="0" w:line="360" w:lineRule="auto"/>
        <w:ind w:firstLine="690"/>
        <w:rPr>
          <w:rFonts w:ascii="Times New Roman" w:eastAsiaTheme="minorEastAsia" w:hAnsi="Times New Roman"/>
          <w:color w:val="000000" w:themeColor="text1"/>
          <w:sz w:val="22"/>
          <w:lang w:val="bg-BG" w:eastAsia="bg-BG"/>
        </w:rPr>
      </w:pPr>
      <w:r w:rsidRPr="00805152">
        <w:rPr>
          <w:rFonts w:ascii="Times New Roman" w:eastAsiaTheme="minorEastAsia" w:hAnsi="Times New Roman"/>
          <w:sz w:val="22"/>
          <w:lang w:val="bg-BG" w:eastAsia="bg-BG"/>
        </w:rPr>
        <w:t xml:space="preserve">Съгласно копие от кадастрална карта с данни от КРНИ – електронна извадка от сайта на АГКК, </w:t>
      </w:r>
      <w:r w:rsidR="00B842D5" w:rsidRPr="00805152">
        <w:rPr>
          <w:rFonts w:ascii="Times New Roman" w:eastAsiaTheme="minorEastAsia" w:hAnsi="Times New Roman"/>
          <w:sz w:val="22"/>
          <w:lang w:val="bg-BG" w:eastAsia="bg-BG"/>
        </w:rPr>
        <w:t>площта</w:t>
      </w:r>
      <w:r w:rsidRPr="00805152">
        <w:rPr>
          <w:rFonts w:ascii="Times New Roman" w:eastAsiaTheme="minorEastAsia" w:hAnsi="Times New Roman"/>
          <w:sz w:val="22"/>
          <w:lang w:val="bg-BG" w:eastAsia="bg-BG"/>
        </w:rPr>
        <w:t xml:space="preserve"> на имота е променена на 88 940 кв.м., като са променени и границите на имота, които са както следва: </w:t>
      </w:r>
      <w:r w:rsidRPr="00805152">
        <w:rPr>
          <w:rFonts w:ascii="Times New Roman" w:eastAsiaTheme="minorEastAsia" w:hAnsi="Times New Roman"/>
          <w:color w:val="000000" w:themeColor="text1"/>
          <w:sz w:val="22"/>
          <w:lang w:val="bg-BG" w:eastAsia="bg-BG"/>
        </w:rPr>
        <w:t>ПИ № 07079.618.1083; ПИ № 07079.618.1087; ПИ № 07079.618.1128.</w:t>
      </w:r>
      <w:r w:rsidRPr="00805152">
        <w:rPr>
          <w:rFonts w:ascii="Times New Roman" w:eastAsiaTheme="minorEastAsia" w:hAnsi="Times New Roman"/>
          <w:color w:val="32495E"/>
          <w:sz w:val="22"/>
          <w:shd w:val="clear" w:color="auto" w:fill="FCF484"/>
          <w:lang w:val="bg-BG" w:eastAsia="bg-BG"/>
        </w:rPr>
        <w:t xml:space="preserve"> </w:t>
      </w:r>
    </w:p>
    <w:p w14:paraId="37F4B0D0"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 xml:space="preserve">ПИ № 07079.618.1021 </w:t>
      </w:r>
      <w:r w:rsidRPr="00805152">
        <w:rPr>
          <w:rFonts w:ascii="Times New Roman" w:eastAsiaTheme="minorEastAsia" w:hAnsi="Times New Roman"/>
          <w:bCs/>
          <w:color w:val="000000" w:themeColor="text1"/>
          <w:sz w:val="22"/>
          <w:lang w:val="bg-BG" w:eastAsia="bg-BG"/>
        </w:rPr>
        <w:t>(Акт за публична държавна собственост (АПДС) № 6968 от 25.10.2013 г. и копие от кадастрална карта с данни от КРНИ – електронна извадка от сайта на АГКК от 18.03.2020 г.):</w:t>
      </w:r>
    </w:p>
    <w:p w14:paraId="412FDBA0"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 п.к. 8000;</w:t>
      </w:r>
    </w:p>
    <w:p w14:paraId="64096E93"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58E3FB5B"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 </w:t>
      </w:r>
    </w:p>
    <w:p w14:paraId="3D2EB8D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 </w:t>
      </w:r>
    </w:p>
    <w:p w14:paraId="4476B1DA"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- 5592 кв. м.;</w:t>
      </w:r>
    </w:p>
    <w:p w14:paraId="1891E18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07079.618.1084; ПИ № 07079.618.1025; ПИ № 07079.618.1026; ПИ № 07079.618.131; ПИ № 07079.618.1022.</w:t>
      </w:r>
    </w:p>
    <w:p w14:paraId="2F867A2C"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lastRenderedPageBreak/>
        <w:t xml:space="preserve">ПИ № 07079.618.1025 </w:t>
      </w:r>
      <w:r w:rsidRPr="00805152">
        <w:rPr>
          <w:rFonts w:ascii="Times New Roman" w:eastAsiaTheme="minorEastAsia" w:hAnsi="Times New Roman"/>
          <w:bCs/>
          <w:color w:val="000000" w:themeColor="text1"/>
          <w:sz w:val="22"/>
          <w:lang w:val="bg-BG" w:eastAsia="bg-BG"/>
        </w:rPr>
        <w:t>(Акт за публична държавна собственост (АПДС) № 6969 от 25.10.2013 г., скица № 15-384939 от 10.08.2017 г. на поземлен имот  и копие от кадастрална карта с данни от КРНИ – електронна извадка от сайта на АГКК от 18.03.2020 г.):</w:t>
      </w:r>
    </w:p>
    <w:p w14:paraId="5509BA4E"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 п.к. 8000;</w:t>
      </w:r>
    </w:p>
    <w:p w14:paraId="713D37BF"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54908C6D"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 </w:t>
      </w:r>
    </w:p>
    <w:p w14:paraId="48681D1F"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второстепенна улица;</w:t>
      </w:r>
    </w:p>
    <w:p w14:paraId="5D31FAD6"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- 984 кв. м.;</w:t>
      </w:r>
    </w:p>
    <w:p w14:paraId="6170D602"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07079.618.1084; ПИ № 07079.618.1020; ПИ № 07079.618.1026; ПИ № 07079.618.1019; ПИ № 07079.618.1021.</w:t>
      </w:r>
    </w:p>
    <w:p w14:paraId="40CEE4A4"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 xml:space="preserve">ПИ № 07079.618.1020 </w:t>
      </w:r>
      <w:r w:rsidRPr="00805152">
        <w:rPr>
          <w:rFonts w:ascii="Times New Roman" w:eastAsiaTheme="minorEastAsia" w:hAnsi="Times New Roman"/>
          <w:bCs/>
          <w:color w:val="000000" w:themeColor="text1"/>
          <w:sz w:val="22"/>
          <w:lang w:val="bg-BG" w:eastAsia="bg-BG"/>
        </w:rPr>
        <w:t>(Акт за публична държавна собственост (АПДС) № 6967 от 25.10.2013 г., скица № 41110 от 21.10.2013 г. на поземлен имот  и копие от кадастрална карта с данни от КРНИ – електронна извадка от сайта на АГКК от 18.03.2020 г.):</w:t>
      </w:r>
    </w:p>
    <w:p w14:paraId="5C264038"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 п.к. 8000;</w:t>
      </w:r>
    </w:p>
    <w:p w14:paraId="427A799D"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6F984AA2"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Урбанизирана;</w:t>
      </w:r>
    </w:p>
    <w:p w14:paraId="40741772"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друг обществен обект, комплекс;</w:t>
      </w:r>
    </w:p>
    <w:p w14:paraId="40B44E26"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- 3202 кв. м.;</w:t>
      </w:r>
    </w:p>
    <w:p w14:paraId="6026EA8F"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07079.618.1084; ПИ № 07079.618.1019; ПИ № 07079.618.1025.</w:t>
      </w:r>
    </w:p>
    <w:p w14:paraId="50015939"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ПИ № 07079.618.1019</w:t>
      </w:r>
      <w:r w:rsidRPr="00805152">
        <w:rPr>
          <w:rFonts w:ascii="Times New Roman" w:eastAsiaTheme="minorEastAsia" w:hAnsi="Times New Roman"/>
          <w:bCs/>
          <w:color w:val="000000" w:themeColor="text1"/>
          <w:sz w:val="22"/>
          <w:lang w:val="bg-BG" w:eastAsia="bg-BG"/>
        </w:rPr>
        <w:t xml:space="preserve"> (Акт за публична държавна собственост (АПДС) № 9446 от 27.05.2019 г., скица № 15-544848 от 03.08.2018 г. на поземлен имот  и копие от кадастрална карта с данни от КРНИ – електронна извадка от сайта на АГКК от 18.03.2020 г.):</w:t>
      </w:r>
    </w:p>
    <w:p w14:paraId="5EC8C169"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Адрес – общ. Бургас, обл. Бургас, гр. Бургас, п.к. 8000;</w:t>
      </w:r>
    </w:p>
    <w:p w14:paraId="56B0D3F3"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58C00650"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 </w:t>
      </w:r>
    </w:p>
    <w:p w14:paraId="59BF20A0"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w:t>
      </w:r>
    </w:p>
    <w:p w14:paraId="145373BE"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- 70539 кв.м.;</w:t>
      </w:r>
    </w:p>
    <w:p w14:paraId="608BFCCA"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07079.618.1081; ПИ №0 7079.618.1020; ПИ № 07079.618.1025; ПИ № 07079.618.1026; ПИ № 07079.618.134; ПИ №07079.618.133; ПИ № 07079.618.136; ПИ № 07079.618.137; ПИ № 07079.618.1023; ПИ № 07079.618.143; ПИ № 07079.618.141.</w:t>
      </w:r>
    </w:p>
    <w:p w14:paraId="756DB722"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lastRenderedPageBreak/>
        <w:t xml:space="preserve">ПИ № 07079.618.1081 </w:t>
      </w:r>
      <w:r w:rsidRPr="00805152">
        <w:rPr>
          <w:rFonts w:ascii="Times New Roman" w:eastAsiaTheme="minorEastAsia" w:hAnsi="Times New Roman"/>
          <w:bCs/>
          <w:color w:val="000000" w:themeColor="text1"/>
          <w:sz w:val="22"/>
          <w:lang w:val="bg-BG" w:eastAsia="bg-BG"/>
        </w:rPr>
        <w:t>(Акт за публична държавна собственост (АПДС) № 9445 от 27.05.2019 г., скица № 15-544851 от 03.08.2018 г. на поземлен имот  и копие от кадастрална карта с данни от КРНИ – електронна извадка от сайта на АГКК от 18.03.2020 г.):</w:t>
      </w:r>
    </w:p>
    <w:p w14:paraId="0D1786D2"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 п.к. 8000;</w:t>
      </w:r>
    </w:p>
    <w:p w14:paraId="5A9BD651"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2779CBD3"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w:t>
      </w:r>
    </w:p>
    <w:p w14:paraId="068D34C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w:t>
      </w:r>
    </w:p>
    <w:p w14:paraId="722F3319"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- 9317 кв.м.;</w:t>
      </w:r>
    </w:p>
    <w:p w14:paraId="17C840BE"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07079.618.1019.</w:t>
      </w:r>
    </w:p>
    <w:p w14:paraId="786879D5"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ПИ № 07079.618.1084</w:t>
      </w:r>
      <w:r w:rsidRPr="00805152">
        <w:rPr>
          <w:rFonts w:ascii="Times New Roman" w:eastAsiaTheme="minorEastAsia" w:hAnsi="Times New Roman"/>
          <w:bCs/>
          <w:color w:val="000000" w:themeColor="text1"/>
          <w:sz w:val="22"/>
          <w:lang w:val="bg-BG" w:eastAsia="bg-BG"/>
        </w:rPr>
        <w:t xml:space="preserve"> (Акт за публична държавна собственост (АПДС) № 9648 от 01.10.2019 г., скица № 15-27148 от 16.01.2019 г. на поземлен имот  и копие от кадастрална карта с данни от КРНИ – електронна извадка от сайта на АГКК от 18.03.2020 г.):</w:t>
      </w:r>
    </w:p>
    <w:p w14:paraId="5B16E527"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w:t>
      </w:r>
    </w:p>
    <w:p w14:paraId="1861DDEA"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7D8B1E30"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w:t>
      </w:r>
    </w:p>
    <w:p w14:paraId="5D1222E1"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w:t>
      </w:r>
    </w:p>
    <w:p w14:paraId="1BD0ECEE"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- 48853 кв.м.;</w:t>
      </w:r>
    </w:p>
    <w:p w14:paraId="391E1C1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Стар номер – 618.22;</w:t>
      </w:r>
    </w:p>
    <w:p w14:paraId="53293A1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Граници - ПИ № 07079.618.1019; ПИ № 07079.618.1020; ПИ № 07079.618.1021; ПИ № 07079.618.1025; ПИ № 07079.618.1083; ПИ № 07079.618.131.</w:t>
      </w:r>
    </w:p>
    <w:p w14:paraId="6FA71923" w14:textId="77777777" w:rsidR="00E21053" w:rsidRPr="00805152" w:rsidRDefault="00E21053" w:rsidP="0021547C">
      <w:pPr>
        <w:numPr>
          <w:ilvl w:val="0"/>
          <w:numId w:val="62"/>
        </w:numPr>
        <w:tabs>
          <w:tab w:val="left" w:pos="851"/>
          <w:tab w:val="left" w:pos="993"/>
        </w:tabs>
        <w:spacing w:after="0" w:line="360" w:lineRule="auto"/>
        <w:contextualSpacing/>
        <w:rPr>
          <w:rFonts w:ascii="Times New Roman" w:eastAsiaTheme="minorEastAsia" w:hAnsi="Times New Roman"/>
          <w:b/>
          <w:color w:val="000000" w:themeColor="text1"/>
          <w:sz w:val="22"/>
          <w:lang w:val="bg-BG" w:eastAsia="bg-BG"/>
        </w:rPr>
      </w:pPr>
      <w:r w:rsidRPr="00805152">
        <w:rPr>
          <w:rFonts w:ascii="Times New Roman" w:eastAsiaTheme="minorEastAsia" w:hAnsi="Times New Roman"/>
          <w:b/>
          <w:color w:val="000000" w:themeColor="text1"/>
          <w:sz w:val="22"/>
          <w:lang w:val="bg-BG" w:eastAsia="bg-BG"/>
        </w:rPr>
        <w:t xml:space="preserve">ПИ № 07079.618.1083 </w:t>
      </w:r>
      <w:r w:rsidRPr="00805152">
        <w:rPr>
          <w:rFonts w:ascii="Times New Roman" w:eastAsiaTheme="minorEastAsia" w:hAnsi="Times New Roman"/>
          <w:bCs/>
          <w:color w:val="000000" w:themeColor="text1"/>
          <w:sz w:val="22"/>
          <w:lang w:val="bg-BG" w:eastAsia="bg-BG"/>
        </w:rPr>
        <w:t>(Акт за публична държавна собственост (АПДС) № 9447 от 27.05.2019 г., скица № 15-27140 от 16.01.2019 г. на поземлен имот  и копие от кадастрална карта с данни от КРНИ – електронна извадка от сайта на АГКК от 18.03.2020 г.):</w:t>
      </w:r>
    </w:p>
    <w:p w14:paraId="787C532A"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Адрес – общ. Бургас, обл. Бургас, гр. Бургас;</w:t>
      </w:r>
    </w:p>
    <w:p w14:paraId="548F7169"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собственост – Държавна публична;</w:t>
      </w:r>
    </w:p>
    <w:p w14:paraId="1DFEAC6D"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Вид територия – Територия на транспорта;</w:t>
      </w:r>
    </w:p>
    <w:p w14:paraId="4E299EEC"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Начин на трайно ползване - За пристанище;</w:t>
      </w:r>
    </w:p>
    <w:p w14:paraId="2DC2AEF5"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Площ - 40821 кв.м.;</w:t>
      </w:r>
    </w:p>
    <w:p w14:paraId="20BEC413" w14:textId="77777777" w:rsidR="00E21053" w:rsidRPr="00805152" w:rsidRDefault="00E21053" w:rsidP="0021547C">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t xml:space="preserve"> Стар номер – 618.22;</w:t>
      </w:r>
    </w:p>
    <w:p w14:paraId="0766D684" w14:textId="1114838C" w:rsidR="00E21053" w:rsidRPr="000274FA" w:rsidRDefault="00E21053" w:rsidP="000C5C5A">
      <w:pPr>
        <w:numPr>
          <w:ilvl w:val="0"/>
          <w:numId w:val="61"/>
        </w:numPr>
        <w:tabs>
          <w:tab w:val="left" w:pos="851"/>
          <w:tab w:val="left" w:pos="993"/>
        </w:tabs>
        <w:spacing w:after="0" w:line="360" w:lineRule="auto"/>
        <w:ind w:firstLine="19"/>
        <w:rPr>
          <w:rFonts w:ascii="Times New Roman" w:eastAsiaTheme="minorEastAsia" w:hAnsi="Times New Roman"/>
          <w:color w:val="000000" w:themeColor="text1"/>
          <w:sz w:val="22"/>
          <w:lang w:val="bg-BG" w:eastAsia="bg-BG"/>
        </w:rPr>
      </w:pPr>
      <w:r w:rsidRPr="00805152">
        <w:rPr>
          <w:rFonts w:ascii="Times New Roman" w:eastAsiaTheme="minorEastAsia" w:hAnsi="Times New Roman"/>
          <w:color w:val="000000" w:themeColor="text1"/>
          <w:sz w:val="22"/>
          <w:lang w:val="bg-BG" w:eastAsia="bg-BG"/>
        </w:rPr>
        <w:lastRenderedPageBreak/>
        <w:t xml:space="preserve"> Граници - ПИ № 07079.618.1084; ПИ № 07079.618.1060; ПИ № 07079.618.1052; ПИ № 07079.618.1087; ПИ № 07079.618.1079; ПИ № 07079.618.131; ПИ № 07079.618.27; ПИ № 07079.618.28.1. </w:t>
      </w:r>
    </w:p>
    <w:p w14:paraId="2FD66C64" w14:textId="5B073EAA" w:rsidR="00E21053" w:rsidRPr="000274FA" w:rsidRDefault="00E21053" w:rsidP="000274FA">
      <w:pPr>
        <w:spacing w:after="0" w:line="360" w:lineRule="auto"/>
        <w:ind w:firstLine="690"/>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Съгласно копие от кадастрална карта с данни от КРНИ – електронна извадка от сайта на АГКК, </w:t>
      </w:r>
      <w:r w:rsidR="00B842D5" w:rsidRPr="00805152">
        <w:rPr>
          <w:rFonts w:ascii="Times New Roman" w:eastAsiaTheme="minorEastAsia" w:hAnsi="Times New Roman"/>
          <w:sz w:val="22"/>
          <w:lang w:val="bg-BG" w:eastAsia="bg-BG"/>
        </w:rPr>
        <w:t>площта</w:t>
      </w:r>
      <w:r w:rsidRPr="00805152">
        <w:rPr>
          <w:rFonts w:ascii="Times New Roman" w:eastAsiaTheme="minorEastAsia" w:hAnsi="Times New Roman"/>
          <w:sz w:val="22"/>
          <w:lang w:val="bg-BG" w:eastAsia="bg-BG"/>
        </w:rPr>
        <w:t xml:space="preserve"> на имота е променена на 39 034 кв.м.</w:t>
      </w:r>
    </w:p>
    <w:p w14:paraId="5008FF6F" w14:textId="5D2290BA" w:rsidR="00E21053" w:rsidRPr="00805152" w:rsidRDefault="00E21053" w:rsidP="000C5C5A">
      <w:pPr>
        <w:pStyle w:val="Heading4"/>
        <w:spacing w:line="360" w:lineRule="auto"/>
        <w:rPr>
          <w:rFonts w:ascii="Times New Roman" w:hAnsi="Times New Roman"/>
          <w:lang w:val="bg-BG" w:eastAsia="bg-BG"/>
        </w:rPr>
      </w:pPr>
      <w:r w:rsidRPr="00805152">
        <w:rPr>
          <w:rFonts w:ascii="Times New Roman" w:hAnsi="Times New Roman"/>
          <w:lang w:val="bg-BG" w:eastAsia="bg-BG"/>
        </w:rPr>
        <w:t>Т</w:t>
      </w:r>
      <w:r w:rsidR="00D353C8" w:rsidRPr="00805152">
        <w:rPr>
          <w:rFonts w:ascii="Times New Roman" w:hAnsi="Times New Roman"/>
          <w:lang w:val="bg-BG" w:eastAsia="bg-BG"/>
        </w:rPr>
        <w:t>еритория</w:t>
      </w:r>
    </w:p>
    <w:p w14:paraId="3E3D7E26" w14:textId="77777777" w:rsidR="000D5FC9" w:rsidRPr="00805152" w:rsidRDefault="00E21053" w:rsidP="000C5C5A">
      <w:pPr>
        <w:spacing w:after="0" w:line="360" w:lineRule="auto"/>
        <w:ind w:firstLine="709"/>
        <w:rPr>
          <w:rFonts w:ascii="Times New Roman" w:eastAsiaTheme="minorEastAsia" w:hAnsi="Times New Roman"/>
          <w:b/>
          <w:sz w:val="22"/>
          <w:lang w:val="bg-BG" w:eastAsia="bg-BG"/>
        </w:rPr>
      </w:pPr>
      <w:r w:rsidRPr="00805152">
        <w:rPr>
          <w:rFonts w:ascii="Times New Roman" w:eastAsiaTheme="minorEastAsia" w:hAnsi="Times New Roman"/>
          <w:b/>
          <w:sz w:val="22"/>
          <w:lang w:val="bg-BG" w:eastAsia="bg-BG"/>
        </w:rPr>
        <w:t>Територията на Пристанищен терминал „Бургас – Изток 1“ е, както следва:</w:t>
      </w:r>
    </w:p>
    <w:p w14:paraId="7D192D67" w14:textId="27087600" w:rsidR="00F676B7" w:rsidRPr="00805152" w:rsidRDefault="00E21053" w:rsidP="0021547C">
      <w:pPr>
        <w:pStyle w:val="ListParagraph"/>
        <w:numPr>
          <w:ilvl w:val="0"/>
          <w:numId w:val="69"/>
        </w:numPr>
        <w:spacing w:after="0" w:line="360" w:lineRule="auto"/>
        <w:rPr>
          <w:rFonts w:ascii="Times New Roman" w:eastAsiaTheme="minorEastAsia" w:hAnsi="Times New Roman"/>
          <w:b/>
          <w:szCs w:val="22"/>
          <w:lang w:val="bg-BG" w:eastAsia="bg-BG"/>
        </w:rPr>
      </w:pPr>
      <w:r w:rsidRPr="00805152">
        <w:rPr>
          <w:rFonts w:ascii="Times New Roman" w:eastAsiaTheme="minorEastAsia" w:hAnsi="Times New Roman"/>
          <w:b/>
          <w:szCs w:val="22"/>
          <w:lang w:val="bg-BG" w:eastAsia="bg-BG"/>
        </w:rPr>
        <w:t>по актове за държавна собственост – 250 770 кв.м.,</w:t>
      </w:r>
    </w:p>
    <w:p w14:paraId="057D315D" w14:textId="77777777" w:rsidR="00F676B7" w:rsidRPr="00805152" w:rsidRDefault="000D5FC9" w:rsidP="0021547C">
      <w:pPr>
        <w:pStyle w:val="ListParagraph"/>
        <w:numPr>
          <w:ilvl w:val="0"/>
          <w:numId w:val="69"/>
        </w:numPr>
        <w:spacing w:after="0" w:line="360" w:lineRule="auto"/>
        <w:rPr>
          <w:rFonts w:ascii="Times New Roman" w:eastAsiaTheme="minorEastAsia" w:hAnsi="Times New Roman"/>
          <w:szCs w:val="22"/>
          <w:lang w:val="bg-BG" w:eastAsia="bg-BG"/>
        </w:rPr>
      </w:pPr>
      <w:r w:rsidRPr="00805152">
        <w:rPr>
          <w:rFonts w:ascii="Times New Roman" w:eastAsiaTheme="minorEastAsia" w:hAnsi="Times New Roman"/>
          <w:b/>
          <w:szCs w:val="22"/>
          <w:lang w:val="bg-BG" w:eastAsia="bg-BG"/>
        </w:rPr>
        <w:t xml:space="preserve">съгласно кадастралната карта с данни от КРНИ – електронна извадка от сайта на АГКК </w:t>
      </w:r>
      <w:r w:rsidR="00E21053" w:rsidRPr="00805152">
        <w:rPr>
          <w:rFonts w:ascii="Times New Roman" w:eastAsiaTheme="minorEastAsia" w:hAnsi="Times New Roman"/>
          <w:b/>
          <w:szCs w:val="22"/>
          <w:lang w:val="bg-BG" w:eastAsia="bg-BG"/>
        </w:rPr>
        <w:t xml:space="preserve">-  </w:t>
      </w:r>
      <w:r w:rsidRPr="00805152">
        <w:rPr>
          <w:rFonts w:ascii="Times New Roman" w:eastAsiaTheme="minorEastAsia" w:hAnsi="Times New Roman"/>
          <w:b/>
          <w:szCs w:val="22"/>
          <w:lang w:val="bg-BG" w:eastAsia="bg-BG"/>
        </w:rPr>
        <w:t xml:space="preserve">266 461 </w:t>
      </w:r>
      <w:r w:rsidR="00E21053" w:rsidRPr="00805152">
        <w:rPr>
          <w:rFonts w:ascii="Times New Roman" w:eastAsiaTheme="minorEastAsia" w:hAnsi="Times New Roman"/>
          <w:b/>
          <w:szCs w:val="22"/>
          <w:lang w:val="bg-BG" w:eastAsia="bg-BG"/>
        </w:rPr>
        <w:t>кв. м.</w:t>
      </w:r>
      <w:r w:rsidRPr="00805152">
        <w:rPr>
          <w:rFonts w:ascii="Times New Roman" w:eastAsiaTheme="minorEastAsia" w:hAnsi="Times New Roman"/>
          <w:b/>
          <w:szCs w:val="22"/>
          <w:lang w:val="bg-BG" w:eastAsia="bg-BG"/>
        </w:rPr>
        <w:t xml:space="preserve">, </w:t>
      </w:r>
    </w:p>
    <w:p w14:paraId="043C2DA1" w14:textId="65212A91" w:rsidR="00E21053" w:rsidRPr="00805152" w:rsidRDefault="00F676B7" w:rsidP="00F676B7">
      <w:pPr>
        <w:spacing w:after="0" w:line="360" w:lineRule="auto"/>
        <w:rPr>
          <w:rFonts w:ascii="Times New Roman" w:eastAsiaTheme="minorEastAsia" w:hAnsi="Times New Roman"/>
          <w:sz w:val="22"/>
          <w:lang w:val="bg-BG" w:eastAsia="bg-BG"/>
        </w:rPr>
      </w:pPr>
      <w:r w:rsidRPr="00805152">
        <w:rPr>
          <w:rFonts w:ascii="Times New Roman" w:hAnsi="Times New Roman"/>
          <w:sz w:val="22"/>
          <w:lang w:val="bg-BG"/>
        </w:rPr>
        <w:t>Съгласно кадастрална карта и кадастралните регистри на гр. Бургас, територията на Пристанище Бургас - Изток е разделена на следните поземлени имоти с идентификатори:</w:t>
      </w:r>
      <w:r w:rsidR="00E21053" w:rsidRPr="00805152">
        <w:rPr>
          <w:rFonts w:ascii="Times New Roman" w:eastAsiaTheme="minorEastAsia" w:hAnsi="Times New Roman"/>
          <w:b/>
          <w:sz w:val="22"/>
          <w:lang w:val="bg-BG" w:eastAsia="bg-BG"/>
        </w:rPr>
        <w:t xml:space="preserve"> </w:t>
      </w:r>
      <w:r w:rsidR="00E21053" w:rsidRPr="00805152">
        <w:rPr>
          <w:rFonts w:ascii="Times New Roman" w:eastAsiaTheme="minorEastAsia" w:hAnsi="Times New Roman"/>
          <w:bCs/>
          <w:sz w:val="22"/>
          <w:lang w:val="bg-BG" w:eastAsia="bg-BG"/>
        </w:rPr>
        <w:t xml:space="preserve">ПИ № 07079.618.1079; ПИ № 07079.618.1021; ПИ № 07079.618.1025; ПИ № 07079.618.1020; ПИ № 07079.618.1019; ПИ № 07079.618.1081; ПИ № 07079.618.1084; ПИ № 07079.618.1083, </w:t>
      </w:r>
      <w:r w:rsidR="00E21053" w:rsidRPr="00805152">
        <w:rPr>
          <w:rFonts w:ascii="Times New Roman" w:eastAsiaTheme="minorEastAsia" w:hAnsi="Times New Roman"/>
          <w:sz w:val="22"/>
          <w:lang w:val="bg-BG" w:eastAsia="bg-BG"/>
        </w:rPr>
        <w:t>одобрени със Заповед № РД-18-9/30.01.2009 г. на изпълнителния директор на Агенцията по геодезия, картография и кадастър.</w:t>
      </w:r>
    </w:p>
    <w:p w14:paraId="2FA8885E" w14:textId="77777777" w:rsidR="00AE5E45" w:rsidRPr="00805152" w:rsidRDefault="00AE5E45" w:rsidP="00B306B3">
      <w:pPr>
        <w:spacing w:after="0" w:line="240" w:lineRule="auto"/>
        <w:jc w:val="center"/>
        <w:rPr>
          <w:rFonts w:ascii="Times New Roman" w:hAnsi="Times New Roman"/>
          <w:bCs/>
          <w:i/>
          <w:lang w:val="bg-BG"/>
        </w:rPr>
      </w:pPr>
      <w:bookmarkStart w:id="91" w:name="_Hlk26863018"/>
      <w:r w:rsidRPr="00805152">
        <w:rPr>
          <w:rFonts w:ascii="Times New Roman" w:hAnsi="Times New Roman"/>
          <w:noProof/>
          <w:sz w:val="24"/>
          <w:szCs w:val="24"/>
          <w:lang w:val="en-US"/>
        </w:rPr>
        <w:drawing>
          <wp:inline distT="0" distB="0" distL="0" distR="0" wp14:anchorId="3F8FE05B" wp14:editId="6AF0F2D9">
            <wp:extent cx="5687708" cy="3646205"/>
            <wp:effectExtent l="0" t="0" r="8255" b="0"/>
            <wp:docPr id="181" name="Picture 181" descr="H:\5. арх. Няголов\@Бургас\89. Ген. план Бургас, Изток 1\1970+\5. Записки\4. Работни варианти - SS, Rev. 4\Изток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5. арх. Няголов\@Бургас\89. Ген. план Бургас, Изток 1\1970+\5. Записки\4. Работни варианти - SS, Rev. 4\Изток 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93512" cy="3649926"/>
                    </a:xfrm>
                    <a:prstGeom prst="rect">
                      <a:avLst/>
                    </a:prstGeom>
                    <a:noFill/>
                    <a:ln>
                      <a:noFill/>
                    </a:ln>
                  </pic:spPr>
                </pic:pic>
              </a:graphicData>
            </a:graphic>
          </wp:inline>
        </w:drawing>
      </w:r>
    </w:p>
    <w:p w14:paraId="6F843FC8" w14:textId="38A16BD0" w:rsidR="00AE5E45" w:rsidRPr="00805152" w:rsidRDefault="00AE5E45" w:rsidP="00B306B3">
      <w:pPr>
        <w:pStyle w:val="BP-Figure"/>
        <w:ind w:left="1276" w:hanging="425"/>
        <w:jc w:val="center"/>
      </w:pPr>
      <w:r w:rsidRPr="00805152">
        <w:t>Карта с имоти попадащи в територията на Пристанищен терминал Бургас – Изток 1 по Кадастрална карта (АГКК)</w:t>
      </w:r>
      <w:bookmarkEnd w:id="91"/>
    </w:p>
    <w:p w14:paraId="4176DBC0" w14:textId="5813DF61" w:rsidR="00E21053" w:rsidRPr="00805152" w:rsidRDefault="00E21053" w:rsidP="007D3201">
      <w:pPr>
        <w:pStyle w:val="Heading4"/>
        <w:rPr>
          <w:rFonts w:ascii="Times New Roman" w:hAnsi="Times New Roman"/>
          <w:lang w:val="bg-BG" w:eastAsia="bg-BG"/>
        </w:rPr>
      </w:pPr>
      <w:r w:rsidRPr="00805152">
        <w:rPr>
          <w:rFonts w:ascii="Times New Roman" w:hAnsi="Times New Roman"/>
          <w:lang w:val="bg-BG" w:eastAsia="bg-BG"/>
        </w:rPr>
        <w:lastRenderedPageBreak/>
        <w:t>П</w:t>
      </w:r>
      <w:r w:rsidR="00D353C8" w:rsidRPr="00805152">
        <w:rPr>
          <w:rFonts w:ascii="Times New Roman" w:hAnsi="Times New Roman"/>
          <w:lang w:val="bg-BG" w:eastAsia="bg-BG"/>
        </w:rPr>
        <w:t>ристанищна инфраструктура</w:t>
      </w:r>
    </w:p>
    <w:p w14:paraId="07D91E8F" w14:textId="525EC0C1" w:rsidR="00E21053" w:rsidRPr="00805152" w:rsidRDefault="00E21053" w:rsidP="007D3201">
      <w:pPr>
        <w:pStyle w:val="Heading5"/>
        <w:rPr>
          <w:rFonts w:ascii="Times New Roman" w:hAnsi="Times New Roman"/>
          <w:lang w:val="bg-BG" w:eastAsia="de-DE"/>
        </w:rPr>
      </w:pPr>
      <w:bookmarkStart w:id="92" w:name="_Hlk50715770"/>
      <w:r w:rsidRPr="00805152">
        <w:rPr>
          <w:rFonts w:ascii="Times New Roman" w:hAnsi="Times New Roman"/>
          <w:lang w:val="bg-BG" w:eastAsia="de-DE"/>
        </w:rPr>
        <w:tab/>
        <w:t>С</w:t>
      </w:r>
      <w:r w:rsidR="00D353C8" w:rsidRPr="00805152">
        <w:rPr>
          <w:rFonts w:ascii="Times New Roman" w:hAnsi="Times New Roman"/>
          <w:lang w:val="bg-BG" w:eastAsia="de-DE"/>
        </w:rPr>
        <w:t>гради</w:t>
      </w:r>
    </w:p>
    <w:p w14:paraId="2F760434" w14:textId="77777777" w:rsidR="00E21053" w:rsidRPr="00E617D5" w:rsidRDefault="00E21053" w:rsidP="00E21053">
      <w:pPr>
        <w:spacing w:after="0" w:line="240" w:lineRule="auto"/>
        <w:rPr>
          <w:rFonts w:ascii="Times New Roman" w:eastAsiaTheme="minorEastAsia" w:hAnsi="Times New Roman"/>
          <w:sz w:val="24"/>
          <w:highlight w:val="lightGray"/>
          <w:lang w:val="bg-BG" w:eastAsia="de-DE"/>
        </w:rPr>
      </w:pPr>
    </w:p>
    <w:tbl>
      <w:tblPr>
        <w:tblW w:w="9811" w:type="dxa"/>
        <w:tblInd w:w="-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470"/>
        <w:gridCol w:w="2410"/>
        <w:gridCol w:w="1931"/>
      </w:tblGrid>
      <w:tr w:rsidR="00E21053" w:rsidRPr="00805152" w14:paraId="1BC90CD2" w14:textId="77777777" w:rsidTr="007D3201">
        <w:trPr>
          <w:trHeight w:val="239"/>
        </w:trPr>
        <w:tc>
          <w:tcPr>
            <w:tcW w:w="5470" w:type="dxa"/>
            <w:shd w:val="clear" w:color="auto" w:fill="95B3D7" w:themeFill="accent1" w:themeFillTint="99"/>
          </w:tcPr>
          <w:p w14:paraId="5D8C17D4"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bookmarkStart w:id="93" w:name="_Hlk51057698"/>
            <w:r w:rsidRPr="00805152">
              <w:rPr>
                <w:rFonts w:ascii="Times New Roman" w:eastAsiaTheme="minorEastAsia" w:hAnsi="Times New Roman"/>
                <w:b/>
                <w:iCs/>
                <w:sz w:val="20"/>
                <w:szCs w:val="18"/>
                <w:lang w:val="bg-BG" w:eastAsia="bg-BG"/>
              </w:rPr>
              <w:t>Сграда</w:t>
            </w:r>
          </w:p>
        </w:tc>
        <w:tc>
          <w:tcPr>
            <w:tcW w:w="2410" w:type="dxa"/>
            <w:shd w:val="clear" w:color="auto" w:fill="95B3D7" w:themeFill="accent1" w:themeFillTint="99"/>
          </w:tcPr>
          <w:p w14:paraId="627B1128"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r w:rsidRPr="00805152">
              <w:rPr>
                <w:rFonts w:ascii="Times New Roman" w:eastAsiaTheme="minorEastAsia" w:hAnsi="Times New Roman"/>
                <w:b/>
                <w:iCs/>
                <w:sz w:val="20"/>
                <w:szCs w:val="18"/>
                <w:lang w:val="bg-BG" w:eastAsia="bg-BG"/>
              </w:rPr>
              <w:t>Застроена площ в кв. м.</w:t>
            </w:r>
          </w:p>
        </w:tc>
        <w:tc>
          <w:tcPr>
            <w:tcW w:w="1931" w:type="dxa"/>
            <w:shd w:val="clear" w:color="auto" w:fill="95B3D7" w:themeFill="accent1" w:themeFillTint="99"/>
          </w:tcPr>
          <w:p w14:paraId="264E1003"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r w:rsidRPr="00805152">
              <w:rPr>
                <w:rFonts w:ascii="Times New Roman" w:eastAsiaTheme="minorEastAsia" w:hAnsi="Times New Roman"/>
                <w:b/>
                <w:iCs/>
                <w:sz w:val="20"/>
                <w:szCs w:val="18"/>
                <w:lang w:val="bg-BG" w:eastAsia="bg-BG"/>
              </w:rPr>
              <w:t>Идентификатор</w:t>
            </w:r>
          </w:p>
        </w:tc>
      </w:tr>
      <w:tr w:rsidR="00E21053" w:rsidRPr="00805152" w14:paraId="0DD3CEAC" w14:textId="77777777" w:rsidTr="007D3201">
        <w:trPr>
          <w:trHeight w:val="239"/>
        </w:trPr>
        <w:tc>
          <w:tcPr>
            <w:tcW w:w="5470" w:type="dxa"/>
          </w:tcPr>
          <w:p w14:paraId="0AFDA3F1" w14:textId="77777777" w:rsidR="00E21053" w:rsidRPr="00805152" w:rsidRDefault="00E21053" w:rsidP="00E21053">
            <w:pPr>
              <w:spacing w:after="0" w:line="240" w:lineRule="auto"/>
              <w:rPr>
                <w:rFonts w:ascii="Times New Roman" w:eastAsiaTheme="minorEastAsia" w:hAnsi="Times New Roman"/>
                <w:iCs/>
                <w:sz w:val="20"/>
                <w:szCs w:val="18"/>
                <w:lang w:val="bg-BG" w:eastAsia="bg-BG"/>
              </w:rPr>
            </w:pPr>
            <w:r w:rsidRPr="00805152">
              <w:rPr>
                <w:rFonts w:ascii="Times New Roman" w:eastAsiaTheme="minorEastAsia" w:hAnsi="Times New Roman"/>
                <w:iCs/>
                <w:sz w:val="20"/>
                <w:szCs w:val="18"/>
                <w:lang w:val="bg-BG" w:eastAsia="bg-BG"/>
              </w:rPr>
              <w:t>Магазия № 11 – Административна сграда</w:t>
            </w:r>
          </w:p>
        </w:tc>
        <w:tc>
          <w:tcPr>
            <w:tcW w:w="2410" w:type="dxa"/>
          </w:tcPr>
          <w:p w14:paraId="3F870B40"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1 460, 4 ет.</w:t>
            </w:r>
          </w:p>
        </w:tc>
        <w:tc>
          <w:tcPr>
            <w:tcW w:w="1931" w:type="dxa"/>
          </w:tcPr>
          <w:p w14:paraId="3AC760A8"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07079.618.1084.5</w:t>
            </w:r>
          </w:p>
        </w:tc>
      </w:tr>
      <w:tr w:rsidR="00E21053" w:rsidRPr="00805152" w14:paraId="02A7C793" w14:textId="77777777" w:rsidTr="007D3201">
        <w:trPr>
          <w:trHeight w:val="239"/>
        </w:trPr>
        <w:tc>
          <w:tcPr>
            <w:tcW w:w="5470" w:type="dxa"/>
          </w:tcPr>
          <w:p w14:paraId="11AC547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Административна сграда – Червен салон .ет. 1</w:t>
            </w:r>
          </w:p>
        </w:tc>
        <w:tc>
          <w:tcPr>
            <w:tcW w:w="2410" w:type="dxa"/>
          </w:tcPr>
          <w:p w14:paraId="1B30DA48"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302,9, 1 ет.</w:t>
            </w:r>
          </w:p>
        </w:tc>
        <w:tc>
          <w:tcPr>
            <w:tcW w:w="1931" w:type="dxa"/>
          </w:tcPr>
          <w:p w14:paraId="3C32C476"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07079.618.1084.15.1</w:t>
            </w:r>
          </w:p>
        </w:tc>
      </w:tr>
      <w:tr w:rsidR="00E21053" w:rsidRPr="00805152" w14:paraId="75E18623" w14:textId="77777777" w:rsidTr="007D3201">
        <w:trPr>
          <w:trHeight w:val="239"/>
        </w:trPr>
        <w:tc>
          <w:tcPr>
            <w:tcW w:w="5470" w:type="dxa"/>
          </w:tcPr>
          <w:p w14:paraId="79A00AA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Административна сграда – Ремонтна раб-ца/гараж</w:t>
            </w:r>
          </w:p>
        </w:tc>
        <w:tc>
          <w:tcPr>
            <w:tcW w:w="2410" w:type="dxa"/>
          </w:tcPr>
          <w:p w14:paraId="0BC6522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p>
        </w:tc>
        <w:tc>
          <w:tcPr>
            <w:tcW w:w="1931" w:type="dxa"/>
          </w:tcPr>
          <w:p w14:paraId="5249D79D"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07079.618.1021.3</w:t>
            </w:r>
          </w:p>
        </w:tc>
      </w:tr>
      <w:tr w:rsidR="00E21053" w:rsidRPr="00805152" w14:paraId="7C9B3C03" w14:textId="77777777" w:rsidTr="007D3201">
        <w:trPr>
          <w:trHeight w:val="239"/>
        </w:trPr>
        <w:tc>
          <w:tcPr>
            <w:tcW w:w="5470" w:type="dxa"/>
          </w:tcPr>
          <w:p w14:paraId="67E3E05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Международна морска гара</w:t>
            </w:r>
          </w:p>
        </w:tc>
        <w:tc>
          <w:tcPr>
            <w:tcW w:w="2410" w:type="dxa"/>
          </w:tcPr>
          <w:p w14:paraId="2C21DAD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1 382, 2 ет.</w:t>
            </w:r>
          </w:p>
        </w:tc>
        <w:tc>
          <w:tcPr>
            <w:tcW w:w="1931" w:type="dxa"/>
          </w:tcPr>
          <w:p w14:paraId="29D572A0"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 xml:space="preserve">07079.618.1019.14 </w:t>
            </w:r>
            <w:r w:rsidRPr="00805152">
              <w:rPr>
                <w:rFonts w:ascii="Times New Roman" w:eastAsiaTheme="minorEastAsia" w:hAnsi="Times New Roman"/>
                <w:b/>
                <w:sz w:val="20"/>
                <w:szCs w:val="20"/>
                <w:lang w:val="bg-BG" w:eastAsia="bg-BG"/>
              </w:rPr>
              <w:t xml:space="preserve"> </w:t>
            </w:r>
            <w:r w:rsidRPr="00805152">
              <w:rPr>
                <w:rFonts w:ascii="Times New Roman" w:eastAsiaTheme="minorEastAsia" w:hAnsi="Times New Roman"/>
                <w:sz w:val="20"/>
                <w:szCs w:val="20"/>
                <w:lang w:val="bg-BG" w:eastAsia="bg-BG"/>
              </w:rPr>
              <w:t xml:space="preserve">(Сега сградата е с </w:t>
            </w:r>
            <w:r w:rsidRPr="00805152">
              <w:rPr>
                <w:rFonts w:ascii="Times New Roman" w:eastAsiaTheme="minorEastAsia" w:hAnsi="Times New Roman"/>
                <w:bCs/>
                <w:sz w:val="20"/>
                <w:szCs w:val="20"/>
                <w:lang w:val="bg-BG" w:eastAsia="bg-BG"/>
              </w:rPr>
              <w:t>идентификатор 07079.618.1081.1</w:t>
            </w:r>
            <w:r w:rsidRPr="00805152">
              <w:rPr>
                <w:rFonts w:ascii="Times New Roman" w:eastAsiaTheme="minorEastAsia" w:hAnsi="Times New Roman"/>
                <w:sz w:val="20"/>
                <w:szCs w:val="18"/>
                <w:lang w:val="bg-BG" w:eastAsia="bg-BG"/>
              </w:rPr>
              <w:t>)</w:t>
            </w:r>
          </w:p>
        </w:tc>
      </w:tr>
      <w:tr w:rsidR="00E21053" w:rsidRPr="00805152" w14:paraId="070A66C3" w14:textId="77777777" w:rsidTr="007D3201">
        <w:trPr>
          <w:trHeight w:val="74"/>
        </w:trPr>
        <w:tc>
          <w:tcPr>
            <w:tcW w:w="5470" w:type="dxa"/>
          </w:tcPr>
          <w:p w14:paraId="6A5A41C3"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Друг тип обществена сграда – Магазия 1</w:t>
            </w:r>
          </w:p>
        </w:tc>
        <w:tc>
          <w:tcPr>
            <w:tcW w:w="2410" w:type="dxa"/>
          </w:tcPr>
          <w:p w14:paraId="2399CDA7"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2 838, 2 ет.</w:t>
            </w:r>
          </w:p>
        </w:tc>
        <w:tc>
          <w:tcPr>
            <w:tcW w:w="1931" w:type="dxa"/>
          </w:tcPr>
          <w:p w14:paraId="5E734427"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07079.618.1019.9</w:t>
            </w:r>
          </w:p>
        </w:tc>
      </w:tr>
      <w:tr w:rsidR="00E21053" w:rsidRPr="00805152" w14:paraId="4264CE2C" w14:textId="77777777" w:rsidTr="007D3201">
        <w:trPr>
          <w:trHeight w:val="239"/>
        </w:trPr>
        <w:tc>
          <w:tcPr>
            <w:tcW w:w="5470" w:type="dxa"/>
          </w:tcPr>
          <w:p w14:paraId="3514EB1B"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Сграда Кулата</w:t>
            </w:r>
          </w:p>
        </w:tc>
        <w:tc>
          <w:tcPr>
            <w:tcW w:w="2410" w:type="dxa"/>
          </w:tcPr>
          <w:p w14:paraId="7E8C415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23, 1 ет.</w:t>
            </w:r>
          </w:p>
        </w:tc>
        <w:tc>
          <w:tcPr>
            <w:tcW w:w="1931" w:type="dxa"/>
          </w:tcPr>
          <w:p w14:paraId="65B3EBAA"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07079.618.1021.5</w:t>
            </w:r>
          </w:p>
        </w:tc>
      </w:tr>
      <w:tr w:rsidR="00E21053" w:rsidRPr="00805152" w14:paraId="573B4466" w14:textId="77777777" w:rsidTr="007D3201">
        <w:trPr>
          <w:trHeight w:val="239"/>
        </w:trPr>
        <w:tc>
          <w:tcPr>
            <w:tcW w:w="5470" w:type="dxa"/>
          </w:tcPr>
          <w:p w14:paraId="304639A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Гараж Пристанище Изток</w:t>
            </w:r>
          </w:p>
        </w:tc>
        <w:tc>
          <w:tcPr>
            <w:tcW w:w="2410" w:type="dxa"/>
          </w:tcPr>
          <w:p w14:paraId="111EF3C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1 250, 1 ет.</w:t>
            </w:r>
          </w:p>
        </w:tc>
        <w:tc>
          <w:tcPr>
            <w:tcW w:w="1931" w:type="dxa"/>
          </w:tcPr>
          <w:p w14:paraId="6B7A8B34"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07079.618.1021.3</w:t>
            </w:r>
          </w:p>
        </w:tc>
      </w:tr>
      <w:tr w:rsidR="00E21053" w:rsidRPr="00805152" w14:paraId="4D17D473" w14:textId="77777777" w:rsidTr="007D3201">
        <w:trPr>
          <w:trHeight w:val="239"/>
        </w:trPr>
        <w:tc>
          <w:tcPr>
            <w:tcW w:w="5470" w:type="dxa"/>
          </w:tcPr>
          <w:p w14:paraId="17BBD64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6</w:t>
            </w:r>
          </w:p>
        </w:tc>
        <w:tc>
          <w:tcPr>
            <w:tcW w:w="2410" w:type="dxa"/>
          </w:tcPr>
          <w:p w14:paraId="1C18E1E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4 590, 1 ет.</w:t>
            </w:r>
          </w:p>
        </w:tc>
        <w:tc>
          <w:tcPr>
            <w:tcW w:w="1931" w:type="dxa"/>
          </w:tcPr>
          <w:p w14:paraId="019F088E"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07079.618.1084.2</w:t>
            </w:r>
          </w:p>
        </w:tc>
      </w:tr>
      <w:tr w:rsidR="00E21053" w:rsidRPr="00805152" w14:paraId="72C15B13" w14:textId="77777777" w:rsidTr="007D3201">
        <w:trPr>
          <w:trHeight w:val="239"/>
        </w:trPr>
        <w:tc>
          <w:tcPr>
            <w:tcW w:w="5470" w:type="dxa"/>
          </w:tcPr>
          <w:p w14:paraId="263E27B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14</w:t>
            </w:r>
          </w:p>
        </w:tc>
        <w:tc>
          <w:tcPr>
            <w:tcW w:w="2410" w:type="dxa"/>
          </w:tcPr>
          <w:p w14:paraId="3986073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2 999, 1 ет.</w:t>
            </w:r>
          </w:p>
        </w:tc>
        <w:tc>
          <w:tcPr>
            <w:tcW w:w="1931" w:type="dxa"/>
          </w:tcPr>
          <w:p w14:paraId="65CFDF96"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07079.618.1079.4</w:t>
            </w:r>
          </w:p>
        </w:tc>
      </w:tr>
      <w:tr w:rsidR="00E21053" w:rsidRPr="00805152" w14:paraId="64F30FC5" w14:textId="77777777" w:rsidTr="007D3201">
        <w:trPr>
          <w:trHeight w:val="70"/>
        </w:trPr>
        <w:tc>
          <w:tcPr>
            <w:tcW w:w="5470" w:type="dxa"/>
          </w:tcPr>
          <w:p w14:paraId="7ECFE31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 xml:space="preserve">Склад – Червена магазия – склад материали </w:t>
            </w:r>
          </w:p>
          <w:p w14:paraId="08478E2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Червена магазия</w:t>
            </w:r>
          </w:p>
        </w:tc>
        <w:tc>
          <w:tcPr>
            <w:tcW w:w="2410" w:type="dxa"/>
          </w:tcPr>
          <w:p w14:paraId="3C250279" w14:textId="77777777" w:rsidR="00E21053" w:rsidRPr="00805152" w:rsidRDefault="00E21053" w:rsidP="00E21053">
            <w:pPr>
              <w:spacing w:after="0" w:line="240" w:lineRule="auto"/>
              <w:rPr>
                <w:rFonts w:ascii="Times New Roman" w:eastAsiaTheme="minorEastAsia" w:hAnsi="Times New Roman"/>
                <w:bCs/>
                <w:sz w:val="20"/>
                <w:szCs w:val="18"/>
                <w:lang w:val="bg-BG" w:eastAsia="bg-BG"/>
              </w:rPr>
            </w:pPr>
            <w:r w:rsidRPr="00805152">
              <w:rPr>
                <w:rFonts w:ascii="Times New Roman" w:eastAsiaTheme="minorEastAsia" w:hAnsi="Times New Roman"/>
                <w:bCs/>
                <w:sz w:val="20"/>
                <w:szCs w:val="18"/>
                <w:lang w:val="bg-BG" w:eastAsia="bg-BG"/>
              </w:rPr>
              <w:t>106, 1 ет.</w:t>
            </w:r>
          </w:p>
          <w:p w14:paraId="72DCBE69" w14:textId="77777777" w:rsidR="00E21053" w:rsidRPr="00805152" w:rsidRDefault="00E21053" w:rsidP="00E21053">
            <w:pPr>
              <w:spacing w:after="0" w:line="240" w:lineRule="auto"/>
              <w:rPr>
                <w:rFonts w:ascii="Times New Roman" w:eastAsiaTheme="minorEastAsia" w:hAnsi="Times New Roman"/>
                <w:bCs/>
                <w:sz w:val="20"/>
                <w:szCs w:val="18"/>
                <w:lang w:val="bg-BG" w:eastAsia="bg-BG"/>
              </w:rPr>
            </w:pPr>
            <w:r w:rsidRPr="00805152">
              <w:rPr>
                <w:rFonts w:ascii="Times New Roman" w:eastAsiaTheme="minorEastAsia" w:hAnsi="Times New Roman"/>
                <w:bCs/>
                <w:sz w:val="20"/>
                <w:szCs w:val="18"/>
                <w:lang w:val="bg-BG" w:eastAsia="bg-BG"/>
              </w:rPr>
              <w:t>343, 4 ет.</w:t>
            </w:r>
          </w:p>
        </w:tc>
        <w:tc>
          <w:tcPr>
            <w:tcW w:w="1931" w:type="dxa"/>
          </w:tcPr>
          <w:p w14:paraId="1981B5E9"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07079.618.1079.5</w:t>
            </w:r>
          </w:p>
          <w:p w14:paraId="202C778D"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07079.618.1079.6</w:t>
            </w:r>
          </w:p>
        </w:tc>
      </w:tr>
      <w:tr w:rsidR="00E21053" w:rsidRPr="00805152" w14:paraId="7495FC33" w14:textId="77777777" w:rsidTr="007D3201">
        <w:trPr>
          <w:trHeight w:val="239"/>
        </w:trPr>
        <w:tc>
          <w:tcPr>
            <w:tcW w:w="5470" w:type="dxa"/>
          </w:tcPr>
          <w:p w14:paraId="5BB0F792"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13</w:t>
            </w:r>
          </w:p>
        </w:tc>
        <w:tc>
          <w:tcPr>
            <w:tcW w:w="2410" w:type="dxa"/>
          </w:tcPr>
          <w:p w14:paraId="2F16714F"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2 458, 1 ет.</w:t>
            </w:r>
          </w:p>
        </w:tc>
        <w:tc>
          <w:tcPr>
            <w:tcW w:w="1931" w:type="dxa"/>
          </w:tcPr>
          <w:p w14:paraId="0B05B24D"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07079.618.1079.2</w:t>
            </w:r>
          </w:p>
        </w:tc>
      </w:tr>
      <w:tr w:rsidR="00E21053" w:rsidRPr="00805152" w14:paraId="2904FBB0" w14:textId="77777777" w:rsidTr="007D3201">
        <w:trPr>
          <w:trHeight w:val="239"/>
        </w:trPr>
        <w:tc>
          <w:tcPr>
            <w:tcW w:w="5470" w:type="dxa"/>
          </w:tcPr>
          <w:p w14:paraId="38F934A0"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Зарядна за елпогрузи</w:t>
            </w:r>
          </w:p>
        </w:tc>
        <w:tc>
          <w:tcPr>
            <w:tcW w:w="2410" w:type="dxa"/>
          </w:tcPr>
          <w:p w14:paraId="4B64C0F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216, 1 ет.</w:t>
            </w:r>
          </w:p>
        </w:tc>
        <w:tc>
          <w:tcPr>
            <w:tcW w:w="1931" w:type="dxa"/>
          </w:tcPr>
          <w:p w14:paraId="734B40E1"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07079.618.1021.2</w:t>
            </w:r>
          </w:p>
        </w:tc>
      </w:tr>
      <w:tr w:rsidR="00E21053" w:rsidRPr="00805152" w14:paraId="78D2796D" w14:textId="77777777" w:rsidTr="007D3201">
        <w:trPr>
          <w:trHeight w:val="495"/>
        </w:trPr>
        <w:tc>
          <w:tcPr>
            <w:tcW w:w="5470" w:type="dxa"/>
          </w:tcPr>
          <w:p w14:paraId="3F3863D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Карантинен склад</w:t>
            </w:r>
          </w:p>
          <w:p w14:paraId="715AB47F"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Стифадорна Карантинен склад</w:t>
            </w:r>
          </w:p>
        </w:tc>
        <w:tc>
          <w:tcPr>
            <w:tcW w:w="2410" w:type="dxa"/>
          </w:tcPr>
          <w:p w14:paraId="3FCB6F5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2 995, 1 ет.</w:t>
            </w:r>
          </w:p>
          <w:p w14:paraId="7A7B122D"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166, 1 ет.</w:t>
            </w:r>
          </w:p>
        </w:tc>
        <w:tc>
          <w:tcPr>
            <w:tcW w:w="1931" w:type="dxa"/>
          </w:tcPr>
          <w:p w14:paraId="5E7543AE"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07079.618.1079.7</w:t>
            </w:r>
          </w:p>
          <w:p w14:paraId="53B24373"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07079.618.1079.8</w:t>
            </w:r>
          </w:p>
        </w:tc>
      </w:tr>
      <w:tr w:rsidR="00E21053" w:rsidRPr="00805152" w14:paraId="7C48D3AD" w14:textId="77777777" w:rsidTr="007D3201">
        <w:trPr>
          <w:trHeight w:val="239"/>
        </w:trPr>
        <w:tc>
          <w:tcPr>
            <w:tcW w:w="5470" w:type="dxa"/>
          </w:tcPr>
          <w:p w14:paraId="3D8944F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КПП и главен вход администрация</w:t>
            </w:r>
          </w:p>
        </w:tc>
        <w:tc>
          <w:tcPr>
            <w:tcW w:w="2410" w:type="dxa"/>
          </w:tcPr>
          <w:p w14:paraId="5627364E"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105, 1 ет.</w:t>
            </w:r>
          </w:p>
        </w:tc>
        <w:tc>
          <w:tcPr>
            <w:tcW w:w="1931" w:type="dxa"/>
          </w:tcPr>
          <w:p w14:paraId="395B3D3B"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07079.618.1084.16</w:t>
            </w:r>
          </w:p>
        </w:tc>
      </w:tr>
      <w:tr w:rsidR="00E21053" w:rsidRPr="00805152" w14:paraId="78A37727" w14:textId="77777777" w:rsidTr="007D3201">
        <w:trPr>
          <w:trHeight w:val="239"/>
        </w:trPr>
        <w:tc>
          <w:tcPr>
            <w:tcW w:w="5470" w:type="dxa"/>
          </w:tcPr>
          <w:p w14:paraId="10ED8C7C" w14:textId="77777777" w:rsidR="00E21053" w:rsidRPr="00805152" w:rsidRDefault="00E21053" w:rsidP="00E21053">
            <w:pPr>
              <w:tabs>
                <w:tab w:val="center" w:pos="2607"/>
              </w:tabs>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12</w:t>
            </w:r>
          </w:p>
        </w:tc>
        <w:tc>
          <w:tcPr>
            <w:tcW w:w="2410" w:type="dxa"/>
          </w:tcPr>
          <w:p w14:paraId="0433359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2 439, 1 ет.</w:t>
            </w:r>
          </w:p>
        </w:tc>
        <w:tc>
          <w:tcPr>
            <w:tcW w:w="1931" w:type="dxa"/>
          </w:tcPr>
          <w:p w14:paraId="3B9C5CDE"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07079.618.1079.3</w:t>
            </w:r>
          </w:p>
        </w:tc>
      </w:tr>
      <w:tr w:rsidR="00E21053" w:rsidRPr="00805152" w14:paraId="02979CB4" w14:textId="77777777" w:rsidTr="007D3201">
        <w:trPr>
          <w:trHeight w:val="239"/>
        </w:trPr>
        <w:tc>
          <w:tcPr>
            <w:tcW w:w="5470" w:type="dxa"/>
          </w:tcPr>
          <w:p w14:paraId="321F1073"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Сграда трафопост № 3 – стар стол</w:t>
            </w:r>
          </w:p>
        </w:tc>
        <w:tc>
          <w:tcPr>
            <w:tcW w:w="2410" w:type="dxa"/>
          </w:tcPr>
          <w:p w14:paraId="6CC6DA3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218, 1 ет.</w:t>
            </w:r>
          </w:p>
        </w:tc>
        <w:tc>
          <w:tcPr>
            <w:tcW w:w="1931" w:type="dxa"/>
          </w:tcPr>
          <w:p w14:paraId="23AEC3BB"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07079.618.1084.12</w:t>
            </w:r>
          </w:p>
        </w:tc>
      </w:tr>
      <w:tr w:rsidR="00E21053" w:rsidRPr="00805152" w14:paraId="1547E43C" w14:textId="77777777" w:rsidTr="007D3201">
        <w:trPr>
          <w:trHeight w:val="239"/>
        </w:trPr>
        <w:tc>
          <w:tcPr>
            <w:tcW w:w="5470" w:type="dxa"/>
          </w:tcPr>
          <w:p w14:paraId="0D63489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7</w:t>
            </w:r>
          </w:p>
        </w:tc>
        <w:tc>
          <w:tcPr>
            <w:tcW w:w="2410" w:type="dxa"/>
          </w:tcPr>
          <w:p w14:paraId="34E54A63"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11 153, 1 ет.</w:t>
            </w:r>
          </w:p>
        </w:tc>
        <w:tc>
          <w:tcPr>
            <w:tcW w:w="1931" w:type="dxa"/>
          </w:tcPr>
          <w:p w14:paraId="5B638DE8"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07079.618.1084.1</w:t>
            </w:r>
          </w:p>
        </w:tc>
      </w:tr>
      <w:tr w:rsidR="00E21053" w:rsidRPr="00805152" w14:paraId="4ADBB895" w14:textId="77777777" w:rsidTr="007D3201">
        <w:trPr>
          <w:trHeight w:val="239"/>
        </w:trPr>
        <w:tc>
          <w:tcPr>
            <w:tcW w:w="5470" w:type="dxa"/>
          </w:tcPr>
          <w:p w14:paraId="020B9B4E"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КПП към Магазия № 11</w:t>
            </w:r>
          </w:p>
        </w:tc>
        <w:tc>
          <w:tcPr>
            <w:tcW w:w="2410" w:type="dxa"/>
          </w:tcPr>
          <w:p w14:paraId="1251BA1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 xml:space="preserve"> </w:t>
            </w:r>
          </w:p>
        </w:tc>
        <w:tc>
          <w:tcPr>
            <w:tcW w:w="1931" w:type="dxa"/>
          </w:tcPr>
          <w:p w14:paraId="645C7AB1"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07079.618.1084.5</w:t>
            </w:r>
          </w:p>
        </w:tc>
      </w:tr>
      <w:tr w:rsidR="00E21053" w:rsidRPr="00805152" w14:paraId="12E593FA" w14:textId="77777777" w:rsidTr="007D3201">
        <w:trPr>
          <w:trHeight w:val="239"/>
        </w:trPr>
        <w:tc>
          <w:tcPr>
            <w:tcW w:w="5470" w:type="dxa"/>
          </w:tcPr>
          <w:p w14:paraId="6A4515A0"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Кухня майка за 3000 души</w:t>
            </w:r>
          </w:p>
        </w:tc>
        <w:tc>
          <w:tcPr>
            <w:tcW w:w="2410" w:type="dxa"/>
          </w:tcPr>
          <w:p w14:paraId="775B91B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1 121, 4 ет.</w:t>
            </w:r>
          </w:p>
        </w:tc>
        <w:tc>
          <w:tcPr>
            <w:tcW w:w="1931" w:type="dxa"/>
          </w:tcPr>
          <w:p w14:paraId="0EF2C7BF"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07079.618.1084.3</w:t>
            </w:r>
          </w:p>
        </w:tc>
      </w:tr>
      <w:tr w:rsidR="00E21053" w:rsidRPr="00805152" w14:paraId="677F0E6A" w14:textId="77777777" w:rsidTr="007D3201">
        <w:trPr>
          <w:trHeight w:val="239"/>
        </w:trPr>
        <w:tc>
          <w:tcPr>
            <w:tcW w:w="5470" w:type="dxa"/>
          </w:tcPr>
          <w:p w14:paraId="0C6A8A08"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Митница и КПП п-ще Изток</w:t>
            </w:r>
          </w:p>
        </w:tc>
        <w:tc>
          <w:tcPr>
            <w:tcW w:w="2410" w:type="dxa"/>
          </w:tcPr>
          <w:p w14:paraId="6E3E0ED3"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101, 1 ет.</w:t>
            </w:r>
          </w:p>
        </w:tc>
        <w:tc>
          <w:tcPr>
            <w:tcW w:w="1931" w:type="dxa"/>
          </w:tcPr>
          <w:p w14:paraId="5DCB9E26"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07079.618.1083.1</w:t>
            </w:r>
          </w:p>
        </w:tc>
      </w:tr>
      <w:tr w:rsidR="00E21053" w:rsidRPr="00805152" w14:paraId="2294071A" w14:textId="77777777" w:rsidTr="007D3201">
        <w:trPr>
          <w:trHeight w:val="239"/>
        </w:trPr>
        <w:tc>
          <w:tcPr>
            <w:tcW w:w="5470" w:type="dxa"/>
          </w:tcPr>
          <w:p w14:paraId="1058E6F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Валутен магазин п-ще Център</w:t>
            </w:r>
          </w:p>
        </w:tc>
        <w:tc>
          <w:tcPr>
            <w:tcW w:w="2410" w:type="dxa"/>
          </w:tcPr>
          <w:p w14:paraId="3DA0EE71"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 xml:space="preserve"> 205, 1 ет.</w:t>
            </w:r>
          </w:p>
        </w:tc>
        <w:tc>
          <w:tcPr>
            <w:tcW w:w="1931" w:type="dxa"/>
          </w:tcPr>
          <w:p w14:paraId="61E829AF"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07079.618.1083.3</w:t>
            </w:r>
          </w:p>
        </w:tc>
      </w:tr>
      <w:tr w:rsidR="00E21053" w:rsidRPr="00805152" w14:paraId="2979A790" w14:textId="77777777" w:rsidTr="007D3201">
        <w:trPr>
          <w:trHeight w:val="239"/>
        </w:trPr>
        <w:tc>
          <w:tcPr>
            <w:tcW w:w="5470" w:type="dxa"/>
          </w:tcPr>
          <w:p w14:paraId="23E132D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Депо за имущество на капитално строителство</w:t>
            </w:r>
          </w:p>
        </w:tc>
        <w:tc>
          <w:tcPr>
            <w:tcW w:w="2410" w:type="dxa"/>
          </w:tcPr>
          <w:p w14:paraId="1167ECA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 xml:space="preserve">1 612, 1 ет. </w:t>
            </w:r>
          </w:p>
        </w:tc>
        <w:tc>
          <w:tcPr>
            <w:tcW w:w="1931" w:type="dxa"/>
          </w:tcPr>
          <w:p w14:paraId="5AEF4D69"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07079.618.1079.1</w:t>
            </w:r>
          </w:p>
        </w:tc>
      </w:tr>
      <w:tr w:rsidR="00E21053" w:rsidRPr="00805152" w14:paraId="60AD5F76" w14:textId="77777777" w:rsidTr="007D3201">
        <w:trPr>
          <w:trHeight w:val="239"/>
        </w:trPr>
        <w:tc>
          <w:tcPr>
            <w:tcW w:w="5470" w:type="dxa"/>
          </w:tcPr>
          <w:p w14:paraId="3B1E00CD"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Яхт-клуб нова сграда</w:t>
            </w:r>
          </w:p>
        </w:tc>
        <w:tc>
          <w:tcPr>
            <w:tcW w:w="2410" w:type="dxa"/>
          </w:tcPr>
          <w:p w14:paraId="091188E0"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154</w:t>
            </w:r>
          </w:p>
        </w:tc>
        <w:tc>
          <w:tcPr>
            <w:tcW w:w="1931" w:type="dxa"/>
          </w:tcPr>
          <w:p w14:paraId="00BCA909"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07079.618.1019.12</w:t>
            </w:r>
          </w:p>
        </w:tc>
      </w:tr>
      <w:tr w:rsidR="00E21053" w:rsidRPr="00805152" w14:paraId="6CDFC79B" w14:textId="77777777" w:rsidTr="007D3201">
        <w:trPr>
          <w:trHeight w:val="239"/>
        </w:trPr>
        <w:tc>
          <w:tcPr>
            <w:tcW w:w="5470" w:type="dxa"/>
          </w:tcPr>
          <w:p w14:paraId="76341D9D"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Модул 2, Морска гара</w:t>
            </w:r>
          </w:p>
        </w:tc>
        <w:tc>
          <w:tcPr>
            <w:tcW w:w="2410" w:type="dxa"/>
          </w:tcPr>
          <w:p w14:paraId="4860FCFB"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733,07, 1 ет.</w:t>
            </w:r>
          </w:p>
        </w:tc>
        <w:tc>
          <w:tcPr>
            <w:tcW w:w="1931" w:type="dxa"/>
          </w:tcPr>
          <w:p w14:paraId="4BD60738"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07079.618.1081.1.2</w:t>
            </w:r>
          </w:p>
        </w:tc>
      </w:tr>
      <w:tr w:rsidR="00E21053" w:rsidRPr="00805152" w14:paraId="156E3637" w14:textId="77777777" w:rsidTr="007D3201">
        <w:trPr>
          <w:trHeight w:val="239"/>
        </w:trPr>
        <w:tc>
          <w:tcPr>
            <w:tcW w:w="5470" w:type="dxa"/>
          </w:tcPr>
          <w:p w14:paraId="5FF9847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Трафопост № 6 Рибна борса</w:t>
            </w:r>
          </w:p>
        </w:tc>
        <w:tc>
          <w:tcPr>
            <w:tcW w:w="2410" w:type="dxa"/>
          </w:tcPr>
          <w:p w14:paraId="025B8627"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p>
        </w:tc>
        <w:tc>
          <w:tcPr>
            <w:tcW w:w="1931" w:type="dxa"/>
          </w:tcPr>
          <w:p w14:paraId="0C362D22"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07079.618.1079.4</w:t>
            </w:r>
          </w:p>
        </w:tc>
      </w:tr>
      <w:tr w:rsidR="00E21053" w:rsidRPr="00805152" w14:paraId="0839BAC8" w14:textId="77777777" w:rsidTr="007D3201">
        <w:trPr>
          <w:trHeight w:val="239"/>
        </w:trPr>
        <w:tc>
          <w:tcPr>
            <w:tcW w:w="5470" w:type="dxa"/>
          </w:tcPr>
          <w:p w14:paraId="4022A3AE"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Трафопост № 1 Навигационен фар</w:t>
            </w:r>
          </w:p>
        </w:tc>
        <w:tc>
          <w:tcPr>
            <w:tcW w:w="2410" w:type="dxa"/>
          </w:tcPr>
          <w:p w14:paraId="0BEE0E4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52</w:t>
            </w:r>
          </w:p>
        </w:tc>
        <w:tc>
          <w:tcPr>
            <w:tcW w:w="1931" w:type="dxa"/>
          </w:tcPr>
          <w:p w14:paraId="46A6CE00"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07079.618.1019.10</w:t>
            </w:r>
          </w:p>
        </w:tc>
      </w:tr>
      <w:tr w:rsidR="00E21053" w:rsidRPr="00805152" w14:paraId="63473219" w14:textId="77777777" w:rsidTr="007D3201">
        <w:trPr>
          <w:trHeight w:val="239"/>
        </w:trPr>
        <w:tc>
          <w:tcPr>
            <w:tcW w:w="5470" w:type="dxa"/>
          </w:tcPr>
          <w:p w14:paraId="29BF49E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Магазия № 1, Етаж 2</w:t>
            </w:r>
          </w:p>
        </w:tc>
        <w:tc>
          <w:tcPr>
            <w:tcW w:w="2410" w:type="dxa"/>
          </w:tcPr>
          <w:p w14:paraId="2A82BBB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1065,15</w:t>
            </w:r>
          </w:p>
        </w:tc>
        <w:tc>
          <w:tcPr>
            <w:tcW w:w="1931" w:type="dxa"/>
          </w:tcPr>
          <w:p w14:paraId="74686066"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07079.618.1019.9.12</w:t>
            </w:r>
          </w:p>
        </w:tc>
      </w:tr>
      <w:tr w:rsidR="00E21053" w:rsidRPr="00805152" w14:paraId="59B62153" w14:textId="77777777" w:rsidTr="007D3201">
        <w:trPr>
          <w:trHeight w:val="239"/>
        </w:trPr>
        <w:tc>
          <w:tcPr>
            <w:tcW w:w="5470" w:type="dxa"/>
          </w:tcPr>
          <w:p w14:paraId="3D59CB77"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Хале Яхт-клуб</w:t>
            </w:r>
          </w:p>
        </w:tc>
        <w:tc>
          <w:tcPr>
            <w:tcW w:w="2410" w:type="dxa"/>
          </w:tcPr>
          <w:p w14:paraId="38DF5AA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679 общо трите об.</w:t>
            </w:r>
          </w:p>
        </w:tc>
        <w:tc>
          <w:tcPr>
            <w:tcW w:w="1931" w:type="dxa"/>
          </w:tcPr>
          <w:p w14:paraId="6BA5FBB4"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07079.618.1019.15.1</w:t>
            </w:r>
          </w:p>
        </w:tc>
      </w:tr>
      <w:tr w:rsidR="00E21053" w:rsidRPr="00805152" w14:paraId="4B07A067" w14:textId="77777777" w:rsidTr="007D3201">
        <w:trPr>
          <w:trHeight w:val="239"/>
        </w:trPr>
        <w:tc>
          <w:tcPr>
            <w:tcW w:w="5470" w:type="dxa"/>
          </w:tcPr>
          <w:p w14:paraId="3B294D9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Хале Яхт-клуб ІІ</w:t>
            </w:r>
          </w:p>
        </w:tc>
        <w:tc>
          <w:tcPr>
            <w:tcW w:w="2410" w:type="dxa"/>
          </w:tcPr>
          <w:p w14:paraId="3A924491"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p>
        </w:tc>
        <w:tc>
          <w:tcPr>
            <w:tcW w:w="1931" w:type="dxa"/>
          </w:tcPr>
          <w:p w14:paraId="185D36AF"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07079.618.1019.15.2</w:t>
            </w:r>
          </w:p>
        </w:tc>
      </w:tr>
      <w:tr w:rsidR="00E21053" w:rsidRPr="00805152" w14:paraId="6BA49337" w14:textId="77777777" w:rsidTr="007D3201">
        <w:trPr>
          <w:trHeight w:val="239"/>
        </w:trPr>
        <w:tc>
          <w:tcPr>
            <w:tcW w:w="5470" w:type="dxa"/>
          </w:tcPr>
          <w:p w14:paraId="7EA17E88"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Хале работилници</w:t>
            </w:r>
          </w:p>
        </w:tc>
        <w:tc>
          <w:tcPr>
            <w:tcW w:w="2410" w:type="dxa"/>
          </w:tcPr>
          <w:p w14:paraId="148035EC"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p>
        </w:tc>
        <w:tc>
          <w:tcPr>
            <w:tcW w:w="1931" w:type="dxa"/>
          </w:tcPr>
          <w:p w14:paraId="15A164CC"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07079.618.1019.15.3</w:t>
            </w:r>
          </w:p>
        </w:tc>
      </w:tr>
      <w:tr w:rsidR="00E21053" w:rsidRPr="00805152" w14:paraId="041FF3B0" w14:textId="77777777" w:rsidTr="007D3201">
        <w:trPr>
          <w:trHeight w:val="239"/>
        </w:trPr>
        <w:tc>
          <w:tcPr>
            <w:tcW w:w="5470" w:type="dxa"/>
          </w:tcPr>
          <w:p w14:paraId="23B08C2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Хале ветроходен център Пилотска станция</w:t>
            </w:r>
          </w:p>
        </w:tc>
        <w:tc>
          <w:tcPr>
            <w:tcW w:w="2410" w:type="dxa"/>
          </w:tcPr>
          <w:p w14:paraId="46FDB90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197</w:t>
            </w:r>
          </w:p>
        </w:tc>
        <w:tc>
          <w:tcPr>
            <w:tcW w:w="1931" w:type="dxa"/>
          </w:tcPr>
          <w:p w14:paraId="0EAFAA2B"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07079.618.1019.17</w:t>
            </w:r>
          </w:p>
        </w:tc>
      </w:tr>
      <w:tr w:rsidR="00E21053" w:rsidRPr="00805152" w14:paraId="75885F19" w14:textId="77777777" w:rsidTr="007D3201">
        <w:trPr>
          <w:trHeight w:val="223"/>
        </w:trPr>
        <w:tc>
          <w:tcPr>
            <w:tcW w:w="5470" w:type="dxa"/>
          </w:tcPr>
          <w:p w14:paraId="58D46607"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Адм. сграда Портови флот</w:t>
            </w:r>
          </w:p>
        </w:tc>
        <w:tc>
          <w:tcPr>
            <w:tcW w:w="2410" w:type="dxa"/>
          </w:tcPr>
          <w:p w14:paraId="675AF222"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208,22, 1 ет. част</w:t>
            </w:r>
          </w:p>
        </w:tc>
        <w:tc>
          <w:tcPr>
            <w:tcW w:w="1931" w:type="dxa"/>
          </w:tcPr>
          <w:p w14:paraId="2707E928"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07079.618.1083.2</w:t>
            </w:r>
          </w:p>
        </w:tc>
      </w:tr>
    </w:tbl>
    <w:bookmarkEnd w:id="93"/>
    <w:p w14:paraId="405003C9" w14:textId="69949E3A" w:rsidR="00E21053" w:rsidRPr="00805152" w:rsidRDefault="00E21053" w:rsidP="000274FA">
      <w:pPr>
        <w:tabs>
          <w:tab w:val="left" w:pos="1005"/>
        </w:tabs>
        <w:spacing w:after="0" w:line="240" w:lineRule="auto"/>
        <w:jc w:val="center"/>
        <w:rPr>
          <w:rFonts w:ascii="Times New Roman" w:eastAsiaTheme="minorEastAsia" w:hAnsi="Times New Roman"/>
          <w:b/>
          <w:bCs/>
          <w:sz w:val="24"/>
          <w:lang w:val="bg-BG" w:eastAsia="bg-BG"/>
        </w:rPr>
      </w:pPr>
      <w:r w:rsidRPr="00805152">
        <w:rPr>
          <w:rFonts w:ascii="Times New Roman" w:eastAsiaTheme="minorEastAsia" w:hAnsi="Times New Roman"/>
          <w:b/>
          <w:bCs/>
          <w:sz w:val="24"/>
          <w:lang w:val="bg-BG" w:eastAsia="bg-BG"/>
        </w:rPr>
        <w:t>СГРАДИ, ИЗГРАДЕНИ ОТ ДППИ</w:t>
      </w:r>
    </w:p>
    <w:p w14:paraId="58AE1447" w14:textId="77777777" w:rsidR="00E21053" w:rsidRPr="00805152" w:rsidRDefault="00E21053" w:rsidP="00E21053">
      <w:pPr>
        <w:tabs>
          <w:tab w:val="left" w:pos="1005"/>
        </w:tabs>
        <w:spacing w:after="0" w:line="240" w:lineRule="auto"/>
        <w:rPr>
          <w:rFonts w:ascii="Times New Roman" w:eastAsiaTheme="minorEastAsia" w:hAnsi="Times New Roman"/>
          <w:b/>
          <w:bCs/>
          <w:sz w:val="24"/>
          <w:lang w:val="bg-BG" w:eastAsia="bg-BG"/>
        </w:rPr>
      </w:pPr>
    </w:p>
    <w:tbl>
      <w:tblPr>
        <w:tblW w:w="9811" w:type="dxa"/>
        <w:tblInd w:w="-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470"/>
        <w:gridCol w:w="2410"/>
        <w:gridCol w:w="1931"/>
      </w:tblGrid>
      <w:tr w:rsidR="00E21053" w:rsidRPr="00805152" w14:paraId="1F626815" w14:textId="77777777" w:rsidTr="007D3201">
        <w:trPr>
          <w:trHeight w:val="239"/>
        </w:trPr>
        <w:tc>
          <w:tcPr>
            <w:tcW w:w="5470" w:type="dxa"/>
            <w:shd w:val="clear" w:color="auto" w:fill="95B3D7" w:themeFill="accent1" w:themeFillTint="99"/>
          </w:tcPr>
          <w:p w14:paraId="294CD4F7"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r w:rsidRPr="00805152">
              <w:rPr>
                <w:rFonts w:ascii="Times New Roman" w:eastAsiaTheme="minorEastAsia" w:hAnsi="Times New Roman"/>
                <w:b/>
                <w:iCs/>
                <w:sz w:val="20"/>
                <w:szCs w:val="18"/>
                <w:lang w:val="bg-BG" w:eastAsia="bg-BG"/>
              </w:rPr>
              <w:t>Сграда</w:t>
            </w:r>
          </w:p>
        </w:tc>
        <w:tc>
          <w:tcPr>
            <w:tcW w:w="2410" w:type="dxa"/>
            <w:shd w:val="clear" w:color="auto" w:fill="95B3D7" w:themeFill="accent1" w:themeFillTint="99"/>
          </w:tcPr>
          <w:p w14:paraId="0392D429"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r w:rsidRPr="00805152">
              <w:rPr>
                <w:rFonts w:ascii="Times New Roman" w:eastAsiaTheme="minorEastAsia" w:hAnsi="Times New Roman"/>
                <w:b/>
                <w:iCs/>
                <w:sz w:val="20"/>
                <w:szCs w:val="18"/>
                <w:lang w:val="bg-BG" w:eastAsia="bg-BG"/>
              </w:rPr>
              <w:t>Застроена площ в кв. м.</w:t>
            </w:r>
          </w:p>
        </w:tc>
        <w:tc>
          <w:tcPr>
            <w:tcW w:w="1931" w:type="dxa"/>
            <w:shd w:val="clear" w:color="auto" w:fill="95B3D7" w:themeFill="accent1" w:themeFillTint="99"/>
          </w:tcPr>
          <w:p w14:paraId="32E1E6DD" w14:textId="77777777" w:rsidR="00E21053" w:rsidRPr="00805152" w:rsidRDefault="00E21053" w:rsidP="00E21053">
            <w:pPr>
              <w:spacing w:after="0" w:line="240" w:lineRule="auto"/>
              <w:jc w:val="center"/>
              <w:rPr>
                <w:rFonts w:ascii="Times New Roman" w:eastAsiaTheme="minorEastAsia" w:hAnsi="Times New Roman"/>
                <w:b/>
                <w:iCs/>
                <w:sz w:val="20"/>
                <w:szCs w:val="18"/>
                <w:lang w:val="bg-BG" w:eastAsia="bg-BG"/>
              </w:rPr>
            </w:pPr>
            <w:r w:rsidRPr="00805152">
              <w:rPr>
                <w:rFonts w:ascii="Times New Roman" w:eastAsiaTheme="minorEastAsia" w:hAnsi="Times New Roman"/>
                <w:b/>
                <w:iCs/>
                <w:sz w:val="20"/>
                <w:szCs w:val="18"/>
                <w:lang w:val="bg-BG" w:eastAsia="bg-BG"/>
              </w:rPr>
              <w:t>Идентификатор</w:t>
            </w:r>
          </w:p>
        </w:tc>
      </w:tr>
      <w:tr w:rsidR="00E21053" w:rsidRPr="00805152" w14:paraId="55C953DB" w14:textId="77777777" w:rsidTr="007D3201">
        <w:trPr>
          <w:trHeight w:val="239"/>
        </w:trPr>
        <w:tc>
          <w:tcPr>
            <w:tcW w:w="5470" w:type="dxa"/>
          </w:tcPr>
          <w:p w14:paraId="1D3F9F29" w14:textId="77777777" w:rsidR="00E21053" w:rsidRPr="00805152" w:rsidRDefault="00E21053" w:rsidP="00E21053">
            <w:pPr>
              <w:spacing w:after="0" w:line="240" w:lineRule="auto"/>
              <w:rPr>
                <w:rFonts w:ascii="Times New Roman" w:eastAsiaTheme="minorEastAsia" w:hAnsi="Times New Roman"/>
                <w:iCs/>
                <w:sz w:val="20"/>
                <w:szCs w:val="18"/>
                <w:lang w:val="bg-BG" w:eastAsia="bg-BG"/>
              </w:rPr>
            </w:pPr>
            <w:r w:rsidRPr="00805152">
              <w:rPr>
                <w:rFonts w:ascii="Times New Roman" w:eastAsiaTheme="minorEastAsia" w:hAnsi="Times New Roman"/>
                <w:iCs/>
                <w:sz w:val="20"/>
                <w:szCs w:val="18"/>
                <w:lang w:val="bg-BG" w:eastAsia="bg-BG"/>
              </w:rPr>
              <w:t xml:space="preserve">Сграда за Брегови център за управление и информационно обслужване на корабоплаването Бургас </w:t>
            </w:r>
            <w:r w:rsidRPr="00805152">
              <w:rPr>
                <w:rFonts w:ascii="Times New Roman" w:eastAsiaTheme="minorEastAsia" w:hAnsi="Times New Roman"/>
                <w:bCs/>
                <w:sz w:val="20"/>
                <w:szCs w:val="20"/>
                <w:lang w:val="bg-BG" w:eastAsia="bg-BG"/>
              </w:rPr>
              <w:t>(Дирекция „Ръководство на корабния трафик – Черно море“)</w:t>
            </w:r>
          </w:p>
        </w:tc>
        <w:tc>
          <w:tcPr>
            <w:tcW w:w="2410" w:type="dxa"/>
          </w:tcPr>
          <w:p w14:paraId="2CC99DD8"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2"/>
                <w:lang w:val="bg-BG" w:eastAsia="bg-BG"/>
              </w:rPr>
              <w:t xml:space="preserve">228 </w:t>
            </w:r>
            <w:r w:rsidRPr="00805152">
              <w:rPr>
                <w:rFonts w:ascii="Times New Roman" w:eastAsiaTheme="minorEastAsia" w:hAnsi="Times New Roman"/>
                <w:bCs/>
                <w:sz w:val="22"/>
                <w:lang w:val="bg-BG" w:eastAsia="bg-BG"/>
              </w:rPr>
              <w:t xml:space="preserve">кв. м., 4 </w:t>
            </w:r>
            <w:r w:rsidRPr="00805152">
              <w:rPr>
                <w:rFonts w:ascii="Times New Roman" w:eastAsiaTheme="minorEastAsia" w:hAnsi="Times New Roman"/>
                <w:sz w:val="20"/>
                <w:szCs w:val="18"/>
                <w:lang w:val="bg-BG" w:eastAsia="bg-BG"/>
              </w:rPr>
              <w:t>ет.</w:t>
            </w:r>
          </w:p>
        </w:tc>
        <w:tc>
          <w:tcPr>
            <w:tcW w:w="1931" w:type="dxa"/>
          </w:tcPr>
          <w:p w14:paraId="4DB938EA" w14:textId="77777777" w:rsidR="00E21053" w:rsidRPr="00805152" w:rsidRDefault="00E21053" w:rsidP="00E21053">
            <w:pPr>
              <w:spacing w:after="0" w:line="240" w:lineRule="auto"/>
              <w:jc w:val="right"/>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07079.618.1019.16</w:t>
            </w:r>
          </w:p>
        </w:tc>
      </w:tr>
      <w:tr w:rsidR="00E21053" w:rsidRPr="00805152" w14:paraId="23C8299F" w14:textId="77777777" w:rsidTr="007D3201">
        <w:trPr>
          <w:trHeight w:val="239"/>
        </w:trPr>
        <w:tc>
          <w:tcPr>
            <w:tcW w:w="5470" w:type="dxa"/>
          </w:tcPr>
          <w:p w14:paraId="27A2D326" w14:textId="77777777" w:rsidR="00E21053" w:rsidRPr="00805152" w:rsidRDefault="00E21053" w:rsidP="00E21053">
            <w:pPr>
              <w:spacing w:after="0" w:line="240" w:lineRule="auto"/>
              <w:rPr>
                <w:rFonts w:ascii="Times New Roman" w:eastAsiaTheme="minorEastAsia" w:hAnsi="Times New Roman"/>
                <w:sz w:val="20"/>
                <w:szCs w:val="20"/>
                <w:lang w:val="bg-BG" w:eastAsia="bg-BG"/>
              </w:rPr>
            </w:pPr>
            <w:r w:rsidRPr="00805152">
              <w:rPr>
                <w:rFonts w:ascii="Times New Roman" w:eastAsiaTheme="minorEastAsia" w:hAnsi="Times New Roman"/>
                <w:sz w:val="20"/>
                <w:szCs w:val="20"/>
                <w:lang w:val="bg-BG" w:eastAsia="bg-BG"/>
              </w:rPr>
              <w:t>Конгресен център</w:t>
            </w:r>
          </w:p>
        </w:tc>
        <w:tc>
          <w:tcPr>
            <w:tcW w:w="2410" w:type="dxa"/>
          </w:tcPr>
          <w:p w14:paraId="2C8B236F" w14:textId="77777777" w:rsidR="00E21053" w:rsidRPr="00805152" w:rsidRDefault="00E21053" w:rsidP="00E21053">
            <w:pPr>
              <w:spacing w:after="0" w:line="240" w:lineRule="auto"/>
              <w:rPr>
                <w:rFonts w:ascii="Times New Roman" w:eastAsiaTheme="minorEastAsia" w:hAnsi="Times New Roman"/>
                <w:sz w:val="20"/>
                <w:szCs w:val="20"/>
                <w:lang w:val="bg-BG" w:eastAsia="bg-BG"/>
              </w:rPr>
            </w:pPr>
            <w:r w:rsidRPr="00805152">
              <w:rPr>
                <w:rFonts w:ascii="Times New Roman" w:eastAsiaTheme="minorEastAsia" w:hAnsi="Times New Roman"/>
                <w:sz w:val="20"/>
                <w:szCs w:val="20"/>
                <w:lang w:val="bg-BG" w:eastAsia="bg-BG"/>
              </w:rPr>
              <w:t>1 700 кв. м., 5 ет.</w:t>
            </w:r>
          </w:p>
        </w:tc>
        <w:tc>
          <w:tcPr>
            <w:tcW w:w="1931" w:type="dxa"/>
          </w:tcPr>
          <w:p w14:paraId="70DB2FDD" w14:textId="77777777" w:rsidR="00E21053" w:rsidRPr="00805152" w:rsidRDefault="00E21053" w:rsidP="00E21053">
            <w:pPr>
              <w:spacing w:after="0" w:line="240" w:lineRule="auto"/>
              <w:jc w:val="right"/>
              <w:rPr>
                <w:rFonts w:ascii="Times New Roman" w:eastAsiaTheme="minorEastAsia" w:hAnsi="Times New Roman"/>
                <w:sz w:val="20"/>
                <w:szCs w:val="20"/>
                <w:lang w:val="bg-BG" w:eastAsia="bg-BG"/>
              </w:rPr>
            </w:pPr>
            <w:r w:rsidRPr="00805152">
              <w:rPr>
                <w:rFonts w:ascii="Times New Roman" w:eastAsiaTheme="minorEastAsia" w:hAnsi="Times New Roman"/>
                <w:sz w:val="20"/>
                <w:szCs w:val="20"/>
                <w:lang w:val="bg-BG" w:eastAsia="bg-BG"/>
              </w:rPr>
              <w:t>07079.618.1019.18</w:t>
            </w:r>
          </w:p>
        </w:tc>
      </w:tr>
    </w:tbl>
    <w:p w14:paraId="5CF4023D" w14:textId="77777777" w:rsidR="00E21053" w:rsidRPr="00805152" w:rsidRDefault="00E21053" w:rsidP="00E21053">
      <w:pPr>
        <w:tabs>
          <w:tab w:val="left" w:pos="1005"/>
        </w:tabs>
        <w:spacing w:after="0" w:line="240" w:lineRule="auto"/>
        <w:jc w:val="center"/>
        <w:rPr>
          <w:rFonts w:ascii="Times New Roman" w:eastAsiaTheme="minorEastAsia" w:hAnsi="Times New Roman"/>
          <w:b/>
          <w:bCs/>
          <w:sz w:val="24"/>
          <w:lang w:val="bg-BG" w:eastAsia="bg-BG"/>
        </w:rPr>
      </w:pPr>
      <w:r w:rsidRPr="00805152">
        <w:rPr>
          <w:rFonts w:ascii="Times New Roman" w:eastAsiaTheme="minorEastAsia" w:hAnsi="Times New Roman"/>
          <w:b/>
          <w:bCs/>
          <w:sz w:val="24"/>
          <w:lang w:val="bg-BG" w:eastAsia="bg-BG"/>
        </w:rPr>
        <w:lastRenderedPageBreak/>
        <w:t>СГРАДИ, СОБСТВЕНОСТ ИЛИ ПРЕДОСТАВЕНИ НА ДРУГИ (ИЗВЪН ДППИ) ЮРИДИЧЕСКИ ЛИЦА, И ТАКИВА, ЗА КОИТО ПОРАДИ ЛИПСА НА ДАННИ, НЕ СА С КАТЕГОРИЧНО УСТАНОВЕНИ ПРАВА НА СОБСТВЕНОСТ НА ДЪРЖАВАТА, СЪОТВЕТНО НА ДППИ</w:t>
      </w:r>
    </w:p>
    <w:p w14:paraId="1806C989" w14:textId="77777777" w:rsidR="00E21053" w:rsidRPr="00805152" w:rsidRDefault="00E21053" w:rsidP="00E21053">
      <w:pPr>
        <w:spacing w:after="0" w:line="240" w:lineRule="auto"/>
        <w:rPr>
          <w:rFonts w:ascii="Times New Roman" w:eastAsiaTheme="minorEastAsia" w:hAnsi="Times New Roman"/>
          <w:sz w:val="24"/>
          <w:lang w:val="bg-BG" w:eastAsia="bg-BG"/>
        </w:rPr>
      </w:pPr>
    </w:p>
    <w:tbl>
      <w:tblPr>
        <w:tblStyle w:val="TableGrid19"/>
        <w:tblW w:w="0" w:type="auto"/>
        <w:tblLook w:val="04A0" w:firstRow="1" w:lastRow="0" w:firstColumn="1" w:lastColumn="0" w:noHBand="0" w:noVBand="1"/>
      </w:tblPr>
      <w:tblGrid>
        <w:gridCol w:w="3034"/>
        <w:gridCol w:w="2319"/>
        <w:gridCol w:w="4140"/>
      </w:tblGrid>
      <w:tr w:rsidR="00E21053" w:rsidRPr="00805152" w14:paraId="3D4FCF4A" w14:textId="77777777" w:rsidTr="007D3201">
        <w:tc>
          <w:tcPr>
            <w:tcW w:w="9493" w:type="dxa"/>
            <w:gridSpan w:val="3"/>
          </w:tcPr>
          <w:p w14:paraId="576E4B69"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t>Поземлен имот 07079.618.1079 с площ 87 153 кв.м., граничи с ПИ 07079.618.1078, 07079.618.1083, 07079.618.1087, 07079.618.21</w:t>
            </w:r>
          </w:p>
        </w:tc>
      </w:tr>
      <w:tr w:rsidR="00E21053" w:rsidRPr="00805152" w14:paraId="12F2A465" w14:textId="77777777" w:rsidTr="007D3201">
        <w:tc>
          <w:tcPr>
            <w:tcW w:w="3034" w:type="dxa"/>
          </w:tcPr>
          <w:p w14:paraId="39D0230C"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319" w:type="dxa"/>
          </w:tcPr>
          <w:p w14:paraId="00DD630C"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140" w:type="dxa"/>
          </w:tcPr>
          <w:p w14:paraId="482D751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Забележка/собственост</w:t>
            </w:r>
          </w:p>
        </w:tc>
      </w:tr>
      <w:tr w:rsidR="00E21053" w:rsidRPr="00805152" w14:paraId="259818EA" w14:textId="77777777" w:rsidTr="007D3201">
        <w:tc>
          <w:tcPr>
            <w:tcW w:w="3034" w:type="dxa"/>
          </w:tcPr>
          <w:p w14:paraId="019960E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07079.618.1079.9</w:t>
            </w:r>
          </w:p>
        </w:tc>
        <w:tc>
          <w:tcPr>
            <w:tcW w:w="2319" w:type="dxa"/>
          </w:tcPr>
          <w:p w14:paraId="7426555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554 кв.м., 1 етаж</w:t>
            </w:r>
          </w:p>
        </w:tc>
        <w:tc>
          <w:tcPr>
            <w:tcW w:w="4140" w:type="dxa"/>
          </w:tcPr>
          <w:p w14:paraId="7DA45D31" w14:textId="77777777" w:rsidR="00E21053" w:rsidRPr="00805152" w:rsidRDefault="00E21053" w:rsidP="00E21053">
            <w:pPr>
              <w:tabs>
                <w:tab w:val="left" w:pos="915"/>
              </w:tabs>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 xml:space="preserve">Частна собств. „Врита“ ООД </w:t>
            </w:r>
          </w:p>
        </w:tc>
      </w:tr>
      <w:tr w:rsidR="00E21053" w:rsidRPr="00805152" w14:paraId="76E01BDD" w14:textId="77777777" w:rsidTr="007D3201">
        <w:tc>
          <w:tcPr>
            <w:tcW w:w="3034" w:type="dxa"/>
          </w:tcPr>
          <w:p w14:paraId="5700831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07079.618.1079.10</w:t>
            </w:r>
          </w:p>
        </w:tc>
        <w:tc>
          <w:tcPr>
            <w:tcW w:w="2319" w:type="dxa"/>
          </w:tcPr>
          <w:p w14:paraId="49B16756"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17 кв.м., 1 етаж</w:t>
            </w:r>
          </w:p>
        </w:tc>
        <w:tc>
          <w:tcPr>
            <w:tcW w:w="4140" w:type="dxa"/>
          </w:tcPr>
          <w:p w14:paraId="35D63C9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790E82B3" w14:textId="77777777" w:rsidTr="007D3201">
        <w:tc>
          <w:tcPr>
            <w:tcW w:w="3034" w:type="dxa"/>
          </w:tcPr>
          <w:p w14:paraId="0E99DC6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07079.618.1079.11</w:t>
            </w:r>
          </w:p>
        </w:tc>
        <w:tc>
          <w:tcPr>
            <w:tcW w:w="2319" w:type="dxa"/>
          </w:tcPr>
          <w:p w14:paraId="3FA943A5"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146 кв.м., 1 етаж</w:t>
            </w:r>
          </w:p>
        </w:tc>
        <w:tc>
          <w:tcPr>
            <w:tcW w:w="4140" w:type="dxa"/>
          </w:tcPr>
          <w:p w14:paraId="5B94DDD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7178F958" w14:textId="77777777" w:rsidTr="007D3201">
        <w:tc>
          <w:tcPr>
            <w:tcW w:w="3034" w:type="dxa"/>
          </w:tcPr>
          <w:p w14:paraId="3CB8FCD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07079.618.1079.12</w:t>
            </w:r>
          </w:p>
        </w:tc>
        <w:tc>
          <w:tcPr>
            <w:tcW w:w="2319" w:type="dxa"/>
          </w:tcPr>
          <w:p w14:paraId="1FC7DE6E"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8 кв.м., 1 етаж</w:t>
            </w:r>
          </w:p>
        </w:tc>
        <w:tc>
          <w:tcPr>
            <w:tcW w:w="4140" w:type="dxa"/>
          </w:tcPr>
          <w:p w14:paraId="51ACE92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bl>
    <w:p w14:paraId="49029B0E" w14:textId="77777777" w:rsidR="00E21053" w:rsidRPr="00805152" w:rsidRDefault="00E21053" w:rsidP="00E21053">
      <w:pPr>
        <w:spacing w:after="0" w:line="240" w:lineRule="auto"/>
        <w:rPr>
          <w:rFonts w:ascii="Times New Roman" w:eastAsiaTheme="minorEastAsia" w:hAnsi="Times New Roman"/>
          <w:sz w:val="24"/>
          <w:lang w:val="bg-BG" w:eastAsia="bg-BG"/>
        </w:rPr>
      </w:pPr>
    </w:p>
    <w:tbl>
      <w:tblPr>
        <w:tblStyle w:val="TableGrid19"/>
        <w:tblW w:w="0" w:type="auto"/>
        <w:tblLook w:val="04A0" w:firstRow="1" w:lastRow="0" w:firstColumn="1" w:lastColumn="0" w:noHBand="0" w:noVBand="1"/>
      </w:tblPr>
      <w:tblGrid>
        <w:gridCol w:w="3034"/>
        <w:gridCol w:w="2451"/>
        <w:gridCol w:w="4008"/>
      </w:tblGrid>
      <w:tr w:rsidR="00E21053" w:rsidRPr="00805152" w14:paraId="0D8BE12F" w14:textId="77777777" w:rsidTr="007D3201">
        <w:tc>
          <w:tcPr>
            <w:tcW w:w="9493" w:type="dxa"/>
            <w:gridSpan w:val="3"/>
          </w:tcPr>
          <w:p w14:paraId="04034C1F"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t>Поземлен имот 07079.618.1083 с площ 40 821 кв.м., граничи с ПИ 07079.618.1052, 07079.618.1060, 07079.618.1079, 07079.618.1084, 07079.618.1087, 07079.618.131, 07079.618.27, 07079.618.28</w:t>
            </w:r>
          </w:p>
        </w:tc>
      </w:tr>
      <w:tr w:rsidR="00E21053" w:rsidRPr="00805152" w14:paraId="6B3394B0" w14:textId="77777777" w:rsidTr="007D3201">
        <w:tc>
          <w:tcPr>
            <w:tcW w:w="3034" w:type="dxa"/>
          </w:tcPr>
          <w:p w14:paraId="4A4A8A16"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451" w:type="dxa"/>
          </w:tcPr>
          <w:p w14:paraId="28A048CF"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008" w:type="dxa"/>
          </w:tcPr>
          <w:p w14:paraId="2815E65F"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Забележка/собственост</w:t>
            </w:r>
          </w:p>
        </w:tc>
      </w:tr>
      <w:tr w:rsidR="00E21053" w:rsidRPr="00805152" w14:paraId="19D447F3" w14:textId="77777777" w:rsidTr="007D3201">
        <w:tc>
          <w:tcPr>
            <w:tcW w:w="3034" w:type="dxa"/>
          </w:tcPr>
          <w:p w14:paraId="34DC1D66"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07079.618.1083.4</w:t>
            </w:r>
          </w:p>
        </w:tc>
        <w:tc>
          <w:tcPr>
            <w:tcW w:w="2451" w:type="dxa"/>
          </w:tcPr>
          <w:p w14:paraId="7B609676"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144, 1 етаж</w:t>
            </w:r>
          </w:p>
        </w:tc>
        <w:tc>
          <w:tcPr>
            <w:tcW w:w="4008" w:type="dxa"/>
          </w:tcPr>
          <w:p w14:paraId="437926DA"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„Хрансервизинженеринг“ АД</w:t>
            </w:r>
          </w:p>
        </w:tc>
      </w:tr>
      <w:tr w:rsidR="00E21053" w:rsidRPr="00805152" w14:paraId="0CBB154F" w14:textId="77777777" w:rsidTr="007D3201">
        <w:tc>
          <w:tcPr>
            <w:tcW w:w="3034" w:type="dxa"/>
          </w:tcPr>
          <w:p w14:paraId="7FD8E51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07079.618.1083.5</w:t>
            </w:r>
          </w:p>
        </w:tc>
        <w:tc>
          <w:tcPr>
            <w:tcW w:w="2451" w:type="dxa"/>
          </w:tcPr>
          <w:p w14:paraId="3ED92C1F"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1025, силози</w:t>
            </w:r>
          </w:p>
        </w:tc>
        <w:tc>
          <w:tcPr>
            <w:tcW w:w="4008" w:type="dxa"/>
          </w:tcPr>
          <w:p w14:paraId="2C7E84D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„Хрансервизинженеринг“ АД</w:t>
            </w:r>
          </w:p>
        </w:tc>
      </w:tr>
      <w:tr w:rsidR="00E21053" w:rsidRPr="00805152" w14:paraId="7A750C4C" w14:textId="77777777" w:rsidTr="007D3201">
        <w:tc>
          <w:tcPr>
            <w:tcW w:w="3034" w:type="dxa"/>
          </w:tcPr>
          <w:p w14:paraId="002D2C1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07079.618.1083.6</w:t>
            </w:r>
          </w:p>
        </w:tc>
        <w:tc>
          <w:tcPr>
            <w:tcW w:w="2451" w:type="dxa"/>
          </w:tcPr>
          <w:p w14:paraId="6000AD7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241, 1 етаж</w:t>
            </w:r>
          </w:p>
        </w:tc>
        <w:tc>
          <w:tcPr>
            <w:tcW w:w="4008" w:type="dxa"/>
          </w:tcPr>
          <w:p w14:paraId="150BA2E6"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„Хрансервизинженеринг“ АД</w:t>
            </w:r>
          </w:p>
        </w:tc>
      </w:tr>
      <w:tr w:rsidR="00E21053" w:rsidRPr="00805152" w14:paraId="051E86C9" w14:textId="77777777" w:rsidTr="007D3201">
        <w:tc>
          <w:tcPr>
            <w:tcW w:w="3034" w:type="dxa"/>
          </w:tcPr>
          <w:p w14:paraId="7765A90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07079.618.1083.7</w:t>
            </w:r>
          </w:p>
        </w:tc>
        <w:tc>
          <w:tcPr>
            <w:tcW w:w="2451" w:type="dxa"/>
          </w:tcPr>
          <w:p w14:paraId="121287A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155, 5 етажа</w:t>
            </w:r>
          </w:p>
        </w:tc>
        <w:tc>
          <w:tcPr>
            <w:tcW w:w="4008" w:type="dxa"/>
          </w:tcPr>
          <w:p w14:paraId="6BE9D85E" w14:textId="17566D28"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„Хрансервиз</w:t>
            </w:r>
            <w:r w:rsidR="00B306B3">
              <w:rPr>
                <w:rFonts w:ascii="Times New Roman" w:hAnsi="Times New Roman" w:cs="Times New Roman"/>
                <w:sz w:val="20"/>
                <w:szCs w:val="18"/>
                <w:lang w:val="bg-BG"/>
              </w:rPr>
              <w:t>и</w:t>
            </w:r>
            <w:r w:rsidRPr="00805152">
              <w:rPr>
                <w:rFonts w:ascii="Times New Roman" w:hAnsi="Times New Roman" w:cs="Times New Roman"/>
                <w:sz w:val="20"/>
                <w:szCs w:val="18"/>
                <w:lang w:val="bg-BG"/>
              </w:rPr>
              <w:t>нженеринг“ АД</w:t>
            </w:r>
          </w:p>
        </w:tc>
      </w:tr>
      <w:tr w:rsidR="00E21053" w:rsidRPr="00805152" w14:paraId="6AF6240D" w14:textId="77777777" w:rsidTr="007D3201">
        <w:tc>
          <w:tcPr>
            <w:tcW w:w="3034" w:type="dxa"/>
          </w:tcPr>
          <w:p w14:paraId="7F25919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07079.618.1083.8</w:t>
            </w:r>
          </w:p>
        </w:tc>
        <w:tc>
          <w:tcPr>
            <w:tcW w:w="2451" w:type="dxa"/>
          </w:tcPr>
          <w:p w14:paraId="5F4EBC5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21 кв.м.</w:t>
            </w:r>
          </w:p>
        </w:tc>
        <w:tc>
          <w:tcPr>
            <w:tcW w:w="4008" w:type="dxa"/>
          </w:tcPr>
          <w:p w14:paraId="6A9B82CF"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Липсват данни</w:t>
            </w:r>
          </w:p>
        </w:tc>
      </w:tr>
      <w:tr w:rsidR="00E21053" w:rsidRPr="00805152" w14:paraId="4A36BADE" w14:textId="77777777" w:rsidTr="007D3201">
        <w:tc>
          <w:tcPr>
            <w:tcW w:w="3034" w:type="dxa"/>
          </w:tcPr>
          <w:p w14:paraId="7FD1F34A"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07079.618.1083.9</w:t>
            </w:r>
          </w:p>
        </w:tc>
        <w:tc>
          <w:tcPr>
            <w:tcW w:w="2451" w:type="dxa"/>
          </w:tcPr>
          <w:p w14:paraId="346F65BB"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9 кв.м.</w:t>
            </w:r>
          </w:p>
        </w:tc>
        <w:tc>
          <w:tcPr>
            <w:tcW w:w="4008" w:type="dxa"/>
          </w:tcPr>
          <w:p w14:paraId="309E768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Липсват данни</w:t>
            </w:r>
          </w:p>
        </w:tc>
      </w:tr>
    </w:tbl>
    <w:p w14:paraId="30ABA09B" w14:textId="77777777" w:rsidR="00E21053" w:rsidRPr="00805152" w:rsidRDefault="00E21053" w:rsidP="00E21053">
      <w:pPr>
        <w:spacing w:after="0" w:line="240" w:lineRule="auto"/>
        <w:rPr>
          <w:rFonts w:ascii="Times New Roman" w:eastAsiaTheme="minorEastAsia" w:hAnsi="Times New Roman"/>
          <w:sz w:val="24"/>
          <w:lang w:val="bg-BG" w:eastAsia="bg-BG"/>
        </w:rPr>
      </w:pPr>
    </w:p>
    <w:tbl>
      <w:tblPr>
        <w:tblStyle w:val="TableGrid19"/>
        <w:tblW w:w="0" w:type="auto"/>
        <w:tblLook w:val="04A0" w:firstRow="1" w:lastRow="0" w:firstColumn="1" w:lastColumn="0" w:noHBand="0" w:noVBand="1"/>
      </w:tblPr>
      <w:tblGrid>
        <w:gridCol w:w="3038"/>
        <w:gridCol w:w="2454"/>
        <w:gridCol w:w="4015"/>
      </w:tblGrid>
      <w:tr w:rsidR="00E21053" w:rsidRPr="00805152" w14:paraId="19E1B733" w14:textId="77777777" w:rsidTr="007D3201">
        <w:trPr>
          <w:trHeight w:val="466"/>
        </w:trPr>
        <w:tc>
          <w:tcPr>
            <w:tcW w:w="9507" w:type="dxa"/>
            <w:gridSpan w:val="3"/>
          </w:tcPr>
          <w:p w14:paraId="433D1880"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t>Поземлен имот 07079.618.1084 с площ 48 853 кв.м., граничи с ПИ 07079.618.1019, 07079.618.1083, 07079.618.1020, 07079.618.1025, 07079.618.1021, 07079.618.131</w:t>
            </w:r>
          </w:p>
        </w:tc>
      </w:tr>
      <w:tr w:rsidR="00E21053" w:rsidRPr="00805152" w14:paraId="4BBECAC9" w14:textId="77777777" w:rsidTr="007D3201">
        <w:trPr>
          <w:trHeight w:val="233"/>
        </w:trPr>
        <w:tc>
          <w:tcPr>
            <w:tcW w:w="3038" w:type="dxa"/>
          </w:tcPr>
          <w:p w14:paraId="033DEB0F"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454" w:type="dxa"/>
          </w:tcPr>
          <w:p w14:paraId="796F5585"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014" w:type="dxa"/>
          </w:tcPr>
          <w:p w14:paraId="3F30BC9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Забележка/собственост</w:t>
            </w:r>
          </w:p>
        </w:tc>
      </w:tr>
      <w:tr w:rsidR="00E21053" w:rsidRPr="00805152" w14:paraId="73CD9D53" w14:textId="77777777" w:rsidTr="007D3201">
        <w:trPr>
          <w:trHeight w:val="233"/>
        </w:trPr>
        <w:tc>
          <w:tcPr>
            <w:tcW w:w="3038" w:type="dxa"/>
          </w:tcPr>
          <w:p w14:paraId="71765F20"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07079.618.1084.4</w:t>
            </w:r>
          </w:p>
        </w:tc>
        <w:tc>
          <w:tcPr>
            <w:tcW w:w="2454" w:type="dxa"/>
          </w:tcPr>
          <w:p w14:paraId="652C543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28 кв.м, на 1 етаж</w:t>
            </w:r>
          </w:p>
        </w:tc>
        <w:tc>
          <w:tcPr>
            <w:tcW w:w="4014" w:type="dxa"/>
          </w:tcPr>
          <w:p w14:paraId="70A7E37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Сграда кантар, няма данни</w:t>
            </w:r>
          </w:p>
        </w:tc>
      </w:tr>
      <w:tr w:rsidR="00E21053" w:rsidRPr="00805152" w14:paraId="4C725346" w14:textId="77777777" w:rsidTr="007D3201">
        <w:trPr>
          <w:trHeight w:val="233"/>
        </w:trPr>
        <w:tc>
          <w:tcPr>
            <w:tcW w:w="3038" w:type="dxa"/>
          </w:tcPr>
          <w:p w14:paraId="32195E6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07079.618.1084.6</w:t>
            </w:r>
          </w:p>
        </w:tc>
        <w:tc>
          <w:tcPr>
            <w:tcW w:w="2454" w:type="dxa"/>
          </w:tcPr>
          <w:p w14:paraId="1246985E"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429 кв.м, 4 етажа</w:t>
            </w:r>
          </w:p>
        </w:tc>
        <w:tc>
          <w:tcPr>
            <w:tcW w:w="4014" w:type="dxa"/>
          </w:tcPr>
          <w:p w14:paraId="394FFB8E"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Битова сграда стар стол, ДДПИ</w:t>
            </w:r>
          </w:p>
        </w:tc>
      </w:tr>
      <w:tr w:rsidR="00E21053" w:rsidRPr="00805152" w14:paraId="0003CAB6" w14:textId="77777777" w:rsidTr="007D3201">
        <w:trPr>
          <w:trHeight w:val="233"/>
        </w:trPr>
        <w:tc>
          <w:tcPr>
            <w:tcW w:w="3038" w:type="dxa"/>
          </w:tcPr>
          <w:p w14:paraId="58F1725B"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07079.618.1084.7</w:t>
            </w:r>
          </w:p>
        </w:tc>
        <w:tc>
          <w:tcPr>
            <w:tcW w:w="2454" w:type="dxa"/>
          </w:tcPr>
          <w:p w14:paraId="41BCE34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10 кв.м., на 1 етаж</w:t>
            </w:r>
          </w:p>
        </w:tc>
        <w:tc>
          <w:tcPr>
            <w:tcW w:w="4014" w:type="dxa"/>
          </w:tcPr>
          <w:p w14:paraId="0668DD70"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3E8CC58B" w14:textId="77777777" w:rsidTr="007D3201">
        <w:trPr>
          <w:trHeight w:val="233"/>
        </w:trPr>
        <w:tc>
          <w:tcPr>
            <w:tcW w:w="3038" w:type="dxa"/>
          </w:tcPr>
          <w:p w14:paraId="2C84645C"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07079.618.1084.8</w:t>
            </w:r>
          </w:p>
        </w:tc>
        <w:tc>
          <w:tcPr>
            <w:tcW w:w="2454" w:type="dxa"/>
          </w:tcPr>
          <w:p w14:paraId="6E0AF8C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23 кв.м., на 1 етаж</w:t>
            </w:r>
          </w:p>
        </w:tc>
        <w:tc>
          <w:tcPr>
            <w:tcW w:w="4014" w:type="dxa"/>
          </w:tcPr>
          <w:p w14:paraId="35F62240"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02DE1C53" w14:textId="77777777" w:rsidTr="007D3201">
        <w:trPr>
          <w:trHeight w:val="233"/>
        </w:trPr>
        <w:tc>
          <w:tcPr>
            <w:tcW w:w="3038" w:type="dxa"/>
          </w:tcPr>
          <w:p w14:paraId="39834C99"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07079.618.1084.9</w:t>
            </w:r>
          </w:p>
        </w:tc>
        <w:tc>
          <w:tcPr>
            <w:tcW w:w="2454" w:type="dxa"/>
          </w:tcPr>
          <w:p w14:paraId="7D1E6105"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150 кв.м., 1 етаж</w:t>
            </w:r>
          </w:p>
        </w:tc>
        <w:tc>
          <w:tcPr>
            <w:tcW w:w="4014" w:type="dxa"/>
          </w:tcPr>
          <w:p w14:paraId="117CFC0C"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79CA9FE2" w14:textId="77777777" w:rsidTr="007D3201">
        <w:trPr>
          <w:trHeight w:val="233"/>
        </w:trPr>
        <w:tc>
          <w:tcPr>
            <w:tcW w:w="3038" w:type="dxa"/>
          </w:tcPr>
          <w:p w14:paraId="1DF145F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07079.618.1084.10</w:t>
            </w:r>
          </w:p>
        </w:tc>
        <w:tc>
          <w:tcPr>
            <w:tcW w:w="2454" w:type="dxa"/>
          </w:tcPr>
          <w:p w14:paraId="4C15D5D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637 кв.м, 3 етажа</w:t>
            </w:r>
          </w:p>
        </w:tc>
        <w:tc>
          <w:tcPr>
            <w:tcW w:w="4014" w:type="dxa"/>
          </w:tcPr>
          <w:p w14:paraId="7CB9AA6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Частна собственост, жилища</w:t>
            </w:r>
          </w:p>
        </w:tc>
      </w:tr>
      <w:tr w:rsidR="00E21053" w:rsidRPr="00805152" w14:paraId="546C67FA" w14:textId="77777777" w:rsidTr="007D3201">
        <w:trPr>
          <w:trHeight w:val="233"/>
        </w:trPr>
        <w:tc>
          <w:tcPr>
            <w:tcW w:w="3038" w:type="dxa"/>
          </w:tcPr>
          <w:p w14:paraId="6D648E1F"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07079.618.1084.11</w:t>
            </w:r>
          </w:p>
        </w:tc>
        <w:tc>
          <w:tcPr>
            <w:tcW w:w="2454" w:type="dxa"/>
          </w:tcPr>
          <w:p w14:paraId="45AD203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20 кв.м., на 1 етаж</w:t>
            </w:r>
          </w:p>
        </w:tc>
        <w:tc>
          <w:tcPr>
            <w:tcW w:w="4014" w:type="dxa"/>
          </w:tcPr>
          <w:p w14:paraId="1DB8C50E"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39C6918D" w14:textId="77777777" w:rsidTr="007D3201">
        <w:trPr>
          <w:trHeight w:val="233"/>
        </w:trPr>
        <w:tc>
          <w:tcPr>
            <w:tcW w:w="3038" w:type="dxa"/>
          </w:tcPr>
          <w:p w14:paraId="5DDDBD0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07079.618.1084.13</w:t>
            </w:r>
          </w:p>
        </w:tc>
        <w:tc>
          <w:tcPr>
            <w:tcW w:w="2454" w:type="dxa"/>
          </w:tcPr>
          <w:p w14:paraId="1EA8D1BE"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40 кв.м, на 1 етаж</w:t>
            </w:r>
          </w:p>
        </w:tc>
        <w:tc>
          <w:tcPr>
            <w:tcW w:w="4014" w:type="dxa"/>
          </w:tcPr>
          <w:p w14:paraId="4D831B99"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26A3E1E3" w14:textId="77777777" w:rsidTr="007D3201">
        <w:trPr>
          <w:trHeight w:val="233"/>
        </w:trPr>
        <w:tc>
          <w:tcPr>
            <w:tcW w:w="3038" w:type="dxa"/>
          </w:tcPr>
          <w:p w14:paraId="11CAA75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07079.618.1084.14</w:t>
            </w:r>
          </w:p>
        </w:tc>
        <w:tc>
          <w:tcPr>
            <w:tcW w:w="2454" w:type="dxa"/>
          </w:tcPr>
          <w:p w14:paraId="268180C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420 кв.м., 3 етажа</w:t>
            </w:r>
          </w:p>
        </w:tc>
        <w:tc>
          <w:tcPr>
            <w:tcW w:w="4014" w:type="dxa"/>
          </w:tcPr>
          <w:p w14:paraId="51362E8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ИАМА</w:t>
            </w:r>
          </w:p>
        </w:tc>
      </w:tr>
      <w:tr w:rsidR="00E21053" w:rsidRPr="00805152" w14:paraId="02D0257E" w14:textId="77777777" w:rsidTr="007D3201">
        <w:trPr>
          <w:trHeight w:val="233"/>
        </w:trPr>
        <w:tc>
          <w:tcPr>
            <w:tcW w:w="3038" w:type="dxa"/>
          </w:tcPr>
          <w:p w14:paraId="781D8A1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07079.618.1084.15.2</w:t>
            </w:r>
          </w:p>
        </w:tc>
        <w:tc>
          <w:tcPr>
            <w:tcW w:w="2454" w:type="dxa"/>
          </w:tcPr>
          <w:p w14:paraId="2046AEC1" w14:textId="77777777" w:rsidR="00E21053" w:rsidRPr="00805152" w:rsidRDefault="00E21053" w:rsidP="00E21053">
            <w:pPr>
              <w:spacing w:after="0" w:line="240" w:lineRule="auto"/>
              <w:rPr>
                <w:rFonts w:ascii="Times New Roman" w:hAnsi="Times New Roman" w:cs="Times New Roman"/>
                <w:sz w:val="20"/>
                <w:szCs w:val="18"/>
                <w:lang w:val="bg-BG"/>
              </w:rPr>
            </w:pPr>
          </w:p>
        </w:tc>
        <w:tc>
          <w:tcPr>
            <w:tcW w:w="4014" w:type="dxa"/>
          </w:tcPr>
          <w:p w14:paraId="52AAF04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 xml:space="preserve">Адм. сграда Червен салон – ет. 2 и 3 – липсват данни </w:t>
            </w:r>
          </w:p>
        </w:tc>
      </w:tr>
    </w:tbl>
    <w:p w14:paraId="5565BAB2" w14:textId="77777777" w:rsidR="005C5BB4" w:rsidRPr="00805152" w:rsidRDefault="005C5BB4" w:rsidP="00E21053">
      <w:pPr>
        <w:spacing w:after="0" w:line="240" w:lineRule="auto"/>
        <w:rPr>
          <w:rFonts w:ascii="Times New Roman" w:eastAsiaTheme="minorEastAsia" w:hAnsi="Times New Roman"/>
          <w:sz w:val="24"/>
          <w:lang w:val="bg-BG" w:eastAsia="bg-BG"/>
        </w:rPr>
      </w:pPr>
    </w:p>
    <w:tbl>
      <w:tblPr>
        <w:tblStyle w:val="TableGrid19"/>
        <w:tblW w:w="0" w:type="auto"/>
        <w:tblLook w:val="04A0" w:firstRow="1" w:lastRow="0" w:firstColumn="1" w:lastColumn="0" w:noHBand="0" w:noVBand="1"/>
      </w:tblPr>
      <w:tblGrid>
        <w:gridCol w:w="3034"/>
        <w:gridCol w:w="2451"/>
        <w:gridCol w:w="4008"/>
      </w:tblGrid>
      <w:tr w:rsidR="00E21053" w:rsidRPr="00805152" w14:paraId="37C80655" w14:textId="77777777" w:rsidTr="007D3201">
        <w:tc>
          <w:tcPr>
            <w:tcW w:w="9493" w:type="dxa"/>
            <w:gridSpan w:val="3"/>
          </w:tcPr>
          <w:p w14:paraId="1FF5E7BD"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t>Поземлен имот 07079.618.1021 с площ 5 592 кв.м., граничи с ПИ 07079.618.1084, 07079.618.1025, 07079.618.1026, 07079.618.1022, 07079.618.131</w:t>
            </w:r>
          </w:p>
        </w:tc>
      </w:tr>
      <w:tr w:rsidR="00E21053" w:rsidRPr="00805152" w14:paraId="26B590DC" w14:textId="77777777" w:rsidTr="007D3201">
        <w:tc>
          <w:tcPr>
            <w:tcW w:w="3034" w:type="dxa"/>
          </w:tcPr>
          <w:p w14:paraId="0FA7BCD1"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451" w:type="dxa"/>
          </w:tcPr>
          <w:p w14:paraId="31035620"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008" w:type="dxa"/>
          </w:tcPr>
          <w:p w14:paraId="680BC5F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Забележка/собственост</w:t>
            </w:r>
          </w:p>
        </w:tc>
      </w:tr>
      <w:tr w:rsidR="00E21053" w:rsidRPr="00805152" w14:paraId="4FE7F509" w14:textId="77777777" w:rsidTr="007D3201">
        <w:tc>
          <w:tcPr>
            <w:tcW w:w="3034" w:type="dxa"/>
          </w:tcPr>
          <w:p w14:paraId="1E830763"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07079.618.1021.1</w:t>
            </w:r>
          </w:p>
        </w:tc>
        <w:tc>
          <w:tcPr>
            <w:tcW w:w="2451" w:type="dxa"/>
          </w:tcPr>
          <w:p w14:paraId="23BF3509"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66 кв.м., на 1 етаж</w:t>
            </w:r>
          </w:p>
        </w:tc>
        <w:tc>
          <w:tcPr>
            <w:tcW w:w="4008" w:type="dxa"/>
          </w:tcPr>
          <w:p w14:paraId="79626C76"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r w:rsidR="00E21053" w:rsidRPr="00805152" w14:paraId="390F5A78" w14:textId="77777777" w:rsidTr="007D3201">
        <w:tc>
          <w:tcPr>
            <w:tcW w:w="3034" w:type="dxa"/>
          </w:tcPr>
          <w:p w14:paraId="10B0320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07079.618.1021.4</w:t>
            </w:r>
          </w:p>
        </w:tc>
        <w:tc>
          <w:tcPr>
            <w:tcW w:w="2451" w:type="dxa"/>
          </w:tcPr>
          <w:p w14:paraId="527B6B7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44 кв.м., на 1 етаж</w:t>
            </w:r>
          </w:p>
        </w:tc>
        <w:tc>
          <w:tcPr>
            <w:tcW w:w="4008" w:type="dxa"/>
          </w:tcPr>
          <w:p w14:paraId="63D68DEB"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няма данни</w:t>
            </w:r>
          </w:p>
        </w:tc>
      </w:tr>
    </w:tbl>
    <w:p w14:paraId="1D0E8F3A" w14:textId="77777777" w:rsidR="00E21053" w:rsidRDefault="00E21053" w:rsidP="00E21053">
      <w:pPr>
        <w:spacing w:after="0" w:line="240" w:lineRule="auto"/>
        <w:rPr>
          <w:rFonts w:ascii="Times New Roman" w:eastAsiaTheme="minorEastAsia" w:hAnsi="Times New Roman"/>
          <w:b/>
          <w:i/>
          <w:sz w:val="24"/>
          <w:lang w:val="bg-BG" w:eastAsia="bg-BG"/>
        </w:rPr>
      </w:pPr>
    </w:p>
    <w:p w14:paraId="2E264FFA" w14:textId="77777777" w:rsidR="00B306B3" w:rsidRDefault="00B306B3" w:rsidP="00E21053">
      <w:pPr>
        <w:spacing w:after="0" w:line="240" w:lineRule="auto"/>
        <w:rPr>
          <w:rFonts w:ascii="Times New Roman" w:eastAsiaTheme="minorEastAsia" w:hAnsi="Times New Roman"/>
          <w:b/>
          <w:i/>
          <w:sz w:val="24"/>
          <w:lang w:val="bg-BG" w:eastAsia="bg-BG"/>
        </w:rPr>
      </w:pPr>
    </w:p>
    <w:p w14:paraId="69FC18D5" w14:textId="77777777" w:rsidR="00B306B3" w:rsidRDefault="00B306B3" w:rsidP="00E21053">
      <w:pPr>
        <w:spacing w:after="0" w:line="240" w:lineRule="auto"/>
        <w:rPr>
          <w:rFonts w:ascii="Times New Roman" w:eastAsiaTheme="minorEastAsia" w:hAnsi="Times New Roman"/>
          <w:b/>
          <w:i/>
          <w:sz w:val="24"/>
          <w:lang w:val="bg-BG" w:eastAsia="bg-BG"/>
        </w:rPr>
      </w:pPr>
    </w:p>
    <w:p w14:paraId="5DFB2AF8" w14:textId="77777777" w:rsidR="00B306B3" w:rsidRPr="00805152" w:rsidRDefault="00B306B3" w:rsidP="00E21053">
      <w:pPr>
        <w:spacing w:after="0" w:line="240" w:lineRule="auto"/>
        <w:rPr>
          <w:rFonts w:ascii="Times New Roman" w:eastAsiaTheme="minorEastAsia" w:hAnsi="Times New Roman"/>
          <w:b/>
          <w:i/>
          <w:sz w:val="24"/>
          <w:lang w:val="bg-BG" w:eastAsia="bg-BG"/>
        </w:rPr>
      </w:pPr>
    </w:p>
    <w:tbl>
      <w:tblPr>
        <w:tblStyle w:val="TableGrid19"/>
        <w:tblW w:w="0" w:type="auto"/>
        <w:tblLook w:val="04A0" w:firstRow="1" w:lastRow="0" w:firstColumn="1" w:lastColumn="0" w:noHBand="0" w:noVBand="1"/>
      </w:tblPr>
      <w:tblGrid>
        <w:gridCol w:w="3034"/>
        <w:gridCol w:w="2451"/>
        <w:gridCol w:w="4008"/>
      </w:tblGrid>
      <w:tr w:rsidR="00E21053" w:rsidRPr="00805152" w14:paraId="63A5DAA7" w14:textId="77777777" w:rsidTr="007D3201">
        <w:tc>
          <w:tcPr>
            <w:tcW w:w="9493" w:type="dxa"/>
            <w:gridSpan w:val="3"/>
          </w:tcPr>
          <w:p w14:paraId="5299718C"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lastRenderedPageBreak/>
              <w:t>Поземлен имот 07079.618.1019 с площ 70 539 кв.м., граничи с ПИ 07079.618.1020, 07079.618.1023, 07079.618.1025, 07079.618.1026, 07079.618.1081, 07079.618.1084, 07079.618.133, 07079.618.134, 07079.618.136, 07079.618.137, 07079.618.141, 07079.618.143</w:t>
            </w:r>
          </w:p>
        </w:tc>
      </w:tr>
      <w:tr w:rsidR="00E21053" w:rsidRPr="00805152" w14:paraId="21646219" w14:textId="77777777" w:rsidTr="007D3201">
        <w:tc>
          <w:tcPr>
            <w:tcW w:w="3034" w:type="dxa"/>
          </w:tcPr>
          <w:p w14:paraId="6CC22DDA"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451" w:type="dxa"/>
          </w:tcPr>
          <w:p w14:paraId="706607B1"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008" w:type="dxa"/>
          </w:tcPr>
          <w:p w14:paraId="1542091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w:t>
            </w:r>
          </w:p>
        </w:tc>
      </w:tr>
      <w:tr w:rsidR="00E21053" w:rsidRPr="00805152" w14:paraId="10F27748" w14:textId="77777777" w:rsidTr="007D3201">
        <w:tc>
          <w:tcPr>
            <w:tcW w:w="3034" w:type="dxa"/>
          </w:tcPr>
          <w:p w14:paraId="2314144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07079.618.1019.11</w:t>
            </w:r>
          </w:p>
        </w:tc>
        <w:tc>
          <w:tcPr>
            <w:tcW w:w="2451" w:type="dxa"/>
          </w:tcPr>
          <w:p w14:paraId="545AAE4D"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105 кв.м., 1 етаж</w:t>
            </w:r>
          </w:p>
        </w:tc>
        <w:tc>
          <w:tcPr>
            <w:tcW w:w="4008" w:type="dxa"/>
          </w:tcPr>
          <w:p w14:paraId="35DD96E4"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В зона за обществен достъп, съгласно АПДС №9446, ще бъде обект на допълнително актуване</w:t>
            </w:r>
          </w:p>
        </w:tc>
      </w:tr>
    </w:tbl>
    <w:p w14:paraId="40D6BF73" w14:textId="77777777" w:rsidR="00E21053" w:rsidRPr="00805152" w:rsidRDefault="00E21053" w:rsidP="00E21053">
      <w:pPr>
        <w:spacing w:after="0" w:line="240" w:lineRule="auto"/>
        <w:rPr>
          <w:rFonts w:ascii="Times New Roman" w:eastAsiaTheme="minorEastAsia" w:hAnsi="Times New Roman"/>
          <w:b/>
          <w:i/>
          <w:sz w:val="24"/>
          <w:lang w:val="bg-BG" w:eastAsia="bg-BG"/>
        </w:rPr>
      </w:pPr>
    </w:p>
    <w:tbl>
      <w:tblPr>
        <w:tblStyle w:val="TableGrid19"/>
        <w:tblW w:w="0" w:type="auto"/>
        <w:tblLook w:val="04A0" w:firstRow="1" w:lastRow="0" w:firstColumn="1" w:lastColumn="0" w:noHBand="0" w:noVBand="1"/>
      </w:tblPr>
      <w:tblGrid>
        <w:gridCol w:w="3034"/>
        <w:gridCol w:w="2177"/>
        <w:gridCol w:w="4282"/>
      </w:tblGrid>
      <w:tr w:rsidR="00E21053" w:rsidRPr="00805152" w14:paraId="62A0C21E" w14:textId="77777777" w:rsidTr="007D3201">
        <w:tc>
          <w:tcPr>
            <w:tcW w:w="9493" w:type="dxa"/>
            <w:gridSpan w:val="3"/>
          </w:tcPr>
          <w:p w14:paraId="097B84C2" w14:textId="77777777" w:rsidR="00E21053" w:rsidRPr="00805152" w:rsidRDefault="00E21053" w:rsidP="00E21053">
            <w:pPr>
              <w:spacing w:after="0" w:line="240" w:lineRule="auto"/>
              <w:rPr>
                <w:rFonts w:ascii="Times New Roman" w:hAnsi="Times New Roman" w:cs="Times New Roman"/>
                <w:b/>
                <w:bCs/>
                <w:sz w:val="20"/>
                <w:szCs w:val="18"/>
                <w:lang w:val="bg-BG"/>
              </w:rPr>
            </w:pPr>
            <w:r w:rsidRPr="00805152">
              <w:rPr>
                <w:rFonts w:ascii="Times New Roman" w:hAnsi="Times New Roman" w:cs="Times New Roman"/>
                <w:b/>
                <w:bCs/>
                <w:sz w:val="20"/>
                <w:szCs w:val="18"/>
                <w:lang w:val="bg-BG"/>
              </w:rPr>
              <w:t>Поземлен имот 07079.618.1020 с площ 3 202 кв.м., граничи с ПИ 07079.618.1084, 07079.618.1019, 07079.618.1025</w:t>
            </w:r>
          </w:p>
        </w:tc>
      </w:tr>
      <w:tr w:rsidR="00E21053" w:rsidRPr="00805152" w14:paraId="3B58FE1F" w14:textId="77777777" w:rsidTr="007D3201">
        <w:tc>
          <w:tcPr>
            <w:tcW w:w="3034" w:type="dxa"/>
          </w:tcPr>
          <w:p w14:paraId="4C43E937" w14:textId="77777777" w:rsidR="00E21053" w:rsidRPr="00805152" w:rsidRDefault="00E21053" w:rsidP="00E21053">
            <w:pPr>
              <w:spacing w:after="0" w:line="240" w:lineRule="auto"/>
              <w:jc w:val="center"/>
              <w:rPr>
                <w:rFonts w:ascii="Times New Roman" w:hAnsi="Times New Roman" w:cs="Times New Roman"/>
                <w:sz w:val="20"/>
                <w:szCs w:val="18"/>
                <w:lang w:val="bg-BG"/>
              </w:rPr>
            </w:pPr>
            <w:r w:rsidRPr="00805152">
              <w:rPr>
                <w:rFonts w:ascii="Times New Roman" w:hAnsi="Times New Roman" w:cs="Times New Roman"/>
                <w:sz w:val="20"/>
                <w:szCs w:val="18"/>
                <w:lang w:val="bg-BG"/>
              </w:rPr>
              <w:t>Идентификационен номер</w:t>
            </w:r>
          </w:p>
        </w:tc>
        <w:tc>
          <w:tcPr>
            <w:tcW w:w="2177" w:type="dxa"/>
          </w:tcPr>
          <w:p w14:paraId="6456C78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Описание на обекта</w:t>
            </w:r>
          </w:p>
        </w:tc>
        <w:tc>
          <w:tcPr>
            <w:tcW w:w="4282" w:type="dxa"/>
          </w:tcPr>
          <w:p w14:paraId="7031A377"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Забележка</w:t>
            </w:r>
          </w:p>
        </w:tc>
      </w:tr>
      <w:tr w:rsidR="00E21053" w:rsidRPr="00805152" w14:paraId="521410A3" w14:textId="77777777" w:rsidTr="007D3201">
        <w:tc>
          <w:tcPr>
            <w:tcW w:w="3034" w:type="dxa"/>
          </w:tcPr>
          <w:p w14:paraId="6019C8B2"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07079.618.1020.1</w:t>
            </w:r>
          </w:p>
        </w:tc>
        <w:tc>
          <w:tcPr>
            <w:tcW w:w="2177" w:type="dxa"/>
          </w:tcPr>
          <w:p w14:paraId="583541E9"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ЗП 2884 кв.м., 6 етажа</w:t>
            </w:r>
          </w:p>
        </w:tc>
        <w:tc>
          <w:tcPr>
            <w:tcW w:w="4282" w:type="dxa"/>
          </w:tcPr>
          <w:p w14:paraId="0E2E5B0B"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В зона за обществен достъп</w:t>
            </w:r>
          </w:p>
          <w:p w14:paraId="23676ED8" w14:textId="77777777" w:rsidR="00E21053" w:rsidRPr="00805152" w:rsidRDefault="00E21053" w:rsidP="00E21053">
            <w:pPr>
              <w:spacing w:after="0" w:line="240" w:lineRule="auto"/>
              <w:rPr>
                <w:rFonts w:ascii="Times New Roman" w:hAnsi="Times New Roman" w:cs="Times New Roman"/>
                <w:sz w:val="20"/>
                <w:szCs w:val="18"/>
                <w:lang w:val="bg-BG"/>
              </w:rPr>
            </w:pPr>
            <w:r w:rsidRPr="00805152">
              <w:rPr>
                <w:rFonts w:ascii="Times New Roman" w:hAnsi="Times New Roman" w:cs="Times New Roman"/>
                <w:sz w:val="20"/>
                <w:szCs w:val="18"/>
                <w:lang w:val="bg-BG"/>
              </w:rPr>
              <w:t>Обществена сграда, хотел -частна собственост</w:t>
            </w:r>
          </w:p>
        </w:tc>
      </w:tr>
    </w:tbl>
    <w:p w14:paraId="66CF1195" w14:textId="77777777" w:rsidR="00E21053" w:rsidRPr="00805152" w:rsidRDefault="00E21053" w:rsidP="00E21053">
      <w:pPr>
        <w:spacing w:after="0" w:line="240" w:lineRule="auto"/>
        <w:rPr>
          <w:rFonts w:ascii="Times New Roman" w:eastAsiaTheme="minorEastAsia" w:hAnsi="Times New Roman"/>
          <w:b/>
          <w:i/>
          <w:iCs/>
          <w:sz w:val="24"/>
          <w:u w:val="single"/>
          <w:lang w:val="bg-BG" w:eastAsia="bg-BG"/>
        </w:rPr>
      </w:pPr>
    </w:p>
    <w:bookmarkEnd w:id="92"/>
    <w:p w14:paraId="30E26F33" w14:textId="2BD892CB" w:rsidR="00E21053" w:rsidRPr="00805152" w:rsidRDefault="00E21053" w:rsidP="007D3201">
      <w:pPr>
        <w:pStyle w:val="Heading5"/>
        <w:rPr>
          <w:rFonts w:ascii="Times New Roman" w:hAnsi="Times New Roman"/>
          <w:lang w:val="bg-BG" w:eastAsia="de-DE"/>
        </w:rPr>
      </w:pPr>
      <w:r w:rsidRPr="00805152">
        <w:rPr>
          <w:rFonts w:ascii="Times New Roman" w:hAnsi="Times New Roman"/>
          <w:i/>
          <w:lang w:val="bg-BG" w:eastAsia="de-DE"/>
        </w:rPr>
        <w:tab/>
      </w:r>
      <w:r w:rsidRPr="00805152">
        <w:rPr>
          <w:rFonts w:ascii="Times New Roman" w:hAnsi="Times New Roman"/>
          <w:lang w:val="bg-BG" w:eastAsia="de-DE"/>
        </w:rPr>
        <w:t>С</w:t>
      </w:r>
      <w:r w:rsidR="00D353C8" w:rsidRPr="00805152">
        <w:rPr>
          <w:rFonts w:ascii="Times New Roman" w:hAnsi="Times New Roman"/>
          <w:lang w:val="bg-BG" w:eastAsia="de-DE"/>
        </w:rPr>
        <w:t>ъоръжения на транспортната инфраструктура</w:t>
      </w:r>
    </w:p>
    <w:p w14:paraId="79D0CAD8" w14:textId="77777777" w:rsidR="00E21053" w:rsidRPr="00805152" w:rsidRDefault="00E21053" w:rsidP="00E21053">
      <w:pPr>
        <w:spacing w:after="0" w:line="240" w:lineRule="auto"/>
        <w:ind w:firstLine="709"/>
        <w:rPr>
          <w:rFonts w:ascii="Times New Roman" w:eastAsiaTheme="minorEastAsia" w:hAnsi="Times New Roman"/>
          <w:bCs/>
          <w:sz w:val="24"/>
          <w:lang w:val="bg-BG" w:eastAsia="bg-BG"/>
        </w:rPr>
      </w:pPr>
    </w:p>
    <w:p w14:paraId="5A02C012" w14:textId="77777777" w:rsidR="00E21053" w:rsidRPr="00805152" w:rsidRDefault="00E21053" w:rsidP="000C5C5A">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Пристанищен терминал „Бургас – Изток 1“ разполага с кейов фронт с обща дължина 2020 м., по който са обособени 15 корабни места – от корабно място № 0 до корабно място № 14. Дължините, дълбочините, предназначението и начина на ползване на посочените корабни места са, както следва:</w:t>
      </w:r>
    </w:p>
    <w:p w14:paraId="368F5944"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 xml:space="preserve">Корабно място № 0 с дължина 150 м., предназначено е за приставане на яхти и лодки </w:t>
      </w:r>
    </w:p>
    <w:p w14:paraId="346060AB"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 xml:space="preserve">Корабно място № 1 с дължина 160 м., с дълбочина пред кейовата стена – 9,70 м., за генерални товари, функционира като пътническо корабно място </w:t>
      </w:r>
    </w:p>
    <w:p w14:paraId="7069473A"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2 с дължина 160 м., с дълбочина пред кейовата стена – 10,00 м., за генерални товари, функционира като пътническо корабно място</w:t>
      </w:r>
    </w:p>
    <w:p w14:paraId="11DE6460"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3 с дължина 155 м., с дълбочина пред кейовата стена – 6,80 м., за генерални товари, ползва се за приставане на влекачи на портови флот</w:t>
      </w:r>
    </w:p>
    <w:p w14:paraId="1BBD645C"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4 с дължина 155 м., с дълбочина пред кейовата стена – 6,80 м., за генерални товари, ползва се за приставане на влекачи на портовия флот</w:t>
      </w:r>
    </w:p>
    <w:p w14:paraId="4BBFDAB6"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5 с дължина 155 м., с дълбочина пред кейовата стена – 6,80 м., за генерални товари, ползва се за приставане на влекачи на портовия флот</w:t>
      </w:r>
    </w:p>
    <w:p w14:paraId="1A36684A"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6 с дължина 155 м., с дълбочина пред кейовата стена – 6,80 м., за генерални товари, ползва се за обработка на товари</w:t>
      </w:r>
    </w:p>
    <w:p w14:paraId="344B8F23"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7 с дължина 155 м., с дълбочина пред кейовата стена – 6,80 м., за генерални товари, ползва се за приставане на влекачи на портовия флот</w:t>
      </w:r>
    </w:p>
    <w:p w14:paraId="51BF0AA7"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8 с дължина 155 м., с дълбочина пред кейовата стена – 6,80 м., за генерални товари, ползва се за приставане на влекачи на портовия флот</w:t>
      </w:r>
    </w:p>
    <w:p w14:paraId="290899D0"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lastRenderedPageBreak/>
        <w:t>Корабно място № 9 с дължина 155 м., с дълбочина пред кейовата стена – 6,80 м., за генерални товари, ползва се за приставане на влекачи на портовия флот</w:t>
      </w:r>
    </w:p>
    <w:p w14:paraId="4A017EAE"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10 с дължина 120 м., с дълбочина пред кейовата стена – 3,90 м., за малки съдове, ползва се за приставане на влекачи на портовия флот</w:t>
      </w:r>
    </w:p>
    <w:p w14:paraId="3665A2F1"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11 с дължина 132 м., с дълбочина пред кейовата стена – 7,20 м., за обработка на черни метали, ползва се за обработка на товари</w:t>
      </w:r>
    </w:p>
    <w:p w14:paraId="7428C732"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12 с дължина 180 м., с дълбочина пред кейовата стена – 7,70 м., за насипни товари, ползва се за обработка на товари</w:t>
      </w:r>
    </w:p>
    <w:p w14:paraId="5B6ECC96" w14:textId="77777777" w:rsidR="00E21053" w:rsidRPr="00805152"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13 с дължина 180 м., с дълбочина пред кейовата стена – 7,70 м., за насипни товари, ползва се за обработка на товари</w:t>
      </w:r>
    </w:p>
    <w:p w14:paraId="44AB8769" w14:textId="28E1241C" w:rsidR="00E21053" w:rsidRDefault="00E21053" w:rsidP="0021547C">
      <w:pPr>
        <w:numPr>
          <w:ilvl w:val="0"/>
          <w:numId w:val="53"/>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Корабно място № 14 – липсват данни за дължина и дълбочина, ползва се за престой и домуване на малки кораби</w:t>
      </w:r>
      <w:r w:rsidR="000274FA">
        <w:rPr>
          <w:rFonts w:ascii="Times New Roman" w:eastAsiaTheme="minorEastAsia" w:hAnsi="Times New Roman"/>
          <w:bCs/>
          <w:sz w:val="22"/>
          <w:lang w:val="bg-BG" w:eastAsia="bg-BG"/>
        </w:rPr>
        <w:t>.</w:t>
      </w:r>
    </w:p>
    <w:p w14:paraId="7780E6EF" w14:textId="77777777" w:rsidR="00E21053" w:rsidRPr="00805152" w:rsidRDefault="00E21053" w:rsidP="000C5C5A">
      <w:pPr>
        <w:spacing w:after="0" w:line="360" w:lineRule="auto"/>
        <w:ind w:firstLine="480"/>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Според предназначението си, корабните места могат да се разделят на:</w:t>
      </w:r>
    </w:p>
    <w:p w14:paraId="512054BE" w14:textId="77777777" w:rsidR="00E21053" w:rsidRPr="00805152" w:rsidRDefault="00E21053" w:rsidP="0021547C">
      <w:pPr>
        <w:numPr>
          <w:ilvl w:val="0"/>
          <w:numId w:val="55"/>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Корабни места за основна дейност: Обработка (товарене, разтоварване, подреждане, съхраняване, преопаковка, вътрешнопристанищен превоз на товари контейнеризация/ деконтейнеризация) на неопасни генерални, насипни, наливни, Ро-Ро товари и контейнери; опасни насипни и генерални товари; товари от клас 4, подклас 4.1. и 4.3.; клас 5, подклас 5.1; клас 6, подклас 6.1 по класификацията на ИМО – № 5, № 6, № 11, № 12 и № 13,  с обща дължина на кейовете 795 м;</w:t>
      </w:r>
    </w:p>
    <w:p w14:paraId="605FDEE1" w14:textId="77777777" w:rsidR="00E21053" w:rsidRPr="00805152" w:rsidRDefault="00E21053" w:rsidP="0021547C">
      <w:pPr>
        <w:numPr>
          <w:ilvl w:val="0"/>
          <w:numId w:val="55"/>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Корабни места за други услуги: Пътнически услуги, швартоване, снабдяване на корабите с вода, комуникации и електрическа енергия; приемане и обработване на отпадъци – резултат от корабоплавателна дейност (съгласно Анекси І, ІV и V от МАРПОЛ 73/78) - № 1, № 2, № 3 и № 4 с обща дължина на кейовете 630 м;</w:t>
      </w:r>
    </w:p>
    <w:p w14:paraId="58F6401E" w14:textId="77777777" w:rsidR="00E21053" w:rsidRDefault="00E21053" w:rsidP="0021547C">
      <w:pPr>
        <w:numPr>
          <w:ilvl w:val="0"/>
          <w:numId w:val="55"/>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Корабни места за спомагателен флот (швартоване, снабдяване на корабите с вода, комуникации и електрическа енергия; приемане и обработване на отпадъци – резултат от корабоплавателна дейност (съгласно Анекси І, ІV и V от МАРПОЛ 73/78) - № 1 (15 м.), № 7 (100 м.), № 8 (130 м.), № 9 (80 м.), № 10 (120 м.), № 11 (25 м.) и № 14 (125 м.) с обща дължина на кейовете 595 м.</w:t>
      </w:r>
    </w:p>
    <w:p w14:paraId="78F4FD1F" w14:textId="77777777" w:rsidR="00B306B3" w:rsidRDefault="00B306B3" w:rsidP="00B306B3">
      <w:pPr>
        <w:spacing w:after="0" w:line="360" w:lineRule="auto"/>
        <w:rPr>
          <w:rFonts w:ascii="Times New Roman" w:eastAsiaTheme="minorEastAsia" w:hAnsi="Times New Roman"/>
          <w:sz w:val="22"/>
          <w:lang w:val="bg-BG" w:eastAsia="bg-BG"/>
        </w:rPr>
      </w:pPr>
    </w:p>
    <w:p w14:paraId="25BC8480" w14:textId="77777777" w:rsidR="00B306B3" w:rsidRDefault="00B306B3" w:rsidP="00B306B3">
      <w:pPr>
        <w:spacing w:after="0" w:line="360" w:lineRule="auto"/>
        <w:rPr>
          <w:rFonts w:ascii="Times New Roman" w:eastAsiaTheme="minorEastAsia" w:hAnsi="Times New Roman"/>
          <w:sz w:val="22"/>
          <w:lang w:val="bg-BG" w:eastAsia="bg-BG"/>
        </w:rPr>
      </w:pPr>
    </w:p>
    <w:p w14:paraId="7C4E41DC" w14:textId="77777777" w:rsidR="00B306B3" w:rsidRDefault="00B306B3" w:rsidP="00B306B3">
      <w:pPr>
        <w:spacing w:after="0" w:line="360" w:lineRule="auto"/>
        <w:rPr>
          <w:rFonts w:ascii="Times New Roman" w:eastAsiaTheme="minorEastAsia" w:hAnsi="Times New Roman"/>
          <w:sz w:val="22"/>
          <w:lang w:val="bg-BG" w:eastAsia="bg-BG"/>
        </w:rPr>
      </w:pPr>
    </w:p>
    <w:p w14:paraId="2A003573" w14:textId="77777777" w:rsidR="00B306B3" w:rsidRPr="00805152" w:rsidRDefault="00B306B3" w:rsidP="00B306B3">
      <w:pPr>
        <w:spacing w:after="0" w:line="360" w:lineRule="auto"/>
        <w:rPr>
          <w:rFonts w:ascii="Times New Roman" w:eastAsiaTheme="minorEastAsia" w:hAnsi="Times New Roman"/>
          <w:sz w:val="22"/>
          <w:lang w:val="bg-BG" w:eastAsia="bg-BG"/>
        </w:rPr>
      </w:pPr>
    </w:p>
    <w:p w14:paraId="7A06ABB1" w14:textId="77777777" w:rsidR="00E21053" w:rsidRPr="00805152" w:rsidRDefault="00E21053" w:rsidP="00E21053">
      <w:pPr>
        <w:spacing w:after="0" w:line="240" w:lineRule="auto"/>
        <w:rPr>
          <w:rFonts w:ascii="Times New Roman" w:eastAsiaTheme="minorEastAsia" w:hAnsi="Times New Roman"/>
          <w:bCs/>
          <w:sz w:val="24"/>
          <w:lang w:val="bg-BG" w:eastAsia="bg-BG"/>
        </w:rPr>
      </w:pPr>
    </w:p>
    <w:p w14:paraId="6CF59B9C" w14:textId="77777777" w:rsidR="00E21053" w:rsidRPr="00805152" w:rsidRDefault="00E21053" w:rsidP="00E21053">
      <w:pPr>
        <w:spacing w:after="0" w:line="240" w:lineRule="auto"/>
        <w:ind w:firstLine="709"/>
        <w:jc w:val="center"/>
        <w:rPr>
          <w:rFonts w:ascii="Times New Roman" w:eastAsiaTheme="minorEastAsia" w:hAnsi="Times New Roman"/>
          <w:b/>
          <w:bCs/>
          <w:sz w:val="22"/>
          <w:lang w:val="bg-BG" w:eastAsia="bg-BG"/>
        </w:rPr>
      </w:pPr>
      <w:r w:rsidRPr="00E617D5">
        <w:rPr>
          <w:rFonts w:ascii="Times New Roman" w:eastAsiaTheme="minorEastAsia" w:hAnsi="Times New Roman"/>
          <w:b/>
          <w:bCs/>
          <w:sz w:val="22"/>
          <w:highlight w:val="lightGray"/>
          <w:lang w:val="bg-BG" w:eastAsia="bg-BG"/>
        </w:rPr>
        <w:lastRenderedPageBreak/>
        <w:t>ХИДРОТЕХНИЧЕСКИ СЪОРЪЖЕНИЯ – ПРИСТАНИЩНИ СЪОРЪЖЕНИЯ И ЕЛЕМЕНТИ НА ПРИСТАНИЩНАТА ИНФРАСТРУКТУРА</w:t>
      </w:r>
    </w:p>
    <w:p w14:paraId="255FA8AF" w14:textId="77777777" w:rsidR="00E21053" w:rsidRPr="00805152" w:rsidRDefault="00E21053" w:rsidP="00E21053">
      <w:pPr>
        <w:spacing w:after="0" w:line="240" w:lineRule="auto"/>
        <w:ind w:firstLine="709"/>
        <w:rPr>
          <w:rFonts w:ascii="Times New Roman" w:eastAsiaTheme="minorEastAsia" w:hAnsi="Times New Roman"/>
          <w:bCs/>
          <w:sz w:val="24"/>
          <w:lang w:val="bg-BG" w:eastAsia="bg-BG"/>
        </w:rPr>
      </w:pPr>
    </w:p>
    <w:p w14:paraId="61D70289" w14:textId="77777777" w:rsidR="00E21053" w:rsidRPr="00805152" w:rsidRDefault="00E21053" w:rsidP="00E21053">
      <w:pPr>
        <w:spacing w:after="0" w:line="240" w:lineRule="auto"/>
        <w:ind w:firstLine="709"/>
        <w:rPr>
          <w:rFonts w:ascii="Times New Roman" w:eastAsiaTheme="minorEastAsia" w:hAnsi="Times New Roman"/>
          <w:sz w:val="22"/>
          <w:lang w:val="bg-BG" w:eastAsia="bg-BG"/>
        </w:rPr>
      </w:pPr>
      <w:r w:rsidRPr="00805152">
        <w:rPr>
          <w:rFonts w:ascii="Times New Roman" w:eastAsiaTheme="minorEastAsia" w:hAnsi="Times New Roman"/>
          <w:bCs/>
          <w:sz w:val="22"/>
          <w:lang w:val="bg-BG" w:eastAsia="bg-BG"/>
        </w:rPr>
        <w:t xml:space="preserve">Описани са съгласно </w:t>
      </w:r>
      <w:r w:rsidRPr="00805152">
        <w:rPr>
          <w:rFonts w:ascii="Times New Roman" w:eastAsiaTheme="minorEastAsia" w:hAnsi="Times New Roman"/>
          <w:sz w:val="22"/>
          <w:lang w:val="bg-BG" w:eastAsia="bg-BG"/>
        </w:rPr>
        <w:t xml:space="preserve">инвентарната книга на ДППИ. </w:t>
      </w:r>
    </w:p>
    <w:p w14:paraId="10892E1E" w14:textId="77777777" w:rsidR="00E21053" w:rsidRPr="00805152" w:rsidRDefault="00E21053" w:rsidP="00E21053">
      <w:pPr>
        <w:spacing w:after="0" w:line="240" w:lineRule="auto"/>
        <w:rPr>
          <w:rFonts w:ascii="Times New Roman" w:eastAsiaTheme="minorEastAsia" w:hAnsi="Times New Roman"/>
          <w:sz w:val="24"/>
          <w:lang w:val="bg-BG" w:eastAsia="bg-BG"/>
        </w:rPr>
      </w:pPr>
    </w:p>
    <w:tbl>
      <w:tblPr>
        <w:tblW w:w="9540" w:type="dxa"/>
        <w:tblInd w:w="-5" w:type="dxa"/>
        <w:tblCellMar>
          <w:left w:w="70" w:type="dxa"/>
          <w:right w:w="70" w:type="dxa"/>
        </w:tblCellMar>
        <w:tblLook w:val="04A0" w:firstRow="1" w:lastRow="0" w:firstColumn="1" w:lastColumn="0" w:noHBand="0" w:noVBand="1"/>
      </w:tblPr>
      <w:tblGrid>
        <w:gridCol w:w="2552"/>
        <w:gridCol w:w="6988"/>
      </w:tblGrid>
      <w:tr w:rsidR="00E21053" w:rsidRPr="00805152" w14:paraId="06A207BC" w14:textId="77777777" w:rsidTr="007D3201">
        <w:trPr>
          <w:trHeight w:val="70"/>
        </w:trPr>
        <w:tc>
          <w:tcPr>
            <w:tcW w:w="2552"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79BB0166" w14:textId="77777777" w:rsidR="00E21053" w:rsidRPr="00805152" w:rsidRDefault="00E21053" w:rsidP="00E21053">
            <w:pPr>
              <w:spacing w:after="0" w:line="240" w:lineRule="auto"/>
              <w:jc w:val="center"/>
              <w:rPr>
                <w:rFonts w:ascii="Times New Roman" w:eastAsiaTheme="minorEastAsia" w:hAnsi="Times New Roman"/>
                <w:b/>
                <w:bCs/>
                <w:sz w:val="20"/>
                <w:szCs w:val="18"/>
                <w:lang w:val="bg-BG" w:eastAsia="bg-BG"/>
              </w:rPr>
            </w:pPr>
            <w:r w:rsidRPr="00805152">
              <w:rPr>
                <w:rFonts w:ascii="Times New Roman" w:eastAsiaTheme="minorEastAsia" w:hAnsi="Times New Roman"/>
                <w:b/>
                <w:bCs/>
                <w:sz w:val="20"/>
                <w:szCs w:val="18"/>
                <w:lang w:val="bg-BG" w:eastAsia="bg-BG"/>
              </w:rPr>
              <w:t>Инвентарен номер</w:t>
            </w:r>
          </w:p>
        </w:tc>
        <w:tc>
          <w:tcPr>
            <w:tcW w:w="6988"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1631915B" w14:textId="77777777" w:rsidR="00E21053" w:rsidRPr="00805152" w:rsidRDefault="00E21053" w:rsidP="00E21053">
            <w:pPr>
              <w:spacing w:after="0" w:line="240" w:lineRule="auto"/>
              <w:jc w:val="center"/>
              <w:rPr>
                <w:rFonts w:ascii="Times New Roman" w:eastAsiaTheme="minorEastAsia" w:hAnsi="Times New Roman"/>
                <w:b/>
                <w:bCs/>
                <w:sz w:val="20"/>
                <w:szCs w:val="18"/>
                <w:lang w:val="bg-BG" w:eastAsia="bg-BG"/>
              </w:rPr>
            </w:pPr>
            <w:r w:rsidRPr="00805152">
              <w:rPr>
                <w:rFonts w:ascii="Times New Roman" w:eastAsiaTheme="minorEastAsia" w:hAnsi="Times New Roman"/>
                <w:b/>
                <w:bCs/>
                <w:sz w:val="20"/>
                <w:szCs w:val="18"/>
                <w:lang w:val="bg-BG" w:eastAsia="bg-BG"/>
              </w:rPr>
              <w:t>Наименование</w:t>
            </w:r>
          </w:p>
        </w:tc>
      </w:tr>
      <w:tr w:rsidR="00E21053" w:rsidRPr="00805152" w14:paraId="18B6E0A2" w14:textId="77777777" w:rsidTr="007D3201">
        <w:trPr>
          <w:trHeight w:val="264"/>
        </w:trPr>
        <w:tc>
          <w:tcPr>
            <w:tcW w:w="2552" w:type="dxa"/>
            <w:tcBorders>
              <w:top w:val="single" w:sz="4" w:space="0" w:color="auto"/>
              <w:left w:val="single" w:sz="4" w:space="0" w:color="auto"/>
              <w:bottom w:val="single" w:sz="4" w:space="0" w:color="auto"/>
              <w:right w:val="single" w:sz="4" w:space="0" w:color="auto"/>
            </w:tcBorders>
            <w:shd w:val="clear" w:color="auto" w:fill="auto"/>
            <w:noWrap/>
            <w:hideMark/>
          </w:tcPr>
          <w:p w14:paraId="110F693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20491434</w:t>
            </w:r>
          </w:p>
        </w:tc>
        <w:tc>
          <w:tcPr>
            <w:tcW w:w="6988" w:type="dxa"/>
            <w:tcBorders>
              <w:top w:val="single" w:sz="4" w:space="0" w:color="auto"/>
              <w:left w:val="nil"/>
              <w:bottom w:val="single" w:sz="4" w:space="0" w:color="auto"/>
              <w:right w:val="single" w:sz="4" w:space="0" w:color="auto"/>
            </w:tcBorders>
            <w:shd w:val="clear" w:color="auto" w:fill="auto"/>
            <w:noWrap/>
            <w:hideMark/>
          </w:tcPr>
          <w:p w14:paraId="1743A252"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 корабно място /168м./</w:t>
            </w:r>
          </w:p>
        </w:tc>
      </w:tr>
      <w:tr w:rsidR="00E21053" w:rsidRPr="00805152" w14:paraId="633BB946" w14:textId="77777777" w:rsidTr="007D3201">
        <w:trPr>
          <w:trHeight w:val="264"/>
        </w:trPr>
        <w:tc>
          <w:tcPr>
            <w:tcW w:w="2552" w:type="dxa"/>
            <w:tcBorders>
              <w:top w:val="single" w:sz="4" w:space="0" w:color="auto"/>
              <w:left w:val="single" w:sz="4" w:space="0" w:color="auto"/>
              <w:bottom w:val="single" w:sz="4" w:space="0" w:color="auto"/>
              <w:right w:val="single" w:sz="4" w:space="0" w:color="auto"/>
            </w:tcBorders>
            <w:shd w:val="clear" w:color="auto" w:fill="auto"/>
            <w:noWrap/>
            <w:hideMark/>
          </w:tcPr>
          <w:p w14:paraId="3AD46D3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20491229</w:t>
            </w:r>
          </w:p>
        </w:tc>
        <w:tc>
          <w:tcPr>
            <w:tcW w:w="6988" w:type="dxa"/>
            <w:tcBorders>
              <w:top w:val="single" w:sz="4" w:space="0" w:color="auto"/>
              <w:left w:val="nil"/>
              <w:bottom w:val="single" w:sz="4" w:space="0" w:color="auto"/>
              <w:right w:val="single" w:sz="4" w:space="0" w:color="auto"/>
            </w:tcBorders>
            <w:shd w:val="clear" w:color="auto" w:fill="auto"/>
            <w:noWrap/>
            <w:hideMark/>
          </w:tcPr>
          <w:p w14:paraId="026E799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2 корабно място /160м./</w:t>
            </w:r>
          </w:p>
        </w:tc>
      </w:tr>
      <w:tr w:rsidR="00E21053" w:rsidRPr="00805152" w14:paraId="477D997D"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053F9258"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20491230</w:t>
            </w:r>
          </w:p>
        </w:tc>
        <w:tc>
          <w:tcPr>
            <w:tcW w:w="6988" w:type="dxa"/>
            <w:tcBorders>
              <w:top w:val="nil"/>
              <w:left w:val="nil"/>
              <w:bottom w:val="single" w:sz="4" w:space="0" w:color="auto"/>
              <w:right w:val="single" w:sz="4" w:space="0" w:color="auto"/>
            </w:tcBorders>
            <w:shd w:val="clear" w:color="auto" w:fill="auto"/>
            <w:noWrap/>
            <w:hideMark/>
          </w:tcPr>
          <w:p w14:paraId="72DDF143"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3,4 корабно място /310м./</w:t>
            </w:r>
          </w:p>
        </w:tc>
      </w:tr>
      <w:tr w:rsidR="00E21053" w:rsidRPr="00805152" w14:paraId="099D587B"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38763DE2"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20491231</w:t>
            </w:r>
          </w:p>
        </w:tc>
        <w:tc>
          <w:tcPr>
            <w:tcW w:w="6988" w:type="dxa"/>
            <w:tcBorders>
              <w:top w:val="nil"/>
              <w:left w:val="nil"/>
              <w:bottom w:val="single" w:sz="4" w:space="0" w:color="auto"/>
              <w:right w:val="single" w:sz="4" w:space="0" w:color="auto"/>
            </w:tcBorders>
            <w:shd w:val="clear" w:color="auto" w:fill="auto"/>
            <w:noWrap/>
            <w:hideMark/>
          </w:tcPr>
          <w:p w14:paraId="2B30C90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5,6 корабно място /310м./</w:t>
            </w:r>
          </w:p>
        </w:tc>
      </w:tr>
      <w:tr w:rsidR="00E21053" w:rsidRPr="00805152" w14:paraId="79F08BD0"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745823F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20491232</w:t>
            </w:r>
          </w:p>
        </w:tc>
        <w:tc>
          <w:tcPr>
            <w:tcW w:w="6988" w:type="dxa"/>
            <w:tcBorders>
              <w:top w:val="nil"/>
              <w:left w:val="nil"/>
              <w:bottom w:val="single" w:sz="4" w:space="0" w:color="auto"/>
              <w:right w:val="single" w:sz="4" w:space="0" w:color="auto"/>
            </w:tcBorders>
            <w:shd w:val="clear" w:color="auto" w:fill="auto"/>
            <w:noWrap/>
            <w:hideMark/>
          </w:tcPr>
          <w:p w14:paraId="7468F79F"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8 корабно място /130м./</w:t>
            </w:r>
          </w:p>
        </w:tc>
      </w:tr>
      <w:tr w:rsidR="00E21053" w:rsidRPr="00805152" w14:paraId="74EA1FAB"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1C30B0E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20491233</w:t>
            </w:r>
          </w:p>
        </w:tc>
        <w:tc>
          <w:tcPr>
            <w:tcW w:w="6988" w:type="dxa"/>
            <w:tcBorders>
              <w:top w:val="nil"/>
              <w:left w:val="nil"/>
              <w:bottom w:val="single" w:sz="4" w:space="0" w:color="auto"/>
              <w:right w:val="single" w:sz="4" w:space="0" w:color="auto"/>
            </w:tcBorders>
            <w:shd w:val="clear" w:color="auto" w:fill="auto"/>
            <w:noWrap/>
            <w:hideMark/>
          </w:tcPr>
          <w:p w14:paraId="12FFA859"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9 корабно място /80м./</w:t>
            </w:r>
          </w:p>
        </w:tc>
      </w:tr>
      <w:tr w:rsidR="00E21053" w:rsidRPr="00805152" w14:paraId="406F2207"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54CDCBF2"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20491234</w:t>
            </w:r>
          </w:p>
        </w:tc>
        <w:tc>
          <w:tcPr>
            <w:tcW w:w="6988" w:type="dxa"/>
            <w:tcBorders>
              <w:top w:val="nil"/>
              <w:left w:val="nil"/>
              <w:bottom w:val="single" w:sz="4" w:space="0" w:color="auto"/>
              <w:right w:val="single" w:sz="4" w:space="0" w:color="auto"/>
            </w:tcBorders>
            <w:shd w:val="clear" w:color="auto" w:fill="auto"/>
            <w:noWrap/>
            <w:hideMark/>
          </w:tcPr>
          <w:p w14:paraId="7615E13F"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10 корабно място /120м./</w:t>
            </w:r>
          </w:p>
        </w:tc>
      </w:tr>
      <w:tr w:rsidR="00E21053" w:rsidRPr="00805152" w14:paraId="4EDE7D30" w14:textId="77777777" w:rsidTr="007D3201">
        <w:trPr>
          <w:trHeight w:val="264"/>
        </w:trPr>
        <w:tc>
          <w:tcPr>
            <w:tcW w:w="2552" w:type="dxa"/>
            <w:tcBorders>
              <w:top w:val="single" w:sz="4" w:space="0" w:color="auto"/>
              <w:left w:val="single" w:sz="4" w:space="0" w:color="auto"/>
              <w:bottom w:val="single" w:sz="4" w:space="0" w:color="auto"/>
              <w:right w:val="single" w:sz="4" w:space="0" w:color="auto"/>
            </w:tcBorders>
            <w:shd w:val="clear" w:color="auto" w:fill="auto"/>
            <w:noWrap/>
            <w:hideMark/>
          </w:tcPr>
          <w:p w14:paraId="02792F01"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20491235</w:t>
            </w:r>
          </w:p>
        </w:tc>
        <w:tc>
          <w:tcPr>
            <w:tcW w:w="6988" w:type="dxa"/>
            <w:tcBorders>
              <w:top w:val="single" w:sz="4" w:space="0" w:color="auto"/>
              <w:left w:val="nil"/>
              <w:bottom w:val="single" w:sz="4" w:space="0" w:color="auto"/>
              <w:right w:val="single" w:sz="4" w:space="0" w:color="auto"/>
            </w:tcBorders>
            <w:shd w:val="clear" w:color="auto" w:fill="auto"/>
            <w:noWrap/>
            <w:hideMark/>
          </w:tcPr>
          <w:p w14:paraId="7E0CDF4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11 корабно място /132м./</w:t>
            </w:r>
          </w:p>
        </w:tc>
      </w:tr>
      <w:tr w:rsidR="00E21053" w:rsidRPr="00805152" w14:paraId="7944E1DE"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4875757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20491236</w:t>
            </w:r>
          </w:p>
        </w:tc>
        <w:tc>
          <w:tcPr>
            <w:tcW w:w="6988" w:type="dxa"/>
            <w:tcBorders>
              <w:top w:val="nil"/>
              <w:left w:val="nil"/>
              <w:bottom w:val="single" w:sz="4" w:space="0" w:color="auto"/>
              <w:right w:val="single" w:sz="4" w:space="0" w:color="auto"/>
            </w:tcBorders>
            <w:shd w:val="clear" w:color="auto" w:fill="auto"/>
            <w:noWrap/>
            <w:hideMark/>
          </w:tcPr>
          <w:p w14:paraId="5D289765"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12 корабно място /175м./</w:t>
            </w:r>
          </w:p>
        </w:tc>
      </w:tr>
      <w:tr w:rsidR="00E21053" w:rsidRPr="00805152" w14:paraId="4922ED3D"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6299FC3B"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20491237</w:t>
            </w:r>
          </w:p>
        </w:tc>
        <w:tc>
          <w:tcPr>
            <w:tcW w:w="6988" w:type="dxa"/>
            <w:tcBorders>
              <w:top w:val="nil"/>
              <w:left w:val="nil"/>
              <w:bottom w:val="single" w:sz="4" w:space="0" w:color="auto"/>
              <w:right w:val="single" w:sz="4" w:space="0" w:color="auto"/>
            </w:tcBorders>
            <w:shd w:val="clear" w:color="auto" w:fill="auto"/>
            <w:noWrap/>
            <w:hideMark/>
          </w:tcPr>
          <w:p w14:paraId="486E4391"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13 корабно място /175м./</w:t>
            </w:r>
          </w:p>
        </w:tc>
      </w:tr>
      <w:tr w:rsidR="00E21053" w:rsidRPr="00805152" w14:paraId="258229D8" w14:textId="77777777" w:rsidTr="007D3201">
        <w:trPr>
          <w:trHeight w:val="264"/>
        </w:trPr>
        <w:tc>
          <w:tcPr>
            <w:tcW w:w="2552" w:type="dxa"/>
            <w:tcBorders>
              <w:top w:val="nil"/>
              <w:left w:val="single" w:sz="4" w:space="0" w:color="auto"/>
              <w:bottom w:val="single" w:sz="4" w:space="0" w:color="auto"/>
              <w:right w:val="single" w:sz="4" w:space="0" w:color="auto"/>
            </w:tcBorders>
            <w:shd w:val="clear" w:color="auto" w:fill="auto"/>
            <w:noWrap/>
            <w:hideMark/>
          </w:tcPr>
          <w:p w14:paraId="5BF415A6"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20491238</w:t>
            </w:r>
          </w:p>
        </w:tc>
        <w:tc>
          <w:tcPr>
            <w:tcW w:w="6988" w:type="dxa"/>
            <w:tcBorders>
              <w:top w:val="nil"/>
              <w:left w:val="nil"/>
              <w:bottom w:val="single" w:sz="4" w:space="0" w:color="auto"/>
              <w:right w:val="single" w:sz="4" w:space="0" w:color="auto"/>
            </w:tcBorders>
            <w:shd w:val="clear" w:color="auto" w:fill="auto"/>
            <w:noWrap/>
            <w:hideMark/>
          </w:tcPr>
          <w:p w14:paraId="3DEF6F00"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Кейова стена 14 корабно място /160м./</w:t>
            </w:r>
          </w:p>
        </w:tc>
      </w:tr>
      <w:tr w:rsidR="00E21053" w:rsidRPr="00805152" w14:paraId="4A088BB0" w14:textId="77777777" w:rsidTr="007D32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4"/>
        </w:trPr>
        <w:tc>
          <w:tcPr>
            <w:tcW w:w="2552" w:type="dxa"/>
            <w:shd w:val="clear" w:color="auto" w:fill="auto"/>
            <w:noWrap/>
            <w:hideMark/>
          </w:tcPr>
          <w:p w14:paraId="0D8C0AF4"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20491367</w:t>
            </w:r>
          </w:p>
        </w:tc>
        <w:tc>
          <w:tcPr>
            <w:tcW w:w="6988" w:type="dxa"/>
            <w:shd w:val="clear" w:color="auto" w:fill="auto"/>
            <w:noWrap/>
            <w:hideMark/>
          </w:tcPr>
          <w:p w14:paraId="508CF10E"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 за Яхт клуб нулево к.м. Изток</w:t>
            </w:r>
          </w:p>
        </w:tc>
      </w:tr>
      <w:tr w:rsidR="00E21053" w:rsidRPr="00805152" w14:paraId="7E6D130F" w14:textId="77777777" w:rsidTr="007D32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4"/>
        </w:trPr>
        <w:tc>
          <w:tcPr>
            <w:tcW w:w="2552" w:type="dxa"/>
            <w:shd w:val="clear" w:color="auto" w:fill="auto"/>
            <w:noWrap/>
          </w:tcPr>
          <w:p w14:paraId="44E3C477"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20491228</w:t>
            </w:r>
          </w:p>
        </w:tc>
        <w:tc>
          <w:tcPr>
            <w:tcW w:w="6988" w:type="dxa"/>
            <w:shd w:val="clear" w:color="auto" w:fill="auto"/>
            <w:noWrap/>
          </w:tcPr>
          <w:p w14:paraId="70F4E7CA" w14:textId="77777777" w:rsidR="00E21053" w:rsidRPr="00805152" w:rsidRDefault="00E21053" w:rsidP="00E21053">
            <w:pPr>
              <w:spacing w:after="0" w:line="240" w:lineRule="auto"/>
              <w:rPr>
                <w:rFonts w:ascii="Times New Roman" w:eastAsiaTheme="minorEastAsia" w:hAnsi="Times New Roman"/>
                <w:sz w:val="20"/>
                <w:szCs w:val="18"/>
                <w:lang w:val="bg-BG" w:eastAsia="bg-BG"/>
              </w:rPr>
            </w:pPr>
            <w:r w:rsidRPr="00805152">
              <w:rPr>
                <w:rFonts w:ascii="Times New Roman" w:eastAsiaTheme="minorEastAsia" w:hAnsi="Times New Roman"/>
                <w:sz w:val="20"/>
                <w:szCs w:val="18"/>
                <w:lang w:val="bg-BG" w:eastAsia="bg-BG"/>
              </w:rPr>
              <w:t>Кей и хелинг към Брегови център /140м./</w:t>
            </w:r>
          </w:p>
        </w:tc>
      </w:tr>
      <w:tr w:rsidR="00E21053" w:rsidRPr="00805152" w14:paraId="0ABC3868" w14:textId="77777777" w:rsidTr="007D32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255"/>
        </w:trPr>
        <w:tc>
          <w:tcPr>
            <w:tcW w:w="2552" w:type="dxa"/>
            <w:shd w:val="clear" w:color="auto" w:fill="auto"/>
            <w:noWrap/>
            <w:hideMark/>
          </w:tcPr>
          <w:p w14:paraId="39812F32" w14:textId="77777777" w:rsidR="00E21053" w:rsidRPr="00E617D5" w:rsidRDefault="00E21053" w:rsidP="00E21053">
            <w:pPr>
              <w:spacing w:after="0" w:line="240" w:lineRule="auto"/>
              <w:rPr>
                <w:rFonts w:ascii="Times New Roman" w:eastAsiaTheme="minorEastAsia" w:hAnsi="Times New Roman"/>
                <w:b/>
                <w:sz w:val="20"/>
                <w:szCs w:val="18"/>
                <w:highlight w:val="lightGray"/>
                <w:lang w:val="bg-BG" w:eastAsia="en-GB"/>
              </w:rPr>
            </w:pPr>
            <w:r w:rsidRPr="00E617D5">
              <w:rPr>
                <w:rFonts w:ascii="Times New Roman" w:eastAsiaTheme="minorEastAsia" w:hAnsi="Times New Roman"/>
                <w:b/>
                <w:sz w:val="20"/>
                <w:szCs w:val="18"/>
                <w:highlight w:val="lightGray"/>
                <w:lang w:val="bg-BG" w:eastAsia="en-GB"/>
              </w:rPr>
              <w:t>20491227</w:t>
            </w:r>
          </w:p>
        </w:tc>
        <w:tc>
          <w:tcPr>
            <w:tcW w:w="6988" w:type="dxa"/>
            <w:shd w:val="clear" w:color="auto" w:fill="auto"/>
            <w:noWrap/>
            <w:hideMark/>
          </w:tcPr>
          <w:p w14:paraId="2BFC57AC" w14:textId="77777777" w:rsidR="00E21053" w:rsidRPr="00E617D5" w:rsidRDefault="00E21053" w:rsidP="00E21053">
            <w:pPr>
              <w:spacing w:after="0" w:line="240" w:lineRule="auto"/>
              <w:rPr>
                <w:rFonts w:ascii="Times New Roman" w:eastAsiaTheme="minorEastAsia" w:hAnsi="Times New Roman"/>
                <w:b/>
                <w:sz w:val="20"/>
                <w:szCs w:val="18"/>
                <w:highlight w:val="lightGray"/>
                <w:lang w:val="bg-BG" w:eastAsia="en-GB"/>
              </w:rPr>
            </w:pPr>
            <w:r w:rsidRPr="00E617D5">
              <w:rPr>
                <w:rFonts w:ascii="Times New Roman" w:eastAsiaTheme="minorEastAsia" w:hAnsi="Times New Roman"/>
                <w:b/>
                <w:sz w:val="20"/>
                <w:szCs w:val="18"/>
                <w:highlight w:val="lightGray"/>
                <w:lang w:val="bg-BG" w:eastAsia="en-GB"/>
              </w:rPr>
              <w:t>Морски вълнолом защитен</w:t>
            </w:r>
          </w:p>
        </w:tc>
      </w:tr>
    </w:tbl>
    <w:p w14:paraId="71CC95DD" w14:textId="77777777" w:rsidR="00E21053" w:rsidRPr="00805152" w:rsidRDefault="00E21053" w:rsidP="00E21053">
      <w:pPr>
        <w:spacing w:after="0" w:line="240" w:lineRule="auto"/>
        <w:rPr>
          <w:rFonts w:ascii="Times New Roman" w:eastAsiaTheme="minorEastAsia" w:hAnsi="Times New Roman"/>
          <w:bCs/>
          <w:iCs/>
          <w:sz w:val="24"/>
          <w:lang w:val="bg-BG" w:eastAsia="bg-BG"/>
        </w:rPr>
      </w:pPr>
    </w:p>
    <w:p w14:paraId="509E464E" w14:textId="29B26406" w:rsidR="00E21053" w:rsidRPr="00805152" w:rsidRDefault="00E21053" w:rsidP="000C5C5A">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iCs/>
          <w:sz w:val="22"/>
          <w:lang w:val="bg-BG" w:eastAsia="bg-BG"/>
        </w:rPr>
        <w:t>За съхранение на обработваните товари пристанищния терминал разполага с:</w:t>
      </w:r>
    </w:p>
    <w:p w14:paraId="62FC0476" w14:textId="77777777" w:rsidR="00E21053" w:rsidRPr="00805152" w:rsidRDefault="00E21053" w:rsidP="0021547C">
      <w:pPr>
        <w:numPr>
          <w:ilvl w:val="0"/>
          <w:numId w:val="54"/>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открити складови площи – 21 510 кв. м.;</w:t>
      </w:r>
    </w:p>
    <w:p w14:paraId="794412CF" w14:textId="77777777" w:rsidR="00E21053" w:rsidRPr="00805152" w:rsidRDefault="00E21053" w:rsidP="0021547C">
      <w:pPr>
        <w:numPr>
          <w:ilvl w:val="0"/>
          <w:numId w:val="54"/>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iCs/>
          <w:sz w:val="22"/>
          <w:lang w:val="bg-BG" w:eastAsia="bg-BG"/>
        </w:rPr>
        <w:t>закрити складови площи – 23 300 кв. м..</w:t>
      </w:r>
    </w:p>
    <w:p w14:paraId="43927746" w14:textId="77777777" w:rsidR="00E21053" w:rsidRDefault="00E21053" w:rsidP="007D3201">
      <w:pPr>
        <w:spacing w:after="0" w:line="240" w:lineRule="auto"/>
        <w:ind w:firstLine="709"/>
        <w:rPr>
          <w:rFonts w:ascii="Times New Roman" w:eastAsia="Times New Roman" w:hAnsi="Times New Roman"/>
          <w:b/>
          <w:bCs/>
          <w:i/>
          <w:iCs/>
          <w:sz w:val="24"/>
          <w:szCs w:val="26"/>
          <w:lang w:val="bg-BG" w:eastAsia="de-DE"/>
        </w:rPr>
      </w:pPr>
      <w:r w:rsidRPr="00805152">
        <w:rPr>
          <w:rFonts w:ascii="Times New Roman" w:eastAsia="Times New Roman" w:hAnsi="Times New Roman"/>
          <w:b/>
          <w:bCs/>
          <w:i/>
          <w:iCs/>
          <w:sz w:val="24"/>
          <w:szCs w:val="26"/>
          <w:lang w:val="bg-BG" w:eastAsia="de-DE"/>
        </w:rPr>
        <w:tab/>
      </w:r>
    </w:p>
    <w:p w14:paraId="64F69DCE" w14:textId="502BC849" w:rsidR="00E21053" w:rsidRPr="00805152" w:rsidRDefault="00E21053" w:rsidP="007D3201">
      <w:pPr>
        <w:pStyle w:val="Heading5"/>
        <w:rPr>
          <w:rFonts w:ascii="Times New Roman" w:hAnsi="Times New Roman"/>
          <w:lang w:val="bg-BG" w:eastAsia="de-DE"/>
        </w:rPr>
      </w:pPr>
      <w:r w:rsidRPr="00805152">
        <w:rPr>
          <w:rFonts w:ascii="Times New Roman" w:hAnsi="Times New Roman"/>
          <w:i/>
          <w:lang w:val="bg-BG" w:eastAsia="de-DE"/>
        </w:rPr>
        <w:tab/>
      </w:r>
      <w:r w:rsidRPr="00805152">
        <w:rPr>
          <w:rFonts w:ascii="Times New Roman" w:hAnsi="Times New Roman"/>
          <w:lang w:val="bg-BG" w:eastAsia="de-DE"/>
        </w:rPr>
        <w:t>П</w:t>
      </w:r>
      <w:r w:rsidR="00D353C8" w:rsidRPr="00805152">
        <w:rPr>
          <w:rFonts w:ascii="Times New Roman" w:hAnsi="Times New Roman"/>
          <w:lang w:val="bg-BG" w:eastAsia="de-DE"/>
        </w:rPr>
        <w:t>оземлени имоти</w:t>
      </w:r>
    </w:p>
    <w:p w14:paraId="6410DED2" w14:textId="77777777" w:rsidR="00E21053" w:rsidRPr="00805152" w:rsidRDefault="00E21053" w:rsidP="0021547C">
      <w:pPr>
        <w:numPr>
          <w:ilvl w:val="0"/>
          <w:numId w:val="52"/>
        </w:numPr>
        <w:overflowPunct w:val="0"/>
        <w:autoSpaceDE w:val="0"/>
        <w:autoSpaceDN w:val="0"/>
        <w:adjustRightInd w:val="0"/>
        <w:spacing w:before="240" w:after="60" w:line="240" w:lineRule="auto"/>
        <w:ind w:left="1008" w:right="1134" w:hanging="299"/>
        <w:textAlignment w:val="baseline"/>
        <w:outlineLvl w:val="4"/>
        <w:rPr>
          <w:rFonts w:ascii="Times New Roman" w:eastAsia="Times New Roman" w:hAnsi="Times New Roman"/>
          <w:b/>
          <w:bCs/>
          <w:iCs/>
          <w:sz w:val="22"/>
          <w:lang w:val="bg-BG" w:eastAsia="de-DE"/>
        </w:rPr>
      </w:pPr>
      <w:r w:rsidRPr="00805152">
        <w:rPr>
          <w:rFonts w:ascii="Times New Roman" w:eastAsia="Times New Roman" w:hAnsi="Times New Roman"/>
          <w:b/>
          <w:bCs/>
          <w:iCs/>
          <w:sz w:val="22"/>
          <w:lang w:val="bg-BG" w:eastAsia="de-DE"/>
        </w:rPr>
        <w:t xml:space="preserve">ПИ № 07079.618.1079 (стар идентификатор 07079.618.22)  </w:t>
      </w:r>
    </w:p>
    <w:p w14:paraId="76410935" w14:textId="77777777" w:rsidR="00E21053" w:rsidRPr="00805152" w:rsidRDefault="00E21053" w:rsidP="00E21053">
      <w:pPr>
        <w:spacing w:after="0" w:line="240" w:lineRule="auto"/>
        <w:rPr>
          <w:rFonts w:ascii="Times New Roman" w:eastAsiaTheme="minorEastAsia" w:hAnsi="Times New Roman"/>
          <w:sz w:val="22"/>
          <w:lang w:val="bg-BG" w:eastAsia="bg-BG"/>
        </w:rPr>
      </w:pPr>
    </w:p>
    <w:p w14:paraId="380B3E2D"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За имота е съставен Акт за публична държавна собственост (АПДС) № 9420 от 15.05.2019 г., съгласно който имотът се състои от 87 153 кв.м. площ, с трайно предназначение на територията – територия на транспорта, начин на трайно ползване – за пристанище. Правото на управление на имота е предоставено на ДППИ. </w:t>
      </w:r>
    </w:p>
    <w:p w14:paraId="225D0B02"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ПИ 07079.618.1079 граничи с поземлени имоти: 07079.618.1078, 07079.618.1083, 07079.618.1087 и 07079.618.21. В АПДС № 9420 от 15.05.2019 г. са описани и находящите се в имота осем броя сгради, както следва:</w:t>
      </w:r>
    </w:p>
    <w:p w14:paraId="667C0A37"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07079.618.1079.1 – Депо за имущество на капитално строителство</w:t>
      </w:r>
      <w:r w:rsidRPr="00805152">
        <w:rPr>
          <w:rFonts w:ascii="Times New Roman" w:eastAsiaTheme="minorEastAsia" w:hAnsi="Times New Roman"/>
          <w:sz w:val="22"/>
          <w:lang w:val="bg-BG" w:eastAsia="bg-BG"/>
        </w:rPr>
        <w:t xml:space="preserve">, със застроена площ 1 612 кв.м., на един етаж,  масивна, с предназначение – друг вид обществена сграда </w:t>
      </w:r>
    </w:p>
    <w:p w14:paraId="3FA0CC8D"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lastRenderedPageBreak/>
        <w:t>Сграда с идентификатор 07079.618.1079.2 – Магазия 13</w:t>
      </w:r>
      <w:r w:rsidRPr="00805152">
        <w:rPr>
          <w:rFonts w:ascii="Times New Roman" w:eastAsiaTheme="minorEastAsia" w:hAnsi="Times New Roman"/>
          <w:sz w:val="22"/>
          <w:lang w:val="bg-BG" w:eastAsia="bg-BG"/>
        </w:rPr>
        <w:t>, застроена площ 2 458 кв.м., на един етаж, метална, с предназначение – друг вид производствена, складова, инфраструктурна сграда</w:t>
      </w:r>
    </w:p>
    <w:p w14:paraId="16D41EA2"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07079.618.1079.3 – Магазия 12</w:t>
      </w:r>
      <w:r w:rsidRPr="00805152">
        <w:rPr>
          <w:rFonts w:ascii="Times New Roman" w:eastAsiaTheme="minorEastAsia" w:hAnsi="Times New Roman"/>
          <w:sz w:val="22"/>
          <w:lang w:val="bg-BG" w:eastAsia="bg-BG"/>
        </w:rPr>
        <w:t xml:space="preserve">, застроена площ 2 439 кв.м., на един етаж, метална, с предназначение – друг вид производствена, складова, инфраструктурна сграда </w:t>
      </w:r>
    </w:p>
    <w:p w14:paraId="62A7E56C"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07079.618.1079.4 – Магазия 14</w:t>
      </w:r>
      <w:r w:rsidRPr="00805152">
        <w:rPr>
          <w:rFonts w:ascii="Times New Roman" w:eastAsiaTheme="minorEastAsia" w:hAnsi="Times New Roman"/>
          <w:sz w:val="22"/>
          <w:lang w:val="bg-BG" w:eastAsia="bg-BG"/>
        </w:rPr>
        <w:t>, застроена площ 2 999 кв.м., на един етаж, масивна, с предназначение – друг вид производствена, складова, инфраструктурна сграда, в т.ч. и Трафопост № 6 – Рибна борса, със застроена площ 134 кв.м., 1 ет., масивна</w:t>
      </w:r>
    </w:p>
    <w:p w14:paraId="5E193F64"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07079.618.1079.5 – Склад материали към Червена магазия</w:t>
      </w:r>
      <w:r w:rsidRPr="00805152">
        <w:rPr>
          <w:rFonts w:ascii="Times New Roman" w:eastAsiaTheme="minorEastAsia" w:hAnsi="Times New Roman"/>
          <w:sz w:val="22"/>
          <w:lang w:val="bg-BG" w:eastAsia="bg-BG"/>
        </w:rPr>
        <w:t xml:space="preserve">, застроена площ 106 кв.м., на един етаж, масивна, с предназначение – друг вид производствена, складова, инфраструктурна сграда </w:t>
      </w:r>
    </w:p>
    <w:p w14:paraId="09A1D365"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07079.618.1079.6 – Склад Червена магазия</w:t>
      </w:r>
      <w:r w:rsidRPr="00805152">
        <w:rPr>
          <w:rFonts w:ascii="Times New Roman" w:eastAsiaTheme="minorEastAsia" w:hAnsi="Times New Roman"/>
          <w:sz w:val="22"/>
          <w:lang w:val="bg-BG" w:eastAsia="bg-BG"/>
        </w:rPr>
        <w:t xml:space="preserve">, застроена площ 343 кв.м., на четири етажа, масивна, с предназначение – друг вид производствена, складова, инфраструктурна сграда </w:t>
      </w:r>
    </w:p>
    <w:p w14:paraId="20378B08"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07079.618.1079.7 – Карантинен склад</w:t>
      </w:r>
      <w:r w:rsidRPr="00805152">
        <w:rPr>
          <w:rFonts w:ascii="Times New Roman" w:eastAsiaTheme="minorEastAsia" w:hAnsi="Times New Roman"/>
          <w:sz w:val="22"/>
          <w:lang w:val="bg-BG" w:eastAsia="bg-BG"/>
        </w:rPr>
        <w:t xml:space="preserve">, застроена площ 2 995 кв.м., на един етаж, масивна, с предназначение – друг вид производствена, складова, инфраструктурна сграда </w:t>
      </w:r>
    </w:p>
    <w:p w14:paraId="0DDD745F" w14:textId="77777777" w:rsidR="00E21053" w:rsidRPr="00805152" w:rsidRDefault="00E21053" w:rsidP="0021547C">
      <w:pPr>
        <w:numPr>
          <w:ilvl w:val="0"/>
          <w:numId w:val="63"/>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07079.618.1079.8 – Карантинен склад - стифадорна</w:t>
      </w:r>
      <w:r w:rsidRPr="00805152">
        <w:rPr>
          <w:rFonts w:ascii="Times New Roman" w:eastAsiaTheme="minorEastAsia" w:hAnsi="Times New Roman"/>
          <w:sz w:val="22"/>
          <w:lang w:val="bg-BG" w:eastAsia="bg-BG"/>
        </w:rPr>
        <w:t>, застроена площ 166 кв.м., на един етаж, масивна, с предназначение – друг вид производствена, складова, инфраструктурна сграда</w:t>
      </w:r>
    </w:p>
    <w:p w14:paraId="03C6186A"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Съгласно копие от кадастрална карта с данни от КРНИ – електронно извлечение от сайта на АГКК</w:t>
      </w:r>
      <w:r w:rsidRPr="00805152">
        <w:rPr>
          <w:rFonts w:ascii="Times New Roman" w:eastAsiaTheme="minorEastAsia" w:hAnsi="Times New Roman"/>
          <w:i/>
          <w:sz w:val="22"/>
          <w:lang w:val="bg-BG" w:eastAsia="bg-BG"/>
        </w:rPr>
        <w:t>,</w:t>
      </w:r>
      <w:r w:rsidRPr="00805152">
        <w:rPr>
          <w:rFonts w:ascii="Times New Roman" w:eastAsiaTheme="minorEastAsia" w:hAnsi="Times New Roman"/>
          <w:sz w:val="22"/>
          <w:lang w:val="bg-BG" w:eastAsia="bg-BG"/>
        </w:rPr>
        <w:t xml:space="preserve"> в имота се намират и други сгради, неактувани с акта, с идентификатори: </w:t>
      </w:r>
    </w:p>
    <w:p w14:paraId="61A33AF3" w14:textId="77777777" w:rsidR="00E21053" w:rsidRPr="00805152" w:rsidRDefault="00E21053" w:rsidP="0021547C">
      <w:pPr>
        <w:numPr>
          <w:ilvl w:val="0"/>
          <w:numId w:val="63"/>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07079.618.1079.9 </w:t>
      </w:r>
      <w:r w:rsidRPr="00805152">
        <w:rPr>
          <w:rFonts w:ascii="Times New Roman" w:eastAsiaTheme="minorEastAsia" w:hAnsi="Times New Roman"/>
          <w:sz w:val="22"/>
          <w:lang w:val="bg-BG" w:eastAsia="bg-BG"/>
        </w:rPr>
        <w:t>със застроена площ 554 кв.м., на един етаж,</w:t>
      </w:r>
      <w:r w:rsidRPr="00805152">
        <w:rPr>
          <w:rFonts w:ascii="Times New Roman" w:eastAsiaTheme="minorEastAsia" w:hAnsi="Times New Roman"/>
          <w:b/>
          <w:bCs/>
          <w:sz w:val="22"/>
          <w:lang w:val="bg-BG" w:eastAsia="bg-BG"/>
        </w:rPr>
        <w:t xml:space="preserve"> с предназначение: друг вид производствена, складова, инфраструктурна сграда </w:t>
      </w:r>
    </w:p>
    <w:p w14:paraId="4E196F11" w14:textId="77777777" w:rsidR="00E21053" w:rsidRPr="00805152" w:rsidRDefault="00E21053" w:rsidP="0021547C">
      <w:pPr>
        <w:numPr>
          <w:ilvl w:val="0"/>
          <w:numId w:val="63"/>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07079.618.1079.10 </w:t>
      </w:r>
      <w:r w:rsidRPr="00805152">
        <w:rPr>
          <w:rFonts w:ascii="Times New Roman" w:eastAsiaTheme="minorEastAsia" w:hAnsi="Times New Roman"/>
          <w:sz w:val="22"/>
          <w:lang w:val="bg-BG" w:eastAsia="bg-BG"/>
        </w:rPr>
        <w:t xml:space="preserve">със застроена площ 17 кв.м. на един етаж, </w:t>
      </w:r>
      <w:r w:rsidRPr="00805152">
        <w:rPr>
          <w:rFonts w:ascii="Times New Roman" w:eastAsiaTheme="minorEastAsia" w:hAnsi="Times New Roman"/>
          <w:b/>
          <w:bCs/>
          <w:sz w:val="22"/>
          <w:lang w:val="bg-BG" w:eastAsia="bg-BG"/>
        </w:rPr>
        <w:t>с предназначение: друг вид производствена, складова, инфраструктурна сграда</w:t>
      </w:r>
    </w:p>
    <w:p w14:paraId="40C6C381" w14:textId="77777777" w:rsidR="00E21053" w:rsidRPr="00805152" w:rsidRDefault="00E21053" w:rsidP="0021547C">
      <w:pPr>
        <w:numPr>
          <w:ilvl w:val="0"/>
          <w:numId w:val="63"/>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07079.618.1079.11 </w:t>
      </w:r>
      <w:r w:rsidRPr="00805152">
        <w:rPr>
          <w:rFonts w:ascii="Times New Roman" w:eastAsiaTheme="minorEastAsia" w:hAnsi="Times New Roman"/>
          <w:sz w:val="22"/>
          <w:lang w:val="bg-BG" w:eastAsia="bg-BG"/>
        </w:rPr>
        <w:t>със застроена площ 146 кв.м., на един етаж,</w:t>
      </w:r>
      <w:r w:rsidRPr="00805152">
        <w:rPr>
          <w:rFonts w:ascii="Times New Roman" w:eastAsiaTheme="minorEastAsia" w:hAnsi="Times New Roman"/>
          <w:b/>
          <w:bCs/>
          <w:sz w:val="22"/>
          <w:lang w:val="bg-BG" w:eastAsia="bg-BG"/>
        </w:rPr>
        <w:t xml:space="preserve"> с предназначение: друг вид производствена, складова, инфраструктурна сграда и </w:t>
      </w:r>
    </w:p>
    <w:p w14:paraId="24470E05" w14:textId="77777777" w:rsidR="00E21053" w:rsidRPr="00805152" w:rsidRDefault="00E21053" w:rsidP="0021547C">
      <w:pPr>
        <w:numPr>
          <w:ilvl w:val="0"/>
          <w:numId w:val="63"/>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07079.618.1079.12 </w:t>
      </w:r>
      <w:r w:rsidRPr="00805152">
        <w:rPr>
          <w:rFonts w:ascii="Times New Roman" w:eastAsiaTheme="minorEastAsia" w:hAnsi="Times New Roman"/>
          <w:sz w:val="22"/>
          <w:lang w:val="bg-BG" w:eastAsia="bg-BG"/>
        </w:rPr>
        <w:t xml:space="preserve">със застроена площ 8 кв.м., на един етаж, </w:t>
      </w:r>
      <w:r w:rsidRPr="00805152">
        <w:rPr>
          <w:rFonts w:ascii="Times New Roman" w:eastAsiaTheme="minorEastAsia" w:hAnsi="Times New Roman"/>
          <w:b/>
          <w:bCs/>
          <w:sz w:val="22"/>
          <w:lang w:val="bg-BG" w:eastAsia="bg-BG"/>
        </w:rPr>
        <w:t xml:space="preserve">с предназначение: друг вид производствена, складова, инфраструктурна сграда </w:t>
      </w:r>
    </w:p>
    <w:p w14:paraId="54F1ADB5" w14:textId="77777777" w:rsidR="00E21053" w:rsidRPr="00805152" w:rsidRDefault="00E21053" w:rsidP="000C5C5A">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За последните четири сгради в КРРИ липсват данни за собствеността на същите и за други вещни права на ползване. Тези сгради не са заведени като активи на ДППИ. Допускаме, че  посочените по-горе сгради (последните четири), за които липсват данни за собственост или други вещни права, са </w:t>
      </w:r>
      <w:r w:rsidRPr="00805152">
        <w:rPr>
          <w:rFonts w:ascii="Times New Roman" w:eastAsiaTheme="minorEastAsia" w:hAnsi="Times New Roman"/>
          <w:sz w:val="22"/>
          <w:lang w:val="bg-BG" w:eastAsia="bg-BG"/>
        </w:rPr>
        <w:lastRenderedPageBreak/>
        <w:t xml:space="preserve">пристройки към основните сгради, като стифадорни, или помощни сгради, а  една от сградите,  тази с идентификатор - 07079.618.1079.9  е сграда, части от която са собственост на други юридически („Врита“ ООД). Общоизвестен факт е, че посочената сграда с идентификатор 07079.618.1079.9 в миналото е била част от т. нар. Рибна борса, изградена и функционирала на това място, построена върху държавна земя. Допуска се, че в сградата са обособени самостоятелни обекти – част от тях – частна собственост – на „Врита“ ООД и на физически лица, а друга част – публична държавна собственост, предадена за управление на ДППИ, а също така - предоставени за ползване на пристанищния оператор „Пристанище Бургас“ ЕАД. </w:t>
      </w:r>
    </w:p>
    <w:p w14:paraId="56A1D511" w14:textId="77777777" w:rsidR="00E21053" w:rsidRPr="00805152" w:rsidRDefault="00E21053" w:rsidP="0021547C">
      <w:pPr>
        <w:numPr>
          <w:ilvl w:val="0"/>
          <w:numId w:val="52"/>
        </w:numPr>
        <w:overflowPunct w:val="0"/>
        <w:autoSpaceDE w:val="0"/>
        <w:autoSpaceDN w:val="0"/>
        <w:adjustRightInd w:val="0"/>
        <w:spacing w:before="240" w:after="60" w:line="240" w:lineRule="auto"/>
        <w:ind w:left="851" w:right="1134" w:firstLine="0"/>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07079.618.1021</w:t>
      </w:r>
      <w:r w:rsidRPr="00805152">
        <w:rPr>
          <w:rFonts w:ascii="Times New Roman" w:eastAsia="Times New Roman" w:hAnsi="Times New Roman"/>
          <w:b/>
          <w:bCs/>
          <w:iCs/>
          <w:sz w:val="22"/>
          <w:lang w:val="bg-BG" w:eastAsia="de-DE"/>
        </w:rPr>
        <w:t xml:space="preserve"> </w:t>
      </w:r>
    </w:p>
    <w:p w14:paraId="1977BEA0" w14:textId="77777777" w:rsidR="00E21053" w:rsidRPr="00805152" w:rsidRDefault="00E21053" w:rsidP="00E21053">
      <w:pPr>
        <w:spacing w:after="0" w:line="240" w:lineRule="auto"/>
        <w:rPr>
          <w:rFonts w:ascii="Times New Roman" w:eastAsiaTheme="minorEastAsia" w:hAnsi="Times New Roman"/>
          <w:sz w:val="22"/>
          <w:lang w:val="bg-BG" w:eastAsia="bg-BG"/>
        </w:rPr>
      </w:pPr>
    </w:p>
    <w:p w14:paraId="21D8C49D"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За имота има съставен Акт за публична държавна собственост № 6968 от 25.10.2013 г.</w:t>
      </w:r>
      <w:r w:rsidRPr="00805152">
        <w:rPr>
          <w:rFonts w:ascii="Times New Roman" w:eastAsiaTheme="minorEastAsia" w:hAnsi="Times New Roman"/>
          <w:i/>
          <w:sz w:val="22"/>
          <w:lang w:val="bg-BG" w:eastAsia="bg-BG"/>
        </w:rPr>
        <w:t>,</w:t>
      </w:r>
      <w:r w:rsidRPr="00805152">
        <w:rPr>
          <w:rFonts w:ascii="Times New Roman" w:eastAsiaTheme="minorEastAsia" w:hAnsi="Times New Roman"/>
          <w:sz w:val="22"/>
          <w:lang w:val="bg-BG" w:eastAsia="bg-BG"/>
        </w:rPr>
        <w:t xml:space="preserve"> съгласно който имотът се състои от 5 592 кв.м. площ, с трайно предназначение на територията – територия на транспорта, начин на трайно ползване – за пристанище. Правото на управление на имота е предоставено на ДППИ. Имотът попада в тази част на Пристанищен терминал „Бургас – Изток 1“, която е в непосредствена близост до Марина Порт Бургас. </w:t>
      </w:r>
    </w:p>
    <w:p w14:paraId="13FB6F43"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ПИ 07079.618.1021 граничи със следните ПИ: 07079.618.22, 07079.618.1020, 07079.618.1025, 07079.618.136, 07079.618.137, 07079.618.133, 07079.618.134, 07079.618.1026</w:t>
      </w:r>
    </w:p>
    <w:p w14:paraId="2FE827F8" w14:textId="77777777" w:rsidR="00E21053" w:rsidRPr="00805152" w:rsidRDefault="00E21053" w:rsidP="00891DC0">
      <w:pPr>
        <w:spacing w:after="0" w:line="360" w:lineRule="auto"/>
        <w:ind w:firstLine="630"/>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Анализът се базира на:</w:t>
      </w:r>
    </w:p>
    <w:p w14:paraId="78522BA2" w14:textId="77777777" w:rsidR="00E21053" w:rsidRPr="00805152" w:rsidRDefault="00E21053" w:rsidP="0021547C">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Регистър на ДМА – Земя и сгради, представен от ДППИ;</w:t>
      </w:r>
    </w:p>
    <w:p w14:paraId="0360DE31" w14:textId="77777777" w:rsidR="00E21053" w:rsidRPr="00805152" w:rsidRDefault="00E21053" w:rsidP="0021547C">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Акт за държавна собственост № 11 537 от 31.05.1995 г., издаден на основание чл. 77, ал. 1 от Наредбата за държавните имоти, на името на „Пристанище Бургас” ЕООД за терени и сгради по приложени скица и справка опис, представляващи Терен на пристанище Бургас и складова база „Лозово” и сгради, находящи се на Пристанище – Изток, пристанище – Запад, Пристанище „Насипни товари” и сгради - складова база „Лозово” - северна промишлена зона. Смятаме, че това е Актът за държавна собственост, на базата на който са определени имотите – публична държавна собственост, намиращи се на територията на пристанище Бургас.</w:t>
      </w:r>
    </w:p>
    <w:p w14:paraId="3657D517" w14:textId="45633FBE" w:rsidR="00E21053" w:rsidRPr="00B306B3" w:rsidRDefault="00E21053" w:rsidP="00B306B3">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Копия от кадастралната карта с данни от КРНИ – електронни извадки от сайта на АГКК.</w:t>
      </w:r>
    </w:p>
    <w:p w14:paraId="6296985D" w14:textId="77777777" w:rsidR="00E21053" w:rsidRPr="00805152" w:rsidRDefault="00E21053" w:rsidP="00891DC0">
      <w:pPr>
        <w:spacing w:after="0" w:line="360" w:lineRule="auto"/>
        <w:ind w:left="11"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Това са сградите с идентификатори :</w:t>
      </w:r>
    </w:p>
    <w:p w14:paraId="46600CCA" w14:textId="3FD2F93C" w:rsidR="00E21053" w:rsidRPr="00805152" w:rsidRDefault="00E21053" w:rsidP="0021547C">
      <w:pPr>
        <w:numPr>
          <w:ilvl w:val="0"/>
          <w:numId w:val="64"/>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07079.618.1021.2 – Зарядна за ел.</w:t>
      </w:r>
      <w:r w:rsidR="00B842D5" w:rsidRPr="00805152">
        <w:rPr>
          <w:rFonts w:ascii="Times New Roman" w:eastAsiaTheme="minorEastAsia" w:hAnsi="Times New Roman"/>
          <w:b/>
          <w:bCs/>
          <w:sz w:val="22"/>
          <w:lang w:val="bg-BG" w:eastAsia="bg-BG"/>
        </w:rPr>
        <w:t xml:space="preserve"> </w:t>
      </w:r>
      <w:r w:rsidRPr="00805152">
        <w:rPr>
          <w:rFonts w:ascii="Times New Roman" w:eastAsiaTheme="minorEastAsia" w:hAnsi="Times New Roman"/>
          <w:b/>
          <w:bCs/>
          <w:sz w:val="22"/>
          <w:lang w:val="bg-BG" w:eastAsia="bg-BG"/>
        </w:rPr>
        <w:t xml:space="preserve">погрузи, </w:t>
      </w:r>
      <w:r w:rsidRPr="00805152">
        <w:rPr>
          <w:rFonts w:ascii="Times New Roman" w:eastAsiaTheme="minorEastAsia" w:hAnsi="Times New Roman"/>
          <w:sz w:val="22"/>
          <w:lang w:val="bg-BG" w:eastAsia="bg-BG"/>
        </w:rPr>
        <w:t>с площ от 216 кв.м., на един етаж, с предназначение: друг вид производствена, складова, инфраструктурна сграда;</w:t>
      </w:r>
    </w:p>
    <w:p w14:paraId="6DD77586" w14:textId="77777777" w:rsidR="00E21053" w:rsidRPr="00805152" w:rsidRDefault="00E21053" w:rsidP="0021547C">
      <w:pPr>
        <w:numPr>
          <w:ilvl w:val="0"/>
          <w:numId w:val="64"/>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lastRenderedPageBreak/>
        <w:t>07079.618.1021.3 – Административна сграда – Ремонтна работилница и Гараж Пристанище Изток</w:t>
      </w:r>
      <w:r w:rsidRPr="00805152">
        <w:rPr>
          <w:rFonts w:ascii="Times New Roman" w:eastAsiaTheme="minorEastAsia" w:hAnsi="Times New Roman"/>
          <w:sz w:val="22"/>
          <w:lang w:val="bg-BG" w:eastAsia="bg-BG"/>
        </w:rPr>
        <w:t>, със застроена площ от 1 250 кв.м. на един етаж, с предназначение: административна, делова сграда;</w:t>
      </w:r>
    </w:p>
    <w:p w14:paraId="7DC49534" w14:textId="77777777" w:rsidR="00E21053" w:rsidRPr="00805152" w:rsidRDefault="00E21053" w:rsidP="0021547C">
      <w:pPr>
        <w:numPr>
          <w:ilvl w:val="0"/>
          <w:numId w:val="64"/>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07079.618.1021.5 – </w:t>
      </w:r>
      <w:r w:rsidRPr="00805152">
        <w:rPr>
          <w:rFonts w:ascii="Times New Roman" w:eastAsiaTheme="minorEastAsia" w:hAnsi="Times New Roman"/>
          <w:sz w:val="22"/>
          <w:lang w:val="bg-BG" w:eastAsia="bg-BG"/>
        </w:rPr>
        <w:t>Сграда Кулата с площ от 23 кв.м., на един етаж, с предназначение: сграда за битови услуги,</w:t>
      </w:r>
    </w:p>
    <w:p w14:paraId="799CF216"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които три сгради са заведени като активи на ДППИ, както и сградите с идентификатори:</w:t>
      </w:r>
    </w:p>
    <w:p w14:paraId="15001C1F" w14:textId="77777777" w:rsidR="00E21053" w:rsidRPr="00805152" w:rsidRDefault="00E21053" w:rsidP="0021547C">
      <w:pPr>
        <w:numPr>
          <w:ilvl w:val="0"/>
          <w:numId w:val="64"/>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07079.618.1021.1, </w:t>
      </w:r>
      <w:r w:rsidRPr="00805152">
        <w:rPr>
          <w:rFonts w:ascii="Times New Roman" w:eastAsiaTheme="minorEastAsia" w:hAnsi="Times New Roman"/>
          <w:sz w:val="22"/>
          <w:lang w:val="bg-BG" w:eastAsia="bg-BG"/>
        </w:rPr>
        <w:t>с площ от 66 кв.м. на един етаж, с предназначение: друг вид производствена, складова, инфраструктурна сграда, държавна собственост, предадена за ползване на ДППИ;</w:t>
      </w:r>
    </w:p>
    <w:p w14:paraId="40439AEB" w14:textId="77777777" w:rsidR="00E21053" w:rsidRPr="00805152" w:rsidRDefault="00E21053" w:rsidP="0021547C">
      <w:pPr>
        <w:numPr>
          <w:ilvl w:val="0"/>
          <w:numId w:val="64"/>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07079.618.1021.4</w:t>
      </w:r>
      <w:r w:rsidRPr="00805152">
        <w:rPr>
          <w:rFonts w:ascii="Times New Roman" w:eastAsiaTheme="minorEastAsia" w:hAnsi="Times New Roman"/>
          <w:sz w:val="22"/>
          <w:lang w:val="bg-BG" w:eastAsia="bg-BG"/>
        </w:rPr>
        <w:t>, със застроена плот от 44 кв.м., на един етаж, с предназначение: друг вид производствена, складова, инфраструктурна сграда. Съгласно копие от кадастрална карта с данни от КРНИ – електронна извадка от сайта на АГКК сградата е държавна собственост, предадена за ползване на ДППИ.</w:t>
      </w:r>
    </w:p>
    <w:p w14:paraId="7C9AF20C" w14:textId="77777777" w:rsidR="00E21053" w:rsidRPr="00805152" w:rsidRDefault="00E21053" w:rsidP="00891DC0">
      <w:pPr>
        <w:spacing w:after="0" w:line="360" w:lineRule="auto"/>
        <w:rPr>
          <w:rFonts w:ascii="Times New Roman" w:eastAsiaTheme="minorEastAsia" w:hAnsi="Times New Roman"/>
          <w:i/>
          <w:sz w:val="22"/>
          <w:lang w:val="bg-BG" w:eastAsia="bg-BG"/>
        </w:rPr>
      </w:pPr>
      <w:r w:rsidRPr="00805152">
        <w:rPr>
          <w:rFonts w:ascii="Times New Roman" w:eastAsiaTheme="minorEastAsia" w:hAnsi="Times New Roman"/>
          <w:i/>
          <w:sz w:val="22"/>
          <w:lang w:val="bg-BG" w:eastAsia="bg-BG"/>
        </w:rPr>
        <w:t>(Данните за сградите са взети от копия на кадастрална карта с данни от КРНИ – електронна извадка от сайта на АГКК).</w:t>
      </w:r>
    </w:p>
    <w:p w14:paraId="5F44BDE7"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Последните две сгради (по букви „г“ и „д“) не са заведени като активи на ДППИ.</w:t>
      </w:r>
    </w:p>
    <w:p w14:paraId="6B363762" w14:textId="77777777" w:rsidR="00E21053" w:rsidRPr="00805152" w:rsidRDefault="00E21053" w:rsidP="00891DC0">
      <w:pPr>
        <w:spacing w:after="0" w:line="360" w:lineRule="auto"/>
        <w:ind w:firstLine="709"/>
        <w:rPr>
          <w:rFonts w:ascii="Times New Roman" w:hAnsi="Times New Roman"/>
          <w:bCs/>
          <w:iCs/>
          <w:sz w:val="22"/>
          <w:lang w:val="bg-BG" w:eastAsia="bg-BG"/>
        </w:rPr>
      </w:pPr>
      <w:r w:rsidRPr="00805152">
        <w:rPr>
          <w:rFonts w:ascii="Times New Roman" w:eastAsiaTheme="minorEastAsia" w:hAnsi="Times New Roman"/>
          <w:sz w:val="22"/>
          <w:lang w:val="bg-BG" w:eastAsia="bg-BG"/>
        </w:rPr>
        <w:t xml:space="preserve">Сградите по букви „а“, „б“ и „в“ са отразени в АДС № 11 537 от 31.05.1995 г. (издаден на „Пристанище Бургас“ ЕАД). Анализаторите не разполагат с актове за собственост за сгради по букви „г“ и „д“. Въз основа на посочените копия от кадастралната карта допускаме, че посочените сгради (от „а“ до „д“) са обекти публична държавна собственост, предоставени за управление на ДППИ. </w:t>
      </w:r>
    </w:p>
    <w:p w14:paraId="4B526A2D" w14:textId="77777777" w:rsidR="00E21053" w:rsidRPr="00805152" w:rsidRDefault="00E21053" w:rsidP="0021547C">
      <w:pPr>
        <w:numPr>
          <w:ilvl w:val="0"/>
          <w:numId w:val="52"/>
        </w:numPr>
        <w:overflowPunct w:val="0"/>
        <w:autoSpaceDE w:val="0"/>
        <w:autoSpaceDN w:val="0"/>
        <w:adjustRightInd w:val="0"/>
        <w:spacing w:before="240" w:after="60" w:line="240" w:lineRule="auto"/>
        <w:ind w:left="851" w:right="1134" w:firstLine="0"/>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07079.618.1025</w:t>
      </w:r>
      <w:r w:rsidRPr="00805152">
        <w:rPr>
          <w:rFonts w:ascii="Times New Roman" w:eastAsia="Times New Roman" w:hAnsi="Times New Roman"/>
          <w:b/>
          <w:bCs/>
          <w:iCs/>
          <w:sz w:val="22"/>
          <w:lang w:val="bg-BG" w:eastAsia="de-DE"/>
        </w:rPr>
        <w:t xml:space="preserve"> </w:t>
      </w:r>
    </w:p>
    <w:p w14:paraId="33C00CA0" w14:textId="77777777" w:rsidR="00E21053" w:rsidRPr="00805152" w:rsidRDefault="00E21053" w:rsidP="00E21053">
      <w:pPr>
        <w:spacing w:after="0" w:line="240" w:lineRule="auto"/>
        <w:rPr>
          <w:rFonts w:ascii="Times New Roman" w:eastAsiaTheme="minorEastAsia" w:hAnsi="Times New Roman"/>
          <w:sz w:val="22"/>
          <w:lang w:val="bg-BG" w:eastAsia="bg-BG"/>
        </w:rPr>
      </w:pPr>
    </w:p>
    <w:p w14:paraId="69B12C84"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За имота има съставен Акт за публична държавна собственост № 6969 от 25.10.2013 г.</w:t>
      </w:r>
      <w:r w:rsidRPr="00805152">
        <w:rPr>
          <w:rFonts w:ascii="Times New Roman" w:eastAsiaTheme="minorEastAsia" w:hAnsi="Times New Roman"/>
          <w:i/>
          <w:sz w:val="22"/>
          <w:lang w:val="bg-BG" w:eastAsia="bg-BG"/>
        </w:rPr>
        <w:t>,</w:t>
      </w:r>
      <w:r w:rsidRPr="00805152">
        <w:rPr>
          <w:rFonts w:ascii="Times New Roman" w:eastAsiaTheme="minorEastAsia" w:hAnsi="Times New Roman"/>
          <w:sz w:val="22"/>
          <w:lang w:val="bg-BG" w:eastAsia="bg-BG"/>
        </w:rPr>
        <w:t xml:space="preserve"> съгласно който имотът е с площ от 984 кв.м., с трайно предназначение на територията – територия на транспорта, начин на трайно ползване – за второстепенна улица. Правото на управление на имота е предоставено на ДППИ. </w:t>
      </w:r>
    </w:p>
    <w:p w14:paraId="4D05AE5A"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Имотът попада в тази част на Пристанищен терминал „Бургас – Изток 1“, която е в непосредствена близост до Марина Порт Бургас. Улицата е „вътрешна“ за територията на терминала и представлява връзка между производствени сгради и халета. </w:t>
      </w:r>
    </w:p>
    <w:p w14:paraId="6DFE89D6"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Поземленият имот граничи със следните ПИ: 07079.618.22, 07079.618.1020, 07079.618.1019 - според АПДС, а според представената скица, по-скоро тази, приложена към АПДС, № 15-384939-10.08.2017 г., съседните имоти са: ПИ 07079.618.22, 07079.618.1020, 07079.618.1019, 07079.618.1026.07079.618.1021.</w:t>
      </w:r>
    </w:p>
    <w:p w14:paraId="58FABA19" w14:textId="77777777" w:rsidR="00E21053" w:rsidRPr="00805152" w:rsidRDefault="00E21053" w:rsidP="0021547C">
      <w:pPr>
        <w:numPr>
          <w:ilvl w:val="0"/>
          <w:numId w:val="52"/>
        </w:numPr>
        <w:overflowPunct w:val="0"/>
        <w:autoSpaceDE w:val="0"/>
        <w:autoSpaceDN w:val="0"/>
        <w:adjustRightInd w:val="0"/>
        <w:spacing w:before="240" w:after="60" w:line="240" w:lineRule="auto"/>
        <w:ind w:left="851" w:right="1134" w:firstLine="0"/>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lastRenderedPageBreak/>
        <w:t>ПИ № 07079.618.1020</w:t>
      </w:r>
      <w:r w:rsidRPr="00805152">
        <w:rPr>
          <w:rFonts w:ascii="Times New Roman" w:eastAsia="Times New Roman" w:hAnsi="Times New Roman"/>
          <w:b/>
          <w:bCs/>
          <w:iCs/>
          <w:sz w:val="22"/>
          <w:lang w:val="bg-BG" w:eastAsia="de-DE"/>
        </w:rPr>
        <w:t xml:space="preserve">  </w:t>
      </w:r>
    </w:p>
    <w:p w14:paraId="25C22587" w14:textId="77777777" w:rsidR="00E21053" w:rsidRPr="00805152" w:rsidRDefault="00E21053" w:rsidP="00E21053">
      <w:pPr>
        <w:spacing w:after="0" w:line="240" w:lineRule="auto"/>
        <w:rPr>
          <w:rFonts w:ascii="Times New Roman" w:eastAsiaTheme="minorEastAsia" w:hAnsi="Times New Roman"/>
          <w:sz w:val="22"/>
          <w:lang w:val="bg-BG" w:eastAsia="bg-BG"/>
        </w:rPr>
      </w:pPr>
    </w:p>
    <w:p w14:paraId="24267AB8"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За имота има съставен Акт за публична държавна собственост № 6967 от 25.10.2013 г., съгласно който имотът се състои от 3 202 кв.м. площ, с трайно предназначение на територията – урбанизирана, начин на трайно ползване – за друг обществен обект. Правото на управление на имота е предоставено на ДППИ. Имотът попада в тази част на Пристанищен терминал „Бургас – Изток 1“, която е в непосредствена близост до Марина Порт Бургас. </w:t>
      </w:r>
    </w:p>
    <w:p w14:paraId="733EB40A"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Поземленият имот граничи със следните ПИ: 07079.618.22, 07079.618.1019, 07079.618.1025, 07079.618.1021, 07079.618.131, 07079.618.28, 07079.618.27, 07079.618.1017, 07079.618.1016, 07079.618.19.</w:t>
      </w:r>
    </w:p>
    <w:p w14:paraId="478DE39C" w14:textId="77777777" w:rsidR="00E21053"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Въпреки, че в АПДС № 6967 от 25.10.2013 г. е отразено, че имотът е застроен със сгради, предмет на допълнително актуване. Общоизвестен факт е, че в имота се намира сграда – бивша Магазия № 2 – Тютюнева магазия. От копие на кадастрална карта с данни от КРНИ – електронна извадка от сайта на АГКК е видно, че в имота се намира сграда – собственост на „Селино“ ЕООД, като се посочва Нотариален акт № 164, том 39, рег. 13351, дело 7033 от 10.09.2015 г. Това е Сграда с идентификатор 07079.618.1020.1, частна собственост, брой етажи 6, застроена площ 2844 кв.м., построена върху имот публична държавна собственост.</w:t>
      </w:r>
    </w:p>
    <w:p w14:paraId="2961BACE" w14:textId="77777777" w:rsidR="00E21053" w:rsidRPr="00805152" w:rsidRDefault="00E21053" w:rsidP="0021547C">
      <w:pPr>
        <w:numPr>
          <w:ilvl w:val="0"/>
          <w:numId w:val="52"/>
        </w:numPr>
        <w:overflowPunct w:val="0"/>
        <w:autoSpaceDE w:val="0"/>
        <w:autoSpaceDN w:val="0"/>
        <w:adjustRightInd w:val="0"/>
        <w:spacing w:before="240" w:after="60" w:line="240" w:lineRule="auto"/>
        <w:ind w:left="851" w:right="1134" w:firstLine="0"/>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07079.618.1019</w:t>
      </w:r>
      <w:r w:rsidRPr="00805152">
        <w:rPr>
          <w:rFonts w:ascii="Times New Roman" w:eastAsia="Times New Roman" w:hAnsi="Times New Roman"/>
          <w:b/>
          <w:bCs/>
          <w:iCs/>
          <w:sz w:val="22"/>
          <w:lang w:val="bg-BG" w:eastAsia="de-DE"/>
        </w:rPr>
        <w:t xml:space="preserve"> </w:t>
      </w:r>
    </w:p>
    <w:p w14:paraId="2548303A" w14:textId="77777777" w:rsidR="00E21053" w:rsidRPr="00805152" w:rsidRDefault="00E21053" w:rsidP="00E21053">
      <w:pPr>
        <w:spacing w:after="0" w:line="240" w:lineRule="auto"/>
        <w:rPr>
          <w:rFonts w:ascii="Times New Roman" w:eastAsiaTheme="minorEastAsia" w:hAnsi="Times New Roman"/>
          <w:bCs/>
          <w:sz w:val="22"/>
          <w:lang w:val="bg-BG" w:eastAsia="bg-BG"/>
        </w:rPr>
      </w:pPr>
    </w:p>
    <w:p w14:paraId="5D6EEE2C"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За имота има съставен АПДС № 9446 от 27.05.2019 г.</w:t>
      </w:r>
      <w:r w:rsidRPr="00805152">
        <w:rPr>
          <w:rFonts w:ascii="Times New Roman" w:eastAsiaTheme="minorEastAsia" w:hAnsi="Times New Roman"/>
          <w:bCs/>
          <w:i/>
          <w:sz w:val="22"/>
          <w:lang w:val="bg-BG" w:eastAsia="bg-BG"/>
        </w:rPr>
        <w:t>,</w:t>
      </w:r>
      <w:r w:rsidRPr="00805152">
        <w:rPr>
          <w:rFonts w:ascii="Times New Roman" w:eastAsiaTheme="minorEastAsia" w:hAnsi="Times New Roman"/>
          <w:bCs/>
          <w:sz w:val="22"/>
          <w:lang w:val="bg-BG" w:eastAsia="bg-BG"/>
        </w:rPr>
        <w:t xml:space="preserve"> съгласно който имотът е с площ от 70 539 кв.м., с трайно предназначение на територията: територия на транспорта, начин н трайно ползване: за пристанище, застроен. Правото на управление на имота е предоставено на ДППИ.</w:t>
      </w:r>
    </w:p>
    <w:p w14:paraId="03B3E44E"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bCs/>
          <w:sz w:val="22"/>
          <w:lang w:val="bg-BG" w:eastAsia="bg-BG"/>
        </w:rPr>
        <w:t xml:space="preserve">Границите на имота, видно от същия АПДС са:  </w:t>
      </w:r>
      <w:r w:rsidRPr="00805152">
        <w:rPr>
          <w:rFonts w:ascii="Times New Roman" w:eastAsiaTheme="minorEastAsia" w:hAnsi="Times New Roman"/>
          <w:sz w:val="22"/>
          <w:lang w:val="bg-BG" w:eastAsia="bg-BG"/>
        </w:rPr>
        <w:t>ПИ 07079.618.1020, ПИ 07079.618.1023, ПИ 07079.618.1025, ПИ 07079.618.1026, ПИ 07079.618.1081, ПИ 07079.618.1084, ПИ 07079.618.133, ПИ 07079.618.134, ПИ 07079.618.136, ПИ 07079.618.137, ПИ 07079.618.141, ПИ 07079.618.143.</w:t>
      </w:r>
    </w:p>
    <w:p w14:paraId="274A4168"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sz w:val="22"/>
          <w:lang w:val="bg-BG" w:eastAsia="bg-BG"/>
        </w:rPr>
        <w:t>В имота се намират следните сгради:</w:t>
      </w:r>
    </w:p>
    <w:p w14:paraId="66BBE7AE"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07079.618.1019.9 – Магазия 1, </w:t>
      </w:r>
      <w:r w:rsidRPr="00805152">
        <w:rPr>
          <w:rFonts w:ascii="Times New Roman" w:eastAsiaTheme="minorEastAsia" w:hAnsi="Times New Roman"/>
          <w:sz w:val="22"/>
          <w:lang w:val="bg-BG" w:eastAsia="bg-BG"/>
        </w:rPr>
        <w:t>за която е издаден АПДС № 8076 от 14.08.2017 г. Сградата е със застроена площ 2 838 кв.м., масивна конструкция, на два етажа, с предназначение: друг вид обществена сграда, състояща се от тринадесет броя самостоятелни обекти (актувани в посочения АДС), а именно:</w:t>
      </w:r>
    </w:p>
    <w:p w14:paraId="51B3E131"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07079.618.1019.9.1 (обект М-1)</w:t>
      </w:r>
      <w:r w:rsidRPr="00805152">
        <w:rPr>
          <w:rFonts w:ascii="Times New Roman" w:eastAsiaTheme="minorEastAsia" w:hAnsi="Times New Roman"/>
          <w:sz w:val="22"/>
          <w:lang w:val="bg-BG" w:eastAsia="bg-BG"/>
        </w:rPr>
        <w:t xml:space="preserve"> на първи етаж със застроена площ 55 кв.м., ведно с 1,48% ид. части от общите части на сградата и правото на </w:t>
      </w:r>
      <w:r w:rsidRPr="00805152">
        <w:rPr>
          <w:rFonts w:ascii="Times New Roman" w:eastAsiaTheme="minorEastAsia" w:hAnsi="Times New Roman"/>
          <w:sz w:val="22"/>
          <w:lang w:val="bg-BG" w:eastAsia="bg-BG"/>
        </w:rPr>
        <w:lastRenderedPageBreak/>
        <w:t>строеж, с предназначение: за търговска дейност, при граници: на същия етаж: 07079.618.1019.9.7, 07079.618.1019.9.2, под обекта: няма, над обекта: 07079.618.1019.9.12;</w:t>
      </w:r>
    </w:p>
    <w:p w14:paraId="7CD2EC9D"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07079.618.1019.9.2 (обект М-2)</w:t>
      </w:r>
      <w:r w:rsidRPr="00805152">
        <w:rPr>
          <w:rFonts w:ascii="Times New Roman" w:eastAsiaTheme="minorEastAsia" w:hAnsi="Times New Roman"/>
          <w:sz w:val="22"/>
          <w:lang w:val="bg-BG" w:eastAsia="bg-BG"/>
        </w:rPr>
        <w:t xml:space="preserve"> на първи етаж със застроена площ 46,12 кв.м., ведно с 1,37% ид. части от общите части на сградата и правото на строеж, с предназначение: за търговска дейност, при граници: на същия етаж: 07079.618.1019.9.7, 07079.618.1019.9.3, 07079.618.1019.9.1, под обекта: няма, над обекта: 07079.618.1019.9.12;</w:t>
      </w:r>
    </w:p>
    <w:p w14:paraId="42CC3EBE"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07079.618.1019.9.3 (обект М-3)</w:t>
      </w:r>
      <w:r w:rsidRPr="00805152">
        <w:rPr>
          <w:rFonts w:ascii="Times New Roman" w:eastAsiaTheme="minorEastAsia" w:hAnsi="Times New Roman"/>
          <w:sz w:val="22"/>
          <w:lang w:val="bg-BG" w:eastAsia="bg-BG"/>
        </w:rPr>
        <w:t xml:space="preserve"> на първи етаж със застроена площ 46,13 кв.м., ведно с 1,37% ид. части от общите части на сградата и правото на строеж, с предназначение: за търговска дейност, при граници: на същия етаж: 07079.618.1019.9.7, 07079.618.1019.9.4, 07079.618.1019.9.2, под обекта: няма, над обекта: 07079.618.1019.9.12;</w:t>
      </w:r>
    </w:p>
    <w:p w14:paraId="308FD4AB"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07079.618.1019.9.4 (обект М-4)</w:t>
      </w:r>
      <w:r w:rsidRPr="00805152">
        <w:rPr>
          <w:rFonts w:ascii="Times New Roman" w:eastAsiaTheme="minorEastAsia" w:hAnsi="Times New Roman"/>
          <w:sz w:val="22"/>
          <w:lang w:val="bg-BG" w:eastAsia="bg-BG"/>
        </w:rPr>
        <w:t xml:space="preserve"> на първи етаж със застроена площ 46,13 кв.м., ведно с 1,37% ид. части от общите части на сградата и правото на строеж, с предназначение: за търговска дейност, при граници: на същия етаж: 07079.618.1019.9.7, 07079.618.1019.9.5, 07079.618.1019.9.3, под обекта: няма, над обекта: 07079.618.1019.9.12;</w:t>
      </w:r>
    </w:p>
    <w:p w14:paraId="18DE6F34"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07079.618.1019.9.5 (обект М-5)</w:t>
      </w:r>
      <w:r w:rsidRPr="00805152">
        <w:rPr>
          <w:rFonts w:ascii="Times New Roman" w:eastAsiaTheme="minorEastAsia" w:hAnsi="Times New Roman"/>
          <w:sz w:val="22"/>
          <w:lang w:val="bg-BG" w:eastAsia="bg-BG"/>
        </w:rPr>
        <w:t xml:space="preserve"> на първи етаж със застроена площ 56,63 кв.м., ведно с 1,68% ид. части от общите части на сградата и правото на строеж, с предназначение: за търговска дейност, при граници: на същия етаж: 07079.618.1019.9.7, 07079.618.1019.9.4, под обекта: няма, над обекта: 07079.618.1019.9.12;</w:t>
      </w:r>
    </w:p>
    <w:p w14:paraId="285CD185"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07079.618.1019.9.6 (обект М-6)</w:t>
      </w:r>
      <w:r w:rsidRPr="00805152">
        <w:rPr>
          <w:rFonts w:ascii="Times New Roman" w:eastAsiaTheme="minorEastAsia" w:hAnsi="Times New Roman"/>
          <w:sz w:val="22"/>
          <w:lang w:val="bg-BG" w:eastAsia="bg-BG"/>
        </w:rPr>
        <w:t xml:space="preserve"> на първи етаж със застроена площ 49,80 кв.м., ведно с 1,47% ид. части от общите части на сградата и правото на строеж, с предназначение: за търговска дейност, при граници: на същия етаж: 07079.618.1019.9.8, 07079.618.1019.9.13, под обекта: няма, над обекта: 07079.618.1019.9.12;</w:t>
      </w:r>
    </w:p>
    <w:p w14:paraId="0BDE9491"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07079.618.1019.9.7 (обект Е-3)</w:t>
      </w:r>
      <w:r w:rsidRPr="00805152">
        <w:rPr>
          <w:rFonts w:ascii="Times New Roman" w:eastAsiaTheme="minorEastAsia" w:hAnsi="Times New Roman"/>
          <w:sz w:val="22"/>
          <w:lang w:val="bg-BG" w:eastAsia="bg-BG"/>
        </w:rPr>
        <w:t xml:space="preserve"> на първи етаж със застроена площ 521 кв.м., ведно с 15,42% ид. части от общите части на сградата и правото на строеж, с предназначение: за обществено хранене, при граници: на същия етаж: 07079.618.1019.9.8, 07079.618.1019.9.5, 07079.618.1019.9.4, 07079.618.1019.9.3, 07079.618.1019.9.2, 07079.618.1019.9.1, под обекта: няма, над обекта: 07079.618.1019.9.12;</w:t>
      </w:r>
    </w:p>
    <w:p w14:paraId="74F62975"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07079.618.1019.9.8 (обект Е-2)</w:t>
      </w:r>
      <w:r w:rsidRPr="00805152">
        <w:rPr>
          <w:rFonts w:ascii="Times New Roman" w:eastAsiaTheme="minorEastAsia" w:hAnsi="Times New Roman"/>
          <w:sz w:val="22"/>
          <w:lang w:val="bg-BG" w:eastAsia="bg-BG"/>
        </w:rPr>
        <w:t xml:space="preserve"> на първи етаж със застроена площ 336,70 кв.м., ведно с 9,97% ид. части от общите части на сградата и правото </w:t>
      </w:r>
      <w:r w:rsidRPr="00805152">
        <w:rPr>
          <w:rFonts w:ascii="Times New Roman" w:eastAsiaTheme="minorEastAsia" w:hAnsi="Times New Roman"/>
          <w:sz w:val="22"/>
          <w:lang w:val="bg-BG" w:eastAsia="bg-BG"/>
        </w:rPr>
        <w:lastRenderedPageBreak/>
        <w:t>на строеж, с предназначение: за обществено хранене, при граници: на същия етаж: 07079.618.1019.9.9, 07079.618.1019.9.13, 07079.618.1019.9.6, 07079.618.1019.9.7, под обекта: няма, над обекта: 07079.618.1019.9.12;</w:t>
      </w:r>
    </w:p>
    <w:p w14:paraId="22A162D8"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 xml:space="preserve">07079.618.1019.9.9 (обект Е-1) </w:t>
      </w:r>
      <w:r w:rsidRPr="00805152">
        <w:rPr>
          <w:rFonts w:ascii="Times New Roman" w:eastAsiaTheme="minorEastAsia" w:hAnsi="Times New Roman"/>
          <w:sz w:val="22"/>
          <w:lang w:val="bg-BG" w:eastAsia="bg-BG"/>
        </w:rPr>
        <w:t>на първи етаж със застроена площ 200,00 кв.м., ведно с 5,92% ид. части от общите части на сградата и правото на строеж, с предназначение: за обществено хранене, при граници: на същия етаж: 07079.618.1019.9.8, под обекта: няма, над обекта: 07079.618.1019.9.12;</w:t>
      </w:r>
    </w:p>
    <w:p w14:paraId="2459BD54"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07079.618.1019.9.10</w:t>
      </w:r>
      <w:r w:rsidRPr="00805152">
        <w:rPr>
          <w:rFonts w:ascii="Times New Roman" w:eastAsiaTheme="minorEastAsia" w:hAnsi="Times New Roman"/>
          <w:sz w:val="22"/>
          <w:lang w:val="bg-BG" w:eastAsia="bg-BG"/>
        </w:rPr>
        <w:t xml:space="preserve"> на първи етаж със застроена площ 849,20 кв.м., ведно с 25,14% ид. части от общите части на сградата и правото на строеж, с предназначение: за обществено хранене, при граници: на същия етаж: 07079.618.1019.9.11, под обекта: няма, над обекта: 07079.618.1019.9.12;</w:t>
      </w:r>
    </w:p>
    <w:p w14:paraId="21C11696"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07079.618.1019.9.11</w:t>
      </w:r>
      <w:r w:rsidRPr="00805152">
        <w:rPr>
          <w:rFonts w:ascii="Times New Roman" w:eastAsiaTheme="minorEastAsia" w:hAnsi="Times New Roman"/>
          <w:sz w:val="22"/>
          <w:lang w:val="bg-BG" w:eastAsia="bg-BG"/>
        </w:rPr>
        <w:t xml:space="preserve"> на първи етаж със застроена площ 65,08 кв.м., ведно с 1,93% ид. части от общите части на сградата и правото на строеж, с предназначение: инфраструктурен обект в сграда, при граници: на същия етаж: 07079.618.1019.9.10, под обекта: няма, над обекта: няма;</w:t>
      </w:r>
    </w:p>
    <w:p w14:paraId="078C2E85"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07079.618.1019.9.13</w:t>
      </w:r>
      <w:r w:rsidRPr="00805152">
        <w:rPr>
          <w:rFonts w:ascii="Times New Roman" w:eastAsiaTheme="minorEastAsia" w:hAnsi="Times New Roman"/>
          <w:sz w:val="22"/>
          <w:lang w:val="bg-BG" w:eastAsia="bg-BG"/>
        </w:rPr>
        <w:t xml:space="preserve"> на първи етаж със застроена площ 45,70 кв.м., ведно с 1,35% ид. части от общите части на сградата и правото на строеж, с предназначение: за търговска дейност, при граници: на същия етаж: 07079.618.1019.9.8, 07079.618.1019.9.6, под обекта: няма, над обекта: 07079.618.1019.9.12;</w:t>
      </w:r>
    </w:p>
    <w:p w14:paraId="27E1565F" w14:textId="77777777" w:rsidR="00E21053" w:rsidRPr="00805152" w:rsidRDefault="00E21053" w:rsidP="0021547C">
      <w:pPr>
        <w:numPr>
          <w:ilvl w:val="0"/>
          <w:numId w:val="57"/>
        </w:numPr>
        <w:spacing w:after="0" w:line="360" w:lineRule="auto"/>
        <w:ind w:left="993" w:hanging="284"/>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Самостоятелен обект с идентификатор </w:t>
      </w:r>
      <w:r w:rsidRPr="00805152">
        <w:rPr>
          <w:rFonts w:ascii="Times New Roman" w:eastAsiaTheme="minorEastAsia" w:hAnsi="Times New Roman"/>
          <w:b/>
          <w:bCs/>
          <w:sz w:val="22"/>
          <w:lang w:val="bg-BG" w:eastAsia="bg-BG"/>
        </w:rPr>
        <w:t xml:space="preserve">07079.618.1019.9.12 </w:t>
      </w:r>
      <w:r w:rsidRPr="00805152">
        <w:rPr>
          <w:rFonts w:ascii="Times New Roman" w:eastAsiaTheme="minorEastAsia" w:hAnsi="Times New Roman"/>
          <w:sz w:val="22"/>
          <w:lang w:val="bg-BG" w:eastAsia="bg-BG"/>
        </w:rPr>
        <w:t>на втори етаж със застроена площ 1065,15 кв.м., ведно с 31,54% ид. части от общите части на сградата и правото на строеж, с предназначение: за културна и обществена дейност, при граници: на същия етаж: няма, под обекта: 07079.618.1019.9.8, 07079.618.1019.9.9, 07079.618.1019.9.10, 07079.618.1019.9.13, 07079.618.1019.9.6, 07079.618.1019.9.4, 07079.618.1019.9.3, 07079.618.1019.9.5, 07079.618.1019.9.2, 07079.618.1019.9.1, 07079.618.1019.9.7., над обекта: няма. За този обект има издаден Акт за частна държавна собственост (АЧДС) № 9020 от 03.08.2018 г.</w:t>
      </w:r>
      <w:r w:rsidRPr="00805152">
        <w:rPr>
          <w:rFonts w:ascii="Times New Roman" w:eastAsiaTheme="minorEastAsia" w:hAnsi="Times New Roman"/>
          <w:i/>
          <w:sz w:val="22"/>
          <w:lang w:val="bg-BG" w:eastAsia="bg-BG"/>
        </w:rPr>
        <w:t>,</w:t>
      </w:r>
      <w:r w:rsidRPr="00805152">
        <w:rPr>
          <w:rFonts w:ascii="Times New Roman" w:eastAsiaTheme="minorEastAsia" w:hAnsi="Times New Roman"/>
          <w:sz w:val="22"/>
          <w:lang w:val="bg-BG" w:eastAsia="bg-BG"/>
        </w:rPr>
        <w:t xml:space="preserve"> издаден на основание Решение № 538/02.08.2018 г. на Министерски съвет за обявяване на част от имот публична държавна собственост, предоставен за управление на ДППИ, за имот частна държавна собственост. </w:t>
      </w:r>
    </w:p>
    <w:p w14:paraId="0ABB3AE1" w14:textId="77777777" w:rsidR="00E21053" w:rsidRDefault="00E21053" w:rsidP="00891DC0">
      <w:pPr>
        <w:spacing w:after="0" w:line="360" w:lineRule="auto"/>
        <w:rPr>
          <w:rFonts w:ascii="Times New Roman" w:eastAsiaTheme="minorEastAsia" w:hAnsi="Times New Roman"/>
          <w:bCs/>
          <w:sz w:val="22"/>
          <w:lang w:val="bg-BG" w:eastAsia="bg-BG"/>
        </w:rPr>
      </w:pPr>
    </w:p>
    <w:p w14:paraId="5AF1E64B" w14:textId="77777777" w:rsidR="00B306B3" w:rsidRPr="00805152" w:rsidRDefault="00B306B3" w:rsidP="00891DC0">
      <w:pPr>
        <w:spacing w:after="0" w:line="360" w:lineRule="auto"/>
        <w:rPr>
          <w:rFonts w:ascii="Times New Roman" w:eastAsiaTheme="minorEastAsia" w:hAnsi="Times New Roman"/>
          <w:bCs/>
          <w:sz w:val="22"/>
          <w:lang w:val="bg-BG" w:eastAsia="bg-BG"/>
        </w:rPr>
      </w:pPr>
    </w:p>
    <w:p w14:paraId="4BCE7E56"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lastRenderedPageBreak/>
        <w:t>Сграда с идентификатор 07079.618.1019.14 – Международна морска гара</w:t>
      </w:r>
      <w:r w:rsidRPr="00805152">
        <w:rPr>
          <w:rFonts w:ascii="Times New Roman" w:eastAsiaTheme="minorEastAsia" w:hAnsi="Times New Roman"/>
          <w:sz w:val="22"/>
          <w:lang w:val="bg-BG" w:eastAsia="bg-BG"/>
        </w:rPr>
        <w:t xml:space="preserve"> </w:t>
      </w:r>
      <w:r w:rsidRPr="00805152">
        <w:rPr>
          <w:rFonts w:ascii="Times New Roman" w:eastAsiaTheme="minorEastAsia" w:hAnsi="Times New Roman"/>
          <w:i/>
          <w:sz w:val="22"/>
          <w:lang w:val="bg-BG" w:eastAsia="bg-BG"/>
        </w:rPr>
        <w:t xml:space="preserve">(сега сградата е с </w:t>
      </w:r>
      <w:r w:rsidRPr="00805152">
        <w:rPr>
          <w:rFonts w:ascii="Times New Roman" w:eastAsiaTheme="minorEastAsia" w:hAnsi="Times New Roman"/>
          <w:bCs/>
          <w:i/>
          <w:sz w:val="22"/>
          <w:lang w:val="bg-BG" w:eastAsia="bg-BG"/>
        </w:rPr>
        <w:t xml:space="preserve">идентификатор </w:t>
      </w:r>
      <w:r w:rsidRPr="00805152">
        <w:rPr>
          <w:rFonts w:ascii="Times New Roman" w:eastAsiaTheme="minorEastAsia" w:hAnsi="Times New Roman"/>
          <w:b/>
          <w:bCs/>
          <w:i/>
          <w:sz w:val="22"/>
          <w:lang w:val="bg-BG" w:eastAsia="bg-BG"/>
        </w:rPr>
        <w:t>07079.618.1081.1</w:t>
      </w:r>
      <w:r w:rsidRPr="00805152">
        <w:rPr>
          <w:rFonts w:ascii="Times New Roman" w:eastAsiaTheme="minorEastAsia" w:hAnsi="Times New Roman"/>
          <w:bCs/>
          <w:i/>
          <w:sz w:val="22"/>
          <w:lang w:val="bg-BG" w:eastAsia="bg-BG"/>
        </w:rPr>
        <w:t>).</w:t>
      </w:r>
      <w:r w:rsidRPr="00805152">
        <w:rPr>
          <w:rFonts w:ascii="Times New Roman" w:eastAsiaTheme="minorEastAsia" w:hAnsi="Times New Roman"/>
          <w:bCs/>
          <w:sz w:val="22"/>
          <w:lang w:val="bg-BG" w:eastAsia="bg-BG"/>
        </w:rPr>
        <w:t xml:space="preserve"> </w:t>
      </w:r>
      <w:r w:rsidRPr="00805152">
        <w:rPr>
          <w:rFonts w:ascii="Times New Roman" w:eastAsiaTheme="minorEastAsia" w:hAnsi="Times New Roman"/>
          <w:sz w:val="22"/>
          <w:lang w:val="bg-BG" w:eastAsia="bg-BG"/>
        </w:rPr>
        <w:t>За сградата е издаден АПДС № 7133 от 28.03.2014 г. Сградата е с площ от 1 382 кв.м., на два етажа, стомано-бетонова конструкция, построена 2013 г., с предназначение: сграда на транспорта – Международна морска гара. Сградата е отразена в АДПС № 9446 от 27.05.2019 г., като сграда, находяща се в ПИ 07079.618.1081 с идентификатор 07079.618.1081.1. Същевременно има и обект с идентификатор 07079.618.1081.1.2 – Модул 2 Морска гара.</w:t>
      </w:r>
    </w:p>
    <w:p w14:paraId="4BD196B6"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07079.618.1019.16 – Сграда за Брегови център за управление и информационно обслужване на корабоплаването Бургас</w:t>
      </w:r>
      <w:r w:rsidRPr="00805152">
        <w:rPr>
          <w:rFonts w:ascii="Times New Roman" w:eastAsiaTheme="minorEastAsia" w:hAnsi="Times New Roman"/>
          <w:sz w:val="22"/>
          <w:lang w:val="bg-BG" w:eastAsia="bg-BG"/>
        </w:rPr>
        <w:t xml:space="preserve">. За сградата е издаден АПДС № 7556 от 13.11.2015 г. Сградата е със застроена площ от 228 кв.м., масивна, на четири етажа, построена 2014 г., с предназначение: сграда на транспорта. Сградата е предоставена за управление на ДППИ. </w:t>
      </w:r>
    </w:p>
    <w:p w14:paraId="428FAC6B"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07079.618.1019.17 – Хале ветроходен център Пилотска станция, </w:t>
      </w:r>
      <w:r w:rsidRPr="00805152">
        <w:rPr>
          <w:rFonts w:ascii="Times New Roman" w:eastAsiaTheme="minorEastAsia" w:hAnsi="Times New Roman"/>
          <w:sz w:val="22"/>
          <w:lang w:val="bg-BG" w:eastAsia="bg-BG"/>
        </w:rPr>
        <w:t>със застроена площ от 197 кв.м., масивна конструкция, на два етажа, с предназначение: административна делова сграда, състояща се от два броя самостоятелни обекти:</w:t>
      </w:r>
    </w:p>
    <w:p w14:paraId="1CD658B8" w14:textId="77777777" w:rsidR="00E21053" w:rsidRPr="00805152" w:rsidRDefault="00E21053" w:rsidP="0021547C">
      <w:pPr>
        <w:numPr>
          <w:ilvl w:val="0"/>
          <w:numId w:val="58"/>
        </w:numPr>
        <w:spacing w:after="0" w:line="360" w:lineRule="auto"/>
        <w:ind w:left="993" w:hanging="284"/>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Самостоятелен обект с идентификатор 07079.618.1019.17.1 със застроена площ от 192,94 кв.м., на две нива, с предназначение: за делова и административна дейност, при граници: ниво 1: на същия етаж: 07079.618.1019.17.2, под обекта: няма, над обекта: няма; ниво 2: на същия етаж: 07079.618.1019.17.2, под обекта: няма, над обекта: няма.</w:t>
      </w:r>
    </w:p>
    <w:p w14:paraId="66164822" w14:textId="77777777" w:rsidR="00E21053" w:rsidRPr="00805152" w:rsidRDefault="00E21053" w:rsidP="0021547C">
      <w:pPr>
        <w:numPr>
          <w:ilvl w:val="0"/>
          <w:numId w:val="58"/>
        </w:numPr>
        <w:spacing w:after="0" w:line="360" w:lineRule="auto"/>
        <w:ind w:left="993" w:hanging="284"/>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Самостоятелен обект с идентификатор 07079.618.1019.17.2, със застроена площ от 200,16 кв.м., на две нива, с предназначение: за делова и административна дейност, при граници: ниво 1: на същия етаж: 07079.618.1019.17.1, под обекта: няма, над обекта: няма; ниво 2: на същия етаж: 07079.618.1019.17.1, под обекта: няма, над обекта: няма.</w:t>
      </w:r>
    </w:p>
    <w:p w14:paraId="708434EE" w14:textId="72379192" w:rsidR="00E21053" w:rsidRPr="000C3144" w:rsidRDefault="00E21053" w:rsidP="000C3144">
      <w:pPr>
        <w:spacing w:after="0" w:line="360" w:lineRule="auto"/>
        <w:ind w:firstLine="709"/>
        <w:rPr>
          <w:rFonts w:ascii="Times New Roman" w:eastAsiaTheme="minorEastAsia" w:hAnsi="Times New Roman"/>
          <w:b/>
          <w:sz w:val="22"/>
          <w:lang w:val="bg-BG" w:eastAsia="bg-BG"/>
        </w:rPr>
      </w:pPr>
      <w:r w:rsidRPr="00805152">
        <w:rPr>
          <w:rFonts w:ascii="Times New Roman" w:eastAsiaTheme="minorEastAsia" w:hAnsi="Times New Roman"/>
          <w:sz w:val="22"/>
          <w:lang w:val="bg-BG" w:eastAsia="bg-BG"/>
        </w:rPr>
        <w:t xml:space="preserve">За сграда с идентификатор 07079.618.1019.17 е издаден АДС № 8001 от 01.08.2017 г. </w:t>
      </w:r>
    </w:p>
    <w:p w14:paraId="1AEF8DC4" w14:textId="77777777" w:rsidR="00E21053" w:rsidRPr="00805152" w:rsidRDefault="00E21053" w:rsidP="00891DC0">
      <w:pPr>
        <w:spacing w:after="0" w:line="360" w:lineRule="auto"/>
        <w:ind w:firstLine="630"/>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 имот с идентификатор 07079.618.1019  са налице и други сгради, за които обследването се базира на:</w:t>
      </w:r>
    </w:p>
    <w:p w14:paraId="731E630E" w14:textId="77777777" w:rsidR="00E21053" w:rsidRPr="00805152" w:rsidRDefault="00E21053" w:rsidP="0021547C">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Регистър на ДМА, представен от ДППИ;</w:t>
      </w:r>
    </w:p>
    <w:p w14:paraId="6FCAFB88" w14:textId="46905C01" w:rsidR="00E21053" w:rsidRPr="00805152" w:rsidRDefault="00E21053" w:rsidP="0021547C">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 xml:space="preserve">Акт за държавна собственост № 11 537 от 31.05.1995 г., издаден на основание чл. 77, ал. 1 от Наредбата за държавните имоти, на името на „Пристанище Бургас” ЕООД за терени и сгради по приложени скица и справка опис, представляващи Терен на пристанище Бургас и складова база „Лозово” и сгради, находящи се на Пристанище – Изток, пристанище – Запад, Пристанище „Насипни товари” и сгради - складова база „Лозово” - северна промишлена зона. Анализаторите </w:t>
      </w:r>
      <w:r w:rsidRPr="00805152">
        <w:rPr>
          <w:rFonts w:ascii="Times New Roman" w:eastAsiaTheme="minorEastAsia" w:hAnsi="Times New Roman"/>
          <w:bCs/>
          <w:sz w:val="22"/>
          <w:lang w:val="bg-BG" w:eastAsia="bg-BG"/>
        </w:rPr>
        <w:lastRenderedPageBreak/>
        <w:t>считат, че това е актът за държавна собственост, на базата на който са определени имотите – публична държавна собственост, намиращи се на територията на пристанище за обществен транспорт Бургас;</w:t>
      </w:r>
    </w:p>
    <w:p w14:paraId="1809265D" w14:textId="0EDE573A" w:rsidR="000C3144" w:rsidRPr="00B306B3" w:rsidRDefault="00E21053" w:rsidP="00B306B3">
      <w:pPr>
        <w:numPr>
          <w:ilvl w:val="0"/>
          <w:numId w:val="56"/>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Копия от кадастралната карта с данни от КРНИ – електронни извадки от сайта на АГКК</w:t>
      </w:r>
    </w:p>
    <w:p w14:paraId="59D94888" w14:textId="579C08C4"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Такива сгради са:</w:t>
      </w:r>
    </w:p>
    <w:p w14:paraId="7FC06231"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07079.618.1019.10 – Трафопост № 1, Навигационен фар, </w:t>
      </w:r>
      <w:r w:rsidRPr="00805152">
        <w:rPr>
          <w:rFonts w:ascii="Times New Roman" w:eastAsiaTheme="minorEastAsia" w:hAnsi="Times New Roman"/>
          <w:sz w:val="22"/>
          <w:lang w:val="bg-BG" w:eastAsia="bg-BG"/>
        </w:rPr>
        <w:t xml:space="preserve">със застроена площ от 52 кв.м., на един етаж, предназначение: сграда за енергопроизводство.  Сградата е включена в инвентаризационните описи на ДППИ (Регистър на ДМА). </w:t>
      </w:r>
    </w:p>
    <w:p w14:paraId="1283FB5F"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07079.618.1019.11</w:t>
      </w:r>
      <w:r w:rsidRPr="00805152">
        <w:rPr>
          <w:rFonts w:ascii="Times New Roman" w:eastAsiaTheme="minorEastAsia" w:hAnsi="Times New Roman"/>
          <w:sz w:val="22"/>
          <w:lang w:val="bg-BG" w:eastAsia="bg-BG"/>
        </w:rPr>
        <w:t xml:space="preserve">, със застроена площ от 105 кв.м., на един етаж, с предназначение: друг вид производствена, складова, инфраструктурна сграда. </w:t>
      </w:r>
    </w:p>
    <w:p w14:paraId="6C4F31DE" w14:textId="77777777" w:rsidR="00E21053" w:rsidRPr="00805152"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07079.618.1019.12 – Яхт клуб Нова сграда</w:t>
      </w:r>
      <w:r w:rsidRPr="00805152">
        <w:rPr>
          <w:rFonts w:ascii="Times New Roman" w:eastAsiaTheme="minorEastAsia" w:hAnsi="Times New Roman"/>
          <w:sz w:val="22"/>
          <w:lang w:val="bg-BG" w:eastAsia="bg-BG"/>
        </w:rPr>
        <w:t xml:space="preserve">, със застроена площ 154 кв.м., на един етаж, с предназначение: друг вид производствена, складова, инфраструктурна сграда. Съгласно копие от кадастрална карта с данни от КРНИ – електронна извадка от сайта на АГКК за сградата не са известни собственици или носители на други вещни права. Понастоящем сградата се използва по предназначение като яхт-клуб, като същата, а вероятно и сградата по б. „з“, се ползва от няколко различни сдружения с нестопанска цел, извършващи своята тренировъчна дейност в прилежащата акватория. Сградата е заведена като актив на ДППИ (Регистър на ДМА). </w:t>
      </w:r>
    </w:p>
    <w:p w14:paraId="353900FE" w14:textId="77777777" w:rsidR="00E21053" w:rsidRPr="00805152" w:rsidRDefault="00E21053" w:rsidP="0021547C">
      <w:pPr>
        <w:numPr>
          <w:ilvl w:val="0"/>
          <w:numId w:val="65"/>
        </w:numPr>
        <w:spacing w:after="0" w:line="360" w:lineRule="auto"/>
        <w:contextualSpacing/>
        <w:rPr>
          <w:rFonts w:ascii="Times New Roman" w:eastAsiaTheme="minorEastAsia" w:hAnsi="Times New Roman"/>
          <w:b/>
          <w:bCs/>
          <w:color w:val="002060"/>
          <w:sz w:val="22"/>
          <w:lang w:val="bg-BG" w:eastAsia="bg-BG"/>
        </w:rPr>
      </w:pPr>
      <w:r w:rsidRPr="00805152">
        <w:rPr>
          <w:rFonts w:ascii="Times New Roman" w:eastAsiaTheme="minorEastAsia" w:hAnsi="Times New Roman"/>
          <w:b/>
          <w:bCs/>
          <w:sz w:val="22"/>
          <w:lang w:val="bg-BG" w:eastAsia="bg-BG"/>
        </w:rPr>
        <w:t>Сграда с идентификатор 07079.618.1019.15 – Хале яхт-клуб (07079.618.1019.15.1),Хале яхт-клуб ІІ (07079.618.1019.15.2) и Хале работилници (07079.618.1019.15.3</w:t>
      </w:r>
      <w:r w:rsidRPr="00805152">
        <w:rPr>
          <w:rFonts w:ascii="Times New Roman" w:eastAsiaTheme="minorEastAsia" w:hAnsi="Times New Roman"/>
          <w:b/>
          <w:sz w:val="22"/>
          <w:lang w:val="bg-BG" w:eastAsia="bg-BG"/>
        </w:rPr>
        <w:t xml:space="preserve">), със застроена обща площ 679 кв.м., на един етаж, с предназначение: спортна сграда, база. Съгласно копие от кадастрална карта с данни от КРНИ – електронна извадка от сайта на АГКК няма данни за собственици и за носители на други вещни права. </w:t>
      </w:r>
    </w:p>
    <w:p w14:paraId="66E7E71D" w14:textId="77777777" w:rsidR="00E21053" w:rsidRPr="00805152" w:rsidRDefault="00E21053" w:rsidP="005C5BB4">
      <w:pPr>
        <w:spacing w:after="0" w:line="360" w:lineRule="auto"/>
        <w:ind w:left="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В копието от кадастрална карта с данни от КРНИ – електронна извадка за целия ПИ от сайта на АГКК е отразена още една сграда:</w:t>
      </w:r>
    </w:p>
    <w:p w14:paraId="699A3161" w14:textId="77777777" w:rsidR="00E21053" w:rsidRDefault="00E21053" w:rsidP="0021547C">
      <w:pPr>
        <w:numPr>
          <w:ilvl w:val="0"/>
          <w:numId w:val="65"/>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07079.618.1019.18 </w:t>
      </w:r>
      <w:r w:rsidRPr="00805152">
        <w:rPr>
          <w:rFonts w:ascii="Times New Roman" w:eastAsiaTheme="minorEastAsia" w:hAnsi="Times New Roman"/>
          <w:sz w:val="22"/>
          <w:lang w:val="bg-BG" w:eastAsia="bg-BG"/>
        </w:rPr>
        <w:t xml:space="preserve">със застроена площ 1 700 кв.м., на 5 етажа, с предназначение: друг вид обществена сграда. Видно от копието на кадастрална карта с данни от КРНИ – електронна извадка от сайта на АГКК, сградата е собственост на държавата чрез ДППИ.  Тази сграда е т. нар. Конгресен център. </w:t>
      </w:r>
    </w:p>
    <w:p w14:paraId="5A950F24" w14:textId="77777777" w:rsidR="00B306B3" w:rsidRDefault="00B306B3" w:rsidP="00B306B3">
      <w:pPr>
        <w:spacing w:after="0" w:line="360" w:lineRule="auto"/>
        <w:contextualSpacing/>
        <w:rPr>
          <w:rFonts w:ascii="Times New Roman" w:eastAsiaTheme="minorEastAsia" w:hAnsi="Times New Roman"/>
          <w:sz w:val="22"/>
          <w:lang w:val="bg-BG" w:eastAsia="bg-BG"/>
        </w:rPr>
      </w:pPr>
    </w:p>
    <w:p w14:paraId="05F4A0F3" w14:textId="77777777" w:rsidR="00B306B3" w:rsidRPr="00805152" w:rsidRDefault="00B306B3" w:rsidP="00B306B3">
      <w:pPr>
        <w:spacing w:after="0" w:line="360" w:lineRule="auto"/>
        <w:contextualSpacing/>
        <w:rPr>
          <w:rFonts w:ascii="Times New Roman" w:eastAsiaTheme="minorEastAsia" w:hAnsi="Times New Roman"/>
          <w:sz w:val="22"/>
          <w:lang w:val="bg-BG" w:eastAsia="bg-BG"/>
        </w:rPr>
      </w:pPr>
    </w:p>
    <w:p w14:paraId="5B653B04" w14:textId="77777777" w:rsidR="00E21053" w:rsidRPr="00805152" w:rsidRDefault="00E21053" w:rsidP="0021547C">
      <w:pPr>
        <w:numPr>
          <w:ilvl w:val="0"/>
          <w:numId w:val="52"/>
        </w:numPr>
        <w:overflowPunct w:val="0"/>
        <w:autoSpaceDE w:val="0"/>
        <w:autoSpaceDN w:val="0"/>
        <w:adjustRightInd w:val="0"/>
        <w:spacing w:before="240" w:after="60" w:line="240" w:lineRule="auto"/>
        <w:ind w:left="851" w:right="1134" w:firstLine="0"/>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lastRenderedPageBreak/>
        <w:t>ПИ № 07079.618.1081</w:t>
      </w:r>
    </w:p>
    <w:p w14:paraId="5595EE0E" w14:textId="77777777" w:rsidR="00E21053" w:rsidRPr="00805152" w:rsidRDefault="00E21053" w:rsidP="00E21053">
      <w:pPr>
        <w:spacing w:after="0" w:line="240" w:lineRule="auto"/>
        <w:rPr>
          <w:rFonts w:ascii="Times New Roman" w:eastAsiaTheme="minorEastAsia" w:hAnsi="Times New Roman"/>
          <w:sz w:val="22"/>
          <w:lang w:val="bg-BG" w:eastAsia="de-DE"/>
        </w:rPr>
      </w:pPr>
    </w:p>
    <w:p w14:paraId="73DA749C"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За имота има съставен АПДС № 9445 от 27.05.2019 г., съгласно който имотът е с площ 9 317 кв.м., с трайно предназначение на територията: територия на транспорта, начин на трайно ползване: за пристанище, застроен. Правото на управление на имота е предоставено на ДППИ.</w:t>
      </w:r>
    </w:p>
    <w:p w14:paraId="1EB88999" w14:textId="77777777" w:rsidR="00E21053" w:rsidRPr="00805152" w:rsidRDefault="00E21053" w:rsidP="00891DC0">
      <w:pPr>
        <w:spacing w:after="0" w:line="360" w:lineRule="auto"/>
        <w:ind w:firstLine="709"/>
        <w:rPr>
          <w:rFonts w:ascii="Times New Roman" w:hAnsi="Times New Roman"/>
          <w:sz w:val="22"/>
          <w:lang w:val="bg-BG"/>
        </w:rPr>
      </w:pPr>
      <w:r w:rsidRPr="00805152">
        <w:rPr>
          <w:rFonts w:ascii="Times New Roman" w:eastAsiaTheme="minorEastAsia" w:hAnsi="Times New Roman"/>
          <w:bCs/>
          <w:sz w:val="22"/>
          <w:lang w:val="bg-BG" w:eastAsia="bg-BG"/>
        </w:rPr>
        <w:t xml:space="preserve">Границите на имота, видно от същия АПДС са:  </w:t>
      </w:r>
      <w:r w:rsidRPr="00805152">
        <w:rPr>
          <w:rFonts w:ascii="Times New Roman" w:eastAsiaTheme="minorEastAsia" w:hAnsi="Times New Roman"/>
          <w:sz w:val="22"/>
          <w:lang w:val="bg-BG" w:eastAsia="bg-BG"/>
        </w:rPr>
        <w:t>ПИ 07079.618.1019.</w:t>
      </w:r>
      <w:r w:rsidRPr="00805152">
        <w:rPr>
          <w:rFonts w:ascii="Times New Roman" w:hAnsi="Times New Roman"/>
          <w:sz w:val="22"/>
          <w:lang w:val="bg-BG"/>
        </w:rPr>
        <w:t xml:space="preserve"> </w:t>
      </w:r>
    </w:p>
    <w:p w14:paraId="28836F0D"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sz w:val="22"/>
          <w:lang w:val="bg-BG" w:eastAsia="bg-BG"/>
        </w:rPr>
        <w:t xml:space="preserve">В имота се намира </w:t>
      </w:r>
      <w:r w:rsidRPr="00805152">
        <w:rPr>
          <w:rFonts w:ascii="Times New Roman" w:eastAsiaTheme="minorEastAsia" w:hAnsi="Times New Roman"/>
          <w:b/>
          <w:bCs/>
          <w:sz w:val="22"/>
          <w:lang w:val="bg-BG" w:eastAsia="bg-BG"/>
        </w:rPr>
        <w:t>сграда с идентификатор 07079.618.1081.1 – Международна морска гара,</w:t>
      </w:r>
      <w:r w:rsidRPr="00805152">
        <w:rPr>
          <w:rFonts w:ascii="Times New Roman" w:eastAsiaTheme="minorEastAsia" w:hAnsi="Times New Roman"/>
          <w:sz w:val="22"/>
          <w:lang w:val="bg-BG" w:eastAsia="bg-BG"/>
        </w:rPr>
        <w:t xml:space="preserve"> със застроена площ 1 382 кв.м., на два етажа, с предназначение: сграда на транспорта. По-горе в настоящия анализ анализаторите представиха констатациите си за тази сграда (със стар  идентификатор 07079.618.1019.14).   Видно от копия на кадастрална карта с данни от КРНИ- електронни извадки от сайта на АГКК, в сградата с идентификатор 07079-618.1081.1 са обособени следните самостоятелни обекти, предоставени за управление на ДППИ. Самостоятелен обект с идентификатор 07079.618.1081.1.1 – на първи етаж, с площ 1 576,43 кв.м., с предназначение: сграда на транспорта, и самостоятелен обект с идентификатор 07079.618.1081.1.2 – Модул 2 Морска гара, на ет. 1, с площ 733,07 кв.м., с предназначение: сграда на транспорта, за обществено хранене. </w:t>
      </w:r>
    </w:p>
    <w:p w14:paraId="55480F9A" w14:textId="77777777" w:rsidR="00E21053" w:rsidRPr="00805152" w:rsidRDefault="00E21053" w:rsidP="0021547C">
      <w:pPr>
        <w:numPr>
          <w:ilvl w:val="0"/>
          <w:numId w:val="52"/>
        </w:numPr>
        <w:overflowPunct w:val="0"/>
        <w:autoSpaceDE w:val="0"/>
        <w:autoSpaceDN w:val="0"/>
        <w:adjustRightInd w:val="0"/>
        <w:spacing w:before="240" w:after="60" w:line="240" w:lineRule="auto"/>
        <w:ind w:left="360" w:right="1134" w:firstLine="349"/>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07079.618.1084</w:t>
      </w:r>
    </w:p>
    <w:p w14:paraId="488B6488" w14:textId="77777777" w:rsidR="00E21053" w:rsidRPr="00805152" w:rsidRDefault="00E21053" w:rsidP="00E21053">
      <w:pPr>
        <w:tabs>
          <w:tab w:val="left" w:pos="2685"/>
        </w:tabs>
        <w:spacing w:after="0" w:line="240" w:lineRule="auto"/>
        <w:rPr>
          <w:rFonts w:ascii="Times New Roman" w:eastAsiaTheme="minorEastAsia" w:hAnsi="Times New Roman"/>
          <w:sz w:val="22"/>
          <w:lang w:val="bg-BG" w:eastAsia="bg-BG"/>
        </w:rPr>
      </w:pPr>
    </w:p>
    <w:p w14:paraId="269C8A3A"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За имота има съставен АПДС № 9648 от 01.10.2019 г.</w:t>
      </w:r>
      <w:r w:rsidRPr="00805152">
        <w:rPr>
          <w:rFonts w:ascii="Times New Roman" w:eastAsiaTheme="minorEastAsia" w:hAnsi="Times New Roman"/>
          <w:bCs/>
          <w:i/>
          <w:sz w:val="22"/>
          <w:lang w:val="bg-BG" w:eastAsia="bg-BG"/>
        </w:rPr>
        <w:t>,</w:t>
      </w:r>
      <w:r w:rsidRPr="00805152">
        <w:rPr>
          <w:rFonts w:ascii="Times New Roman" w:eastAsiaTheme="minorEastAsia" w:hAnsi="Times New Roman"/>
          <w:bCs/>
          <w:sz w:val="22"/>
          <w:lang w:val="bg-BG" w:eastAsia="bg-BG"/>
        </w:rPr>
        <w:t xml:space="preserve"> съгласно който имотът е с площ 48 853 кв.м., с трайно предназначение на територията: територия на транспорта, начин на трайно ползване: за пристанище, застроен. Правото на управление на имота е предоставено на ДППИ.</w:t>
      </w:r>
    </w:p>
    <w:p w14:paraId="5E6F9E39"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bCs/>
          <w:sz w:val="22"/>
          <w:lang w:val="bg-BG" w:eastAsia="bg-BG"/>
        </w:rPr>
        <w:t xml:space="preserve">Границите на имота, видно от същия АПДС са: </w:t>
      </w:r>
      <w:r w:rsidRPr="00805152">
        <w:rPr>
          <w:rFonts w:ascii="Times New Roman" w:eastAsiaTheme="minorEastAsia" w:hAnsi="Times New Roman"/>
          <w:sz w:val="22"/>
          <w:lang w:val="bg-BG" w:eastAsia="bg-BG"/>
        </w:rPr>
        <w:t>ПИ 07079.618.1019, ПИ 07079.618.1020, 07079.618.1021, 07079.618.1025, 07079.618.1083, 07079.618.131.</w:t>
      </w:r>
    </w:p>
    <w:p w14:paraId="7B15D1A9"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 имота се намират следните сгради, отразени в същия АПДС:</w:t>
      </w:r>
    </w:p>
    <w:p w14:paraId="0F194240" w14:textId="77777777" w:rsidR="00E21053" w:rsidRPr="00805152" w:rsidRDefault="00E21053" w:rsidP="0021547C">
      <w:pPr>
        <w:numPr>
          <w:ilvl w:val="0"/>
          <w:numId w:val="66"/>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07079.618.1084.3 </w:t>
      </w:r>
      <w:r w:rsidRPr="00805152">
        <w:rPr>
          <w:rFonts w:ascii="Times New Roman" w:eastAsiaTheme="minorEastAsia" w:hAnsi="Times New Roman"/>
          <w:sz w:val="22"/>
          <w:lang w:val="bg-BG" w:eastAsia="bg-BG"/>
        </w:rPr>
        <w:t xml:space="preserve">със застроена площ 1 121 кв.м., на четири етажа, масивна, с предназначение: административна, делова сграда. Установяваме, че това е т. нар. </w:t>
      </w:r>
      <w:r w:rsidRPr="00805152">
        <w:rPr>
          <w:rFonts w:ascii="Times New Roman" w:eastAsiaTheme="minorEastAsia" w:hAnsi="Times New Roman"/>
          <w:b/>
          <w:bCs/>
          <w:sz w:val="22"/>
          <w:lang w:val="bg-BG" w:eastAsia="bg-BG"/>
        </w:rPr>
        <w:t>сграда Кухня майка за 3000 души</w:t>
      </w:r>
      <w:r w:rsidRPr="00805152">
        <w:rPr>
          <w:rFonts w:ascii="Times New Roman" w:eastAsiaTheme="minorEastAsia" w:hAnsi="Times New Roman"/>
          <w:sz w:val="22"/>
          <w:lang w:val="bg-BG" w:eastAsia="bg-BG"/>
        </w:rPr>
        <w:t>, въпреки, че в АПДС като такава е посочена сграда с идентификатор 07079.618.1084.5. Считаме, че това отразяване е техническа грешка.</w:t>
      </w:r>
    </w:p>
    <w:p w14:paraId="570F3C7C"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07079.618.1084.5 – Магазия № 11, </w:t>
      </w:r>
      <w:r w:rsidRPr="00805152">
        <w:rPr>
          <w:rFonts w:ascii="Times New Roman" w:eastAsiaTheme="minorEastAsia" w:hAnsi="Times New Roman"/>
          <w:sz w:val="22"/>
          <w:lang w:val="bg-BG" w:eastAsia="bg-BG"/>
        </w:rPr>
        <w:t>със застроена площ 1 460 кв.м., на четири етажа, с предназначение: административна, делова сграда. Сградата се ползва за офиси на администрацията на пристанищния оператор „Пристанище Бургас“ ЕАД.</w:t>
      </w:r>
    </w:p>
    <w:p w14:paraId="7E903377" w14:textId="77777777" w:rsidR="00E21053" w:rsidRPr="00805152" w:rsidRDefault="00E21053" w:rsidP="0021547C">
      <w:pPr>
        <w:numPr>
          <w:ilvl w:val="0"/>
          <w:numId w:val="66"/>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lastRenderedPageBreak/>
        <w:t xml:space="preserve">Сграда с идентификатор 07079.618.1084.12 – Сграда трафопост № 3 – стар стол, </w:t>
      </w:r>
      <w:r w:rsidRPr="00805152">
        <w:rPr>
          <w:rFonts w:ascii="Times New Roman" w:eastAsiaTheme="minorEastAsia" w:hAnsi="Times New Roman"/>
          <w:sz w:val="22"/>
          <w:lang w:val="bg-BG" w:eastAsia="bg-BG"/>
        </w:rPr>
        <w:t>със застроена площ 218 кв.м., на един етаж, масивна, с предназначение: административна, делова сграда  (без да се ползва като такава)</w:t>
      </w:r>
    </w:p>
    <w:p w14:paraId="7D1354F0" w14:textId="77777777" w:rsidR="00E21053" w:rsidRPr="00805152" w:rsidRDefault="00E21053" w:rsidP="0021547C">
      <w:pPr>
        <w:numPr>
          <w:ilvl w:val="0"/>
          <w:numId w:val="66"/>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07079.618.1084.16 – КПП и главен вход администрация, </w:t>
      </w:r>
      <w:r w:rsidRPr="00805152">
        <w:rPr>
          <w:rFonts w:ascii="Times New Roman" w:eastAsiaTheme="minorEastAsia" w:hAnsi="Times New Roman"/>
          <w:sz w:val="22"/>
          <w:lang w:val="bg-BG" w:eastAsia="bg-BG"/>
        </w:rPr>
        <w:t>със застроена площ 105 кв.м., масивна, на един етаж, с предназначение: сграда за търговия. ползва се по предназначение за офиси и павилиони.</w:t>
      </w:r>
    </w:p>
    <w:p w14:paraId="69AE6D00"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07079.618.1084.15.1 – Административна сграда Червен салон </w:t>
      </w:r>
      <w:r w:rsidRPr="00805152">
        <w:rPr>
          <w:rFonts w:ascii="Times New Roman" w:eastAsiaTheme="minorEastAsia" w:hAnsi="Times New Roman"/>
          <w:sz w:val="22"/>
          <w:lang w:val="bg-BG" w:eastAsia="bg-BG"/>
        </w:rPr>
        <w:t>– Самостоятелен обект на етаж 1 (част от сграда, цялата на 3 етажа), със застроена площ 302,9 кв.м., на един етаж (обект 1), с предназначение: за делова и административна дейност, при граници и съседи на този обект – на същия етаж: няма, под обекта: няма, над обекта: 07079.618.1084.15.2. Видно от копия на кадастралната карта с данни от КРНИ – електронна извадка от сайта на АГКК, сградата е разделена на самостоятелни обекти, всеки от които на отделен етаж. Самостоятелен обект на първи етаж с идентификатор 07079.618.1084.15.1 е собственост на държавата чрез ДППИ. За останалите самостоятелни обекти – този на втори и този на трети етаж на сградата няма данни за собственост и друго вещно право.</w:t>
      </w:r>
    </w:p>
    <w:p w14:paraId="6FBBB740" w14:textId="6FEF8029" w:rsidR="00E21053" w:rsidRPr="00D400EB" w:rsidRDefault="00E21053" w:rsidP="00891DC0">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07079.618.1084.2.1 – Магазия № 6, </w:t>
      </w:r>
      <w:r w:rsidRPr="00805152">
        <w:rPr>
          <w:rFonts w:ascii="Times New Roman" w:eastAsiaTheme="minorEastAsia" w:hAnsi="Times New Roman"/>
          <w:sz w:val="22"/>
          <w:lang w:val="bg-BG" w:eastAsia="bg-BG"/>
        </w:rPr>
        <w:t>със застроена площ 4 590 кв.м., на един етаж на три нива, самостоятелен обект в сграда 07079.618-1984.2 цялата на 8 етажа (според копие от кадастрална карта с данни от КРНИ – електронна извадка от сайта на АГКК, с предназначение: за делова  административна дейност, при граници: на ниво 1 – на същия етаж: няма, под обекта: няма, над обекта: няма, на ниво 2 – на същия етаж: няма, под обекта: няма, над обекта: няма, на ниво 3 – на същия етаж: няма, под обекта: няма, над обекта: 07079.618.1084.2.2. Видно от цитираните извадки, цялата сграда е разделена на самостоятелни обекти, като обект 07079.618.1084.2.2. се намира на етаж 4 и е с площ 611, 50 кв.м. И двата самостоятелни обекта са част от сграда 07079.618.1084.2, и двата самостоятелни обекта са собственост на държавата чрез ДППИ. Самостоятелен обект 07079.618.1084.2.2 – Рейдова кула е съборен, поради отпаднало предназначение.</w:t>
      </w:r>
    </w:p>
    <w:p w14:paraId="0F720784" w14:textId="718F70E0"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Съгласно скица – приложение към посочения АПДС в имота се намират и следните сгради :</w:t>
      </w:r>
    </w:p>
    <w:p w14:paraId="249710C5"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 </w:t>
      </w:r>
      <w:r w:rsidRPr="00805152">
        <w:rPr>
          <w:rFonts w:ascii="Times New Roman" w:eastAsiaTheme="minorEastAsia" w:hAnsi="Times New Roman"/>
          <w:sz w:val="22"/>
          <w:lang w:val="bg-BG" w:eastAsia="bg-BG"/>
        </w:rPr>
        <w:t xml:space="preserve">със застроена площ 11 153 кв.м., на един етаж, с предназначение: складова база, склад. </w:t>
      </w:r>
      <w:r w:rsidRPr="00805152">
        <w:rPr>
          <w:rFonts w:ascii="Times New Roman" w:eastAsiaTheme="minorEastAsia" w:hAnsi="Times New Roman"/>
          <w:b/>
          <w:bCs/>
          <w:sz w:val="22"/>
          <w:lang w:val="bg-BG" w:eastAsia="bg-BG"/>
        </w:rPr>
        <w:t>Магазия № 7.</w:t>
      </w:r>
      <w:r w:rsidRPr="00805152">
        <w:rPr>
          <w:rFonts w:ascii="Times New Roman" w:eastAsiaTheme="minorEastAsia" w:hAnsi="Times New Roman"/>
          <w:sz w:val="22"/>
          <w:lang w:val="bg-BG" w:eastAsia="bg-BG"/>
        </w:rPr>
        <w:t xml:space="preserve"> В Регистъра на ДМА - земя и сгради,  на ДППИ, в който този обект е включен, е налице отбелязване, че сградата е отразена в Акт за частна държавна собственост № 9642 от 25.09.2019 г. </w:t>
      </w:r>
    </w:p>
    <w:p w14:paraId="526B29C9"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lastRenderedPageBreak/>
        <w:t xml:space="preserve">Сграда с идентификатор 07079.618.1084.4 </w:t>
      </w:r>
      <w:r w:rsidRPr="00805152">
        <w:rPr>
          <w:rFonts w:ascii="Times New Roman" w:eastAsiaTheme="minorEastAsia" w:hAnsi="Times New Roman"/>
          <w:sz w:val="22"/>
          <w:lang w:val="bg-BG" w:eastAsia="bg-BG"/>
        </w:rPr>
        <w:t xml:space="preserve"> със застроена площ 28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се ползва в оперативната дейност на пристанищния оператор „Пристанище Бургас“ ЕАД </w:t>
      </w:r>
      <w:r w:rsidRPr="00805152">
        <w:rPr>
          <w:rFonts w:ascii="Times New Roman" w:eastAsiaTheme="minorEastAsia" w:hAnsi="Times New Roman"/>
          <w:b/>
          <w:bCs/>
          <w:sz w:val="22"/>
          <w:lang w:val="bg-BG" w:eastAsia="bg-BG"/>
        </w:rPr>
        <w:t>– кантар</w:t>
      </w:r>
      <w:r w:rsidRPr="00805152">
        <w:rPr>
          <w:rFonts w:ascii="Times New Roman" w:eastAsiaTheme="minorEastAsia" w:hAnsi="Times New Roman"/>
          <w:sz w:val="22"/>
          <w:lang w:val="bg-BG" w:eastAsia="bg-BG"/>
        </w:rPr>
        <w:t xml:space="preserve">. Сградата не е заведена като актив на ДППИ (Регистър на ДМА). </w:t>
      </w:r>
    </w:p>
    <w:p w14:paraId="742EE426"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Сграда с идентификатор 07079.618.1084.6</w:t>
      </w:r>
      <w:r w:rsidRPr="00805152">
        <w:rPr>
          <w:rFonts w:ascii="Times New Roman" w:eastAsiaTheme="minorEastAsia" w:hAnsi="Times New Roman"/>
          <w:sz w:val="22"/>
          <w:lang w:val="bg-BG" w:eastAsia="bg-BG"/>
        </w:rPr>
        <w:t xml:space="preserve">, със застроена площ 429 кв.м., на четири етажа, с предназначение: административна, делова сграда. В копието от кадастралната карта с данни от КРНИ – електронна извадка от сайта на АГКК е записано, че сградата е собственост на държавата чрез ДППИ. На базата на анализ на фактическото положение се констатира, че това е сградата – </w:t>
      </w:r>
      <w:r w:rsidRPr="00805152">
        <w:rPr>
          <w:rFonts w:ascii="Times New Roman" w:eastAsiaTheme="minorEastAsia" w:hAnsi="Times New Roman"/>
          <w:b/>
          <w:bCs/>
          <w:sz w:val="22"/>
          <w:lang w:val="bg-BG" w:eastAsia="bg-BG"/>
        </w:rPr>
        <w:t>Битова сграда Изток – стар стол</w:t>
      </w:r>
      <w:r w:rsidRPr="00805152">
        <w:rPr>
          <w:rFonts w:ascii="Times New Roman" w:eastAsiaTheme="minorEastAsia" w:hAnsi="Times New Roman"/>
          <w:sz w:val="22"/>
          <w:lang w:val="bg-BG" w:eastAsia="bg-BG"/>
        </w:rPr>
        <w:t xml:space="preserve">. Сградата, обаче, не е заведена като актив на ДППИ (Регистър ДМА). </w:t>
      </w:r>
    </w:p>
    <w:p w14:paraId="45F387BB"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07079.618.1084.7 </w:t>
      </w:r>
      <w:r w:rsidRPr="00805152">
        <w:rPr>
          <w:rFonts w:ascii="Times New Roman" w:eastAsiaTheme="minorEastAsia" w:hAnsi="Times New Roman"/>
          <w:sz w:val="22"/>
          <w:lang w:val="bg-BG" w:eastAsia="bg-BG"/>
        </w:rPr>
        <w:t xml:space="preserve">със застроена площ 10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не е заведена като актив на ДППИ (Регистър ДМА). </w:t>
      </w:r>
    </w:p>
    <w:p w14:paraId="2AAAE993"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07079.618.1084.8 </w:t>
      </w:r>
      <w:r w:rsidRPr="00805152">
        <w:rPr>
          <w:rFonts w:ascii="Times New Roman" w:eastAsiaTheme="minorEastAsia" w:hAnsi="Times New Roman"/>
          <w:sz w:val="22"/>
          <w:lang w:val="bg-BG" w:eastAsia="bg-BG"/>
        </w:rPr>
        <w:t>със застроена площ 23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w:t>
      </w:r>
    </w:p>
    <w:p w14:paraId="79CF81AB" w14:textId="77777777" w:rsidR="00E21053" w:rsidRPr="00805152" w:rsidRDefault="00E21053" w:rsidP="00891DC0">
      <w:pPr>
        <w:spacing w:after="0" w:line="360" w:lineRule="auto"/>
        <w:ind w:left="720"/>
        <w:contextualSpacing/>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Сградата не е заведена като актив на ДППИ (Регистър ДМА). </w:t>
      </w:r>
    </w:p>
    <w:p w14:paraId="28AE7216"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07079.618.1084.9 </w:t>
      </w:r>
      <w:r w:rsidRPr="00805152">
        <w:rPr>
          <w:rFonts w:ascii="Times New Roman" w:eastAsiaTheme="minorEastAsia" w:hAnsi="Times New Roman"/>
          <w:sz w:val="22"/>
          <w:lang w:val="bg-BG" w:eastAsia="bg-BG"/>
        </w:rPr>
        <w:t xml:space="preserve">със застроена площ 150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не е заведена като актив на ДППИ (Регистър ДМА). </w:t>
      </w:r>
    </w:p>
    <w:p w14:paraId="475B7E4C"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07079.618.1084.10 </w:t>
      </w:r>
      <w:r w:rsidRPr="00805152">
        <w:rPr>
          <w:rFonts w:ascii="Times New Roman" w:eastAsiaTheme="minorEastAsia" w:hAnsi="Times New Roman"/>
          <w:sz w:val="22"/>
          <w:lang w:val="bg-BG" w:eastAsia="bg-BG"/>
        </w:rPr>
        <w:t>със застроена площ 637 кв.м., на 3 етажа, с предназначение: административна, делова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е частна собственост – жилищна сграда.</w:t>
      </w:r>
    </w:p>
    <w:p w14:paraId="1C090E51"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lastRenderedPageBreak/>
        <w:t xml:space="preserve">Сграда с идентификатор 07079.618.1084.11 </w:t>
      </w:r>
      <w:r w:rsidRPr="00805152">
        <w:rPr>
          <w:rFonts w:ascii="Times New Roman" w:eastAsiaTheme="minorEastAsia" w:hAnsi="Times New Roman"/>
          <w:sz w:val="22"/>
          <w:lang w:val="bg-BG" w:eastAsia="bg-BG"/>
        </w:rPr>
        <w:t xml:space="preserve">със застроена площ 20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не е заведена като актив на ДППИ (Регистър ДМА). </w:t>
      </w:r>
    </w:p>
    <w:p w14:paraId="2276F1B3" w14:textId="77777777" w:rsidR="00E21053" w:rsidRPr="00805152" w:rsidRDefault="00E21053" w:rsidP="0021547C">
      <w:pPr>
        <w:numPr>
          <w:ilvl w:val="0"/>
          <w:numId w:val="66"/>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07079.618.1084.13 </w:t>
      </w:r>
      <w:r w:rsidRPr="00805152">
        <w:rPr>
          <w:rFonts w:ascii="Times New Roman" w:eastAsiaTheme="minorEastAsia" w:hAnsi="Times New Roman"/>
          <w:sz w:val="22"/>
          <w:lang w:val="bg-BG" w:eastAsia="bg-BG"/>
        </w:rPr>
        <w:t xml:space="preserve">със застроена площ 40 кв.м., на 1 етаж, с предназначение: друг вид производствена, складова, инфраструктурна сграда В копието от кадастралната карта с данни от КРНИ – електронна извадка от сайта на АГКК е записано, че няма данни за собственик и за носител на друго вещно право. Сградата не е заведена като актив на ДППИ (Регистър ДМА). </w:t>
      </w:r>
    </w:p>
    <w:p w14:paraId="48232350" w14:textId="77777777" w:rsidR="00E21053" w:rsidRPr="00805152" w:rsidRDefault="00E21053" w:rsidP="0021547C">
      <w:pPr>
        <w:numPr>
          <w:ilvl w:val="0"/>
          <w:numId w:val="66"/>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07079.618.1084.14 </w:t>
      </w:r>
      <w:r w:rsidRPr="00805152">
        <w:rPr>
          <w:rFonts w:ascii="Times New Roman" w:eastAsiaTheme="minorEastAsia" w:hAnsi="Times New Roman"/>
          <w:sz w:val="22"/>
          <w:lang w:val="bg-BG" w:eastAsia="bg-BG"/>
        </w:rPr>
        <w:t xml:space="preserve">със застроена площ 420 кв.м., на 3 етажа, с предназначение: административна, делова сграда В копието от кадастралната карта с данни от КРНИ – електронна извадка от сайта на АГКК е записано, че сградата е собственост на държавата чрез Изпълнителна агенция „Морска администрация“. </w:t>
      </w:r>
    </w:p>
    <w:p w14:paraId="070E9240" w14:textId="77777777" w:rsidR="00E21053" w:rsidRPr="00805152" w:rsidRDefault="00E21053" w:rsidP="0021547C">
      <w:pPr>
        <w:numPr>
          <w:ilvl w:val="0"/>
          <w:numId w:val="52"/>
        </w:numPr>
        <w:overflowPunct w:val="0"/>
        <w:autoSpaceDE w:val="0"/>
        <w:autoSpaceDN w:val="0"/>
        <w:adjustRightInd w:val="0"/>
        <w:spacing w:before="240" w:after="60" w:line="240" w:lineRule="auto"/>
        <w:ind w:left="360" w:right="1134" w:firstLine="349"/>
        <w:textAlignment w:val="baseline"/>
        <w:outlineLvl w:val="4"/>
        <w:rPr>
          <w:rFonts w:ascii="Times New Roman" w:eastAsia="Times New Roman" w:hAnsi="Times New Roman"/>
          <w:b/>
          <w:bCs/>
          <w:iCs/>
          <w:sz w:val="22"/>
          <w:lang w:val="bg-BG" w:eastAsia="de-DE"/>
        </w:rPr>
      </w:pPr>
      <w:r w:rsidRPr="00E617D5">
        <w:rPr>
          <w:rFonts w:ascii="Times New Roman" w:eastAsia="Times New Roman" w:hAnsi="Times New Roman"/>
          <w:b/>
          <w:bCs/>
          <w:iCs/>
          <w:sz w:val="22"/>
          <w:highlight w:val="lightGray"/>
          <w:lang w:val="bg-BG" w:eastAsia="de-DE"/>
        </w:rPr>
        <w:t>ПИ № 07079.618.1083</w:t>
      </w:r>
    </w:p>
    <w:p w14:paraId="550D6117" w14:textId="77777777" w:rsidR="00E21053" w:rsidRPr="00805152" w:rsidRDefault="00E21053" w:rsidP="00E21053">
      <w:pPr>
        <w:tabs>
          <w:tab w:val="left" w:pos="2685"/>
        </w:tabs>
        <w:spacing w:after="0" w:line="240" w:lineRule="auto"/>
        <w:rPr>
          <w:rFonts w:ascii="Times New Roman" w:eastAsiaTheme="minorEastAsia" w:hAnsi="Times New Roman"/>
          <w:sz w:val="22"/>
          <w:lang w:val="bg-BG" w:eastAsia="bg-BG"/>
        </w:rPr>
      </w:pPr>
    </w:p>
    <w:p w14:paraId="7D527FE6"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За имота има съставен АПДС № 9447 от 27.05.2019 г.</w:t>
      </w:r>
      <w:r w:rsidRPr="00805152">
        <w:rPr>
          <w:rFonts w:ascii="Times New Roman" w:eastAsiaTheme="minorEastAsia" w:hAnsi="Times New Roman"/>
          <w:bCs/>
          <w:i/>
          <w:sz w:val="22"/>
          <w:lang w:val="bg-BG" w:eastAsia="bg-BG"/>
        </w:rPr>
        <w:t>,</w:t>
      </w:r>
      <w:r w:rsidRPr="00805152">
        <w:rPr>
          <w:rFonts w:ascii="Times New Roman" w:eastAsiaTheme="minorEastAsia" w:hAnsi="Times New Roman"/>
          <w:bCs/>
          <w:sz w:val="22"/>
          <w:lang w:val="bg-BG" w:eastAsia="bg-BG"/>
        </w:rPr>
        <w:t xml:space="preserve"> съгласно който имотът е с площ 40 821 кв.м., с трайно предназначение на територията: територия на транспорта, начин на трайно ползване: за пристанище, застроен. Правото на управление на имота е предоставено на ДППИ.</w:t>
      </w:r>
    </w:p>
    <w:p w14:paraId="6101A4DF" w14:textId="77777777" w:rsidR="00E21053"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bCs/>
          <w:sz w:val="22"/>
          <w:lang w:val="bg-BG" w:eastAsia="bg-BG"/>
        </w:rPr>
        <w:t xml:space="preserve">Границите на имота, видно от същия АПДС са:  </w:t>
      </w:r>
      <w:r w:rsidRPr="00805152">
        <w:rPr>
          <w:rFonts w:ascii="Times New Roman" w:eastAsiaTheme="minorEastAsia" w:hAnsi="Times New Roman"/>
          <w:sz w:val="22"/>
          <w:lang w:val="bg-BG" w:eastAsia="bg-BG"/>
        </w:rPr>
        <w:t>ПИ 07079.618.1052, ПИ 07079.618.1060, 07079.618.1079, 07079.618.1084, 07079.618.1087, 07079.618.1311 07079.618.27, 07070.618.28.</w:t>
      </w:r>
    </w:p>
    <w:p w14:paraId="391BE780" w14:textId="77777777" w:rsidR="005C5BB4" w:rsidRDefault="005C5BB4" w:rsidP="00891DC0">
      <w:pPr>
        <w:spacing w:after="0" w:line="360" w:lineRule="auto"/>
        <w:ind w:firstLine="709"/>
        <w:rPr>
          <w:rFonts w:ascii="Times New Roman" w:eastAsiaTheme="minorEastAsia" w:hAnsi="Times New Roman"/>
          <w:sz w:val="22"/>
          <w:lang w:val="bg-BG" w:eastAsia="bg-BG"/>
        </w:rPr>
      </w:pPr>
    </w:p>
    <w:p w14:paraId="171EE4D8" w14:textId="6898630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 имота се намират следните сгради, отразени в същия АПДС:</w:t>
      </w:r>
    </w:p>
    <w:p w14:paraId="173DE02E" w14:textId="77777777" w:rsidR="00E21053" w:rsidRPr="00805152" w:rsidRDefault="00E21053" w:rsidP="0021547C">
      <w:pPr>
        <w:numPr>
          <w:ilvl w:val="0"/>
          <w:numId w:val="67"/>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 xml:space="preserve">Сграда с идентификатор 07079.618.1083.1 – Митница и  КПП Пристанище Изток, </w:t>
      </w:r>
      <w:r w:rsidRPr="00805152">
        <w:rPr>
          <w:rFonts w:ascii="Times New Roman" w:eastAsiaTheme="minorEastAsia" w:hAnsi="Times New Roman"/>
          <w:sz w:val="22"/>
          <w:lang w:val="bg-BG" w:eastAsia="bg-BG"/>
        </w:rPr>
        <w:t xml:space="preserve">със застроена площ 101 кв.м, 1 етаж, масивна, с предназначение: сграда за битови услуги. Сградата се ползва за гранично-пропускателен контрол. </w:t>
      </w:r>
    </w:p>
    <w:p w14:paraId="3BCDF08B" w14:textId="77777777" w:rsidR="00E21053" w:rsidRPr="00805152" w:rsidRDefault="00E21053" w:rsidP="0021547C">
      <w:pPr>
        <w:numPr>
          <w:ilvl w:val="0"/>
          <w:numId w:val="67"/>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Част от сграда с идентификатор 07079.618.1083.2 – Административна сграда Портови флот, </w:t>
      </w:r>
      <w:r w:rsidRPr="00805152">
        <w:rPr>
          <w:rFonts w:ascii="Times New Roman" w:eastAsiaTheme="minorEastAsia" w:hAnsi="Times New Roman"/>
          <w:sz w:val="22"/>
          <w:lang w:val="bg-BG" w:eastAsia="bg-BG"/>
        </w:rPr>
        <w:t>със застроена площ на тази част 208,22 кв.м., масивна, на 1 етаж, с предназначение: друг вид производствена, складова, инфраструктурна сграда. За останалата част от посочената сграда, цялата с площ от 244 кв.м. (видно от копие на кадастрална карта с данни от КРНИ – електронна извадка от сайта на АГКК,  е съставен АПДС № 7885 от 05.04.2017 г., като в акта е отразено, че имотът е предоставен в управление на Изпълнителна агенция „Морска администрация“.</w:t>
      </w:r>
    </w:p>
    <w:p w14:paraId="5F8B1335" w14:textId="3A41497E" w:rsidR="000C3144" w:rsidRPr="00D400EB" w:rsidRDefault="00E21053" w:rsidP="00D400EB">
      <w:pPr>
        <w:numPr>
          <w:ilvl w:val="0"/>
          <w:numId w:val="67"/>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lastRenderedPageBreak/>
        <w:t xml:space="preserve">Сграда с идентификатор 07079.618.1083.3 – Валутен магазин Пристанище Център, </w:t>
      </w:r>
      <w:r w:rsidRPr="00805152">
        <w:rPr>
          <w:rFonts w:ascii="Times New Roman" w:eastAsiaTheme="minorEastAsia" w:hAnsi="Times New Roman"/>
          <w:sz w:val="22"/>
          <w:lang w:val="bg-BG" w:eastAsia="bg-BG"/>
        </w:rPr>
        <w:t>със застроена площ 205 кв.м, 1 етаж, масивна, с предназначение: друг вид производствена, складова, инфраструктурна сграда.</w:t>
      </w:r>
    </w:p>
    <w:p w14:paraId="6A409FDA" w14:textId="77777777" w:rsidR="00E21053" w:rsidRPr="00805152" w:rsidRDefault="00E21053" w:rsidP="00891DC0">
      <w:pPr>
        <w:spacing w:after="0" w:line="360" w:lineRule="auto"/>
        <w:ind w:firstLine="709"/>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 xml:space="preserve">В АПДС е отразено, че в имота се намират и сгради с идентификатори: </w:t>
      </w:r>
    </w:p>
    <w:p w14:paraId="4C416E3F" w14:textId="77777777" w:rsidR="00E21053" w:rsidRPr="00805152" w:rsidRDefault="00E21053" w:rsidP="0021547C">
      <w:pPr>
        <w:numPr>
          <w:ilvl w:val="0"/>
          <w:numId w:val="67"/>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07079.618.1083.4 (144 кв.м., 1 ет.), Трафопост;</w:t>
      </w:r>
    </w:p>
    <w:p w14:paraId="052F50FD" w14:textId="77777777" w:rsidR="00E21053" w:rsidRPr="00805152" w:rsidRDefault="00E21053" w:rsidP="0021547C">
      <w:pPr>
        <w:numPr>
          <w:ilvl w:val="0"/>
          <w:numId w:val="67"/>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07079.618.1083.5 (1025 кв.м.), Подсилозно помещение;</w:t>
      </w:r>
    </w:p>
    <w:p w14:paraId="0342B52F" w14:textId="77777777" w:rsidR="00E21053" w:rsidRPr="00805152" w:rsidRDefault="00E21053" w:rsidP="0021547C">
      <w:pPr>
        <w:numPr>
          <w:ilvl w:val="0"/>
          <w:numId w:val="67"/>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07079.618.1083.6 (241 кв.м., 1 ет.), Сграда и склад;</w:t>
      </w:r>
    </w:p>
    <w:p w14:paraId="312D7330" w14:textId="77777777" w:rsidR="00E21053" w:rsidRPr="00805152" w:rsidRDefault="00E21053" w:rsidP="0021547C">
      <w:pPr>
        <w:numPr>
          <w:ilvl w:val="0"/>
          <w:numId w:val="67"/>
        </w:numPr>
        <w:spacing w:after="0" w:line="360" w:lineRule="auto"/>
        <w:contextualSpacing/>
        <w:rPr>
          <w:rFonts w:ascii="Times New Roman" w:eastAsiaTheme="minorEastAsia" w:hAnsi="Times New Roman"/>
          <w:b/>
          <w:bCs/>
          <w:sz w:val="22"/>
          <w:lang w:val="bg-BG" w:eastAsia="bg-BG"/>
        </w:rPr>
      </w:pPr>
      <w:r w:rsidRPr="00805152">
        <w:rPr>
          <w:rFonts w:ascii="Times New Roman" w:eastAsiaTheme="minorEastAsia" w:hAnsi="Times New Roman"/>
          <w:b/>
          <w:bCs/>
          <w:sz w:val="22"/>
          <w:lang w:val="bg-BG" w:eastAsia="bg-BG"/>
        </w:rPr>
        <w:t>07079.618.1083.7 (155 кв.м., 5 ет.), Административна сграда и работилница,</w:t>
      </w:r>
    </w:p>
    <w:p w14:paraId="6189A29F" w14:textId="75AD2ACE" w:rsidR="00E21053" w:rsidRPr="00D400EB" w:rsidRDefault="00E21053" w:rsidP="00891DC0">
      <w:pPr>
        <w:spacing w:after="0" w:line="360" w:lineRule="auto"/>
        <w:rPr>
          <w:rFonts w:ascii="Times New Roman" w:eastAsiaTheme="minorEastAsia" w:hAnsi="Times New Roman"/>
          <w:b/>
          <w:sz w:val="22"/>
          <w:lang w:val="bg-BG" w:eastAsia="bg-BG"/>
        </w:rPr>
      </w:pPr>
      <w:r w:rsidRPr="00805152">
        <w:rPr>
          <w:rFonts w:ascii="Times New Roman" w:eastAsiaTheme="minorEastAsia" w:hAnsi="Times New Roman"/>
          <w:b/>
          <w:sz w:val="22"/>
          <w:lang w:val="bg-BG" w:eastAsia="bg-BG"/>
        </w:rPr>
        <w:t>които са собственост на „Хрансервизинженеринг“ АД, удостоверено с Нотариален акт  № 5, том 3, дело 1182 от 16.03.2000 г.</w:t>
      </w:r>
    </w:p>
    <w:p w14:paraId="7830A831"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Съгласно скица № 15-27140 от 16.01.2019 г. в имота се намират, наред със сградите, посочени по-горе, също и други две сгради с идентификатори:</w:t>
      </w:r>
    </w:p>
    <w:p w14:paraId="7DB1585B" w14:textId="77777777" w:rsidR="00E21053" w:rsidRPr="00805152" w:rsidRDefault="00E21053" w:rsidP="0021547C">
      <w:pPr>
        <w:numPr>
          <w:ilvl w:val="0"/>
          <w:numId w:val="67"/>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07079.618.1083.8 със </w:t>
      </w:r>
      <w:r w:rsidRPr="00805152">
        <w:rPr>
          <w:rFonts w:ascii="Times New Roman" w:eastAsiaTheme="minorEastAsia" w:hAnsi="Times New Roman"/>
          <w:sz w:val="22"/>
          <w:lang w:val="bg-BG" w:eastAsia="bg-BG"/>
        </w:rPr>
        <w:t>застроена площ 21 кв.м. на един етаж, с предназначение: друг вид производствена, складова, инфраструктурна сграда. Видно от копие на кадастрална карта с данни от КРНИ – електронна извадка от сайта на АГКК, като собственици на сградата са посочени Държавата и ДППИ.</w:t>
      </w:r>
    </w:p>
    <w:p w14:paraId="1797A54E" w14:textId="77777777" w:rsidR="00E21053" w:rsidRPr="00805152" w:rsidRDefault="00E21053" w:rsidP="0021547C">
      <w:pPr>
        <w:numPr>
          <w:ilvl w:val="0"/>
          <w:numId w:val="67"/>
        </w:numPr>
        <w:spacing w:after="0" w:line="360" w:lineRule="auto"/>
        <w:contextualSpacing/>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t xml:space="preserve">07079.618.1083.9 </w:t>
      </w:r>
      <w:r w:rsidRPr="00805152">
        <w:rPr>
          <w:rFonts w:ascii="Times New Roman" w:eastAsiaTheme="minorEastAsia" w:hAnsi="Times New Roman"/>
          <w:sz w:val="22"/>
          <w:lang w:val="bg-BG" w:eastAsia="bg-BG"/>
        </w:rPr>
        <w:t xml:space="preserve">със застроена площ 9 кв.м. на един етаж, с предназначение: друг вид производствена, складова, инфраструктурна сграда. Видно от копие на кадастрална карта с данни от КРНИ – електронна извадка от сайта на АГКК, за тази сграда липсват данни за собственост и други вещни права. </w:t>
      </w:r>
    </w:p>
    <w:p w14:paraId="2FAD59C2" w14:textId="77777777" w:rsidR="00E21053" w:rsidRPr="00805152" w:rsidRDefault="00E21053" w:rsidP="00891DC0">
      <w:pPr>
        <w:spacing w:after="0" w:line="360" w:lineRule="auto"/>
        <w:rPr>
          <w:rFonts w:ascii="Times New Roman" w:eastAsiaTheme="minorEastAsia" w:hAnsi="Times New Roman"/>
          <w:bCs/>
          <w:sz w:val="22"/>
          <w:lang w:val="bg-BG" w:eastAsia="bg-BG"/>
        </w:rPr>
      </w:pPr>
    </w:p>
    <w:p w14:paraId="285938B3" w14:textId="77777777" w:rsidR="00E21053" w:rsidRPr="00805152" w:rsidRDefault="00E21053" w:rsidP="00891DC0">
      <w:pPr>
        <w:spacing w:after="0" w:line="360" w:lineRule="auto"/>
        <w:ind w:firstLine="709"/>
        <w:rPr>
          <w:rFonts w:ascii="Times New Roman" w:eastAsiaTheme="minorEastAsia" w:hAnsi="Times New Roman"/>
          <w:bCs/>
          <w:iCs/>
          <w:sz w:val="22"/>
          <w:lang w:val="bg-BG" w:eastAsia="bg-BG"/>
        </w:rPr>
      </w:pPr>
      <w:r w:rsidRPr="00805152">
        <w:rPr>
          <w:rFonts w:ascii="Times New Roman" w:eastAsiaTheme="minorEastAsia" w:hAnsi="Times New Roman"/>
          <w:bCs/>
          <w:iCs/>
          <w:sz w:val="22"/>
          <w:lang w:val="bg-BG" w:eastAsia="bg-BG"/>
        </w:rPr>
        <w:t xml:space="preserve">Последните две сгради не са заведени като активи на ДППИ (Регистър ДМА), не са актувани с АДС. </w:t>
      </w:r>
    </w:p>
    <w:p w14:paraId="01E100F9"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Видно от вписванията в Регистъра на пристанищните оператори в района на Дирекция „Морска администрация Бургас“, достъпен на интернет сайта на Изпълнителна агенция „Морска администрация“, регистриран пристанищен оператор в Пристанищен терминал „Бургас Изток 1“ е „Пристанище Бургас“ ЕАД. Пристанищният оператор предоставя пристанищни услуги по чл. 116, ал. 2, т. 1-3 от ЗМПВВППРБ - обработка (товарене, разтоварване, подреждане, съхраняване, преопаковка, вътрешнопристанищен превоз на товари, контейнеризация, деконтейнеризация) на неопасни генерални, насипни наливни и Ро-Ро товари и контейнери; опасни насипни и генерални товари от клас 4, подклас 4.1. и 4.3.; клас 5, подклас 5.1.; клас 6, подклас 6.1. по Класификацията на ИМО; пътнически услуги; швартоване; снабдяване на корабите с вода, комуникации и електрическа енергия; приемане и обработване на отпадъци – резултат </w:t>
      </w:r>
      <w:r w:rsidRPr="00805152">
        <w:rPr>
          <w:rFonts w:ascii="Times New Roman" w:eastAsiaTheme="minorEastAsia" w:hAnsi="Times New Roman"/>
          <w:sz w:val="22"/>
          <w:lang w:val="bg-BG" w:eastAsia="bg-BG"/>
        </w:rPr>
        <w:lastRenderedPageBreak/>
        <w:t>от корабоплавателна дейност (съгласно Анекси І, ІV и V от МАРПОЛ 73/78. За осъществяване на посочените пристанищни услуги пристанищният оператор ползва обекти – публична държавна собственост, предоставени му по определен ред.</w:t>
      </w:r>
    </w:p>
    <w:p w14:paraId="2FEF110C"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 изпълнение на § 4 от Преходните и заключителни разпоредби (ПЗР) на ЗМПВВППРБ (обн., ДВ, бр. 12 от 11.02.2000 г., отм. ДВ, бр. 24 от 2004 г.) министърът на транспорта и съобщенията издава Заповед № РД-14-01 от 07.02.2000 г., с която изважда от имуществото на „Пристанище Бургас” ЕАД, обекти по чл. 107 от  ЗМПВВППРБ – публична държавна собственост, описани в заповедта.</w:t>
      </w:r>
    </w:p>
    <w:p w14:paraId="016DC2DF" w14:textId="7C66900E" w:rsidR="00E21053" w:rsidRPr="00805152" w:rsidRDefault="00E21053" w:rsidP="00891DC0">
      <w:pPr>
        <w:spacing w:after="0" w:line="360" w:lineRule="auto"/>
        <w:ind w:firstLine="709"/>
        <w:textAlignment w:val="center"/>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В изпълнение на § 74 от ПЗР на ЗИД на ЗМПВВППРБ (обн. ДВ, бр. 24 от 2004 г.) с Протокол № ПД-162/28.05.2004 г. министърът на транспорта и съобщенията изважда от имуществото на „Пристанище Бургас” ЕАД правото на собственост върху обектите по чл. 106, ал. 1 от ЗМПВВППРБ - публична държавна собственост, намиращи се на територията на пристанище за обществен транспорт (включително и на терминал Бургас-Изток 1), с балансови стойности на обектите към 31.03.2004 г.</w:t>
      </w:r>
    </w:p>
    <w:p w14:paraId="6AD99065"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 Протокол № ПД-181/14.08.2006 г. министърът на транспорта и съобщенията изменя и допълва Протокол № ПД-162/28.05.2004 г., като е предвидено обектите – публична държавна собственост, извадени от имуществото на „Пристанище Бургас” ЕАД, да бъдат предадени по балансови стойности към 31.05.2006 г.</w:t>
      </w:r>
    </w:p>
    <w:p w14:paraId="3785530D"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 Договор № ПрО – 1/24.01.2007 г., сключен между Министерство на транспорта и „Пристанище Бургас” ЕАД, на основание § 74 от ПЗР на ЗИД на ЗМПВВППРБ, във връзка с чл. 116, ал. 1 от същия закон, обектите, публична държавна собственост, предоставени за управление на ДП „Пристанищна инфраструктура”, се предоставят за ползване на „Пристанище Бургас” ЕАД, в качеството му на оператор, за извършване на пристанищни услуги по чл.116, ал.1 ЗМПВВППРБ (без буксировка и пилотаж), за които е необходимо ползване на пристанищна територия и/или пристанищни съоръжения. </w:t>
      </w:r>
    </w:p>
    <w:p w14:paraId="10CFEF5E"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Обектите – публична държавна собственост, включени в обхвата на договора, са изброени в приложение, неразделна част от същия. В приложението са посочени обектите и корабните места, находящи се на Пристанищен терминал Бургас - Изток 1.</w:t>
      </w:r>
    </w:p>
    <w:p w14:paraId="141EB43B"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 поредица от допълнителни споразумения посоченият договор бива изменян неколкократно, а именно:</w:t>
      </w:r>
    </w:p>
    <w:p w14:paraId="78F4EF0E"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 Допълнително споразумение от 24.10.2008 г. от обектите, предадени на „Пристанище Бургас“ ЕАД с договора, са извадени обекти, находящи се в пристанищата в Поморие,  Царево, Ахтопол</w:t>
      </w:r>
    </w:p>
    <w:p w14:paraId="6783F20E"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 Допълнително споразумение от 2009 г. от списъка с имотите, предоставени на „Пристанище Бургас“ ЕАД за извадени имоти, находящи се в пристанище Созопол</w:t>
      </w:r>
    </w:p>
    <w:p w14:paraId="4BE9FA99"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lastRenderedPageBreak/>
        <w:t>С Допълнително споразумение от 03.12.2010 г. в списъка с обектите, предоставени на „Пристанище Бургас“ ЕАД са включени допълнителни обекти</w:t>
      </w:r>
    </w:p>
    <w:p w14:paraId="6A3F8E8E"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 Допълнително споразумение от 28.05.2013 г. са изменени права и задължение на пристанищния оператор, както и са включени разпоредби, регламентиращи ползването на оперативната акватория на пристанището и възможността да извършва съпътстващи дейности по чл. 116а от ЗМПВВППРБ, наред с Държавно предприятие „Пристанищна инфраструктура“</w:t>
      </w:r>
    </w:p>
    <w:p w14:paraId="234CC8A9"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 Допълнително споразумение от 18.11.2016 г. са изменени приложения към договора</w:t>
      </w:r>
    </w:p>
    <w:p w14:paraId="53BAC486" w14:textId="77777777" w:rsidR="00E21053" w:rsidRPr="00805152" w:rsidRDefault="00E21053" w:rsidP="0021547C">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 xml:space="preserve">С Допълнително споразумение от 04.09.2018 г. от обектите, предоставени на „Пристанище Бургас“ ЕАД е изваден обект с площ от 1065,15 кв.м, находящ се на ет. 2 в сграда с идентификатор 07079.618.1019.9 – Магазия № 1 </w:t>
      </w:r>
    </w:p>
    <w:p w14:paraId="3761075E" w14:textId="612B9F91" w:rsidR="00E21053" w:rsidRPr="00D400EB" w:rsidRDefault="00E21053" w:rsidP="00891DC0">
      <w:pPr>
        <w:numPr>
          <w:ilvl w:val="0"/>
          <w:numId w:val="59"/>
        </w:numPr>
        <w:spacing w:after="0" w:line="360" w:lineRule="auto"/>
        <w:rPr>
          <w:rFonts w:ascii="Times New Roman" w:eastAsiaTheme="minorEastAsia" w:hAnsi="Times New Roman"/>
          <w:bCs/>
          <w:sz w:val="22"/>
          <w:lang w:val="bg-BG" w:eastAsia="bg-BG"/>
        </w:rPr>
      </w:pPr>
      <w:r w:rsidRPr="00805152">
        <w:rPr>
          <w:rFonts w:ascii="Times New Roman" w:eastAsiaTheme="minorEastAsia" w:hAnsi="Times New Roman"/>
          <w:bCs/>
          <w:sz w:val="22"/>
          <w:lang w:val="bg-BG" w:eastAsia="bg-BG"/>
        </w:rPr>
        <w:t>С Допълнително споразумение от 29.03.2019 г. от обектите, предоставени на „Пристанище Бургас“ ЕАД се изважда сграда Морска гара, находяща се в ПИ 07079.618.1081 с площ 9 317 кв.м.</w:t>
      </w:r>
    </w:p>
    <w:p w14:paraId="2064688F"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„Пристанище Бургас“ ЕАД ползва обектите, публична държавна собственост, предоставени за управление на ДП „Пристанищна инфраструктура”, представляващи Пристанищен терминал Бургас – Изток 1, в качеството му на оператор, за извършване на пристанищни услуги по чл.116, ал.1 ЗМПВВППРБ (без буксировка и пилотаж), за които е необходимо ползване на пристанищна територия и/или пристанищни съоръжения. Пристанищният оператор е оправомощен да извършва и съпътстващи дейности по чл. 116а, ал. 1 от ЗМПВВППРБ.</w:t>
      </w:r>
    </w:p>
    <w:p w14:paraId="470BED65"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Съгласно чл. 3 от Договор Пр0-1/24.01.2007 г. „Пристанище Бургас“ ЕАД има право да ползва обектите – публична държавна собственост, предоставени му по силата на този договор за ползване, за извършване на пристанищни услуги по чл. 116, ал. 1 (без буксировка и пилотаж) и съпътстващи дейности по чл. 116а, ал. 1 от ЗМПВВППРБ, при условията на договора и през целия му срок. От списъка към договора  изрично са изключени:</w:t>
      </w:r>
    </w:p>
    <w:p w14:paraId="2F9F256B" w14:textId="77777777" w:rsidR="00E21053" w:rsidRDefault="00E21053" w:rsidP="0021547C">
      <w:pPr>
        <w:numPr>
          <w:ilvl w:val="0"/>
          <w:numId w:val="60"/>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Самостоятелен обект с идентификатор 07079.618.1019.9.12 с предназначение за културна и обществена дейност, с площ 1065,15 кв.м., находящ се на втори етаж в сграда № 9, разположена в ПИ с идентификатор 07079.618.1019 – Магазия 1, ет. 2. Изваждането на посочения обект от списъка с обектите, предоставени за ползване на „Пристанище Бургас“ ЕАД е предмет на Допълнително споразумение №  ДС-6 от 04.09.2018 г. към Договор Пр0-1 от 24.012007 г.</w:t>
      </w:r>
    </w:p>
    <w:p w14:paraId="3BC957EA" w14:textId="77777777" w:rsidR="00D400EB" w:rsidRDefault="00D400EB" w:rsidP="00D400EB">
      <w:pPr>
        <w:spacing w:after="0" w:line="360" w:lineRule="auto"/>
        <w:rPr>
          <w:rFonts w:ascii="Times New Roman" w:eastAsiaTheme="minorEastAsia" w:hAnsi="Times New Roman"/>
          <w:sz w:val="22"/>
          <w:lang w:val="bg-BG" w:eastAsia="bg-BG"/>
        </w:rPr>
      </w:pPr>
    </w:p>
    <w:p w14:paraId="18709E32" w14:textId="77777777" w:rsidR="00D400EB" w:rsidRPr="00805152" w:rsidRDefault="00D400EB" w:rsidP="00D400EB">
      <w:pPr>
        <w:spacing w:after="0" w:line="360" w:lineRule="auto"/>
        <w:rPr>
          <w:rFonts w:ascii="Times New Roman" w:eastAsiaTheme="minorEastAsia" w:hAnsi="Times New Roman"/>
          <w:sz w:val="22"/>
          <w:lang w:val="bg-BG" w:eastAsia="bg-BG"/>
        </w:rPr>
      </w:pPr>
    </w:p>
    <w:p w14:paraId="076B38AA" w14:textId="77777777" w:rsidR="00E21053" w:rsidRPr="00805152" w:rsidRDefault="00E21053" w:rsidP="0021547C">
      <w:pPr>
        <w:numPr>
          <w:ilvl w:val="0"/>
          <w:numId w:val="60"/>
        </w:num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lastRenderedPageBreak/>
        <w:t xml:space="preserve">обект Морска гара, ведно с поземления имот, върху който е изградена, а именно ПИ № 07079.618.1081 по кадастралната карта и кадастралните регистри, одобрени със Заповед № РД 18-9/30.01.2009 г. на Изпълнителния директор на АГКК, с площ 9 317 кв.м. Изваждането на описания обект от списъка с обектите, предоставени на „Пристанище Бургас“ ЕАД е предмет на Допълнително споразумение № ДС-3/29.03.2019 г. към Договор № Пр0-1/ 24.01.2007 г. </w:t>
      </w:r>
    </w:p>
    <w:p w14:paraId="37698D7A" w14:textId="77777777" w:rsidR="00E21053" w:rsidRPr="00805152" w:rsidRDefault="00E21053"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Съгласно Договор Пр0-1/24.01.2007 г. операторът „Пристанище Бургас“ ЕАД се задължава да извършва пристанищните услуги за своя сметка и на свой риск. На това основание и като пристанищен оператор „Пристанище Бургас“ ЕАД сключва договори за пристанищни услуги. „Пристанище Бургас“ ЕАД сключва традиционно договори за пристанищни услуги с предмет обработка и съхранение на товари, морско-технически услуги, предоставяне на закрита или открита складова площ и предоставяне на котвена стоянка или кейово място. </w:t>
      </w:r>
    </w:p>
    <w:p w14:paraId="5D5A35AB" w14:textId="42E4A302" w:rsidR="00E21053" w:rsidRPr="00D400EB" w:rsidRDefault="00E21053" w:rsidP="00891DC0">
      <w:p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Съгласно чл. 3, ал. 3 и 4 от Договор Пр0-1/24.01.2007 г. операторът „Пристанище Бургас“ ЕАД има изключителното право да отдава под наем части от предоставените обекти – публична държавна собственост, от свое име и за своя сметка, на основание чл. 16, ал. 5 от Закона за държавната собственост. Части от посочените имоти могат да се отдават под наем, ако това не препятства предоставянето на пристанищни услуги от оператора и не води до извършване и/или предоставяне на пристанищни услуги от наемателя или от трето лице. Това за изричните условия на закона и договора. В тези договори  е посочено като основание за прекратяване – влизане в сила на договор за концесия на Пристанище терминал „Бургас Изток 1“, в която концесия попада обекта, в чиито предмет попада наетия обект.</w:t>
      </w:r>
    </w:p>
    <w:p w14:paraId="551B64CB" w14:textId="7BC572E5" w:rsidR="00E21053" w:rsidRPr="00805152" w:rsidRDefault="00D400EB" w:rsidP="000C3144">
      <w:pPr>
        <w:spacing w:after="0" w:line="360" w:lineRule="auto"/>
        <w:ind w:firstLine="709"/>
        <w:rPr>
          <w:rFonts w:ascii="Times New Roman" w:eastAsiaTheme="minorEastAsia" w:hAnsi="Times New Roman"/>
          <w:sz w:val="22"/>
          <w:lang w:val="bg-BG" w:eastAsia="bg-BG"/>
        </w:rPr>
      </w:pPr>
      <w:r>
        <w:rPr>
          <w:rFonts w:ascii="Times New Roman" w:eastAsiaTheme="minorEastAsia" w:hAnsi="Times New Roman"/>
          <w:b/>
          <w:sz w:val="22"/>
          <w:shd w:val="clear" w:color="auto" w:fill="FFFFFF" w:themeFill="background1"/>
          <w:lang w:val="bg-BG" w:eastAsia="bg-BG"/>
        </w:rPr>
        <w:t>Вълноломът</w:t>
      </w:r>
      <w:r w:rsidR="00E21053" w:rsidRPr="00805152">
        <w:rPr>
          <w:rFonts w:ascii="Times New Roman" w:eastAsiaTheme="minorEastAsia" w:hAnsi="Times New Roman"/>
          <w:b/>
          <w:sz w:val="22"/>
          <w:lang w:val="bg-BG" w:eastAsia="bg-BG"/>
        </w:rPr>
        <w:t xml:space="preserve"> </w:t>
      </w:r>
      <w:r w:rsidR="00E21053" w:rsidRPr="00805152">
        <w:rPr>
          <w:rFonts w:ascii="Times New Roman" w:eastAsiaTheme="minorEastAsia" w:hAnsi="Times New Roman"/>
          <w:sz w:val="22"/>
          <w:lang w:val="bg-BG" w:eastAsia="bg-BG"/>
        </w:rPr>
        <w:t xml:space="preserve">е част от терминал Бургас Изток 1. Съоръжението представлява </w:t>
      </w:r>
      <w:r w:rsidR="00E21053" w:rsidRPr="00805152">
        <w:rPr>
          <w:rFonts w:ascii="Times New Roman" w:eastAsiaTheme="minorEastAsia" w:hAnsi="Times New Roman"/>
          <w:b/>
          <w:sz w:val="22"/>
          <w:lang w:val="bg-BG" w:eastAsia="bg-BG"/>
        </w:rPr>
        <w:t>„пристанищна инфраструктура“</w:t>
      </w:r>
      <w:r w:rsidR="00E21053" w:rsidRPr="00805152">
        <w:rPr>
          <w:rFonts w:ascii="Times New Roman" w:eastAsiaTheme="minorEastAsia" w:hAnsi="Times New Roman"/>
          <w:sz w:val="22"/>
          <w:lang w:val="bg-BG" w:eastAsia="bg-BG"/>
        </w:rPr>
        <w:t xml:space="preserve"> по см. на § 2, т. 18 от Допълнителните разпоредби на ЗМПВВППРБ и от една страна е техническа инфраструктура на пристанището по смисъла на § 5, т. 31 от допълнителните разпоредби на Закона за устройство на територията</w:t>
      </w:r>
      <w:r w:rsidR="00E21053" w:rsidRPr="00805152">
        <w:rPr>
          <w:rFonts w:ascii="Times New Roman" w:eastAsiaTheme="minorEastAsia" w:hAnsi="Times New Roman"/>
          <w:sz w:val="22"/>
          <w:vertAlign w:val="superscript"/>
          <w:lang w:val="bg-BG" w:eastAsia="bg-BG"/>
        </w:rPr>
        <w:footnoteReference w:id="1"/>
      </w:r>
      <w:r w:rsidR="00E21053" w:rsidRPr="00805152">
        <w:rPr>
          <w:rFonts w:ascii="Times New Roman" w:eastAsiaTheme="minorEastAsia" w:hAnsi="Times New Roman"/>
          <w:sz w:val="22"/>
          <w:lang w:val="bg-BG" w:eastAsia="bg-BG"/>
        </w:rPr>
        <w:t xml:space="preserve">, а от друга „съоръжение на територията на пристанището, свързано с извършваните на неговата територия дейности и услуги“. Съоръжението е функционално „свързано с предоставяните на терминала дейности и услуги“ само и единствено доколкото предпазва пристанищната акватория от вълнение. Така и коректното легално наименование на пристанищното съоръжение е </w:t>
      </w:r>
      <w:r>
        <w:rPr>
          <w:rFonts w:ascii="Times New Roman" w:eastAsiaTheme="minorEastAsia" w:hAnsi="Times New Roman"/>
          <w:b/>
          <w:sz w:val="22"/>
          <w:lang w:val="bg-BG" w:eastAsia="bg-BG"/>
        </w:rPr>
        <w:t>“МОЛ“</w:t>
      </w:r>
      <w:r w:rsidR="00E21053" w:rsidRPr="00805152">
        <w:rPr>
          <w:rFonts w:ascii="Times New Roman" w:eastAsiaTheme="minorEastAsia" w:hAnsi="Times New Roman"/>
          <w:b/>
          <w:sz w:val="22"/>
          <w:lang w:val="bg-BG" w:eastAsia="bg-BG"/>
        </w:rPr>
        <w:t xml:space="preserve">. </w:t>
      </w:r>
      <w:r w:rsidR="00E21053" w:rsidRPr="00805152">
        <w:rPr>
          <w:rFonts w:ascii="Times New Roman" w:eastAsiaTheme="minorEastAsia" w:hAnsi="Times New Roman"/>
          <w:sz w:val="22"/>
          <w:lang w:val="bg-BG" w:eastAsia="bg-BG"/>
        </w:rPr>
        <w:t xml:space="preserve">Съгласно § 2, т. 48 от Допълнителните разпоредби на ЗМПВВППБ "мол" е </w:t>
      </w:r>
      <w:r w:rsidR="00E21053" w:rsidRPr="00805152">
        <w:rPr>
          <w:rFonts w:ascii="Times New Roman" w:eastAsiaTheme="minorEastAsia" w:hAnsi="Times New Roman"/>
          <w:sz w:val="22"/>
          <w:lang w:val="bg-BG" w:eastAsia="bg-BG"/>
        </w:rPr>
        <w:lastRenderedPageBreak/>
        <w:t>оградително стационарно или плаващо хидротехническо съоръжение, предназначено да предпазва пристанищната акватория от вълнение и изградено или поставено така, че в единия си край се допира плътно до брега, а вътрешната му стена може да бъде използвана за швартоване на кораби и извършване на товаро-разтоварни операции. Наред с „вълноломите“ и „пирсовете“</w:t>
      </w:r>
      <w:r w:rsidR="00E21053" w:rsidRPr="00805152">
        <w:rPr>
          <w:rFonts w:ascii="Times New Roman" w:eastAsiaTheme="minorEastAsia" w:hAnsi="Times New Roman"/>
          <w:sz w:val="22"/>
          <w:vertAlign w:val="superscript"/>
          <w:lang w:val="bg-BG" w:eastAsia="bg-BG"/>
        </w:rPr>
        <w:footnoteReference w:id="2"/>
      </w:r>
      <w:r w:rsidR="00E21053" w:rsidRPr="00805152">
        <w:rPr>
          <w:rFonts w:ascii="Times New Roman" w:eastAsiaTheme="minorEastAsia" w:hAnsi="Times New Roman"/>
          <w:sz w:val="22"/>
          <w:lang w:val="bg-BG" w:eastAsia="bg-BG"/>
        </w:rPr>
        <w:t xml:space="preserve"> молът, като пристанищно съоръжение е елемент на пристанищната инфраструктура, а именно: стационарно хидротехническо съоръжение, което служи за защита на пристанищната акватория от ветрово или вълново въздействие </w:t>
      </w:r>
      <w:r w:rsidR="00E21053" w:rsidRPr="00805152">
        <w:rPr>
          <w:rFonts w:ascii="Times New Roman" w:eastAsiaTheme="minorEastAsia" w:hAnsi="Times New Roman"/>
          <w:i/>
          <w:sz w:val="22"/>
          <w:lang w:val="bg-BG" w:eastAsia="bg-BG"/>
        </w:rPr>
        <w:t>или</w:t>
      </w:r>
      <w:r w:rsidR="00E21053" w:rsidRPr="00805152">
        <w:rPr>
          <w:rFonts w:ascii="Times New Roman" w:eastAsiaTheme="minorEastAsia" w:hAnsi="Times New Roman"/>
          <w:sz w:val="22"/>
          <w:lang w:val="bg-BG" w:eastAsia="bg-BG"/>
        </w:rPr>
        <w:t xml:space="preserve"> за връзка между кораба и брега (вж. § 2, т. 19 от ДР на ЗМПВВППРБ). Пристанищната акватория е прилежащата на пристанищната територия водна площ с естествени или създадени в резултат на човешка дейност условия за защита от вълни и затлачване, която притежава нужните площ и дълбочина за безопасно подхождане, маневриране и приставане на най-големия разчетен кораб за съответното пристанище или пристанищен терминал. Акваторията включва: зона за подхождане, зона за маневриране на корабите и оперативна акватория</w:t>
      </w:r>
      <w:r w:rsidR="00E21053" w:rsidRPr="00805152">
        <w:rPr>
          <w:rFonts w:ascii="Times New Roman" w:eastAsiaTheme="minorEastAsia" w:hAnsi="Times New Roman"/>
          <w:sz w:val="22"/>
          <w:vertAlign w:val="superscript"/>
          <w:lang w:val="bg-BG" w:eastAsia="bg-BG"/>
        </w:rPr>
        <w:footnoteReference w:id="3"/>
      </w:r>
      <w:r w:rsidR="00E21053" w:rsidRPr="00805152">
        <w:rPr>
          <w:rFonts w:ascii="Times New Roman" w:eastAsiaTheme="minorEastAsia" w:hAnsi="Times New Roman"/>
          <w:sz w:val="22"/>
          <w:lang w:val="bg-BG" w:eastAsia="bg-BG"/>
        </w:rPr>
        <w:t>.</w:t>
      </w:r>
    </w:p>
    <w:p w14:paraId="16F6B3E3" w14:textId="77777777" w:rsidR="00E21053" w:rsidRPr="00805152" w:rsidRDefault="00E21053" w:rsidP="00891DC0">
      <w:pPr>
        <w:autoSpaceDE w:val="0"/>
        <w:autoSpaceDN w:val="0"/>
        <w:adjustRightInd w:val="0"/>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Доколкото в случая молът предпазва пристанищната акватория на повече от един терминал (и не служи за връзка между кораба и брега, което е негова възможна и алтернативна функция) той е „обща техническа инфраструктура“ на пристанището по см. на § 5, т. 52 от ДР на ЗМПВВППРБ, а именно: „</w:t>
      </w:r>
      <w:r w:rsidRPr="00805152">
        <w:rPr>
          <w:rFonts w:ascii="Times New Roman" w:eastAsiaTheme="minorEastAsia" w:hAnsi="Times New Roman"/>
          <w:b/>
          <w:sz w:val="22"/>
          <w:lang w:val="bg-BG" w:eastAsia="bg-BG"/>
        </w:rPr>
        <w:t>съвкупност от</w:t>
      </w:r>
      <w:r w:rsidRPr="00805152">
        <w:rPr>
          <w:rFonts w:ascii="Times New Roman" w:eastAsiaTheme="minorEastAsia" w:hAnsi="Times New Roman"/>
          <w:sz w:val="22"/>
          <w:lang w:val="bg-BG" w:eastAsia="bg-BG"/>
        </w:rPr>
        <w:t xml:space="preserve"> сгради, </w:t>
      </w:r>
      <w:r w:rsidRPr="00805152">
        <w:rPr>
          <w:rFonts w:ascii="Times New Roman" w:eastAsiaTheme="minorEastAsia" w:hAnsi="Times New Roman"/>
          <w:b/>
          <w:sz w:val="22"/>
          <w:lang w:val="bg-BG" w:eastAsia="bg-BG"/>
        </w:rPr>
        <w:t>съоръжения и линейни инженерни мрежи на транспорта</w:t>
      </w:r>
      <w:r w:rsidRPr="00805152">
        <w:rPr>
          <w:rFonts w:ascii="Times New Roman" w:eastAsiaTheme="minorEastAsia" w:hAnsi="Times New Roman"/>
          <w:sz w:val="22"/>
          <w:lang w:val="bg-BG" w:eastAsia="bg-BG"/>
        </w:rPr>
        <w:t xml:space="preserve">, водоснабдяването и канализацията, електроснабдяването, топлоснабдяването, газоснабдяването, електронните съобщения, третирането на отпадъците и на геозащитната дейност, </w:t>
      </w:r>
      <w:r w:rsidRPr="00805152">
        <w:rPr>
          <w:rFonts w:ascii="Times New Roman" w:eastAsiaTheme="minorEastAsia" w:hAnsi="Times New Roman"/>
          <w:b/>
          <w:sz w:val="22"/>
          <w:lang w:val="bg-BG" w:eastAsia="bg-BG"/>
        </w:rPr>
        <w:t xml:space="preserve">които обслужват повече от един терминал от пристанище за обществен транспорт </w:t>
      </w:r>
      <w:r w:rsidRPr="00805152">
        <w:rPr>
          <w:rFonts w:ascii="Times New Roman" w:eastAsiaTheme="minorEastAsia" w:hAnsi="Times New Roman"/>
          <w:sz w:val="22"/>
          <w:lang w:val="bg-BG" w:eastAsia="bg-BG"/>
        </w:rPr>
        <w:t xml:space="preserve">и съгласно предвижданията на генералния план на пристанището </w:t>
      </w:r>
      <w:r w:rsidRPr="00805152">
        <w:rPr>
          <w:rFonts w:ascii="Times New Roman" w:eastAsiaTheme="minorEastAsia" w:hAnsi="Times New Roman"/>
          <w:sz w:val="22"/>
          <w:lang w:val="bg-BG" w:eastAsia="bg-BG"/>
        </w:rPr>
        <w:lastRenderedPageBreak/>
        <w:t>са предназначени за общо ползване от всички пристанищни оператори и ползватели на пристанището при еднакви условия“ (вж. и чл. 106, ал. 5 ЗМПВВППРБ).</w:t>
      </w:r>
    </w:p>
    <w:p w14:paraId="2DA1F91B" w14:textId="77777777" w:rsidR="000C5C5A" w:rsidRPr="00805152" w:rsidRDefault="000C5C5A" w:rsidP="00891DC0">
      <w:pPr>
        <w:shd w:val="clear" w:color="auto" w:fill="FEFEFE"/>
        <w:spacing w:after="0" w:line="360" w:lineRule="auto"/>
        <w:ind w:firstLine="708"/>
        <w:rPr>
          <w:rFonts w:ascii="Times New Roman" w:eastAsiaTheme="minorHAnsi" w:hAnsi="Times New Roman"/>
          <w:sz w:val="22"/>
          <w:shd w:val="clear" w:color="auto" w:fill="FFFFFF"/>
          <w:lang w:val="bg-BG"/>
        </w:rPr>
      </w:pPr>
      <w:r w:rsidRPr="00805152">
        <w:rPr>
          <w:rFonts w:ascii="Times New Roman" w:eastAsiaTheme="minorEastAsia" w:hAnsi="Times New Roman"/>
          <w:sz w:val="22"/>
          <w:lang w:val="bg-BG" w:eastAsia="bg-BG"/>
        </w:rPr>
        <w:t xml:space="preserve">В своя чл. 117а, ал. 6 </w:t>
      </w:r>
      <w:r w:rsidRPr="00805152">
        <w:rPr>
          <w:rFonts w:ascii="Times New Roman" w:eastAsia="Times New Roman" w:hAnsi="Times New Roman"/>
          <w:color w:val="000000"/>
          <w:sz w:val="22"/>
          <w:lang w:val="bg-BG" w:eastAsia="bg-BG"/>
        </w:rPr>
        <w:t xml:space="preserve">(изм. - ДВ, бр. 28 от 2013 г., изм. - ДВ, бр. 96 от 2017 г., в сила от 02.01.2018 г., отм., предишна ал. 5, изм. - ДВ, бр. 104 от 2020 г.) ЗМПВВППРБ </w:t>
      </w:r>
      <w:r w:rsidRPr="00805152">
        <w:rPr>
          <w:rFonts w:ascii="Times New Roman" w:eastAsiaTheme="minorEastAsia" w:hAnsi="Times New Roman"/>
          <w:sz w:val="22"/>
          <w:lang w:val="bg-BG" w:eastAsia="bg-BG"/>
        </w:rPr>
        <w:t>определя, че н</w:t>
      </w:r>
      <w:r w:rsidRPr="00805152">
        <w:rPr>
          <w:rFonts w:ascii="Times New Roman" w:eastAsiaTheme="minorHAnsi" w:hAnsi="Times New Roman"/>
          <w:sz w:val="22"/>
          <w:shd w:val="clear" w:color="auto" w:fill="FFFFFF"/>
          <w:lang w:val="bg-BG"/>
        </w:rPr>
        <w:t>е може да се включва в предмета на договори по </w:t>
      </w:r>
      <w:hyperlink r:id="rId43" w:anchor="p36159503" w:tgtFrame="_blank" w:history="1">
        <w:r w:rsidRPr="00805152">
          <w:rPr>
            <w:rFonts w:ascii="Times New Roman" w:eastAsiaTheme="minorHAnsi" w:hAnsi="Times New Roman"/>
            <w:sz w:val="22"/>
            <w:shd w:val="clear" w:color="auto" w:fill="FFFFFF"/>
            <w:lang w:val="bg-BG"/>
          </w:rPr>
          <w:t>чл. 116а, ал. 3</w:t>
        </w:r>
      </w:hyperlink>
      <w:r w:rsidRPr="00805152">
        <w:rPr>
          <w:rFonts w:ascii="Times New Roman" w:eastAsiaTheme="minorHAnsi" w:hAnsi="Times New Roman"/>
          <w:sz w:val="22"/>
          <w:shd w:val="clear" w:color="auto" w:fill="FFFFFF"/>
          <w:lang w:val="bg-BG"/>
        </w:rPr>
        <w:t> или на концесионни договори общата техническа инфраструктура на пристанището, като никой не може да възпрепятства свободния достъп до нея.</w:t>
      </w:r>
    </w:p>
    <w:p w14:paraId="39DE4D63" w14:textId="77777777" w:rsidR="000C5C5A" w:rsidRPr="00805152" w:rsidRDefault="000C5C5A" w:rsidP="00891DC0">
      <w:pPr>
        <w:autoSpaceDE w:val="0"/>
        <w:autoSpaceDN w:val="0"/>
        <w:spacing w:after="0" w:line="360" w:lineRule="auto"/>
        <w:rPr>
          <w:rFonts w:ascii="Times New Roman" w:eastAsiaTheme="minorEastAsia" w:hAnsi="Times New Roman"/>
          <w:color w:val="565656"/>
          <w:sz w:val="22"/>
          <w:shd w:val="clear" w:color="auto" w:fill="FFFFFF"/>
          <w:lang w:val="bg-BG" w:eastAsia="bg-BG"/>
        </w:rPr>
      </w:pPr>
      <w:r w:rsidRPr="00805152">
        <w:rPr>
          <w:rFonts w:ascii="Times New Roman" w:eastAsiaTheme="minorEastAsia" w:hAnsi="Times New Roman"/>
          <w:sz w:val="22"/>
          <w:lang w:val="bg-BG" w:eastAsia="bg-BG"/>
        </w:rPr>
        <w:tab/>
        <w:t>До влизането в сила на ЗИД на ЗМПВВППРБ (обн. ДВ, бр. 104 от 2020 г.) законът не съдържа легална дефиниция на “обща техническа инфраструктура на пристанището” и тя се определя ad hoc за всяко пристанище, като се има предвид предназначението му, вида на обработваните товари и използваните технологии. Така конкретните права и задължения на избраните в съответната процедура концесионери върху общата техническа инфраструктура на пристанището са определяни в конкретния концесионен договор. При изменението на ал. 5 (предишна) на чл. 117а от ЗМПВВППРБ, регламентиращ забраната за включване в гражданския оборот на общата техническа инфраструктура през 2020 г. отпада текстът „</w:t>
      </w:r>
      <w:r w:rsidRPr="00805152">
        <w:rPr>
          <w:rFonts w:ascii="Times New Roman" w:eastAsiaTheme="minorEastAsia" w:hAnsi="Times New Roman"/>
          <w:sz w:val="22"/>
          <w:shd w:val="clear" w:color="auto" w:fill="FFFFFF"/>
          <w:lang w:val="bg-BG" w:eastAsia="bg-BG"/>
        </w:rPr>
        <w:t>която се ползва от всички пристанищни оператори и други правоимащи лица при еднакви условия“, като едновременно с това този текст се появява в новата легална дефиниция на § 2, т. 52 от ДР на ЗМПВВППРБ</w:t>
      </w:r>
      <w:r w:rsidRPr="00805152">
        <w:rPr>
          <w:rFonts w:ascii="Times New Roman" w:eastAsiaTheme="minorEastAsia" w:hAnsi="Times New Roman"/>
          <w:sz w:val="22"/>
          <w:shd w:val="clear" w:color="auto" w:fill="FFFFFF"/>
          <w:vertAlign w:val="superscript"/>
          <w:lang w:val="bg-BG" w:eastAsia="bg-BG"/>
        </w:rPr>
        <w:footnoteReference w:id="4"/>
      </w:r>
      <w:r w:rsidRPr="00805152">
        <w:rPr>
          <w:rFonts w:ascii="Times New Roman" w:eastAsiaTheme="minorEastAsia" w:hAnsi="Times New Roman"/>
          <w:sz w:val="22"/>
          <w:shd w:val="clear" w:color="auto" w:fill="FFFFFF"/>
          <w:lang w:val="bg-BG" w:eastAsia="bg-BG"/>
        </w:rPr>
        <w:t>.</w:t>
      </w:r>
    </w:p>
    <w:p w14:paraId="204B9ADF" w14:textId="0BC00105" w:rsidR="000C5C5A" w:rsidRPr="00805152" w:rsidRDefault="000C5C5A" w:rsidP="00891DC0">
      <w:pPr>
        <w:autoSpaceDE w:val="0"/>
        <w:autoSpaceDN w:val="0"/>
        <w:spacing w:after="0" w:line="360" w:lineRule="auto"/>
        <w:rPr>
          <w:rFonts w:ascii="Times New Roman" w:eastAsia="Times New Roman" w:hAnsi="Times New Roman"/>
          <w:color w:val="000000"/>
          <w:sz w:val="22"/>
          <w:lang w:val="bg-BG" w:eastAsia="bg-BG"/>
        </w:rPr>
      </w:pPr>
      <w:r w:rsidRPr="00805152">
        <w:rPr>
          <w:rFonts w:ascii="Times New Roman" w:eastAsiaTheme="minorEastAsia" w:hAnsi="Times New Roman"/>
          <w:sz w:val="22"/>
          <w:lang w:val="bg-BG" w:eastAsia="bg-BG"/>
        </w:rPr>
        <w:tab/>
        <w:t xml:space="preserve">След това законово изменение е безспорно, че в предмета на договори по чл. 116а, ал. 3 ЗМПВВППРБ или на концесионни договори не може да се включва не всяка, а онази обща техническа инфраструктура на пристанището, </w:t>
      </w:r>
      <w:r w:rsidRPr="00805152">
        <w:rPr>
          <w:rFonts w:ascii="Times New Roman" w:eastAsiaTheme="minorEastAsia" w:hAnsi="Times New Roman"/>
          <w:b/>
          <w:sz w:val="22"/>
          <w:lang w:val="bg-BG" w:eastAsia="bg-BG"/>
        </w:rPr>
        <w:t>която изключва</w:t>
      </w:r>
      <w:r w:rsidRPr="00805152">
        <w:rPr>
          <w:rFonts w:ascii="Times New Roman" w:eastAsiaTheme="minorEastAsia" w:hAnsi="Times New Roman"/>
          <w:sz w:val="22"/>
          <w:lang w:val="bg-BG" w:eastAsia="bg-BG"/>
        </w:rPr>
        <w:t xml:space="preserve"> икономическо „</w:t>
      </w:r>
      <w:r w:rsidRPr="00805152">
        <w:rPr>
          <w:rFonts w:ascii="Times New Roman" w:eastAsiaTheme="minorEastAsia" w:hAnsi="Times New Roman"/>
          <w:b/>
          <w:sz w:val="22"/>
          <w:lang w:val="bg-BG" w:eastAsia="bg-BG"/>
        </w:rPr>
        <w:t>ползване“</w:t>
      </w:r>
      <w:r w:rsidRPr="00805152">
        <w:rPr>
          <w:rFonts w:ascii="Times New Roman" w:eastAsiaTheme="minorEastAsia" w:hAnsi="Times New Roman"/>
          <w:sz w:val="22"/>
          <w:lang w:val="bg-BG" w:eastAsia="bg-BG"/>
        </w:rPr>
        <w:t xml:space="preserve"> от всички пристанищни оператори и ползватели при еднакви условия. Това означава, че за разлика от мола съвкупността от сгради, съоръжения и линейни инженерни мрежи на транспорта, водоснабдяването и канализацията, електроснабдяването, топлоснабдяването, газоснабдяването, електронните съобщения, третирането на отпадъците и на геозащитната дейност, които обслужват повече от един терминал от пристанище за обществен транспорт може да бъде предмет на договор за концесия или на договор по чл. 116а, ал. 3, което се пре</w:t>
      </w:r>
      <w:r w:rsidR="00891DC0" w:rsidRPr="00805152">
        <w:rPr>
          <w:rFonts w:ascii="Times New Roman" w:eastAsiaTheme="minorEastAsia" w:hAnsi="Times New Roman"/>
          <w:sz w:val="22"/>
          <w:lang w:val="bg-BG" w:eastAsia="bg-BG"/>
        </w:rPr>
        <w:t>по</w:t>
      </w:r>
      <w:r w:rsidRPr="00805152">
        <w:rPr>
          <w:rFonts w:ascii="Times New Roman" w:eastAsiaTheme="minorEastAsia" w:hAnsi="Times New Roman"/>
          <w:sz w:val="22"/>
          <w:lang w:val="bg-BG" w:eastAsia="bg-BG"/>
        </w:rPr>
        <w:t>твъ</w:t>
      </w:r>
      <w:r w:rsidR="00891DC0" w:rsidRPr="00805152">
        <w:rPr>
          <w:rFonts w:ascii="Times New Roman" w:eastAsiaTheme="minorEastAsia" w:hAnsi="Times New Roman"/>
          <w:sz w:val="22"/>
          <w:lang w:val="bg-BG" w:eastAsia="bg-BG"/>
        </w:rPr>
        <w:t>р</w:t>
      </w:r>
      <w:r w:rsidRPr="00805152">
        <w:rPr>
          <w:rFonts w:ascii="Times New Roman" w:eastAsiaTheme="minorEastAsia" w:hAnsi="Times New Roman"/>
          <w:sz w:val="22"/>
          <w:lang w:val="bg-BG" w:eastAsia="bg-BG"/>
        </w:rPr>
        <w:t>ждава и от неизменение чл. 103, ал. 5 от ЗМПВВППРБ</w:t>
      </w:r>
      <w:bookmarkStart w:id="94" w:name="_Toc16257325"/>
      <w:r w:rsidRPr="00805152">
        <w:rPr>
          <w:rFonts w:ascii="Times New Roman" w:eastAsiaTheme="minorEastAsia" w:hAnsi="Times New Roman"/>
          <w:sz w:val="22"/>
          <w:lang w:val="bg-BG" w:eastAsia="bg-BG"/>
        </w:rPr>
        <w:t xml:space="preserve"> („с</w:t>
      </w:r>
      <w:r w:rsidRPr="00805152">
        <w:rPr>
          <w:rFonts w:ascii="Times New Roman" w:eastAsia="Times New Roman" w:hAnsi="Times New Roman"/>
          <w:color w:val="000000"/>
          <w:sz w:val="22"/>
          <w:lang w:val="bg-BG" w:eastAsia="bg-BG"/>
        </w:rPr>
        <w:t xml:space="preserve">поред технологията на </w:t>
      </w:r>
      <w:r w:rsidRPr="00805152">
        <w:rPr>
          <w:rFonts w:ascii="Times New Roman" w:eastAsia="Times New Roman" w:hAnsi="Times New Roman"/>
          <w:color w:val="000000"/>
          <w:sz w:val="22"/>
          <w:lang w:val="bg-BG" w:eastAsia="bg-BG"/>
        </w:rPr>
        <w:lastRenderedPageBreak/>
        <w:t>обработка на съответния тип товари и предназначението на терминала той може да включва освен зона за съхраняване на товари и части от общата техническа инфраструктура на пристанището“).</w:t>
      </w:r>
    </w:p>
    <w:p w14:paraId="0F811091" w14:textId="6F77BBA0" w:rsidR="000C5C5A" w:rsidRPr="00805152" w:rsidRDefault="000C5C5A" w:rsidP="00891DC0">
      <w:pPr>
        <w:autoSpaceDE w:val="0"/>
        <w:autoSpaceDN w:val="0"/>
        <w:adjustRightInd w:val="0"/>
        <w:spacing w:after="0" w:line="360" w:lineRule="auto"/>
        <w:rPr>
          <w:rFonts w:ascii="Times New Roman" w:eastAsiaTheme="minorEastAsia" w:hAnsi="Times New Roman"/>
          <w:sz w:val="22"/>
          <w:lang w:val="bg-BG" w:eastAsia="bg-BG"/>
        </w:rPr>
      </w:pPr>
      <w:r w:rsidRPr="00805152">
        <w:rPr>
          <w:rFonts w:ascii="Times New Roman" w:eastAsia="Times New Roman" w:hAnsi="Times New Roman"/>
          <w:color w:val="000000"/>
          <w:sz w:val="22"/>
          <w:lang w:val="bg-BG" w:eastAsia="bg-BG"/>
        </w:rPr>
        <w:tab/>
        <w:t>Годен обект на концесия са един или повече терминали от пристанището за обществен транспорт.</w:t>
      </w:r>
      <w:r w:rsidRPr="00805152">
        <w:rPr>
          <w:rFonts w:ascii="Times New Roman" w:eastAsia="Times New Roman" w:hAnsi="Times New Roman"/>
          <w:color w:val="000000"/>
          <w:sz w:val="22"/>
          <w:vertAlign w:val="superscript"/>
          <w:lang w:val="bg-BG" w:eastAsia="bg-BG"/>
        </w:rPr>
        <w:footnoteReference w:id="5"/>
      </w:r>
      <w:r w:rsidRPr="00805152">
        <w:rPr>
          <w:rFonts w:ascii="Times New Roman" w:eastAsiaTheme="minorEastAsia" w:hAnsi="Times New Roman"/>
          <w:caps/>
          <w:sz w:val="22"/>
          <w:lang w:val="bg-BG" w:eastAsia="bg-BG"/>
        </w:rPr>
        <w:t xml:space="preserve"> </w:t>
      </w:r>
      <w:bookmarkEnd w:id="94"/>
      <w:r w:rsidRPr="00805152">
        <w:rPr>
          <w:rFonts w:ascii="Times New Roman" w:eastAsiaTheme="minorEastAsia" w:hAnsi="Times New Roman"/>
          <w:sz w:val="22"/>
          <w:lang w:val="bg-BG" w:eastAsia="bg-BG"/>
        </w:rPr>
        <w:t xml:space="preserve">Пристанищните услугите с </w:t>
      </w:r>
      <w:r w:rsidR="000C3144" w:rsidRPr="00805152">
        <w:rPr>
          <w:rFonts w:ascii="Times New Roman" w:eastAsiaTheme="minorEastAsia" w:hAnsi="Times New Roman"/>
          <w:sz w:val="22"/>
          <w:lang w:val="bg-BG" w:eastAsia="bg-BG"/>
        </w:rPr>
        <w:t>търговски</w:t>
      </w:r>
      <w:r w:rsidRPr="00805152">
        <w:rPr>
          <w:rFonts w:ascii="Times New Roman" w:eastAsiaTheme="minorEastAsia" w:hAnsi="Times New Roman"/>
          <w:sz w:val="22"/>
          <w:lang w:val="bg-BG" w:eastAsia="bg-BG"/>
        </w:rPr>
        <w:t xml:space="preserve"> характер, извършването на които се възлага с концесията за услуга са обработка на товари и поща - товарене, разтоварване, подреждане, съхраняване, преопаковка на различни по тип товари, вътрешнопристанищен (терминален) превоз на товари и поща и други, както и пътнически услуги (съотв. за дейностите по т. 4 от Приложение № 2 към чл. 6, ал. 4 Закона за концесиите (изм. и доп. ДВ, бр. 17 от 2021 г.), а именно: „дейности, свързани с експлоатацията на географски район с цел осигуряване на летища и морски или вътрешни пристанища или други терминали на превозвачи по въздушни, морски или вътрешни водни пътища.“</w:t>
      </w:r>
      <w:r w:rsidRPr="00805152">
        <w:rPr>
          <w:rFonts w:ascii="Times New Roman" w:eastAsiaTheme="minorEastAsia" w:hAnsi="Times New Roman"/>
          <w:sz w:val="22"/>
          <w:shd w:val="clear" w:color="auto" w:fill="FFFFFF"/>
          <w:lang w:val="bg-BG" w:eastAsia="bg-BG"/>
        </w:rPr>
        <w:t>).</w:t>
      </w:r>
      <w:r w:rsidRPr="00805152">
        <w:rPr>
          <w:rFonts w:ascii="Times New Roman" w:eastAsiaTheme="minorEastAsia" w:hAnsi="Times New Roman"/>
          <w:sz w:val="22"/>
          <w:lang w:val="bg-BG" w:eastAsia="bg-BG"/>
        </w:rPr>
        <w:t xml:space="preserve"> Когато с концесията за услуга се възлага изпълнението на строителство по </w:t>
      </w:r>
      <w:hyperlink r:id="rId44" w:anchor="p36159055" w:tgtFrame="_blank" w:history="1">
        <w:r w:rsidRPr="00805152">
          <w:rPr>
            <w:rFonts w:ascii="Times New Roman" w:eastAsiaTheme="minorEastAsia" w:hAnsi="Times New Roman"/>
            <w:sz w:val="22"/>
            <w:lang w:val="bg-BG" w:eastAsia="bg-BG"/>
          </w:rPr>
          <w:t>чл. 7, ал. 2, т. 1</w:t>
        </w:r>
      </w:hyperlink>
      <w:r w:rsidRPr="00805152">
        <w:rPr>
          <w:rFonts w:ascii="Times New Roman" w:eastAsiaTheme="minorEastAsia" w:hAnsi="Times New Roman"/>
          <w:sz w:val="22"/>
          <w:lang w:val="bg-BG" w:eastAsia="bg-BG"/>
        </w:rPr>
        <w:t> или </w:t>
      </w:r>
      <w:hyperlink r:id="rId45" w:anchor="p36159055" w:tgtFrame="_blank" w:history="1">
        <w:r w:rsidRPr="00805152">
          <w:rPr>
            <w:rFonts w:ascii="Times New Roman" w:eastAsiaTheme="minorEastAsia" w:hAnsi="Times New Roman"/>
            <w:sz w:val="22"/>
            <w:lang w:val="bg-BG" w:eastAsia="bg-BG"/>
          </w:rPr>
          <w:t>2 от Закона за концесиите</w:t>
        </w:r>
      </w:hyperlink>
      <w:r w:rsidRPr="00805152">
        <w:rPr>
          <w:rFonts w:ascii="Times New Roman" w:eastAsiaTheme="minorEastAsia" w:hAnsi="Times New Roman"/>
          <w:sz w:val="22"/>
          <w:lang w:val="bg-BG" w:eastAsia="bg-BG"/>
        </w:rPr>
        <w:t>, концесията се определя като концесия за строителство (чл. 117в, ал. 3 ЗМПВВППРБ).</w:t>
      </w:r>
    </w:p>
    <w:p w14:paraId="65653CF3" w14:textId="77777777" w:rsidR="000C5C5A" w:rsidRPr="00805152" w:rsidRDefault="000C5C5A" w:rsidP="00891DC0">
      <w:pPr>
        <w:autoSpaceDE w:val="0"/>
        <w:autoSpaceDN w:val="0"/>
        <w:adjustRightInd w:val="0"/>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 xml:space="preserve">Като съоръжение молът отговоря на дефиницията за строеж по см. на Закона за концесиите: </w:t>
      </w:r>
      <w:r w:rsidRPr="00805152">
        <w:rPr>
          <w:rFonts w:ascii="Times New Roman" w:eastAsiaTheme="minorEastAsia" w:hAnsi="Times New Roman"/>
          <w:bCs/>
          <w:sz w:val="22"/>
          <w:lang w:val="bg-BG" w:eastAsia="bg-BG"/>
        </w:rPr>
        <w:t>„строеж“</w:t>
      </w:r>
      <w:r w:rsidRPr="00805152">
        <w:rPr>
          <w:rFonts w:ascii="Times New Roman" w:eastAsiaTheme="minorEastAsia" w:hAnsi="Times New Roman"/>
          <w:sz w:val="22"/>
          <w:lang w:val="bg-BG" w:eastAsia="bg-BG"/>
        </w:rPr>
        <w:t xml:space="preserve"> е резултатът от строителни и монтажни работи, който е достатъчен сам по себе си да изпълнява самостоятелно икономическа </w:t>
      </w:r>
      <w:r w:rsidRPr="00805152">
        <w:rPr>
          <w:rFonts w:ascii="Times New Roman" w:eastAsiaTheme="minorEastAsia" w:hAnsi="Times New Roman"/>
          <w:b/>
          <w:sz w:val="22"/>
          <w:lang w:val="bg-BG" w:eastAsia="bg-BG"/>
        </w:rPr>
        <w:t>или техническа функция</w:t>
      </w:r>
      <w:r w:rsidRPr="00805152">
        <w:rPr>
          <w:rFonts w:ascii="Times New Roman" w:eastAsiaTheme="minorEastAsia" w:hAnsi="Times New Roman"/>
          <w:sz w:val="22"/>
          <w:vertAlign w:val="superscript"/>
          <w:lang w:val="bg-BG" w:eastAsia="bg-BG"/>
        </w:rPr>
        <w:footnoteReference w:id="6"/>
      </w:r>
      <w:r w:rsidRPr="00805152">
        <w:rPr>
          <w:rFonts w:ascii="Times New Roman" w:eastAsiaTheme="minorEastAsia" w:hAnsi="Times New Roman"/>
          <w:sz w:val="22"/>
          <w:lang w:val="bg-BG" w:eastAsia="bg-BG"/>
        </w:rPr>
        <w:t xml:space="preserve">. </w:t>
      </w:r>
      <w:r w:rsidRPr="00805152">
        <w:rPr>
          <w:rFonts w:ascii="Times New Roman" w:eastAsiaTheme="minorEastAsia" w:hAnsi="Times New Roman"/>
          <w:bCs/>
          <w:sz w:val="22"/>
          <w:lang w:val="bg-BG" w:eastAsia="bg-BG"/>
        </w:rPr>
        <w:t>„Строителство“</w:t>
      </w:r>
      <w:r w:rsidRPr="00805152">
        <w:rPr>
          <w:rFonts w:ascii="Times New Roman" w:eastAsiaTheme="minorEastAsia" w:hAnsi="Times New Roman"/>
          <w:sz w:val="22"/>
          <w:lang w:val="bg-BG" w:eastAsia="bg-BG"/>
        </w:rPr>
        <w:t xml:space="preserve"> по см. на чл. 7, ал. 2 от ЗК е: 1. изпълнението или едновременното проектиране и изпълнение на строеж, или 2. изпълнението или едновременното проектиране и изпълнение на строителни и монтажни работи и дейности, посочени в приложение № 1, чрез които съществуващ строеж се реконструира, преустройва, възстановява или му се извършва основен ремонт, или 3. изпълнението на строителни и монтажни работи за извършване на текущи ремонти и за поддържане на съществуващ строеж в експлоатационна годност.</w:t>
      </w:r>
    </w:p>
    <w:p w14:paraId="77E031E8" w14:textId="77777777" w:rsidR="000C5C5A" w:rsidRPr="00805152" w:rsidRDefault="000C5C5A" w:rsidP="00891DC0">
      <w:pPr>
        <w:autoSpaceDE w:val="0"/>
        <w:autoSpaceDN w:val="0"/>
        <w:adjustRightInd w:val="0"/>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 xml:space="preserve">Концесията за строителство обаче е публично-частно партньорство, при което възлагащ орган и/или възложител възлага на икономически оператор изпълнение на строителство, срещу което предоставя на икономическия оператор </w:t>
      </w:r>
      <w:r w:rsidRPr="00805152">
        <w:rPr>
          <w:rFonts w:ascii="Times New Roman" w:eastAsiaTheme="minorEastAsia" w:hAnsi="Times New Roman"/>
          <w:b/>
          <w:sz w:val="22"/>
          <w:lang w:val="bg-BG" w:eastAsia="bg-BG"/>
        </w:rPr>
        <w:t>правото да експлоатира строежа</w:t>
      </w:r>
      <w:r w:rsidRPr="00805152">
        <w:rPr>
          <w:rFonts w:ascii="Times New Roman" w:eastAsiaTheme="minorEastAsia" w:hAnsi="Times New Roman"/>
          <w:sz w:val="22"/>
          <w:lang w:val="bg-BG" w:eastAsia="bg-BG"/>
        </w:rPr>
        <w:t xml:space="preserve"> при поемане на оперативния риск. Правото на икономическия оператор да експлоатира строежа </w:t>
      </w:r>
      <w:r w:rsidRPr="00805152">
        <w:rPr>
          <w:rFonts w:ascii="Times New Roman" w:eastAsiaTheme="minorEastAsia" w:hAnsi="Times New Roman"/>
          <w:b/>
          <w:sz w:val="22"/>
          <w:lang w:val="bg-BG" w:eastAsia="bg-BG"/>
        </w:rPr>
        <w:t xml:space="preserve">включва получаването на приходи </w:t>
      </w:r>
      <w:r w:rsidRPr="00805152">
        <w:rPr>
          <w:rFonts w:ascii="Times New Roman" w:eastAsiaTheme="minorEastAsia" w:hAnsi="Times New Roman"/>
          <w:b/>
          <w:sz w:val="22"/>
          <w:lang w:val="bg-BG" w:eastAsia="bg-BG"/>
        </w:rPr>
        <w:lastRenderedPageBreak/>
        <w:t>от предоставяни чрез обекта на концесията услуги и/или от извършването на една или повече други стопански дейности с обекта на концесията</w:t>
      </w:r>
      <w:r w:rsidRPr="00805152">
        <w:rPr>
          <w:rFonts w:ascii="Times New Roman" w:eastAsiaTheme="minorEastAsia" w:hAnsi="Times New Roman"/>
          <w:sz w:val="22"/>
          <w:lang w:val="bg-BG" w:eastAsia="bg-BG"/>
        </w:rPr>
        <w:t>.</w:t>
      </w:r>
    </w:p>
    <w:p w14:paraId="6EE7863E" w14:textId="77777777" w:rsidR="000C5C5A" w:rsidRPr="00805152" w:rsidRDefault="000C5C5A" w:rsidP="00891DC0">
      <w:pPr>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Като съоръжение обща техническа инфраструктура молът не може да бъде обект на концесията.</w:t>
      </w:r>
    </w:p>
    <w:p w14:paraId="4315E731" w14:textId="77777777"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При концесия за строителство, </w:t>
      </w:r>
      <w:r w:rsidRPr="00805152">
        <w:rPr>
          <w:rFonts w:ascii="Times New Roman" w:eastAsiaTheme="minorEastAsia" w:hAnsi="Times New Roman"/>
          <w:b/>
          <w:sz w:val="22"/>
          <w:lang w:val="bg-BG" w:eastAsia="bg-BG"/>
        </w:rPr>
        <w:t>към обекта</w:t>
      </w:r>
      <w:r w:rsidRPr="00805152">
        <w:rPr>
          <w:rFonts w:ascii="Times New Roman" w:eastAsiaTheme="minorEastAsia" w:hAnsi="Times New Roman"/>
          <w:sz w:val="22"/>
          <w:lang w:val="bg-BG" w:eastAsia="bg-BG"/>
        </w:rPr>
        <w:t xml:space="preserve"> на концесия (един или повече самостоятелни строежи или част от строеж) концедентът </w:t>
      </w:r>
      <w:r w:rsidRPr="00805152">
        <w:rPr>
          <w:rFonts w:ascii="Times New Roman" w:eastAsiaTheme="minorEastAsia" w:hAnsi="Times New Roman"/>
          <w:b/>
          <w:sz w:val="22"/>
          <w:lang w:val="bg-BG" w:eastAsia="bg-BG"/>
        </w:rPr>
        <w:t>определя концесионна територия</w:t>
      </w:r>
      <w:r w:rsidRPr="00805152">
        <w:rPr>
          <w:rFonts w:ascii="Times New Roman" w:eastAsiaTheme="minorEastAsia" w:hAnsi="Times New Roman"/>
          <w:sz w:val="22"/>
          <w:lang w:val="bg-BG" w:eastAsia="bg-BG"/>
        </w:rPr>
        <w:t xml:space="preserve"> (поземленият имот или имоти, </w:t>
      </w:r>
      <w:r w:rsidRPr="00805152">
        <w:rPr>
          <w:rFonts w:ascii="Times New Roman" w:eastAsiaTheme="minorEastAsia" w:hAnsi="Times New Roman"/>
          <w:b/>
          <w:sz w:val="22"/>
          <w:lang w:val="bg-BG" w:eastAsia="bg-BG"/>
        </w:rPr>
        <w:t>или част от поземлен имот</w:t>
      </w:r>
      <w:r w:rsidRPr="00805152">
        <w:rPr>
          <w:rFonts w:ascii="Times New Roman" w:eastAsiaTheme="minorEastAsia" w:hAnsi="Times New Roman"/>
          <w:sz w:val="22"/>
          <w:lang w:val="bg-BG" w:eastAsia="bg-BG"/>
        </w:rPr>
        <w:t>, върху или под който е разположен обектът на концесията).</w:t>
      </w:r>
    </w:p>
    <w:p w14:paraId="3A532794" w14:textId="77777777"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При концесия за услуги концесионна територия се определя само когато това следва от естеството на обекта на концесията. </w:t>
      </w:r>
    </w:p>
    <w:p w14:paraId="23223E5F" w14:textId="5398BCF5" w:rsidR="000C5C5A" w:rsidRPr="00805152" w:rsidRDefault="000C5C5A" w:rsidP="00891DC0">
      <w:pPr>
        <w:autoSpaceDE w:val="0"/>
        <w:autoSpaceDN w:val="0"/>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ab/>
        <w:t xml:space="preserve">Обектът на концесия при възлагането й за терминал Бургас Изток 1 ще е онази част от поземлените имоти, които съставляват част от </w:t>
      </w:r>
      <w:r w:rsidR="00B842D5" w:rsidRPr="00805152">
        <w:rPr>
          <w:rFonts w:ascii="Times New Roman" w:eastAsiaTheme="minorEastAsia" w:hAnsi="Times New Roman"/>
          <w:sz w:val="22"/>
          <w:lang w:val="bg-BG" w:eastAsia="bg-BG"/>
        </w:rPr>
        <w:t>пристанищния</w:t>
      </w:r>
      <w:r w:rsidRPr="00805152">
        <w:rPr>
          <w:rFonts w:ascii="Times New Roman" w:eastAsiaTheme="minorEastAsia" w:hAnsi="Times New Roman"/>
          <w:sz w:val="22"/>
          <w:lang w:val="bg-BG" w:eastAsia="bg-BG"/>
        </w:rPr>
        <w:t xml:space="preserve"> терминал, в която не попада мола като пристанищно съоръжение от описания по-горе вид обща техническа инфраструктура.</w:t>
      </w:r>
    </w:p>
    <w:p w14:paraId="73BF81AC" w14:textId="77777777" w:rsidR="000C5C5A" w:rsidRPr="00805152" w:rsidRDefault="000C5C5A" w:rsidP="00891DC0">
      <w:pPr>
        <w:autoSpaceDE w:val="0"/>
        <w:autoSpaceDN w:val="0"/>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Концедентът не може да определи мола и като принадлежност по см. на чл. 16, ал. 3 ЗК към обекта на концесията доколкото той осигурява безопасното функциониране на повече от един терминал (не само на обекта на концесията)</w:t>
      </w:r>
      <w:r w:rsidRPr="00805152">
        <w:rPr>
          <w:rFonts w:ascii="Times New Roman" w:eastAsiaTheme="minorEastAsia" w:hAnsi="Times New Roman"/>
          <w:sz w:val="22"/>
          <w:vertAlign w:val="superscript"/>
          <w:lang w:val="bg-BG" w:eastAsia="bg-BG"/>
        </w:rPr>
        <w:footnoteReference w:id="7"/>
      </w:r>
      <w:r w:rsidRPr="00805152">
        <w:rPr>
          <w:rFonts w:ascii="Times New Roman" w:eastAsiaTheme="minorEastAsia" w:hAnsi="Times New Roman"/>
          <w:sz w:val="22"/>
          <w:lang w:val="bg-BG" w:eastAsia="bg-BG"/>
        </w:rPr>
        <w:t>.</w:t>
      </w:r>
    </w:p>
    <w:p w14:paraId="14DEA869" w14:textId="2595DF18" w:rsidR="000C5C5A" w:rsidRPr="00805152" w:rsidRDefault="000C5C5A" w:rsidP="00891DC0">
      <w:pPr>
        <w:spacing w:after="0" w:line="360" w:lineRule="auto"/>
        <w:ind w:firstLine="709"/>
        <w:rPr>
          <w:rFonts w:ascii="Times New Roman" w:eastAsiaTheme="minorHAnsi" w:hAnsi="Times New Roman"/>
          <w:sz w:val="22"/>
          <w:lang w:val="bg-BG"/>
        </w:rPr>
      </w:pPr>
      <w:r w:rsidRPr="00805152">
        <w:rPr>
          <w:rFonts w:ascii="Times New Roman" w:eastAsiaTheme="minorEastAsia" w:hAnsi="Times New Roman"/>
          <w:color w:val="000000"/>
          <w:sz w:val="22"/>
          <w:lang w:val="bg-BG" w:eastAsia="bg-BG"/>
        </w:rPr>
        <w:t>Независимо от горното следва да се има предвид, че Директива 2014/23/ЕС</w:t>
      </w:r>
      <w:hyperlink r:id="rId46" w:anchor="ntr14-L_2017057BG.01000101-E0014" w:history="1">
        <w:r w:rsidRPr="00805152">
          <w:rPr>
            <w:rFonts w:ascii="Times New Roman" w:eastAsiaTheme="minorEastAsia" w:hAnsi="Times New Roman"/>
            <w:color w:val="3366CC"/>
            <w:sz w:val="22"/>
            <w:lang w:val="bg-BG" w:eastAsia="bg-BG"/>
          </w:rPr>
          <w:t> </w:t>
        </w:r>
      </w:hyperlink>
      <w:r w:rsidRPr="00805152">
        <w:rPr>
          <w:rFonts w:ascii="Times New Roman" w:eastAsiaTheme="minorEastAsia" w:hAnsi="Times New Roman"/>
          <w:color w:val="000000"/>
          <w:sz w:val="22"/>
          <w:lang w:val="bg-BG" w:eastAsia="bg-BG"/>
        </w:rPr>
        <w:t xml:space="preserve">на Европейския парламент и на Съвета (директива за </w:t>
      </w:r>
      <w:r w:rsidR="00B842D5" w:rsidRPr="00805152">
        <w:rPr>
          <w:rFonts w:ascii="Times New Roman" w:eastAsiaTheme="minorEastAsia" w:hAnsi="Times New Roman"/>
          <w:color w:val="000000"/>
          <w:sz w:val="22"/>
          <w:lang w:val="bg-BG" w:eastAsia="bg-BG"/>
        </w:rPr>
        <w:t>концесиите</w:t>
      </w:r>
      <w:r w:rsidRPr="00805152">
        <w:rPr>
          <w:rFonts w:ascii="Times New Roman" w:eastAsiaTheme="minorEastAsia" w:hAnsi="Times New Roman"/>
          <w:color w:val="000000"/>
          <w:sz w:val="22"/>
          <w:lang w:val="bg-BG" w:eastAsia="bg-BG"/>
        </w:rPr>
        <w:t xml:space="preserve">) </w:t>
      </w:r>
      <w:r w:rsidRPr="00805152">
        <w:rPr>
          <w:rFonts w:ascii="Times New Roman" w:eastAsiaTheme="minorHAnsi" w:hAnsi="Times New Roman"/>
          <w:sz w:val="22"/>
          <w:lang w:val="bg-BG"/>
        </w:rPr>
        <w:t xml:space="preserve">не постави ограничения нито на минималния, нито на максималния срок на концесиите, но посочи, че продължителността на концесията трябва да бъде ограничена във времето (чл. 18 от Директивата за концесиите), за да не се допускат “затваряне на пазара” и ограничаване на конкуренцията, т. е. във всички случаи възлагащите органи и възложителите не може да възлагат безсрочни концесионни договори и концесии за неопределено време. Същевременно директивата отчита, че дългият срок на концесията може да се счита за оправдан, ако е необходим, за да има възможност концесионерът да възвърне планираните за изпълнението на концесията инвестиции и да реализира печалба. В тази връзка при концесиите с продължителност над 5 г. максималният срок е обвързан с и ограничен до период, в рамките на който може разумно да се очаква, че при нормални експлоатационни условия концесионерът ще възвърне инвестициите си за експлоатирането на строежа или услугата и ще получи печалба, като се отчитат: инвестициите за постигане на специфичните цели </w:t>
      </w:r>
      <w:r w:rsidRPr="00805152">
        <w:rPr>
          <w:rFonts w:ascii="Times New Roman" w:eastAsiaTheme="minorHAnsi" w:hAnsi="Times New Roman"/>
          <w:sz w:val="22"/>
          <w:lang w:val="bg-BG"/>
        </w:rPr>
        <w:lastRenderedPageBreak/>
        <w:t xml:space="preserve">на договора, първоначалните инвестиции и инвестициите през срока на концесията (като напр. разходи за инфраструктура, авторски права, патенти, оборудване, логистика, наемане и обучение на персонал), възможностите на актива да генерира приход, таксите за използване на строежа или услугата и разходите за експлоатация и поддръжка на актива. От изложеното следва, че Директивата за концесиите въвежда метод за изчисляване на срока на концесиите над 5 г., подчинен на обективни критерии, като по този начин голямата дългосрочност на концесионните договори се извежда като функция от икономическите им параметри. </w:t>
      </w:r>
    </w:p>
    <w:p w14:paraId="3CEF809D" w14:textId="77777777"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HAnsi" w:hAnsi="Times New Roman"/>
          <w:sz w:val="22"/>
          <w:lang w:val="bg-BG"/>
        </w:rPr>
        <w:t xml:space="preserve">Националният законодател </w:t>
      </w:r>
      <w:r w:rsidRPr="00805152">
        <w:rPr>
          <w:rFonts w:ascii="Times New Roman" w:eastAsiaTheme="minorHAnsi" w:hAnsi="Times New Roman"/>
          <w:b/>
          <w:sz w:val="22"/>
          <w:lang w:val="bg-BG"/>
        </w:rPr>
        <w:t>не възприе</w:t>
      </w:r>
      <w:r w:rsidRPr="00805152">
        <w:rPr>
          <w:rFonts w:ascii="Times New Roman" w:eastAsiaTheme="minorHAnsi" w:hAnsi="Times New Roman"/>
          <w:sz w:val="22"/>
          <w:lang w:val="bg-BG"/>
        </w:rPr>
        <w:t xml:space="preserve"> това разрешение на директивата и в чл. 34, ал. 1 от ЗК</w:t>
      </w:r>
      <w:r w:rsidRPr="00805152">
        <w:rPr>
          <w:rFonts w:ascii="Times New Roman" w:eastAsiaTheme="minorHAnsi" w:hAnsi="Times New Roman"/>
          <w:sz w:val="22"/>
          <w:vertAlign w:val="superscript"/>
          <w:lang w:val="bg-BG"/>
        </w:rPr>
        <w:footnoteReference w:id="8"/>
      </w:r>
      <w:r w:rsidRPr="00805152">
        <w:rPr>
          <w:rFonts w:ascii="Times New Roman" w:eastAsiaTheme="minorHAnsi" w:hAnsi="Times New Roman"/>
          <w:sz w:val="22"/>
          <w:lang w:val="bg-BG"/>
        </w:rPr>
        <w:t xml:space="preserve"> (обн. ДВ, бр. 96 от 1.12.2017 г. посл. изм. ДВ, бр. 17 от 2023 г.) даде максимален срок, не по-дълъг </w:t>
      </w:r>
      <w:r w:rsidRPr="00805152">
        <w:rPr>
          <w:rFonts w:ascii="Times New Roman" w:eastAsiaTheme="minorEastAsia" w:hAnsi="Times New Roman"/>
          <w:sz w:val="22"/>
          <w:lang w:val="bg-BG" w:eastAsia="bg-BG"/>
        </w:rPr>
        <w:t xml:space="preserve">от 35 години, освен ако със специален закон е предвиден друг срок. ЗМПВВППРБ като специален закон не предвижда друг срок. </w:t>
      </w:r>
    </w:p>
    <w:p w14:paraId="4B25D0EA" w14:textId="3B4808F9"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Като се съобразява с приетият ЗК и различаващата се от европейската уредба национална регламентация на максимални законови срокове на договорите за концесия, със свое заявление № 1766 от 12 октомври 2018 г. Държавно предприятие „Пристанищна инфраструктура“ е поискало предвиденото в ЗМПВВППРБ разрешение, респ. със Заповед № РД-02-14-11/04.01.2019 г. на министъра на регионалното развитие и благоустройството и Заповед № РД-08-4/10.01.2019 г. на министъра на транспорта, информационните технологии и съобщенията му е разрешено изработването на </w:t>
      </w:r>
      <w:r w:rsidRPr="00805152">
        <w:rPr>
          <w:rFonts w:ascii="Times New Roman" w:eastAsiaTheme="minorEastAsia" w:hAnsi="Times New Roman"/>
          <w:b/>
          <w:sz w:val="22"/>
          <w:lang w:val="bg-BG" w:eastAsia="bg-BG"/>
        </w:rPr>
        <w:t>проект на Генерален план на пристанище за обществен транспорт Бургас</w:t>
      </w:r>
      <w:r w:rsidRPr="00805152">
        <w:rPr>
          <w:rFonts w:ascii="Times New Roman" w:eastAsiaTheme="minorEastAsia" w:hAnsi="Times New Roman"/>
          <w:sz w:val="22"/>
          <w:lang w:val="bg-BG" w:eastAsia="bg-BG"/>
        </w:rPr>
        <w:t xml:space="preserve"> с цели и задачи на проекта съгласно заданието (одобрено от двамата министри с т. 4 от съвместната заповед, приложено към нея).</w:t>
      </w:r>
    </w:p>
    <w:p w14:paraId="04CC7E99" w14:textId="77777777"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В одобреното задание, както и в окончателния проект на генерален план, който ще бъде разгледан от междуведомствен съвет по чл. 112а, ал. 4 от ЗМПВВППРБ, респ. приет и одобрен от министъра на транспорта и съобщенията и министъра на регионалното развитие и благоустройството </w:t>
      </w:r>
      <w:r w:rsidRPr="00805152">
        <w:rPr>
          <w:rFonts w:ascii="Times New Roman" w:eastAsiaTheme="minorEastAsia" w:hAnsi="Times New Roman"/>
          <w:b/>
          <w:sz w:val="22"/>
          <w:lang w:val="bg-BG" w:eastAsia="bg-BG"/>
        </w:rPr>
        <w:t>се предвижда обособяването на два терминала</w:t>
      </w:r>
      <w:r w:rsidRPr="00805152">
        <w:rPr>
          <w:rFonts w:ascii="Times New Roman" w:eastAsiaTheme="minorEastAsia" w:hAnsi="Times New Roman"/>
          <w:sz w:val="22"/>
          <w:lang w:val="bg-BG" w:eastAsia="bg-BG"/>
        </w:rPr>
        <w:t xml:space="preserve">: </w:t>
      </w:r>
    </w:p>
    <w:p w14:paraId="3421620A" w14:textId="77777777" w:rsidR="000C5C5A" w:rsidRPr="00805152" w:rsidRDefault="000C5C5A" w:rsidP="0021547C">
      <w:pPr>
        <w:numPr>
          <w:ilvl w:val="0"/>
          <w:numId w:val="68"/>
        </w:numPr>
        <w:spacing w:after="0" w:line="360" w:lineRule="auto"/>
        <w:contextualSpacing/>
        <w:rPr>
          <w:rFonts w:ascii="Times New Roman" w:eastAsiaTheme="minorEastAsia" w:hAnsi="Times New Roman"/>
          <w:b/>
          <w:sz w:val="22"/>
          <w:lang w:val="bg-BG" w:eastAsia="bg-BG"/>
        </w:rPr>
      </w:pPr>
      <w:r w:rsidRPr="00805152">
        <w:rPr>
          <w:rFonts w:ascii="Times New Roman" w:eastAsiaTheme="minorEastAsia" w:hAnsi="Times New Roman"/>
          <w:b/>
          <w:sz w:val="22"/>
          <w:lang w:val="bg-BG" w:eastAsia="bg-BG"/>
        </w:rPr>
        <w:t xml:space="preserve">ТОВАРЕН ТЕРМИНАЛ БУРГАС ИЗТОК – 1 – ЗА ГЕНЕРАЛНИ ТОВАРИ </w:t>
      </w:r>
    </w:p>
    <w:p w14:paraId="7FBAE4C8" w14:textId="77777777" w:rsidR="000C5C5A" w:rsidRPr="00805152" w:rsidRDefault="000C5C5A" w:rsidP="0021547C">
      <w:pPr>
        <w:numPr>
          <w:ilvl w:val="0"/>
          <w:numId w:val="68"/>
        </w:numPr>
        <w:spacing w:after="0" w:line="360" w:lineRule="auto"/>
        <w:contextualSpacing/>
        <w:rPr>
          <w:rFonts w:ascii="Times New Roman" w:eastAsiaTheme="minorEastAsia" w:hAnsi="Times New Roman"/>
          <w:b/>
          <w:sz w:val="22"/>
          <w:lang w:val="bg-BG" w:eastAsia="bg-BG"/>
        </w:rPr>
      </w:pPr>
      <w:r w:rsidRPr="00805152">
        <w:rPr>
          <w:rFonts w:ascii="Times New Roman" w:eastAsiaTheme="minorEastAsia" w:hAnsi="Times New Roman"/>
          <w:b/>
          <w:sz w:val="22"/>
          <w:lang w:val="bg-BG" w:eastAsia="bg-BG"/>
        </w:rPr>
        <w:t>ПЪТНИЧЕСКИ ТЕРМИНАЛ БУРГАС – ЗОНА ЗА ОБЩЕСТВЕН ДОСТЪП</w:t>
      </w:r>
    </w:p>
    <w:p w14:paraId="3FE7D3FA" w14:textId="77777777" w:rsidR="000C5C5A" w:rsidRPr="00805152" w:rsidRDefault="000C5C5A" w:rsidP="00891DC0">
      <w:pPr>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b/>
          <w:sz w:val="22"/>
          <w:lang w:val="bg-BG" w:eastAsia="bg-BG"/>
        </w:rPr>
        <w:t>Обособяването на два терминала</w:t>
      </w:r>
      <w:r w:rsidRPr="00805152">
        <w:rPr>
          <w:rFonts w:ascii="Times New Roman" w:eastAsiaTheme="minorEastAsia" w:hAnsi="Times New Roman"/>
          <w:sz w:val="22"/>
          <w:lang w:val="bg-BG" w:eastAsia="bg-BG"/>
        </w:rPr>
        <w:t xml:space="preserve"> (всеки от тях – годен обект на концесия) </w:t>
      </w:r>
      <w:r w:rsidRPr="00805152">
        <w:rPr>
          <w:rFonts w:ascii="Times New Roman" w:eastAsiaTheme="minorEastAsia" w:hAnsi="Times New Roman"/>
          <w:b/>
          <w:sz w:val="22"/>
          <w:lang w:val="bg-BG" w:eastAsia="bg-BG"/>
        </w:rPr>
        <w:t>е допустимо</w:t>
      </w:r>
      <w:r w:rsidRPr="00805152">
        <w:rPr>
          <w:rFonts w:ascii="Times New Roman" w:eastAsiaTheme="minorEastAsia" w:hAnsi="Times New Roman"/>
          <w:sz w:val="22"/>
          <w:lang w:val="bg-BG" w:eastAsia="bg-BG"/>
        </w:rPr>
        <w:t xml:space="preserve"> на основата на предвижданията на генералния план на пристанището, който според действащото </w:t>
      </w:r>
      <w:r w:rsidRPr="00805152">
        <w:rPr>
          <w:rFonts w:ascii="Times New Roman" w:eastAsiaTheme="minorEastAsia" w:hAnsi="Times New Roman"/>
          <w:sz w:val="22"/>
          <w:lang w:val="bg-BG" w:eastAsia="bg-BG"/>
        </w:rPr>
        <w:lastRenderedPageBreak/>
        <w:t>законодателство е о</w:t>
      </w:r>
      <w:r w:rsidRPr="00805152">
        <w:rPr>
          <w:rFonts w:ascii="Times New Roman" w:eastAsiaTheme="minorHAnsi" w:hAnsi="Times New Roman"/>
          <w:sz w:val="22"/>
          <w:lang w:val="bg-BG"/>
        </w:rPr>
        <w:t xml:space="preserve">снова на всяка инвестиционна инициатива в пристанищата за обществен транспорт, съгласно </w:t>
      </w:r>
      <w:r w:rsidRPr="00805152">
        <w:rPr>
          <w:rFonts w:ascii="Times New Roman" w:eastAsiaTheme="minorHAnsi" w:hAnsi="Times New Roman"/>
          <w:b/>
          <w:sz w:val="22"/>
          <w:lang w:val="bg-BG"/>
        </w:rPr>
        <w:t>чл. 112а, ал. 2, чл. 112а</w:t>
      </w:r>
      <w:r w:rsidRPr="00805152">
        <w:rPr>
          <w:rFonts w:ascii="Times New Roman" w:eastAsiaTheme="minorHAnsi" w:hAnsi="Times New Roman"/>
          <w:b/>
          <w:sz w:val="22"/>
          <w:vertAlign w:val="superscript"/>
          <w:lang w:val="bg-BG"/>
        </w:rPr>
        <w:t>1</w:t>
      </w:r>
      <w:r w:rsidRPr="00805152">
        <w:rPr>
          <w:rFonts w:ascii="Times New Roman" w:eastAsiaTheme="minorHAnsi" w:hAnsi="Times New Roman"/>
          <w:b/>
          <w:sz w:val="22"/>
          <w:lang w:val="bg-BG"/>
        </w:rPr>
        <w:t xml:space="preserve">, ал. 1,  1, 2 и 4 от ЗМПВВППРБ. </w:t>
      </w:r>
      <w:r w:rsidRPr="00805152">
        <w:rPr>
          <w:rFonts w:ascii="Times New Roman" w:eastAsiaTheme="minorHAnsi" w:hAnsi="Times New Roman"/>
          <w:sz w:val="22"/>
          <w:lang w:val="bg-BG"/>
        </w:rPr>
        <w:t xml:space="preserve">Генералният план по см. на чл. 112а от ЗМПВВППРБ е устройствената основа за изграждането, разширяването и развитието на всяко пристанище за обществен транспорт. С него се определят концепциите за дългосрочно развитие на съответната територия и акватория. Те се обосновават със съответните технологични и маркетингови изводи, като се съобразят и с одобрената от Министерския съвет с Решение № 336 от 23.06.2017 г. Интегрирана транспортна стратегия за периода до 2030 г., както и със съответните концепции и схеми за пространствено развитие и устройствени планове от по-висока степен. Основа на генералния план са резултатите от прединвестиционно (предварително) проучване, което определя развитието на съществуващите и необходимостта от резервиране на нови територии, предназначени за извършване на пристанищни дейности и услуги, функционално ги зонира съобразно технологичното и организационното обособяване на необходимата територия на пристанището и планира режима на тяхното устройство и параметрите на застрояването им. Наред с отразяването на съществуващото положение (чл. 112а, ал. 2, т. 3 ЗМПВВППРБ), </w:t>
      </w:r>
      <w:r w:rsidRPr="00805152">
        <w:rPr>
          <w:rFonts w:ascii="Times New Roman" w:eastAsiaTheme="minorHAnsi" w:hAnsi="Times New Roman"/>
          <w:b/>
          <w:sz w:val="22"/>
          <w:lang w:val="bg-BG"/>
        </w:rPr>
        <w:t xml:space="preserve">планът е този инструмент, който определя </w:t>
      </w:r>
      <w:r w:rsidRPr="00805152">
        <w:rPr>
          <w:rFonts w:ascii="Times New Roman" w:eastAsiaTheme="minorEastAsia" w:hAnsi="Times New Roman"/>
          <w:sz w:val="22"/>
          <w:lang w:val="bg-BG" w:eastAsia="bg-BG"/>
        </w:rPr>
        <w:t xml:space="preserve">инфраструктурата за достъп по суша </w:t>
      </w:r>
      <w:r w:rsidRPr="00805152">
        <w:rPr>
          <w:rFonts w:ascii="Times New Roman" w:eastAsiaTheme="minorEastAsia" w:hAnsi="Times New Roman"/>
          <w:b/>
          <w:sz w:val="22"/>
          <w:lang w:val="bg-BG" w:eastAsia="bg-BG"/>
        </w:rPr>
        <w:t>и другата обща техническа инфраструктура на пристанището</w:t>
      </w:r>
      <w:r w:rsidRPr="00805152">
        <w:rPr>
          <w:rFonts w:ascii="Times New Roman" w:eastAsiaTheme="minorEastAsia" w:hAnsi="Times New Roman"/>
          <w:sz w:val="22"/>
          <w:lang w:val="bg-BG" w:eastAsia="bg-BG"/>
        </w:rPr>
        <w:t xml:space="preserve"> и обосновава развитието на комуникационно-транспортната мрежа (железопътни линии и пътища) и на другите мрежи и съоръжения на техническата инфраструктура на територията на пристанището, </w:t>
      </w:r>
      <w:r w:rsidRPr="00805152">
        <w:rPr>
          <w:rFonts w:ascii="Times New Roman" w:eastAsiaTheme="minorEastAsia" w:hAnsi="Times New Roman"/>
          <w:b/>
          <w:sz w:val="22"/>
          <w:lang w:val="bg-BG" w:eastAsia="bg-BG"/>
        </w:rPr>
        <w:t>както и на останалите елементи на пристанищната инфраструктура</w:t>
      </w:r>
      <w:r w:rsidRPr="00805152">
        <w:rPr>
          <w:rFonts w:ascii="Times New Roman" w:eastAsiaTheme="minorEastAsia" w:hAnsi="Times New Roman"/>
          <w:sz w:val="22"/>
          <w:lang w:val="bg-BG" w:eastAsia="bg-BG"/>
        </w:rPr>
        <w:t xml:space="preserve">. </w:t>
      </w:r>
      <w:r w:rsidRPr="00805152">
        <w:rPr>
          <w:rFonts w:ascii="Times New Roman" w:eastAsiaTheme="minorHAnsi" w:hAnsi="Times New Roman"/>
          <w:sz w:val="22"/>
          <w:lang w:val="bg-BG"/>
        </w:rPr>
        <w:t xml:space="preserve">Неговите предвиждания определят терените за терминали, както и зоните за извършване на дейности по чл. 116а от ЗМПВВППРБ, границите и проектните дълбочини, навигационното осигуряване на пристанищната акватория и на всяка от зоните в нея и </w:t>
      </w:r>
      <w:r w:rsidRPr="00805152">
        <w:rPr>
          <w:rFonts w:ascii="Times New Roman" w:eastAsiaTheme="minorHAnsi" w:hAnsi="Times New Roman"/>
          <w:b/>
          <w:sz w:val="22"/>
          <w:lang w:val="bg-BG"/>
        </w:rPr>
        <w:t>дават обобщените параметри на зоните за бъдещи инвестиционни инициативи</w:t>
      </w:r>
      <w:r w:rsidRPr="00805152">
        <w:rPr>
          <w:rFonts w:ascii="Times New Roman" w:eastAsiaTheme="minorHAnsi" w:hAnsi="Times New Roman"/>
          <w:sz w:val="22"/>
          <w:lang w:val="bg-BG"/>
        </w:rPr>
        <w:t>, както и характеристиките на съществуващите и на предвидените за изграждане съоръжения, сгради, пътни и железопътни връзки, открити складови площи и на общите мрежи на техническата инфраструктура на територията на пристанището.</w:t>
      </w:r>
    </w:p>
    <w:p w14:paraId="3BBBF975" w14:textId="77777777" w:rsidR="000C5C5A" w:rsidRPr="00805152" w:rsidRDefault="000C5C5A" w:rsidP="00891DC0">
      <w:pPr>
        <w:autoSpaceDE w:val="0"/>
        <w:autoSpaceDN w:val="0"/>
        <w:adjustRightInd w:val="0"/>
        <w:spacing w:after="0" w:line="360" w:lineRule="auto"/>
        <w:ind w:firstLine="708"/>
        <w:rPr>
          <w:rFonts w:ascii="Times New Roman" w:eastAsiaTheme="minorHAnsi" w:hAnsi="Times New Roman"/>
          <w:color w:val="000000"/>
          <w:sz w:val="22"/>
          <w:lang w:val="bg-BG"/>
        </w:rPr>
      </w:pPr>
      <w:r w:rsidRPr="00805152">
        <w:rPr>
          <w:rFonts w:ascii="Times New Roman" w:eastAsiaTheme="minorHAnsi" w:hAnsi="Times New Roman"/>
          <w:color w:val="000000"/>
          <w:sz w:val="22"/>
          <w:lang w:val="bg-BG"/>
        </w:rPr>
        <w:t xml:space="preserve">Към настоящия момент правна и фактическа възможност за реализация на предвижданията на генералния план (както на действащия от 1997 г., така и на изготвения и внесен за разглеждане нов проект) в частта – Пътнически терминал - Зона за обществен достъп, в която част попада и </w:t>
      </w:r>
      <w:r w:rsidRPr="00805152">
        <w:rPr>
          <w:rFonts w:ascii="Times New Roman" w:eastAsiaTheme="minorHAnsi" w:hAnsi="Times New Roman"/>
          <w:b/>
          <w:color w:val="000000"/>
          <w:sz w:val="22"/>
          <w:lang w:val="bg-BG"/>
        </w:rPr>
        <w:t>мола</w:t>
      </w:r>
      <w:r w:rsidRPr="00805152">
        <w:rPr>
          <w:rFonts w:ascii="Times New Roman" w:eastAsiaTheme="minorHAnsi" w:hAnsi="Times New Roman"/>
          <w:color w:val="000000"/>
          <w:sz w:val="22"/>
          <w:lang w:val="bg-BG"/>
        </w:rPr>
        <w:t xml:space="preserve"> (по см. на § 2, т. 48 от Допълнителните разпоредби на ЗМПВВППРБ) има </w:t>
      </w:r>
      <w:r w:rsidRPr="00805152">
        <w:rPr>
          <w:rFonts w:ascii="Times New Roman" w:eastAsiaTheme="minorHAnsi" w:hAnsi="Times New Roman"/>
          <w:b/>
          <w:color w:val="000000"/>
          <w:sz w:val="22"/>
          <w:lang w:val="bg-BG"/>
        </w:rPr>
        <w:t>единствено</w:t>
      </w:r>
      <w:r w:rsidRPr="00805152">
        <w:rPr>
          <w:rFonts w:ascii="Times New Roman" w:eastAsiaTheme="minorHAnsi" w:hAnsi="Times New Roman"/>
          <w:color w:val="000000"/>
          <w:sz w:val="22"/>
          <w:lang w:val="bg-BG"/>
        </w:rPr>
        <w:t xml:space="preserve"> Държавно предприятие „Пристанищна инфраструктура“, при стриктно спазване на правилата за държавни помощи (чл. 115т, чл. 115м, ал. 1, т. 1, 2, </w:t>
      </w:r>
      <w:r w:rsidRPr="00805152">
        <w:rPr>
          <w:rFonts w:ascii="Times New Roman" w:eastAsiaTheme="minorHAnsi" w:hAnsi="Times New Roman"/>
          <w:b/>
          <w:color w:val="000000"/>
          <w:sz w:val="22"/>
          <w:lang w:val="bg-BG"/>
        </w:rPr>
        <w:t>4</w:t>
      </w:r>
      <w:r w:rsidRPr="00805152">
        <w:rPr>
          <w:rFonts w:ascii="Times New Roman" w:eastAsiaTheme="minorHAnsi" w:hAnsi="Times New Roman"/>
          <w:color w:val="000000"/>
          <w:sz w:val="22"/>
          <w:lang w:val="bg-BG"/>
        </w:rPr>
        <w:t xml:space="preserve"> и 18, чл. 115с, ал. 1, т. 6 и ал. 2, т. 1 от ЗМПВВППРБ). </w:t>
      </w:r>
    </w:p>
    <w:p w14:paraId="355DDCF7" w14:textId="77777777" w:rsidR="000C5C5A" w:rsidRPr="00805152" w:rsidRDefault="000C5C5A" w:rsidP="00891DC0">
      <w:pPr>
        <w:autoSpaceDE w:val="0"/>
        <w:autoSpaceDN w:val="0"/>
        <w:adjustRightInd w:val="0"/>
        <w:spacing w:after="0" w:line="360" w:lineRule="auto"/>
        <w:ind w:firstLine="708"/>
        <w:rPr>
          <w:rFonts w:ascii="Times New Roman" w:eastAsia="Times New Roman" w:hAnsi="Times New Roman"/>
          <w:color w:val="000000"/>
          <w:sz w:val="22"/>
          <w:lang w:val="bg-BG" w:eastAsia="bg-BG"/>
        </w:rPr>
      </w:pPr>
      <w:r w:rsidRPr="00805152">
        <w:rPr>
          <w:rFonts w:ascii="Times New Roman" w:eastAsia="Times New Roman" w:hAnsi="Times New Roman"/>
          <w:color w:val="000000"/>
          <w:sz w:val="22"/>
          <w:lang w:val="bg-BG" w:eastAsia="bg-BG"/>
        </w:rPr>
        <w:t xml:space="preserve">Правото на Държавно предприятие „Пристанищна инфраструктура“ да извършва дейностите по изграждане, реконструкция, рехабилитация и поддържане на пристанищни терминали – държавна </w:t>
      </w:r>
      <w:r w:rsidRPr="00805152">
        <w:rPr>
          <w:rFonts w:ascii="Times New Roman" w:eastAsia="Times New Roman" w:hAnsi="Times New Roman"/>
          <w:color w:val="000000"/>
          <w:sz w:val="22"/>
          <w:lang w:val="bg-BG" w:eastAsia="bg-BG"/>
        </w:rPr>
        <w:lastRenderedPageBreak/>
        <w:t xml:space="preserve">собственост следва от чл. 115м, ал. 1, т. 1 (изм. и доп. ДВ, бр. 104 от 2020 г.) от ЗМПВВППРБ, съгласно който </w:t>
      </w:r>
      <w:r w:rsidRPr="00805152">
        <w:rPr>
          <w:rFonts w:ascii="Times New Roman" w:eastAsia="Times New Roman" w:hAnsi="Times New Roman"/>
          <w:b/>
          <w:color w:val="000000"/>
          <w:sz w:val="22"/>
          <w:lang w:val="bg-BG" w:eastAsia="bg-BG"/>
        </w:rPr>
        <w:t xml:space="preserve">предметът на дейност </w:t>
      </w:r>
      <w:r w:rsidRPr="00805152">
        <w:rPr>
          <w:rFonts w:ascii="Times New Roman" w:eastAsia="Times New Roman" w:hAnsi="Times New Roman"/>
          <w:color w:val="000000"/>
          <w:sz w:val="22"/>
          <w:lang w:val="bg-BG" w:eastAsia="bg-BG"/>
        </w:rPr>
        <w:t xml:space="preserve">предприятието е: „изграждане на пристанища и пристанищни терминали – държавна собственост, както и реконструкция, рехабилитация и поддържане на пристанищните терминали – държавна собственост, от пристанищата за обществен транспорт, </w:t>
      </w:r>
      <w:r w:rsidRPr="00805152">
        <w:rPr>
          <w:rFonts w:ascii="Times New Roman" w:eastAsia="Times New Roman" w:hAnsi="Times New Roman"/>
          <w:i/>
          <w:color w:val="000000"/>
          <w:sz w:val="22"/>
          <w:lang w:val="bg-BG" w:eastAsia="bg-BG"/>
        </w:rPr>
        <w:t>освен в случаите, когато това е възложено на концесионер или на еднолично търговско дружество с държавно участие в капитала</w:t>
      </w:r>
      <w:r w:rsidRPr="00805152">
        <w:rPr>
          <w:rFonts w:ascii="Times New Roman" w:eastAsia="Times New Roman" w:hAnsi="Times New Roman"/>
          <w:color w:val="000000"/>
          <w:sz w:val="22"/>
          <w:lang w:val="bg-BG" w:eastAsia="bg-BG"/>
        </w:rPr>
        <w:t xml:space="preserve">;“. </w:t>
      </w:r>
    </w:p>
    <w:p w14:paraId="6CF2B2F0" w14:textId="77777777" w:rsidR="000C5C5A" w:rsidRPr="00805152" w:rsidRDefault="000C5C5A" w:rsidP="00891DC0">
      <w:pPr>
        <w:shd w:val="clear" w:color="auto" w:fill="FEFEFE"/>
        <w:spacing w:after="0" w:line="360" w:lineRule="auto"/>
        <w:ind w:firstLine="708"/>
        <w:rPr>
          <w:rFonts w:ascii="Times New Roman" w:eastAsia="Times New Roman" w:hAnsi="Times New Roman"/>
          <w:color w:val="000000"/>
          <w:sz w:val="22"/>
          <w:lang w:val="bg-BG" w:eastAsia="bg-BG"/>
        </w:rPr>
      </w:pPr>
      <w:r w:rsidRPr="00805152">
        <w:rPr>
          <w:rFonts w:ascii="Times New Roman" w:eastAsiaTheme="minorEastAsia" w:hAnsi="Times New Roman"/>
          <w:sz w:val="22"/>
          <w:lang w:val="bg-BG" w:eastAsia="bg-BG"/>
        </w:rPr>
        <w:t>Съгласно чл. 103г, ал. 3 от ЗМПВВППРБ инфраструктурните такси за достъп по</w:t>
      </w:r>
      <w:r w:rsidRPr="00805152">
        <w:rPr>
          <w:rFonts w:ascii="Times New Roman" w:eastAsia="Times New Roman" w:hAnsi="Times New Roman"/>
          <w:color w:val="000000"/>
          <w:sz w:val="22"/>
          <w:lang w:val="bg-BG" w:eastAsia="bg-BG"/>
        </w:rPr>
        <w:t xml:space="preserve"> чл. 103в, ал. 1, т. 1 се разходват от ДППИ за обезпечаване на достъпа до съответното пристанище, включително за покриване на разходите за изграждане и поддържане на инфраструктурата за достъп и </w:t>
      </w:r>
      <w:r w:rsidRPr="00805152">
        <w:rPr>
          <w:rFonts w:ascii="Times New Roman" w:eastAsia="Times New Roman" w:hAnsi="Times New Roman"/>
          <w:b/>
          <w:color w:val="000000"/>
          <w:sz w:val="22"/>
          <w:lang w:val="bg-BG" w:eastAsia="bg-BG"/>
        </w:rPr>
        <w:t xml:space="preserve">другата обща техническа инфраструктура на пристанището, </w:t>
      </w:r>
      <w:r w:rsidRPr="00805152">
        <w:rPr>
          <w:rFonts w:ascii="Times New Roman" w:eastAsia="Times New Roman" w:hAnsi="Times New Roman"/>
          <w:color w:val="000000"/>
          <w:sz w:val="22"/>
          <w:lang w:val="bg-BG" w:eastAsia="bg-BG"/>
        </w:rPr>
        <w:t>както и за поддържане на проектните дълбочини в акваторията на пристанището.</w:t>
      </w:r>
    </w:p>
    <w:p w14:paraId="35C79EC5" w14:textId="77777777" w:rsidR="000C5C5A" w:rsidRPr="00805152" w:rsidRDefault="000C5C5A" w:rsidP="00891DC0">
      <w:pPr>
        <w:autoSpaceDE w:val="0"/>
        <w:autoSpaceDN w:val="0"/>
        <w:adjustRightInd w:val="0"/>
        <w:spacing w:after="0" w:line="360" w:lineRule="auto"/>
        <w:ind w:firstLine="708"/>
        <w:rPr>
          <w:rFonts w:ascii="Times New Roman" w:eastAsia="Times New Roman" w:hAnsi="Times New Roman"/>
          <w:color w:val="000000"/>
          <w:sz w:val="22"/>
          <w:lang w:val="bg-BG" w:eastAsia="bg-BG"/>
        </w:rPr>
      </w:pPr>
      <w:r w:rsidRPr="00805152">
        <w:rPr>
          <w:rFonts w:ascii="Times New Roman" w:eastAsiaTheme="minorHAnsi" w:hAnsi="Times New Roman"/>
          <w:color w:val="000000"/>
          <w:sz w:val="22"/>
          <w:lang w:val="bg-BG"/>
        </w:rPr>
        <w:t xml:space="preserve">Държавният пристанищен оператор „Пристанище Бургас“ ЕАД по силата на договора по § 74 от ПЗР на ЗИД на ЗМПВВППРБ (обн. ДВ, бр. 24 от 2004 г.), особено при действащото европейско и национално законодателство в областта на държавните помощи, както и поради актуалното си финансово състояние и естеството на договора, по силата на който оперира терминала няма правно и фактическа възможност да финансира и реализира проекта. Съгласно § 74, ал. 3 от ПРЗ на ЗИД на ЗМПВВППРБ, министърът на транспорта сключва договори с държавните пристанищни оператори за извършване на пристанищни услуги по чл.116, ал.1 и дейности по чл.116а, ал.1 от закона. Договорите са срочни до сключване по предвидения от закона ред на договори за извършване на пристанищни услуги и дейности или концесия със спечелил конкурс оператор. Ползването на публичната държавна собственост от държавните оператори е „възмездно“, като съгласно сключените договори държавните пристанищни оператори се задължават да поддържат пристанищната инфраструктура и извършват ремонтно-възстановителни дейности в годишен размер от минимум 0,20 евроцента на обработен тон товари и 0,15 евроцента на преминал пътник за операторите по морето и 0,15 евроцента на обработен тон товари и 0,10 евроцента на преминал пътник за операторите по реката. Приходите от договорите по § 74, ал. 3 от ПЗР на ЗИД ЗМПВВППРБ са равни на обема от дейностите по поддържане на пристанищната инфраструктура извършвани от пристанищните оператори. Тези т. нар. „приходи" не постъпват в бюджета на предприятието, така както и </w:t>
      </w:r>
      <w:r w:rsidRPr="00805152">
        <w:rPr>
          <w:rFonts w:ascii="Times New Roman" w:eastAsia="Times New Roman" w:hAnsi="Times New Roman"/>
          <w:color w:val="000000"/>
          <w:sz w:val="22"/>
          <w:lang w:val="bg-BG" w:eastAsia="bg-BG"/>
        </w:rPr>
        <w:t>приходите от концесии, отчетени по държавния бюджет, които на свой ред изцяло постъпват в Държавния фонд за гарантиране устойчивост на държавната пенсионна система (чл. 11, ал. 1, т. 3 от Закона за Държавния фонд за гарантиране устойчивост на държавната пенсионна система).</w:t>
      </w:r>
    </w:p>
    <w:p w14:paraId="4622AF87" w14:textId="6AA1B10C" w:rsidR="000C5C5A" w:rsidRPr="00805152" w:rsidRDefault="000C5C5A" w:rsidP="00891DC0">
      <w:pPr>
        <w:autoSpaceDE w:val="0"/>
        <w:autoSpaceDN w:val="0"/>
        <w:adjustRightInd w:val="0"/>
        <w:spacing w:after="0" w:line="360" w:lineRule="auto"/>
        <w:ind w:firstLine="708"/>
        <w:rPr>
          <w:rFonts w:ascii="Times New Roman" w:eastAsiaTheme="minorHAnsi" w:hAnsi="Times New Roman"/>
          <w:bCs/>
          <w:color w:val="000000"/>
          <w:sz w:val="22"/>
          <w:lang w:val="bg-BG"/>
        </w:rPr>
      </w:pPr>
      <w:r w:rsidRPr="00805152">
        <w:rPr>
          <w:rFonts w:ascii="Times New Roman" w:eastAsiaTheme="minorHAnsi" w:hAnsi="Times New Roman"/>
          <w:color w:val="000000"/>
          <w:sz w:val="22"/>
          <w:lang w:val="bg-BG"/>
        </w:rPr>
        <w:lastRenderedPageBreak/>
        <w:t>Екипът ни анализира различни възможности, като оцени множество модели за реализация на предвижданията на действащия генерален план за развитие на пристанището от 1997 г., както и на предвижданията на проекта за изменение на същия (</w:t>
      </w:r>
      <w:hyperlink r:id="rId47" w:history="1">
        <w:r w:rsidRPr="00805152">
          <w:rPr>
            <w:rFonts w:ascii="Times New Roman" w:eastAsiaTheme="minorHAnsi" w:hAnsi="Times New Roman"/>
            <w:color w:val="0000FF"/>
            <w:sz w:val="22"/>
            <w:u w:val="single"/>
            <w:lang w:val="bg-BG"/>
          </w:rPr>
          <w:t>http://www.bgports.bg/bg/page/205</w:t>
        </w:r>
      </w:hyperlink>
      <w:r w:rsidRPr="00805152">
        <w:rPr>
          <w:rFonts w:ascii="Times New Roman" w:eastAsiaTheme="minorHAnsi" w:hAnsi="Times New Roman"/>
          <w:color w:val="000000"/>
          <w:sz w:val="22"/>
          <w:lang w:val="bg-BG"/>
        </w:rPr>
        <w:t>) с оглед използването на територията съобразно нейното предназначение за пристанище за обществен транспорт, в т. ч. и на РМС № 38/25.01.2008 г. за определяне на обект</w:t>
      </w:r>
      <w:r w:rsidRPr="00805152">
        <w:rPr>
          <w:rFonts w:ascii="Times New Roman" w:eastAsiaTheme="minorHAnsi" w:hAnsi="Times New Roman"/>
          <w:sz w:val="22"/>
          <w:lang w:val="bg-BG"/>
        </w:rPr>
        <w:t xml:space="preserve"> на основание § 5, т. 62 от ДР на ЗУТ </w:t>
      </w:r>
      <w:r w:rsidRPr="00805152">
        <w:rPr>
          <w:rFonts w:ascii="Times New Roman" w:eastAsiaTheme="minorHAnsi" w:hAnsi="Times New Roman"/>
          <w:i/>
          <w:sz w:val="22"/>
          <w:lang w:val="bg-BG"/>
        </w:rPr>
        <w:t>(„определя за обект „Зона за обществен достъп на транспортен възел - морска гара, железопътна гара и автогара Бургас”),</w:t>
      </w:r>
      <w:r w:rsidRPr="00805152">
        <w:rPr>
          <w:rFonts w:ascii="Times New Roman" w:eastAsiaTheme="minorHAnsi" w:hAnsi="Times New Roman"/>
          <w:sz w:val="22"/>
          <w:lang w:val="bg-BG"/>
        </w:rPr>
        <w:t xml:space="preserve"> с изключение на принципната възможност собствеността върху територ</w:t>
      </w:r>
      <w:r w:rsidRPr="00805152">
        <w:rPr>
          <w:rFonts w:ascii="Times New Roman" w:eastAsiaTheme="minorHAnsi" w:hAnsi="Times New Roman"/>
          <w:color w:val="000000"/>
          <w:sz w:val="22"/>
          <w:lang w:val="bg-BG"/>
        </w:rPr>
        <w:t xml:space="preserve">ията да бъде трансформирана от публична държавна в частна държавна собственост поради отпаднало основание. Като основа при анализа бяха обследвани исторически </w:t>
      </w:r>
      <w:r w:rsidRPr="00805152">
        <w:rPr>
          <w:rFonts w:ascii="Times New Roman" w:eastAsiaTheme="minorHAnsi" w:hAnsi="Times New Roman"/>
          <w:bCs/>
          <w:color w:val="000000"/>
          <w:sz w:val="22"/>
          <w:lang w:val="bg-BG"/>
        </w:rPr>
        <w:t xml:space="preserve">възможностите за осигуряване финансирането, като се започне от т.нар. инвестиционен проект „Супер Бургас – зона за обществен достъп”, като бе извършен анализ и оценка на правните възможности и форми за ангажиране на всички заинтересовани страни в реализацията, управлението и развитие на проекта, </w:t>
      </w:r>
      <w:r w:rsidRPr="00805152">
        <w:rPr>
          <w:rFonts w:ascii="Times New Roman" w:eastAsiaTheme="minorHAnsi" w:hAnsi="Times New Roman"/>
          <w:color w:val="000000"/>
          <w:sz w:val="22"/>
          <w:lang w:val="bg-BG"/>
        </w:rPr>
        <w:t>правните възможности и форми за сътрудничество или създаване на различни обединения между тях с цел бъдещото изграждане, управление и развитие на обектите в обхвата на инвестиционния проект,</w:t>
      </w:r>
      <w:r w:rsidRPr="00805152">
        <w:rPr>
          <w:rFonts w:ascii="Times New Roman" w:eastAsiaTheme="minorHAnsi" w:hAnsi="Times New Roman"/>
          <w:bCs/>
          <w:color w:val="000000"/>
          <w:sz w:val="22"/>
          <w:lang w:val="bg-BG"/>
        </w:rPr>
        <w:t xml:space="preserve"> за прилагане на форми на публично-частно партньорство, за статута на територията и на обектите на планираните интервенции, както и на моделите на следпроектно развитие. </w:t>
      </w:r>
      <w:r w:rsidRPr="00805152">
        <w:rPr>
          <w:rFonts w:ascii="Times New Roman" w:eastAsiaTheme="minorHAnsi" w:hAnsi="Times New Roman"/>
          <w:color w:val="000000"/>
          <w:sz w:val="22"/>
          <w:lang w:val="bg-BG"/>
        </w:rPr>
        <w:t>Извършваните през годините финансово-икономически анализи на моделите за реализация на предвижданията на последователно приетите подробни устройствени планове за територията винаги са показвали, че не е обосновано възлагането на концесия само за територията, за която в настоящия момент има одобрен ПУП (от 1 к. м. до 4 к. м.), доколкото в</w:t>
      </w:r>
      <w:r w:rsidRPr="00805152">
        <w:rPr>
          <w:rFonts w:ascii="Times New Roman" w:eastAsiaTheme="minorHAnsi" w:hAnsi="Times New Roman"/>
          <w:bCs/>
          <w:color w:val="000000"/>
          <w:sz w:val="22"/>
          <w:lang w:val="bg-BG"/>
        </w:rPr>
        <w:t xml:space="preserve">ъзможните приходи, които могат да се реализират от обектите предвидени към съответния момент за изграждане на обекти не генерират достатъчно положителни парични потоци за възвръщане на вложените средства от страна на частен инвеститор (концесионер). </w:t>
      </w:r>
    </w:p>
    <w:p w14:paraId="3BB49E38" w14:textId="5F65CCB4" w:rsidR="000C5C5A" w:rsidRPr="00805152" w:rsidRDefault="000C5C5A" w:rsidP="00891DC0">
      <w:pPr>
        <w:autoSpaceDE w:val="0"/>
        <w:autoSpaceDN w:val="0"/>
        <w:adjustRightInd w:val="0"/>
        <w:spacing w:after="0" w:line="360" w:lineRule="auto"/>
        <w:ind w:firstLine="708"/>
        <w:rPr>
          <w:rFonts w:ascii="Times New Roman" w:eastAsiaTheme="minorHAnsi" w:hAnsi="Times New Roman"/>
          <w:color w:val="000000"/>
          <w:sz w:val="22"/>
          <w:lang w:val="bg-BG"/>
        </w:rPr>
      </w:pPr>
      <w:r w:rsidRPr="00805152">
        <w:rPr>
          <w:rFonts w:ascii="Times New Roman" w:eastAsiaTheme="minorHAnsi" w:hAnsi="Times New Roman"/>
          <w:color w:val="000000"/>
          <w:sz w:val="22"/>
          <w:lang w:val="bg-BG"/>
        </w:rPr>
        <w:t xml:space="preserve">Реализацията на предвижданията на проекта на генералния план в обхват - ПЪТНИЧЕСКИ ТЕРМИНАЛ БУРГАС – ЗОНА ЗА ОБЩЕСТВЕН ДОСТЪП, </w:t>
      </w:r>
      <w:r w:rsidRPr="00805152">
        <w:rPr>
          <w:rFonts w:ascii="Times New Roman" w:eastAsiaTheme="minorHAnsi" w:hAnsi="Times New Roman"/>
          <w:b/>
          <w:color w:val="000000"/>
          <w:sz w:val="22"/>
          <w:lang w:val="bg-BG"/>
        </w:rPr>
        <w:t>в който попада и мола</w:t>
      </w:r>
      <w:r w:rsidRPr="00805152">
        <w:rPr>
          <w:rFonts w:ascii="Times New Roman" w:eastAsiaTheme="minorHAnsi" w:hAnsi="Times New Roman"/>
          <w:color w:val="000000"/>
          <w:sz w:val="22"/>
          <w:lang w:val="bg-BG"/>
        </w:rPr>
        <w:t>, дори и да беше възможна част от обекта на концесия предполагат значителни като обем инвестиции от бъдещ концесионер или от „Пристанище Бургас“ ЕАД</w:t>
      </w:r>
      <w:r w:rsidRPr="00805152">
        <w:rPr>
          <w:rFonts w:ascii="Times New Roman" w:eastAsiaTheme="minorHAnsi" w:hAnsi="Times New Roman"/>
          <w:color w:val="000000"/>
          <w:sz w:val="22"/>
          <w:vertAlign w:val="superscript"/>
          <w:lang w:val="bg-BG"/>
        </w:rPr>
        <w:footnoteReference w:id="9"/>
      </w:r>
      <w:r w:rsidRPr="00805152">
        <w:rPr>
          <w:rFonts w:ascii="Times New Roman" w:eastAsiaTheme="minorHAnsi" w:hAnsi="Times New Roman"/>
          <w:color w:val="000000"/>
          <w:sz w:val="22"/>
          <w:lang w:val="bg-BG"/>
        </w:rPr>
        <w:t xml:space="preserve">. Даденият от националния законодател в чл. 34, ал. 1 от ЗК (обн. ДВ, бр. 96 от 1.12.2017 г. посл. изм. и доп.  ДВ, </w:t>
      </w:r>
      <w:r w:rsidRPr="00805152">
        <w:rPr>
          <w:rFonts w:ascii="Times New Roman" w:eastAsia="Times New Roman" w:hAnsi="Times New Roman"/>
          <w:color w:val="000000"/>
          <w:sz w:val="22"/>
          <w:lang w:val="bg-BG" w:eastAsia="bg-BG"/>
        </w:rPr>
        <w:t>бр. 8 от 25.01.2023 г.</w:t>
      </w:r>
      <w:r w:rsidRPr="00805152">
        <w:rPr>
          <w:rFonts w:ascii="Times New Roman" w:eastAsiaTheme="minorHAnsi" w:hAnsi="Times New Roman"/>
          <w:color w:val="000000"/>
          <w:sz w:val="22"/>
          <w:lang w:val="bg-BG"/>
        </w:rPr>
        <w:t xml:space="preserve">) максимален срок, не по-дълъг </w:t>
      </w:r>
      <w:r w:rsidRPr="00805152">
        <w:rPr>
          <w:rFonts w:ascii="Times New Roman" w:eastAsia="Times New Roman" w:hAnsi="Times New Roman"/>
          <w:color w:val="000000"/>
          <w:sz w:val="22"/>
          <w:lang w:val="bg-BG" w:eastAsia="bg-BG"/>
        </w:rPr>
        <w:t xml:space="preserve">от 35 години, освен ако със специален закон е предвиден друг срок (специалният ЗМПВВППРБ </w:t>
      </w:r>
      <w:r w:rsidRPr="00805152">
        <w:rPr>
          <w:rFonts w:ascii="Times New Roman" w:eastAsia="Times New Roman" w:hAnsi="Times New Roman"/>
          <w:color w:val="000000"/>
          <w:sz w:val="22"/>
          <w:lang w:val="bg-BG" w:eastAsia="bg-BG"/>
        </w:rPr>
        <w:lastRenderedPageBreak/>
        <w:t>не предвижда друг срок) прави невъзможно възвръщането на планираните за изпълнението на концесиите инвестиции, в т. ч. и за реконстру</w:t>
      </w:r>
      <w:r w:rsidR="000C3144">
        <w:rPr>
          <w:rFonts w:ascii="Times New Roman" w:eastAsia="Times New Roman" w:hAnsi="Times New Roman"/>
          <w:color w:val="000000"/>
          <w:sz w:val="22"/>
          <w:lang w:val="bg-BG" w:eastAsia="bg-BG"/>
        </w:rPr>
        <w:t>к</w:t>
      </w:r>
      <w:r w:rsidRPr="00805152">
        <w:rPr>
          <w:rFonts w:ascii="Times New Roman" w:eastAsia="Times New Roman" w:hAnsi="Times New Roman"/>
          <w:color w:val="000000"/>
          <w:sz w:val="22"/>
          <w:lang w:val="bg-BG" w:eastAsia="bg-BG"/>
        </w:rPr>
        <w:t>ция и рехабилитация на мола, съотв. реализирането на печалба за концесионера, срещу прехвърлянето на оперативния риск от експлоатацията на услугите и строежа,  както и строителният риск (вж. чл. 31 от ЗК). М</w:t>
      </w:r>
      <w:r w:rsidRPr="00805152">
        <w:rPr>
          <w:rFonts w:ascii="Times New Roman" w:eastAsiaTheme="minorHAnsi" w:hAnsi="Times New Roman"/>
          <w:color w:val="000000"/>
          <w:sz w:val="22"/>
          <w:lang w:val="bg-BG"/>
        </w:rPr>
        <w:t>аксималният срок следва да е обвързан с период, в рамките на който може разумно да се очаква, че при нормални експлоатационни условия концесионерът ще възвърне инвестициите си за експлоатирането на строежа и/или услугата и ще получи печалба, като се отчитат: инвестициите за постигане на специфичните цели на договора, първоначалните инвестиции и инвестициите през срока на концесията (като напр. разходи за инфраструктура, авторски права, патенти, оборудване, логистика, наемане и обучение на персонал), възможностите на актива да генерира приход, таксите за използване на строежа или услугата и разходите за експлоатация и поддръжка на актива.</w:t>
      </w:r>
    </w:p>
    <w:p w14:paraId="1B268B76" w14:textId="65F2D32F" w:rsidR="000C5C5A" w:rsidRPr="00805152" w:rsidRDefault="000C5C5A" w:rsidP="00891DC0">
      <w:pPr>
        <w:autoSpaceDE w:val="0"/>
        <w:autoSpaceDN w:val="0"/>
        <w:adjustRightInd w:val="0"/>
        <w:spacing w:after="0" w:line="360" w:lineRule="auto"/>
        <w:ind w:firstLine="708"/>
        <w:rPr>
          <w:rFonts w:ascii="Times New Roman" w:eastAsia="Times New Roman" w:hAnsi="Times New Roman"/>
          <w:color w:val="000000"/>
          <w:sz w:val="22"/>
          <w:lang w:val="bg-BG" w:eastAsia="bg-BG"/>
        </w:rPr>
      </w:pPr>
      <w:r w:rsidRPr="00805152">
        <w:rPr>
          <w:rFonts w:ascii="Times New Roman" w:eastAsia="Times New Roman" w:hAnsi="Times New Roman"/>
          <w:color w:val="000000"/>
          <w:sz w:val="22"/>
          <w:lang w:val="bg-BG" w:eastAsia="bg-BG"/>
        </w:rPr>
        <w:t xml:space="preserve">С оглед предвижданията на проекта на генерален план, особено в частта Пътнически терминал, теоретично дори и максималният 35-годишен срок (съгл. чл. 34, ал. 1 от ЗК), който срок не може да не бъде функция от финансово-икономическите показатели на концесията и техническите и/или технологичните особености на обекта на концесията и/или на управлението на услугата от обществен интерес не е достатъчното време „необходимо на концесионера“ по см. на чл. 34, ал. 3 от ЗК „за възвръщане на направените инвестиции и на разходите по експлоатация на строежа или на услугите и за получаване на доход от вложения капитал, при отчитане на прогнозирания икономически баланс и на цената на услугите, които ще се предоставят“ и да получи доход от вложения капитал при нормални условия на експлоатация и при поетите от него рискове. </w:t>
      </w:r>
      <w:r w:rsidRPr="00805152">
        <w:rPr>
          <w:rFonts w:ascii="Times New Roman" w:eastAsia="Times New Roman" w:hAnsi="Times New Roman"/>
          <w:i/>
          <w:color w:val="000000"/>
          <w:sz w:val="22"/>
          <w:lang w:val="bg-BG" w:eastAsia="bg-BG"/>
        </w:rPr>
        <w:t xml:space="preserve">Затова и Директивата за концесиите принципно не предвижда уредба на възприетия от ЗК институт на плащане от концесионера към концедента, тъй като това плащане би се включило в разходите на концесионера по изпълнението на дейностите по концесията, а това би довело до ненужно удължаване на срока, за да може концесионерът да си възвърне инвестициите. </w:t>
      </w:r>
      <w:r w:rsidRPr="00805152">
        <w:rPr>
          <w:rFonts w:ascii="Times New Roman" w:eastAsia="Times New Roman" w:hAnsi="Times New Roman"/>
          <w:color w:val="000000"/>
          <w:sz w:val="22"/>
          <w:lang w:val="bg-BG" w:eastAsia="bg-BG"/>
        </w:rPr>
        <w:t xml:space="preserve">Тази констатация се отнася не само по отношение на евентуален бъдещ обект на концесия в обхват Пътнически терминал (от 1-во до 7-мо кейово място място със съответния тил (до границата на ПИ с идентификатор 07079.618.1083 „зона за бъдещо развитие“), но и при евентуален бъдещ обект на концесия в обхват Пътнически и Товарен терминал от 1 к. м. до 14 к. м. със съответен тил, след законово изменение или в случай, че концедентът обоснове теза, даваща </w:t>
      </w:r>
      <w:r w:rsidR="00B842D5" w:rsidRPr="00805152">
        <w:rPr>
          <w:rFonts w:ascii="Times New Roman" w:eastAsia="Times New Roman" w:hAnsi="Times New Roman"/>
          <w:color w:val="000000"/>
          <w:sz w:val="22"/>
          <w:lang w:val="bg-BG" w:eastAsia="bg-BG"/>
        </w:rPr>
        <w:t>характеристиките</w:t>
      </w:r>
      <w:r w:rsidRPr="00805152">
        <w:rPr>
          <w:rFonts w:ascii="Times New Roman" w:eastAsia="Times New Roman" w:hAnsi="Times New Roman"/>
          <w:color w:val="000000"/>
          <w:sz w:val="22"/>
          <w:lang w:val="bg-BG" w:eastAsia="bg-BG"/>
        </w:rPr>
        <w:t xml:space="preserve"> на мола като принадлежност към обекта на концесията или обоснове функционална </w:t>
      </w:r>
      <w:r w:rsidRPr="00805152">
        <w:rPr>
          <w:rFonts w:ascii="Times New Roman" w:eastAsia="Times New Roman" w:hAnsi="Times New Roman"/>
          <w:color w:val="000000"/>
          <w:sz w:val="22"/>
          <w:lang w:val="bg-BG" w:eastAsia="bg-BG"/>
        </w:rPr>
        <w:lastRenderedPageBreak/>
        <w:t>свързаност по см. на чл. 15, ал. 1 и 2 ЗК</w:t>
      </w:r>
      <w:r w:rsidRPr="00805152">
        <w:rPr>
          <w:rFonts w:ascii="Times New Roman" w:eastAsia="Times New Roman" w:hAnsi="Times New Roman"/>
          <w:color w:val="000000"/>
          <w:sz w:val="22"/>
          <w:vertAlign w:val="superscript"/>
          <w:lang w:val="bg-BG" w:eastAsia="bg-BG"/>
        </w:rPr>
        <w:footnoteReference w:id="10"/>
      </w:r>
      <w:r w:rsidRPr="00805152">
        <w:rPr>
          <w:rFonts w:ascii="Times New Roman" w:eastAsia="Times New Roman" w:hAnsi="Times New Roman"/>
          <w:color w:val="000000"/>
          <w:sz w:val="22"/>
          <w:lang w:val="bg-BG" w:eastAsia="bg-BG"/>
        </w:rPr>
        <w:t xml:space="preserve"> (чл. 117в, ал. 1 ЗМПВВППРБ позволява концесия да се възложи върху един или повече терминали – държавна собственост от пристанище за обществен </w:t>
      </w:r>
      <w:r w:rsidR="00B842D5" w:rsidRPr="00805152">
        <w:rPr>
          <w:rFonts w:ascii="Times New Roman" w:eastAsia="Times New Roman" w:hAnsi="Times New Roman"/>
          <w:color w:val="000000"/>
          <w:sz w:val="22"/>
          <w:lang w:val="bg-BG" w:eastAsia="bg-BG"/>
        </w:rPr>
        <w:t>транспорт.</w:t>
      </w:r>
    </w:p>
    <w:p w14:paraId="30C0DB6D" w14:textId="77777777" w:rsidR="000C5C5A" w:rsidRPr="00805152" w:rsidRDefault="000C5C5A" w:rsidP="00891DC0">
      <w:pPr>
        <w:spacing w:after="0" w:line="360" w:lineRule="auto"/>
        <w:ind w:firstLine="708"/>
        <w:rPr>
          <w:rFonts w:ascii="Times New Roman" w:eastAsiaTheme="minorHAnsi" w:hAnsi="Times New Roman"/>
          <w:sz w:val="22"/>
          <w:lang w:val="bg-BG"/>
        </w:rPr>
      </w:pPr>
      <w:r w:rsidRPr="00805152">
        <w:rPr>
          <w:rFonts w:ascii="Times New Roman" w:eastAsiaTheme="minorHAnsi" w:hAnsi="Times New Roman"/>
          <w:sz w:val="22"/>
          <w:lang w:val="bg-BG"/>
        </w:rPr>
        <w:t>Смятаме, че принципна реализация на предвижданията на генералния план в обхват от 1-во до 14-то кейово място би била възможна (алтернативно):</w:t>
      </w:r>
    </w:p>
    <w:p w14:paraId="71AEA8DB" w14:textId="77777777" w:rsidR="000C5C5A" w:rsidRPr="00805152" w:rsidRDefault="000C5C5A" w:rsidP="00891DC0">
      <w:pPr>
        <w:spacing w:after="0" w:line="360" w:lineRule="auto"/>
        <w:ind w:firstLine="708"/>
        <w:rPr>
          <w:rFonts w:ascii="Times New Roman" w:eastAsiaTheme="minorEastAsia" w:hAnsi="Times New Roman"/>
          <w:sz w:val="22"/>
          <w:shd w:val="clear" w:color="auto" w:fill="FFFFFF"/>
          <w:lang w:val="bg-BG" w:eastAsia="bg-BG"/>
        </w:rPr>
      </w:pPr>
      <w:r w:rsidRPr="00805152">
        <w:rPr>
          <w:rFonts w:ascii="Times New Roman" w:eastAsiaTheme="minorHAnsi" w:hAnsi="Times New Roman"/>
          <w:b/>
          <w:sz w:val="22"/>
          <w:lang w:val="bg-BG"/>
        </w:rPr>
        <w:t>а)</w:t>
      </w:r>
      <w:r w:rsidRPr="00805152">
        <w:rPr>
          <w:rFonts w:ascii="Times New Roman" w:eastAsiaTheme="minorHAnsi" w:hAnsi="Times New Roman"/>
          <w:sz w:val="22"/>
          <w:lang w:val="bg-BG"/>
        </w:rPr>
        <w:t xml:space="preserve"> при законова промяна в специалния ЗМПВВППРБ, която да предвиди „друг срок“ по см. на чл. 34, ал. 1 от Закона за концесиите;</w:t>
      </w:r>
    </w:p>
    <w:p w14:paraId="5490C59B" w14:textId="77777777" w:rsidR="000C5C5A" w:rsidRPr="00805152" w:rsidRDefault="000C5C5A" w:rsidP="00891DC0">
      <w:pPr>
        <w:spacing w:after="0" w:line="360" w:lineRule="auto"/>
        <w:ind w:firstLine="708"/>
        <w:rPr>
          <w:rFonts w:ascii="Times New Roman" w:eastAsiaTheme="minorHAnsi" w:hAnsi="Times New Roman"/>
          <w:sz w:val="22"/>
          <w:lang w:val="bg-BG"/>
        </w:rPr>
      </w:pPr>
      <w:r w:rsidRPr="00805152">
        <w:rPr>
          <w:rFonts w:ascii="Times New Roman" w:eastAsiaTheme="minorHAnsi" w:hAnsi="Times New Roman"/>
          <w:b/>
          <w:sz w:val="22"/>
          <w:lang w:val="bg-BG"/>
        </w:rPr>
        <w:t xml:space="preserve">б) </w:t>
      </w:r>
      <w:r w:rsidRPr="00805152">
        <w:rPr>
          <w:rFonts w:ascii="Times New Roman" w:eastAsiaTheme="minorHAnsi" w:hAnsi="Times New Roman"/>
          <w:sz w:val="22"/>
          <w:lang w:val="bg-BG"/>
        </w:rPr>
        <w:t>промяна в специалния ЗМПВВППРБ във връзка с разпоредбите на ЗДС. Съгласно чл. 7, ал. 1 от ЗДС „имотите и вещите – публична държавна собственост, не могат да бъдат обект на разпореждане“ – те са вещи извън гражданския оборот (res extra commercio), които целят обслужване само и единствено на интересите на обществото. Ал. 5 на същия член предвижда в случаите и при условията, определени със закон, с решение на Министерския съвет върху имоти – изключителна и публична държавна собственост да може да се учредяват ограничени вещни права (в т. ч. и срочно ограничено вещно право на строеж – чл. 65 от Закона за собствеността), когато това е необходимо за изграждане на национален обект, респ. за трайно задоволяване на обществени потребности</w:t>
      </w:r>
      <w:r w:rsidRPr="00805152">
        <w:rPr>
          <w:rFonts w:ascii="Times New Roman" w:eastAsiaTheme="minorHAnsi" w:hAnsi="Times New Roman"/>
          <w:b/>
          <w:sz w:val="22"/>
          <w:lang w:val="bg-BG"/>
        </w:rPr>
        <w:t xml:space="preserve"> (</w:t>
      </w:r>
      <w:r w:rsidRPr="00805152">
        <w:rPr>
          <w:rFonts w:ascii="Times New Roman" w:eastAsiaTheme="minorHAnsi" w:hAnsi="Times New Roman"/>
          <w:sz w:val="22"/>
          <w:lang w:val="bg-BG"/>
        </w:rPr>
        <w:t>пример за „случаи и условия, определени в закон по см на чл. 7, ал. 5 от ЗДС са чл</w:t>
      </w:r>
      <w:r w:rsidRPr="00805152">
        <w:rPr>
          <w:rFonts w:ascii="Times New Roman" w:eastAsiaTheme="minorEastAsia" w:hAnsi="Times New Roman"/>
          <w:sz w:val="22"/>
          <w:lang w:val="bg-BG" w:eastAsia="bg-BG"/>
        </w:rPr>
        <w:t xml:space="preserve">. 113 и сл. от Закона за физическото възпитание и спорта (обн. ДВ, бр. 86 от 2018 г. посл. изм. и доп. ДВ, бр. 96 от 2020 г.). </w:t>
      </w:r>
      <w:r w:rsidRPr="00805152">
        <w:rPr>
          <w:rFonts w:ascii="Times New Roman" w:eastAsiaTheme="minorHAnsi" w:hAnsi="Times New Roman"/>
          <w:sz w:val="22"/>
          <w:lang w:val="bg-BG"/>
        </w:rPr>
        <w:t xml:space="preserve">Промяна в специалния ЗМПВВППРБ може да конкретизира на законово ниво „случаите и условията“ по см. на чл. 7, ал. 5 от ЗДС. </w:t>
      </w:r>
    </w:p>
    <w:p w14:paraId="50F9A273" w14:textId="77777777" w:rsidR="000C5C5A" w:rsidRPr="00805152" w:rsidRDefault="000C5C5A" w:rsidP="00891DC0">
      <w:pPr>
        <w:spacing w:after="0" w:line="360" w:lineRule="auto"/>
        <w:ind w:firstLine="708"/>
        <w:rPr>
          <w:rFonts w:ascii="Times New Roman" w:eastAsiaTheme="minorEastAsia" w:hAnsi="Times New Roman"/>
          <w:sz w:val="22"/>
          <w:lang w:val="bg-BG" w:eastAsia="bg-BG"/>
        </w:rPr>
      </w:pPr>
      <w:r w:rsidRPr="00805152">
        <w:rPr>
          <w:rFonts w:ascii="Times New Roman" w:eastAsiaTheme="minorHAnsi" w:hAnsi="Times New Roman"/>
          <w:b/>
          <w:sz w:val="22"/>
          <w:lang w:val="bg-BG"/>
        </w:rPr>
        <w:t>в)</w:t>
      </w:r>
      <w:r w:rsidRPr="00805152">
        <w:rPr>
          <w:rFonts w:ascii="Times New Roman" w:eastAsiaTheme="minorHAnsi" w:hAnsi="Times New Roman"/>
          <w:sz w:val="22"/>
          <w:lang w:val="bg-BG"/>
        </w:rPr>
        <w:t xml:space="preserve"> ако едновременно с това в ЗМПВВППРБ бъде предвиден и „друг срок“ по см. на чл. 34, ал. 1 от ЗК ще се въведе по същество и модела на BOT („Build, operate, transfer“) концесията: когато правото на собственост върху постройката бъде установено/учредено със срок, след изтичането на същия собствеността върху сградата ще може да премине безвъзмездно върху собственика на земята (държавата). Налице ще е еквивалентност на двете насрещни престации по договора за концесия: държавата придобива правото на собственост върху построеното от концесионера с негови средства </w:t>
      </w:r>
      <w:r w:rsidRPr="00805152">
        <w:rPr>
          <w:rFonts w:ascii="Times New Roman" w:eastAsiaTheme="minorHAnsi" w:hAnsi="Times New Roman"/>
          <w:sz w:val="22"/>
          <w:lang w:val="bg-BG"/>
        </w:rPr>
        <w:lastRenderedPageBreak/>
        <w:t xml:space="preserve">безвъзмездно, а той е получавал ползите от вещта за срока на концесията. </w:t>
      </w:r>
      <w:r w:rsidRPr="00805152">
        <w:rPr>
          <w:rFonts w:ascii="Times New Roman" w:eastAsiaTheme="minorEastAsia" w:hAnsi="Times New Roman"/>
          <w:sz w:val="22"/>
          <w:lang w:val="bg-BG" w:eastAsia="bg-BG"/>
        </w:rPr>
        <w:t xml:space="preserve">В тези случаи със ЗК или ЗМПВВППРБ би трябвало да се въведе и забрана за разпореждане със строежа по време на договора. </w:t>
      </w:r>
    </w:p>
    <w:p w14:paraId="13D9F923" w14:textId="77777777" w:rsidR="000C5C5A" w:rsidRPr="00805152" w:rsidRDefault="000C5C5A" w:rsidP="00891DC0">
      <w:pPr>
        <w:spacing w:after="0" w:line="360" w:lineRule="auto"/>
        <w:ind w:firstLine="708"/>
        <w:rPr>
          <w:rFonts w:ascii="Times New Roman" w:eastAsiaTheme="minorEastAsia" w:hAnsi="Times New Roman"/>
          <w:b/>
          <w:bCs/>
          <w:sz w:val="22"/>
          <w:lang w:val="bg-BG" w:eastAsia="bg-BG"/>
        </w:rPr>
      </w:pPr>
      <w:r w:rsidRPr="00805152">
        <w:rPr>
          <w:rFonts w:ascii="Times New Roman" w:eastAsiaTheme="minorEastAsia" w:hAnsi="Times New Roman"/>
          <w:sz w:val="22"/>
          <w:lang w:val="bg-BG" w:eastAsia="bg-BG"/>
        </w:rPr>
        <w:t>Само така предвижданията на генералния план в обхват от 1-во до 14-то кейово място биха могли да бъдат реализирани, наред с механизмите на концесията и посредством апортирането на срочните ограничени вещни права на строеж по см. на чл. 65 от ЗС в търговски дружества (в т. ч. и „Зона за обществен достъп Бургас“ АД), получили лиценз за извършване на дейност като дружества със специална инвестиционна цел по реда на Закона за дружествата със специална инвестиционна цел и за дружествата за секюритизация (обн. ДВ, бр. 21 от 2021 г., посл. изм. и доп. ДВ, бр. 51 от 2022 г.).</w:t>
      </w:r>
    </w:p>
    <w:p w14:paraId="2C3761A6" w14:textId="77777777" w:rsidR="000C5C5A" w:rsidRPr="00805152" w:rsidRDefault="000C5C5A" w:rsidP="00891DC0">
      <w:pPr>
        <w:spacing w:after="0" w:line="360" w:lineRule="auto"/>
        <w:ind w:firstLine="708"/>
        <w:rPr>
          <w:rFonts w:ascii="Times New Roman" w:eastAsiaTheme="minorHAnsi" w:hAnsi="Times New Roman"/>
          <w:sz w:val="22"/>
          <w:lang w:val="bg-BG"/>
        </w:rPr>
      </w:pPr>
      <w:r w:rsidRPr="00805152">
        <w:rPr>
          <w:rFonts w:ascii="Times New Roman" w:eastAsiaTheme="minorHAnsi" w:hAnsi="Times New Roman"/>
          <w:sz w:val="22"/>
          <w:lang w:val="bg-BG"/>
        </w:rPr>
        <w:t xml:space="preserve">В подкрепа на така направените констатации могат да се приведат и други допълнителни аргументи: </w:t>
      </w:r>
    </w:p>
    <w:p w14:paraId="63A9DE0A" w14:textId="77777777" w:rsidR="000C5C5A" w:rsidRPr="00805152" w:rsidRDefault="000C5C5A" w:rsidP="00891DC0">
      <w:pPr>
        <w:spacing w:after="0" w:line="360" w:lineRule="auto"/>
        <w:ind w:firstLine="708"/>
        <w:rPr>
          <w:rFonts w:ascii="Times New Roman" w:eastAsiaTheme="minorEastAsia" w:hAnsi="Times New Roman"/>
          <w:sz w:val="22"/>
          <w:lang w:val="bg-BG" w:eastAsia="bg-BG"/>
        </w:rPr>
      </w:pPr>
      <w:r w:rsidRPr="00805152">
        <w:rPr>
          <w:rFonts w:ascii="Times New Roman" w:eastAsiaTheme="minorHAnsi" w:hAnsi="Times New Roman"/>
          <w:b/>
          <w:sz w:val="22"/>
          <w:lang w:val="bg-BG"/>
        </w:rPr>
        <w:t>а)</w:t>
      </w:r>
      <w:r w:rsidRPr="00805152">
        <w:rPr>
          <w:rFonts w:ascii="Times New Roman" w:eastAsiaTheme="minorHAnsi" w:hAnsi="Times New Roman"/>
          <w:sz w:val="22"/>
          <w:lang w:val="bg-BG"/>
        </w:rPr>
        <w:t xml:space="preserve"> съгласно </w:t>
      </w:r>
      <w:hyperlink r:id="rId48" w:anchor="p37666038" w:tgtFrame="_blank" w:history="1">
        <w:r w:rsidRPr="00805152">
          <w:rPr>
            <w:rFonts w:ascii="Times New Roman" w:eastAsiaTheme="minorEastAsia" w:hAnsi="Times New Roman"/>
            <w:sz w:val="22"/>
            <w:lang w:val="bg-BG" w:eastAsia="bg-BG"/>
          </w:rPr>
          <w:t>чл. 115м, ал. 1</w:t>
        </w:r>
      </w:hyperlink>
      <w:r w:rsidRPr="00805152">
        <w:rPr>
          <w:rFonts w:ascii="Times New Roman" w:eastAsiaTheme="minorEastAsia" w:hAnsi="Times New Roman"/>
          <w:sz w:val="22"/>
          <w:lang w:val="bg-BG" w:eastAsia="bg-BG"/>
        </w:rPr>
        <w:t xml:space="preserve">, т. 19 от ЗМПВВППРБ предметът на дейност на държавното предприятие включва и </w:t>
      </w:r>
      <w:r w:rsidRPr="00805152">
        <w:rPr>
          <w:rFonts w:ascii="Times New Roman" w:eastAsiaTheme="minorEastAsia" w:hAnsi="Times New Roman"/>
          <w:iCs/>
          <w:sz w:val="22"/>
          <w:lang w:val="bg-BG" w:eastAsia="bg-BG"/>
        </w:rPr>
        <w:t xml:space="preserve">поддържане на сили и средства за участие в спасителни и неотложни аварийно-възстановителни работи, извършвани в акваториите на пристанищата по чл. 106а и на пристанищата за обществен транспорт в съответствие с Националния план за защита при бедствия. </w:t>
      </w:r>
      <w:r w:rsidRPr="00805152">
        <w:rPr>
          <w:rFonts w:ascii="Times New Roman" w:eastAsiaTheme="minorEastAsia" w:hAnsi="Times New Roman"/>
          <w:sz w:val="22"/>
          <w:lang w:val="bg-BG" w:eastAsia="bg-BG"/>
        </w:rPr>
        <w:t>За изпълнението на тази част от предмета на дейност Държавно предприятие „Пристанищна инфраструктура“ следва да разполага с територия извън обекта на евентуална бъдеща концесия, което е допълнителен аргумент в подкрепа на допускането, че за още една съществена част от т. нар. Зона за обществен достъп в рамките на Пътническия, респ. Зона за бъдещо развитие или товарен терминал няма да бъде възложена концесия;</w:t>
      </w:r>
    </w:p>
    <w:p w14:paraId="06B82371" w14:textId="77777777" w:rsidR="000C5C5A" w:rsidRPr="00805152" w:rsidRDefault="000C5C5A" w:rsidP="00891DC0">
      <w:pPr>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b/>
          <w:sz w:val="22"/>
          <w:lang w:val="bg-BG" w:eastAsia="bg-BG"/>
        </w:rPr>
        <w:t xml:space="preserve">б) </w:t>
      </w:r>
      <w:r w:rsidRPr="00805152">
        <w:rPr>
          <w:rFonts w:ascii="Times New Roman" w:eastAsiaTheme="minorEastAsia" w:hAnsi="Times New Roman"/>
          <w:sz w:val="22"/>
          <w:lang w:val="bg-BG" w:eastAsia="bg-BG"/>
        </w:rPr>
        <w:t>друга съществена част от Пътническия терминал е предвидена според проекта за изменение на генералния план за нуждите на ИА „Морска администрация“. Целта на отделянето на имот, в т. ч. и от бъдещ обект на концесия е обезпечаване на изпълнението на законовите ангажименти на Изпълнителна агенция „Морска администрация“ при организацията и координирането на дейностите по осигуряване безопасността на корабоплаването в морските пространства, в т. ч. и организирането и координирането на  търсене и спасяване на търпящи бедствие хора, кораби и самолети в българския морски отговорен район за търсене и спасяване, респ. участието в Единната спасителна система със сили и средства при бедствия на море, като по този начин се избягва насичане на територията, посредством съсредоточения аварийно-спасителен център се гарантира максимално бърза реакция на плавателните средства, без да се движат през акваторията и без да се засягат маневрите на корабите и кея; достъпът до аварийно-спасителния център се извършва по вече изграден път и разполагането му до трафик кулата и онази част от територията на терминала, която следва да бъде извадена така или иначе от обекта на концесия, в т. ч. и  със съществуващия слип, респ. вълнолома като обща част няма да създава затруднения при бъдещата експлоатация;</w:t>
      </w:r>
    </w:p>
    <w:p w14:paraId="6134588D" w14:textId="77777777" w:rsidR="000C5C5A" w:rsidRPr="00805152" w:rsidRDefault="000C5C5A" w:rsidP="00891DC0">
      <w:pPr>
        <w:shd w:val="clear" w:color="auto" w:fill="FFFFFF"/>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b/>
          <w:bCs/>
          <w:sz w:val="22"/>
          <w:lang w:val="bg-BG" w:eastAsia="bg-BG"/>
        </w:rPr>
        <w:lastRenderedPageBreak/>
        <w:t xml:space="preserve">в) </w:t>
      </w:r>
      <w:r w:rsidRPr="00805152">
        <w:rPr>
          <w:rFonts w:ascii="Times New Roman" w:eastAsiaTheme="minorEastAsia" w:hAnsi="Times New Roman"/>
          <w:bCs/>
          <w:iCs/>
          <w:sz w:val="22"/>
          <w:lang w:val="bg-BG" w:eastAsia="bg-BG"/>
        </w:rPr>
        <w:t xml:space="preserve">Пристанищен терминал „Бургас – Изток 1“, като национален обект по смисъла на § 1 от ДР на ЗДС: </w:t>
      </w:r>
      <w:r w:rsidRPr="00805152">
        <w:rPr>
          <w:rFonts w:ascii="Times New Roman" w:eastAsiaTheme="minorEastAsia" w:hAnsi="Times New Roman"/>
          <w:sz w:val="22"/>
          <w:lang w:val="bg-BG" w:eastAsia="bg-BG"/>
        </w:rPr>
        <w:t xml:space="preserve">Легално определение за „национален обект“ е дадено в § 1 от ДР на ЗДС </w:t>
      </w:r>
      <w:r w:rsidRPr="00805152">
        <w:rPr>
          <w:rFonts w:ascii="Times New Roman" w:eastAsiaTheme="minorEastAsia" w:hAnsi="Times New Roman"/>
          <w:sz w:val="22"/>
          <w:shd w:val="clear" w:color="auto" w:fill="FFFFFF"/>
          <w:lang w:val="bg-BG" w:eastAsia="bg-BG"/>
        </w:rPr>
        <w:t>(изм. - ДВ, бр. 63 от 2003 г., бр. 41 от 2007 г., бр. 87 от 2010 г., доп., бр. 21 от 2018 г., в сила от 9.03.2018 г., бр. 44 от 2019 г., изм., бр. 21 от 2021 г.) "</w:t>
      </w:r>
      <w:bookmarkStart w:id="95" w:name="ld20761"/>
      <w:r w:rsidRPr="00805152">
        <w:rPr>
          <w:rFonts w:ascii="Times New Roman" w:eastAsiaTheme="minorEastAsia" w:hAnsi="Times New Roman"/>
          <w:b/>
          <w:sz w:val="22"/>
          <w:shd w:val="clear" w:color="auto" w:fill="FFFFFF"/>
          <w:lang w:val="bg-BG" w:eastAsia="bg-BG"/>
        </w:rPr>
        <w:t>Национален обект</w:t>
      </w:r>
      <w:bookmarkEnd w:id="95"/>
      <w:r w:rsidRPr="00805152">
        <w:rPr>
          <w:rFonts w:ascii="Times New Roman" w:eastAsiaTheme="minorEastAsia" w:hAnsi="Times New Roman"/>
          <w:b/>
          <w:sz w:val="22"/>
          <w:shd w:val="clear" w:color="auto" w:fill="FFFFFF"/>
          <w:lang w:val="bg-BG" w:eastAsia="bg-BG"/>
        </w:rPr>
        <w:t>" е обект</w:t>
      </w:r>
      <w:r w:rsidRPr="00805152">
        <w:rPr>
          <w:rFonts w:ascii="Times New Roman" w:eastAsiaTheme="minorEastAsia" w:hAnsi="Times New Roman"/>
          <w:sz w:val="22"/>
          <w:shd w:val="clear" w:color="auto" w:fill="FFFFFF"/>
          <w:lang w:val="bg-BG" w:eastAsia="bg-BG"/>
        </w:rPr>
        <w:t xml:space="preserve">, определен като такъв със закон, </w:t>
      </w:r>
      <w:r w:rsidRPr="00805152">
        <w:rPr>
          <w:rFonts w:ascii="Times New Roman" w:eastAsiaTheme="minorEastAsia" w:hAnsi="Times New Roman"/>
          <w:b/>
          <w:sz w:val="22"/>
          <w:shd w:val="clear" w:color="auto" w:fill="FFFFFF"/>
          <w:lang w:val="bg-BG" w:eastAsia="bg-BG"/>
        </w:rPr>
        <w:t>както и инфраструктурни обекти: изграждане и преустройство на транспортно-комуникационни мрежи и съоръжения -</w:t>
      </w:r>
      <w:r w:rsidRPr="00805152">
        <w:rPr>
          <w:rFonts w:ascii="Times New Roman" w:eastAsiaTheme="minorEastAsia" w:hAnsi="Times New Roman"/>
          <w:sz w:val="22"/>
          <w:shd w:val="clear" w:color="auto" w:fill="FFFFFF"/>
          <w:lang w:val="bg-BG" w:eastAsia="bg-BG"/>
        </w:rPr>
        <w:t xml:space="preserve"> пътища от републиканската пътна мрежа, железопътни линии и обекти на железопътната инфраструктура, </w:t>
      </w:r>
      <w:r w:rsidRPr="00805152">
        <w:rPr>
          <w:rFonts w:ascii="Times New Roman" w:eastAsiaTheme="minorEastAsia" w:hAnsi="Times New Roman"/>
          <w:b/>
          <w:sz w:val="22"/>
          <w:shd w:val="clear" w:color="auto" w:fill="FFFFFF"/>
          <w:lang w:val="bg-BG" w:eastAsia="bg-BG"/>
        </w:rPr>
        <w:t>пристанища</w:t>
      </w:r>
      <w:r w:rsidRPr="00805152">
        <w:rPr>
          <w:rFonts w:ascii="Times New Roman" w:eastAsiaTheme="minorEastAsia" w:hAnsi="Times New Roman"/>
          <w:sz w:val="22"/>
          <w:shd w:val="clear" w:color="auto" w:fill="FFFFFF"/>
          <w:lang w:val="bg-BG" w:eastAsia="bg-BG"/>
        </w:rPr>
        <w:t xml:space="preserve">, летища </w:t>
      </w:r>
      <w:r w:rsidRPr="00805152">
        <w:rPr>
          <w:rFonts w:ascii="Times New Roman" w:eastAsiaTheme="minorEastAsia" w:hAnsi="Times New Roman"/>
          <w:b/>
          <w:sz w:val="22"/>
          <w:shd w:val="clear" w:color="auto" w:fill="FFFFFF"/>
          <w:lang w:val="bg-BG" w:eastAsia="bg-BG"/>
        </w:rPr>
        <w:t>и съоръжения към тях</w:t>
      </w:r>
      <w:r w:rsidRPr="00805152">
        <w:rPr>
          <w:rFonts w:ascii="Times New Roman" w:eastAsiaTheme="minorEastAsia" w:hAnsi="Times New Roman"/>
          <w:sz w:val="22"/>
          <w:shd w:val="clear" w:color="auto" w:fill="FFFFFF"/>
          <w:lang w:val="bg-BG" w:eastAsia="bg-BG"/>
        </w:rPr>
        <w:t>; на други мрежи и съоръжения на техническата инфраструктура - водоснабдяване, канализация, пречистване на питейни и отпадъчни води, третиране на отпадъци, електрификация, топлофикация, газификация и електронни съобщителни мрежи и физическата инфраструктура за разполагането им, индустриални зони, технологични паркове или индустриални паркове по </w:t>
      </w:r>
      <w:hyperlink r:id="rId49" w:tgtFrame="_blank" w:history="1">
        <w:r w:rsidRPr="00805152">
          <w:rPr>
            <w:rFonts w:ascii="Times New Roman" w:eastAsiaTheme="minorEastAsia" w:hAnsi="Times New Roman"/>
            <w:sz w:val="22"/>
            <w:shd w:val="clear" w:color="auto" w:fill="FFFFFF"/>
            <w:lang w:val="bg-BG" w:eastAsia="bg-BG"/>
          </w:rPr>
          <w:t>Закона за индустриалните паркове</w:t>
        </w:r>
      </w:hyperlink>
      <w:r w:rsidRPr="00805152">
        <w:rPr>
          <w:rFonts w:ascii="Times New Roman" w:eastAsiaTheme="minorEastAsia" w:hAnsi="Times New Roman"/>
          <w:sz w:val="22"/>
          <w:shd w:val="clear" w:color="auto" w:fill="FFFFFF"/>
          <w:lang w:val="bg-BG" w:eastAsia="bg-BG"/>
        </w:rPr>
        <w:t xml:space="preserve"> с необходимата техническа инфраструктура за привличане на инвестиции, </w:t>
      </w:r>
      <w:r w:rsidRPr="00805152">
        <w:rPr>
          <w:rFonts w:ascii="Times New Roman" w:eastAsiaTheme="minorEastAsia" w:hAnsi="Times New Roman"/>
          <w:b/>
          <w:sz w:val="22"/>
          <w:shd w:val="clear" w:color="auto" w:fill="FFFFFF"/>
          <w:lang w:val="bg-BG" w:eastAsia="bg-BG"/>
        </w:rPr>
        <w:t>определени като национални обекти с решение на Министерския съвет</w:t>
      </w:r>
      <w:r w:rsidRPr="00805152">
        <w:rPr>
          <w:rFonts w:ascii="Times New Roman" w:eastAsiaTheme="minorEastAsia" w:hAnsi="Times New Roman"/>
          <w:sz w:val="22"/>
          <w:shd w:val="clear" w:color="auto" w:fill="FFFFFF"/>
          <w:lang w:val="bg-BG" w:eastAsia="bg-BG"/>
        </w:rPr>
        <w:t>.</w:t>
      </w:r>
    </w:p>
    <w:p w14:paraId="30360366" w14:textId="77777777" w:rsidR="000C5C5A" w:rsidRPr="00805152" w:rsidRDefault="000C5C5A" w:rsidP="00891DC0">
      <w:pPr>
        <w:shd w:val="clear" w:color="auto" w:fill="FFFFFF"/>
        <w:spacing w:after="0" w:line="360" w:lineRule="auto"/>
        <w:ind w:firstLine="708"/>
        <w:rPr>
          <w:rFonts w:ascii="Times New Roman" w:eastAsiaTheme="minorHAnsi" w:hAnsi="Times New Roman"/>
          <w:sz w:val="22"/>
          <w:lang w:val="bg-BG"/>
        </w:rPr>
      </w:pPr>
      <w:r w:rsidRPr="00805152">
        <w:rPr>
          <w:rFonts w:ascii="Times New Roman" w:eastAsiaTheme="minorEastAsia" w:hAnsi="Times New Roman"/>
          <w:sz w:val="22"/>
          <w:lang w:val="bg-BG" w:eastAsia="bg-BG"/>
        </w:rPr>
        <w:t>Анализът на това легално определение показва, че „Национален обект“ по смисъла на § 1 от ДР от ЗДС са националните обекти, определени като такива със закон, напр. автомагистралите и скоростните пътища (</w:t>
      </w:r>
      <w:hyperlink r:id="rId50" w:history="1">
        <w:r w:rsidRPr="00805152">
          <w:rPr>
            <w:rFonts w:ascii="Times New Roman" w:eastAsiaTheme="minorEastAsia" w:hAnsi="Times New Roman"/>
            <w:sz w:val="22"/>
            <w:lang w:val="bg-BG" w:eastAsia="bg-BG"/>
          </w:rPr>
          <w:t>чл. 3</w:t>
        </w:r>
      </w:hyperlink>
      <w:r w:rsidRPr="00805152">
        <w:rPr>
          <w:rFonts w:ascii="Times New Roman" w:eastAsiaTheme="minorEastAsia" w:hAnsi="Times New Roman"/>
          <w:sz w:val="22"/>
          <w:lang w:val="bg-BG" w:eastAsia="bg-BG"/>
        </w:rPr>
        <w:t>, ал. 7 и 8 от </w:t>
      </w:r>
      <w:hyperlink r:id="rId51" w:history="1">
        <w:r w:rsidRPr="00805152">
          <w:rPr>
            <w:rFonts w:ascii="Times New Roman" w:eastAsiaTheme="minorEastAsia" w:hAnsi="Times New Roman"/>
            <w:sz w:val="22"/>
            <w:lang w:val="bg-BG" w:eastAsia="bg-BG"/>
          </w:rPr>
          <w:t>Закона за пътищата</w:t>
        </w:r>
      </w:hyperlink>
      <w:r w:rsidRPr="00805152">
        <w:rPr>
          <w:rFonts w:ascii="Times New Roman" w:eastAsiaTheme="minorEastAsia" w:hAnsi="Times New Roman"/>
          <w:sz w:val="22"/>
          <w:lang w:val="bg-BG" w:eastAsia="bg-BG"/>
        </w:rPr>
        <w:t>) и железопътните магистрали (</w:t>
      </w:r>
      <w:hyperlink r:id="rId52" w:history="1">
        <w:r w:rsidRPr="00805152">
          <w:rPr>
            <w:rFonts w:ascii="Times New Roman" w:eastAsiaTheme="minorEastAsia" w:hAnsi="Times New Roman"/>
            <w:sz w:val="22"/>
            <w:lang w:val="bg-BG" w:eastAsia="bg-BG"/>
          </w:rPr>
          <w:t>чл. 29</w:t>
        </w:r>
      </w:hyperlink>
      <w:r w:rsidRPr="00805152">
        <w:rPr>
          <w:rFonts w:ascii="Times New Roman" w:eastAsiaTheme="minorEastAsia" w:hAnsi="Times New Roman"/>
          <w:sz w:val="22"/>
          <w:lang w:val="bg-BG" w:eastAsia="bg-BG"/>
        </w:rPr>
        <w:t>, ал. 1 от </w:t>
      </w:r>
      <w:hyperlink r:id="rId53" w:history="1">
        <w:r w:rsidRPr="00805152">
          <w:rPr>
            <w:rFonts w:ascii="Times New Roman" w:eastAsiaTheme="minorEastAsia" w:hAnsi="Times New Roman"/>
            <w:sz w:val="22"/>
            <w:lang w:val="bg-BG" w:eastAsia="bg-BG"/>
          </w:rPr>
          <w:t>Закона за железопътния транспорт</w:t>
        </w:r>
      </w:hyperlink>
      <w:r w:rsidRPr="00805152">
        <w:rPr>
          <w:rFonts w:ascii="Times New Roman" w:eastAsiaTheme="minorEastAsia" w:hAnsi="Times New Roman"/>
          <w:sz w:val="22"/>
          <w:lang w:val="bg-BG" w:eastAsia="bg-BG"/>
        </w:rPr>
        <w:t>)</w:t>
      </w:r>
      <w:r w:rsidRPr="00805152">
        <w:rPr>
          <w:rFonts w:ascii="Times New Roman" w:eastAsiaTheme="minorEastAsia" w:hAnsi="Times New Roman"/>
          <w:i/>
          <w:sz w:val="22"/>
          <w:lang w:val="bg-BG" w:eastAsia="bg-BG"/>
        </w:rPr>
        <w:t>,</w:t>
      </w:r>
      <w:r w:rsidRPr="00805152">
        <w:rPr>
          <w:rFonts w:ascii="Times New Roman" w:eastAsiaTheme="minorEastAsia" w:hAnsi="Times New Roman"/>
          <w:sz w:val="22"/>
          <w:lang w:val="bg-BG" w:eastAsia="bg-BG"/>
        </w:rPr>
        <w:t xml:space="preserve"> както и други обекти на техническата инфраструктура, определени като национални обекти с нарочен акт на Министерския съвет</w:t>
      </w:r>
      <w:r w:rsidRPr="00805152">
        <w:rPr>
          <w:rFonts w:ascii="Times New Roman" w:eastAsiaTheme="minorHAnsi" w:hAnsi="Times New Roman"/>
          <w:i/>
          <w:sz w:val="22"/>
          <w:lang w:val="bg-BG"/>
        </w:rPr>
        <w:t>)</w:t>
      </w:r>
      <w:r w:rsidRPr="00805152">
        <w:rPr>
          <w:rFonts w:ascii="Times New Roman" w:eastAsiaTheme="minorHAnsi" w:hAnsi="Times New Roman"/>
          <w:sz w:val="22"/>
          <w:lang w:val="bg-BG"/>
        </w:rPr>
        <w:t xml:space="preserve"> </w:t>
      </w:r>
      <w:r w:rsidRPr="00805152">
        <w:rPr>
          <w:rFonts w:ascii="Times New Roman" w:eastAsiaTheme="minorHAnsi" w:hAnsi="Times New Roman"/>
          <w:sz w:val="22"/>
          <w:vertAlign w:val="superscript"/>
          <w:lang w:val="bg-BG"/>
        </w:rPr>
        <w:footnoteReference w:id="11"/>
      </w:r>
      <w:r w:rsidRPr="00805152">
        <w:rPr>
          <w:rFonts w:ascii="Times New Roman" w:eastAsiaTheme="minorHAnsi" w:hAnsi="Times New Roman"/>
          <w:sz w:val="22"/>
          <w:lang w:val="bg-BG"/>
        </w:rPr>
        <w:t>, но и „инфраструктурни обекти: изграждане и преустройство на транспортно-комуникационни съоръжения“, сред които „пристанища и съоръжения към тях“.</w:t>
      </w:r>
    </w:p>
    <w:p w14:paraId="232D224B" w14:textId="45078D8D" w:rsidR="000C5C5A" w:rsidRPr="00805152" w:rsidRDefault="000C5C5A" w:rsidP="00891DC0">
      <w:pPr>
        <w:shd w:val="clear" w:color="auto" w:fill="FFFFFF"/>
        <w:spacing w:after="0" w:line="360" w:lineRule="auto"/>
        <w:ind w:firstLine="708"/>
        <w:rPr>
          <w:rFonts w:ascii="Times New Roman" w:eastAsiaTheme="minorEastAsia" w:hAnsi="Times New Roman"/>
          <w:sz w:val="22"/>
          <w:lang w:val="bg-BG" w:eastAsia="bg-BG"/>
        </w:rPr>
      </w:pPr>
      <w:r w:rsidRPr="00805152">
        <w:rPr>
          <w:rFonts w:ascii="Times New Roman" w:eastAsiaTheme="minorHAnsi" w:hAnsi="Times New Roman"/>
          <w:b/>
          <w:sz w:val="22"/>
          <w:shd w:val="clear" w:color="auto" w:fill="FEFEFE"/>
          <w:lang w:val="bg-BG"/>
        </w:rPr>
        <w:t>г)</w:t>
      </w:r>
      <w:r w:rsidRPr="00805152">
        <w:rPr>
          <w:rFonts w:ascii="Times New Roman" w:eastAsiaTheme="minorHAnsi" w:hAnsi="Times New Roman"/>
          <w:sz w:val="22"/>
          <w:shd w:val="clear" w:color="auto" w:fill="FEFEFE"/>
          <w:lang w:val="bg-BG"/>
        </w:rPr>
        <w:t xml:space="preserve"> Пристанищен терминал „Бургас – Изток 1“, като обект по § 5, т. 62 от ДР на ЗУТ: </w:t>
      </w:r>
      <w:r w:rsidRPr="00805152">
        <w:rPr>
          <w:rFonts w:ascii="Times New Roman" w:eastAsiaTheme="minorEastAsia" w:hAnsi="Times New Roman"/>
          <w:sz w:val="22"/>
          <w:lang w:val="bg-BG" w:eastAsia="bg-BG"/>
        </w:rPr>
        <w:t>Съгласно легалното определение на § 5, т. 62 от ДР на </w:t>
      </w:r>
      <w:hyperlink r:id="rId54" w:history="1">
        <w:r w:rsidRPr="00805152">
          <w:rPr>
            <w:rFonts w:ascii="Times New Roman" w:eastAsiaTheme="minorEastAsia" w:hAnsi="Times New Roman"/>
            <w:sz w:val="22"/>
            <w:lang w:val="bg-BG" w:eastAsia="bg-BG"/>
          </w:rPr>
          <w:t>ЗУТ</w:t>
        </w:r>
      </w:hyperlink>
      <w:r w:rsidRPr="00805152">
        <w:rPr>
          <w:rFonts w:ascii="Times New Roman" w:eastAsiaTheme="minorEastAsia" w:hAnsi="Times New Roman"/>
          <w:sz w:val="22"/>
          <w:lang w:val="bg-BG" w:eastAsia="bg-BG"/>
        </w:rPr>
        <w:t xml:space="preserve"> „Обект с национално значение“ е обект, определен като такъв със закон или с акт на Министерския съвет“. </w:t>
      </w:r>
      <w:r w:rsidRPr="00805152">
        <w:rPr>
          <w:rFonts w:ascii="Times New Roman" w:eastAsiaTheme="minorEastAsia" w:hAnsi="Times New Roman"/>
          <w:sz w:val="22"/>
          <w:vertAlign w:val="superscript"/>
          <w:lang w:val="bg-BG" w:eastAsia="bg-BG"/>
        </w:rPr>
        <w:footnoteReference w:id="12"/>
      </w:r>
    </w:p>
    <w:p w14:paraId="1589609B" w14:textId="77777777" w:rsidR="000C5C5A" w:rsidRPr="00805152" w:rsidRDefault="000C5C5A" w:rsidP="00891DC0">
      <w:pPr>
        <w:spacing w:after="0" w:line="360" w:lineRule="auto"/>
        <w:contextualSpacing/>
        <w:rPr>
          <w:rFonts w:ascii="Times New Roman" w:eastAsiaTheme="minorHAnsi" w:hAnsi="Times New Roman"/>
          <w:b/>
          <w:sz w:val="22"/>
          <w:lang w:val="bg-BG"/>
        </w:rPr>
      </w:pPr>
    </w:p>
    <w:p w14:paraId="524BC71D" w14:textId="77777777" w:rsidR="000C5C5A" w:rsidRPr="00805152" w:rsidRDefault="000C5C5A" w:rsidP="00891DC0">
      <w:pPr>
        <w:spacing w:after="0" w:line="360" w:lineRule="auto"/>
        <w:ind w:firstLine="708"/>
        <w:contextualSpacing/>
        <w:rPr>
          <w:rFonts w:ascii="Times New Roman" w:eastAsiaTheme="minorHAnsi" w:hAnsi="Times New Roman"/>
          <w:sz w:val="22"/>
          <w:lang w:val="bg-BG"/>
        </w:rPr>
      </w:pPr>
      <w:r w:rsidRPr="00805152">
        <w:rPr>
          <w:rFonts w:ascii="Times New Roman" w:eastAsiaTheme="minorHAnsi" w:hAnsi="Times New Roman"/>
          <w:sz w:val="22"/>
          <w:lang w:val="bg-BG"/>
        </w:rPr>
        <w:lastRenderedPageBreak/>
        <w:t xml:space="preserve">В чл. 3, ал. 1 от ЗК, е определена оперативната самостоятелност на публичните органи (министрите и кметовете на общини) да избират дали да възлагат строителство или услуги чрез обществена поръчка или чрез концесия. Факторите, които трябва да се оценяват при този избор, са два: разполагаеми средства и възможностите за прехвърляне на оперативния риск на икономически оператор. </w:t>
      </w:r>
    </w:p>
    <w:p w14:paraId="40229534" w14:textId="77777777" w:rsidR="000C5C5A" w:rsidRPr="00805152" w:rsidRDefault="000C5C5A" w:rsidP="00891DC0">
      <w:pPr>
        <w:spacing w:after="0" w:line="360" w:lineRule="auto"/>
        <w:ind w:firstLine="708"/>
        <w:contextualSpacing/>
        <w:rPr>
          <w:rFonts w:ascii="Times New Roman" w:eastAsiaTheme="minorEastAsia" w:hAnsi="Times New Roman"/>
          <w:sz w:val="22"/>
          <w:lang w:val="bg-BG" w:eastAsia="bg-BG"/>
        </w:rPr>
      </w:pPr>
      <w:r w:rsidRPr="00805152">
        <w:rPr>
          <w:rFonts w:ascii="Times New Roman" w:eastAsiaTheme="minorHAnsi" w:hAnsi="Times New Roman"/>
          <w:sz w:val="22"/>
          <w:lang w:val="bg-BG"/>
        </w:rPr>
        <w:t>Същевременно Законът за концесиите императивно определя, че к</w:t>
      </w:r>
      <w:r w:rsidRPr="00805152">
        <w:rPr>
          <w:rFonts w:ascii="Times New Roman" w:eastAsiaTheme="minorEastAsia" w:hAnsi="Times New Roman"/>
          <w:sz w:val="22"/>
          <w:lang w:val="bg-BG" w:eastAsia="bg-BG"/>
        </w:rPr>
        <w:t>огато се възлага строителство и/или услуги от възлагащ орган или възложител, който не е министър или кмет на община, както и когато оперативният риск не се прехвърля на икономическия оператор за една или повече дейности, включени в предмета на договора, възлагането се извършва по реда на Закона за обществените поръчки.</w:t>
      </w:r>
    </w:p>
    <w:p w14:paraId="09C2B46D" w14:textId="77777777" w:rsidR="000C5C5A" w:rsidRPr="00805152" w:rsidRDefault="000C5C5A" w:rsidP="000C5C5A">
      <w:pPr>
        <w:spacing w:after="0" w:line="240" w:lineRule="auto"/>
        <w:ind w:firstLine="708"/>
        <w:contextualSpacing/>
        <w:rPr>
          <w:rFonts w:ascii="Times New Roman" w:eastAsiaTheme="minorEastAsia" w:hAnsi="Times New Roman"/>
          <w:sz w:val="22"/>
          <w:lang w:val="bg-BG" w:eastAsia="bg-BG"/>
        </w:rPr>
      </w:pPr>
    </w:p>
    <w:p w14:paraId="0D90667C" w14:textId="0CD8193A" w:rsidR="000C5C5A" w:rsidRPr="00805152" w:rsidRDefault="000C5C5A" w:rsidP="00891DC0">
      <w:pPr>
        <w:pStyle w:val="Heading3"/>
        <w:rPr>
          <w:rFonts w:ascii="Times New Roman" w:hAnsi="Times New Roman"/>
          <w:lang w:val="bg-BG" w:eastAsia="bg-BG"/>
        </w:rPr>
      </w:pPr>
      <w:bookmarkStart w:id="96" w:name="_Toc136961112"/>
      <w:r w:rsidRPr="00805152">
        <w:rPr>
          <w:rFonts w:ascii="Times New Roman" w:hAnsi="Times New Roman"/>
          <w:lang w:val="bg-BG" w:eastAsia="bg-BG"/>
        </w:rPr>
        <w:t>Е</w:t>
      </w:r>
      <w:r w:rsidR="00D353C8" w:rsidRPr="00805152">
        <w:rPr>
          <w:rFonts w:ascii="Times New Roman" w:hAnsi="Times New Roman"/>
          <w:lang w:val="bg-BG" w:eastAsia="bg-BG"/>
        </w:rPr>
        <w:t>ксплоатационна годност</w:t>
      </w:r>
      <w:bookmarkEnd w:id="96"/>
    </w:p>
    <w:p w14:paraId="77B84EF4" w14:textId="77777777" w:rsidR="000C5C5A" w:rsidRPr="00805152" w:rsidRDefault="000C5C5A" w:rsidP="000C5C5A">
      <w:pPr>
        <w:spacing w:after="0" w:line="240" w:lineRule="auto"/>
        <w:ind w:firstLine="708"/>
        <w:contextualSpacing/>
        <w:rPr>
          <w:rFonts w:ascii="Times New Roman" w:eastAsiaTheme="minorEastAsia" w:hAnsi="Times New Roman"/>
          <w:sz w:val="22"/>
          <w:lang w:val="bg-BG" w:eastAsia="bg-BG"/>
        </w:rPr>
      </w:pPr>
    </w:p>
    <w:p w14:paraId="74B9D169" w14:textId="77777777" w:rsidR="000C5C5A" w:rsidRPr="00805152" w:rsidRDefault="000C5C5A" w:rsidP="00891DC0">
      <w:pPr>
        <w:autoSpaceDE w:val="0"/>
        <w:autoSpaceDN w:val="0"/>
        <w:adjustRightInd w:val="0"/>
        <w:spacing w:after="0" w:line="360" w:lineRule="auto"/>
        <w:ind w:firstLine="708"/>
        <w:rPr>
          <w:rFonts w:ascii="Times New Roman" w:eastAsia="Times New Roman" w:hAnsi="Times New Roman"/>
          <w:color w:val="000000"/>
          <w:sz w:val="22"/>
          <w:lang w:val="bg-BG" w:eastAsia="bg-BG"/>
        </w:rPr>
      </w:pPr>
      <w:r w:rsidRPr="00805152">
        <w:rPr>
          <w:rFonts w:ascii="Times New Roman" w:eastAsia="Times New Roman" w:hAnsi="Times New Roman"/>
          <w:color w:val="000000"/>
          <w:sz w:val="22"/>
          <w:lang w:val="bg-BG" w:eastAsia="bg-BG"/>
        </w:rPr>
        <w:t xml:space="preserve">Принципно основно задължение на всеки концесионер, еднолично търговско дружество с държавно участие в капитала или на Държавно предприятие „Пристанищна инфраструктура“ в случаите, в които предприятието е пристанищен оператор по чл. 115м, ал. 2 от ЗМПВВППРБ при предсрочно прекратяване на договор с пристанищен оператор до сключването на нов договор по предвидения в закона ред е и задължението да управлява и поддържа пристанищния/-ите терминал/-и в експлоатационна годност. </w:t>
      </w:r>
    </w:p>
    <w:p w14:paraId="17A3A335" w14:textId="77777777" w:rsidR="000C5C5A" w:rsidRPr="00805152" w:rsidRDefault="000C5C5A" w:rsidP="00891DC0">
      <w:pPr>
        <w:spacing w:after="0" w:line="360" w:lineRule="auto"/>
        <w:ind w:firstLine="708"/>
        <w:rPr>
          <w:rFonts w:ascii="Times New Roman" w:eastAsiaTheme="minorEastAsia" w:hAnsi="Times New Roman"/>
          <w:sz w:val="22"/>
          <w:lang w:val="bg-BG" w:eastAsia="bg-BG"/>
        </w:rPr>
      </w:pPr>
      <w:bookmarkStart w:id="97" w:name="_Toc150314231"/>
      <w:r w:rsidRPr="00805152">
        <w:rPr>
          <w:rFonts w:ascii="Times New Roman" w:eastAsiaTheme="minorEastAsia" w:hAnsi="Times New Roman"/>
          <w:sz w:val="22"/>
          <w:lang w:val="bg-BG" w:eastAsia="bg-BG"/>
        </w:rPr>
        <w:t xml:space="preserve">Съгласно чл. 92, ал. 7 от ЗМПВВППРБ в пристанище, което не е вписано в регистъра на пристанищата, не могат да се извършват пристанищни дейности и услуги. </w:t>
      </w:r>
    </w:p>
    <w:p w14:paraId="7BB8D7AE" w14:textId="77777777" w:rsidR="000C5C5A" w:rsidRPr="00805152" w:rsidRDefault="000C5C5A" w:rsidP="00891DC0">
      <w:pPr>
        <w:spacing w:after="0" w:line="360" w:lineRule="auto"/>
        <w:ind w:firstLine="709"/>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Изискванията за експлоатационна годност на пристанищата и на пристанищните терминали, за квалификация на работната сила и за издаване на удостоверения за експлоатационна годност са определени с Наредба № 9 от 17.10.2013 г. за изискванията за експлоатационна годност на пристанищата и специализираните пристанищни обекти (издадена от министъра на транспорта, информационните технологии и съобщенията, обн., ДВ, </w:t>
      </w:r>
      <w:hyperlink r:id="rId55" w:tgtFrame="_blank" w:history="1">
        <w:r w:rsidRPr="00805152">
          <w:rPr>
            <w:rFonts w:ascii="Times New Roman" w:eastAsiaTheme="minorEastAsia" w:hAnsi="Times New Roman"/>
            <w:sz w:val="22"/>
            <w:lang w:val="bg-BG" w:eastAsia="bg-BG"/>
          </w:rPr>
          <w:t>бр. 96</w:t>
        </w:r>
      </w:hyperlink>
      <w:r w:rsidRPr="00805152">
        <w:rPr>
          <w:rFonts w:ascii="Times New Roman" w:eastAsiaTheme="minorEastAsia" w:hAnsi="Times New Roman"/>
          <w:sz w:val="22"/>
          <w:lang w:val="bg-BG" w:eastAsia="bg-BG"/>
        </w:rPr>
        <w:t xml:space="preserve"> от 5.11.2013 г., посл. доп., бр. 103 от 28.12.2017 г., в сила от 28.12.2017 г.)Условие за вписване на пристанищата в регистъра на пристанищата, воден от Изпълнителна агенция „Морска администрация“ е издаването на удостоверение за експлоатационна годност.   </w:t>
      </w:r>
    </w:p>
    <w:p w14:paraId="7D372D96" w14:textId="77777777" w:rsidR="000C5C5A" w:rsidRPr="00805152" w:rsidRDefault="000C5C5A" w:rsidP="00891DC0">
      <w:pPr>
        <w:spacing w:after="0" w:line="360" w:lineRule="auto"/>
        <w:ind w:firstLine="708"/>
        <w:rPr>
          <w:rFonts w:ascii="Times New Roman" w:eastAsia="Times New Roman" w:hAnsi="Times New Roman"/>
          <w:sz w:val="22"/>
          <w:lang w:val="bg-BG" w:eastAsia="bg-BG"/>
        </w:rPr>
      </w:pPr>
      <w:r w:rsidRPr="00805152">
        <w:rPr>
          <w:rFonts w:ascii="Times New Roman" w:eastAsiaTheme="minorEastAsia" w:hAnsi="Times New Roman"/>
          <w:sz w:val="22"/>
          <w:lang w:val="bg-BG" w:eastAsia="bg-BG"/>
        </w:rPr>
        <w:t>Съгласно чл. 2, ал. 2 от Наредба 9 у</w:t>
      </w:r>
      <w:r w:rsidRPr="00805152">
        <w:rPr>
          <w:rFonts w:ascii="Times New Roman" w:eastAsia="Times New Roman" w:hAnsi="Times New Roman"/>
          <w:sz w:val="22"/>
          <w:lang w:val="bg-BG" w:eastAsia="bg-BG"/>
        </w:rPr>
        <w:t>достоверение за експлоатационна годност се издава за всеки терминал от пристанище за обществен транспорт (в т. ч. и за зоните, които по своето предназначение отговарят на характеристиките на пристанищата по </w:t>
      </w:r>
      <w:hyperlink r:id="rId56" w:anchor="p9520723" w:tgtFrame="_blank" w:history="1">
        <w:r w:rsidRPr="00805152">
          <w:rPr>
            <w:rFonts w:ascii="Times New Roman" w:eastAsia="Times New Roman" w:hAnsi="Times New Roman"/>
            <w:sz w:val="22"/>
            <w:lang w:val="bg-BG" w:eastAsia="bg-BG"/>
          </w:rPr>
          <w:t>чл. 107</w:t>
        </w:r>
      </w:hyperlink>
      <w:r w:rsidRPr="00805152">
        <w:rPr>
          <w:rFonts w:ascii="Times New Roman" w:eastAsia="Times New Roman" w:hAnsi="Times New Roman"/>
          <w:sz w:val="22"/>
          <w:lang w:val="bg-BG" w:eastAsia="bg-BG"/>
        </w:rPr>
        <w:t> – </w:t>
      </w:r>
      <w:hyperlink r:id="rId57" w:anchor="p9520725" w:tgtFrame="_blank" w:history="1">
        <w:r w:rsidRPr="00805152">
          <w:rPr>
            <w:rFonts w:ascii="Times New Roman" w:eastAsia="Times New Roman" w:hAnsi="Times New Roman"/>
            <w:sz w:val="22"/>
            <w:lang w:val="bg-BG" w:eastAsia="bg-BG"/>
          </w:rPr>
          <w:t>109 ЗМПВВППРБ</w:t>
        </w:r>
      </w:hyperlink>
      <w:r w:rsidRPr="00805152">
        <w:rPr>
          <w:rFonts w:ascii="Times New Roman" w:eastAsia="Times New Roman" w:hAnsi="Times New Roman"/>
          <w:sz w:val="22"/>
          <w:lang w:val="bg-BG" w:eastAsia="bg-BG"/>
        </w:rPr>
        <w:t>), когато в пристанището са обособени два или повече терминала, в случай че са изпълнени едновременно следните изисквания:</w:t>
      </w:r>
    </w:p>
    <w:p w14:paraId="48DCCB9A" w14:textId="77777777" w:rsidR="000C5C5A" w:rsidRPr="00805152" w:rsidRDefault="000C5C5A" w:rsidP="00891DC0">
      <w:pPr>
        <w:spacing w:after="0" w:line="360" w:lineRule="auto"/>
        <w:ind w:firstLine="990"/>
        <w:rPr>
          <w:rFonts w:ascii="Times New Roman" w:eastAsia="Times New Roman" w:hAnsi="Times New Roman"/>
          <w:sz w:val="22"/>
          <w:lang w:val="bg-BG" w:eastAsia="bg-BG"/>
        </w:rPr>
      </w:pPr>
      <w:r w:rsidRPr="00805152">
        <w:rPr>
          <w:rFonts w:ascii="Times New Roman" w:eastAsia="Times New Roman" w:hAnsi="Times New Roman"/>
          <w:sz w:val="22"/>
          <w:lang w:val="bg-BG" w:eastAsia="bg-BG"/>
        </w:rPr>
        <w:lastRenderedPageBreak/>
        <w:t>1. пристанището (съответно терминалът) е съоръжено и поддържано в съответствие с изискванията на тази наредба и обезпечава безопасно приемане, обслужване и обработване на кораби;</w:t>
      </w:r>
    </w:p>
    <w:p w14:paraId="597BB360" w14:textId="77777777" w:rsidR="000C5C5A" w:rsidRPr="00805152" w:rsidRDefault="000C5C5A" w:rsidP="00891DC0">
      <w:pPr>
        <w:spacing w:after="0" w:line="360" w:lineRule="auto"/>
        <w:ind w:firstLine="990"/>
        <w:rPr>
          <w:rFonts w:ascii="Times New Roman" w:eastAsia="Times New Roman" w:hAnsi="Times New Roman"/>
          <w:sz w:val="22"/>
          <w:lang w:val="bg-BG" w:eastAsia="bg-BG"/>
        </w:rPr>
      </w:pPr>
      <w:r w:rsidRPr="00805152">
        <w:rPr>
          <w:rFonts w:ascii="Times New Roman" w:eastAsia="Times New Roman" w:hAnsi="Times New Roman"/>
          <w:sz w:val="22"/>
          <w:lang w:val="bg-BG" w:eastAsia="bg-BG"/>
        </w:rPr>
        <w:t>2. пристанищният оператор (или оператори), предоставящ пристанищни услуги по </w:t>
      </w:r>
      <w:hyperlink r:id="rId58" w:anchor="p9520754" w:tgtFrame="_blank" w:history="1">
        <w:r w:rsidRPr="00805152">
          <w:rPr>
            <w:rFonts w:ascii="Times New Roman" w:eastAsia="Times New Roman" w:hAnsi="Times New Roman"/>
            <w:sz w:val="22"/>
            <w:lang w:val="bg-BG" w:eastAsia="bg-BG"/>
          </w:rPr>
          <w:t>чл. 116, ал. 3, т. 2 ЗМПВВППРБ</w:t>
        </w:r>
      </w:hyperlink>
      <w:r w:rsidRPr="00805152">
        <w:rPr>
          <w:rFonts w:ascii="Times New Roman" w:eastAsia="Times New Roman" w:hAnsi="Times New Roman"/>
          <w:sz w:val="22"/>
          <w:lang w:val="bg-BG" w:eastAsia="bg-BG"/>
        </w:rPr>
        <w:t>, е създал организация на работа и използва работно оборудване и технологии, които отговарят на изискванията за безопасно извършване на пристанищните дейности и услуги.</w:t>
      </w:r>
    </w:p>
    <w:p w14:paraId="396D8932" w14:textId="77777777" w:rsidR="0012351B" w:rsidRPr="00805152" w:rsidRDefault="000C5C5A" w:rsidP="00891DC0">
      <w:pPr>
        <w:spacing w:after="0" w:line="360" w:lineRule="auto"/>
        <w:ind w:firstLine="708"/>
        <w:rPr>
          <w:rFonts w:ascii="Times New Roman" w:eastAsia="Times New Roman" w:hAnsi="Times New Roman"/>
          <w:sz w:val="22"/>
          <w:lang w:val="bg-BG" w:eastAsia="bg-BG"/>
        </w:rPr>
      </w:pPr>
      <w:r w:rsidRPr="00805152">
        <w:rPr>
          <w:rFonts w:ascii="Times New Roman" w:eastAsiaTheme="minorEastAsia" w:hAnsi="Times New Roman"/>
          <w:sz w:val="22"/>
          <w:shd w:val="clear" w:color="auto" w:fill="FFFFFF"/>
          <w:lang w:val="bg-BG" w:eastAsia="bg-BG"/>
        </w:rPr>
        <w:t xml:space="preserve">Забранява се влизането, приставането, престояването и обслужването на кораби в пристанищата и терминалите, които нямат удостоверение за експлоатационна годност или експлоатацията им е временно преустановена по установения ред. В Раздел II от наредбата са посочени общите изисквания за експлоатационна годност на пристанищата. Съгласно чл. 9, ал. 1 </w:t>
      </w:r>
      <w:bookmarkEnd w:id="97"/>
      <w:r w:rsidRPr="00805152">
        <w:rPr>
          <w:rFonts w:ascii="Times New Roman" w:eastAsiaTheme="minorEastAsia" w:hAnsi="Times New Roman"/>
          <w:sz w:val="22"/>
          <w:shd w:val="clear" w:color="auto" w:fill="FFFFFF"/>
          <w:lang w:val="bg-BG" w:eastAsia="bg-BG"/>
        </w:rPr>
        <w:t>с</w:t>
      </w:r>
      <w:r w:rsidRPr="00805152">
        <w:rPr>
          <w:rFonts w:ascii="Times New Roman" w:eastAsia="Times New Roman" w:hAnsi="Times New Roman"/>
          <w:sz w:val="22"/>
          <w:lang w:val="bg-BG" w:eastAsia="bg-BG"/>
        </w:rPr>
        <w:t xml:space="preserve">тационарните оградителни хидротехнически съоръжения (вълноломи, </w:t>
      </w:r>
      <w:r w:rsidRPr="00805152">
        <w:rPr>
          <w:rFonts w:ascii="Times New Roman" w:eastAsia="Times New Roman" w:hAnsi="Times New Roman"/>
          <w:b/>
          <w:sz w:val="22"/>
          <w:lang w:val="bg-BG" w:eastAsia="bg-BG"/>
        </w:rPr>
        <w:t>молове</w:t>
      </w:r>
      <w:r w:rsidRPr="00805152">
        <w:rPr>
          <w:rFonts w:ascii="Times New Roman" w:eastAsia="Times New Roman" w:hAnsi="Times New Roman"/>
          <w:sz w:val="22"/>
          <w:lang w:val="bg-BG" w:eastAsia="bg-BG"/>
        </w:rPr>
        <w:t xml:space="preserve"> и др.) е необходимо: </w:t>
      </w:r>
    </w:p>
    <w:p w14:paraId="222AE699" w14:textId="77777777" w:rsidR="0012351B" w:rsidRPr="00805152" w:rsidRDefault="000C5C5A" w:rsidP="00891DC0">
      <w:pPr>
        <w:spacing w:after="0" w:line="360" w:lineRule="auto"/>
        <w:ind w:firstLine="708"/>
        <w:rPr>
          <w:rFonts w:ascii="Times New Roman" w:eastAsia="Times New Roman" w:hAnsi="Times New Roman"/>
          <w:sz w:val="22"/>
          <w:lang w:val="bg-BG" w:eastAsia="bg-BG"/>
        </w:rPr>
      </w:pPr>
      <w:r w:rsidRPr="00805152">
        <w:rPr>
          <w:rFonts w:ascii="Times New Roman" w:eastAsia="Times New Roman" w:hAnsi="Times New Roman"/>
          <w:sz w:val="22"/>
          <w:lang w:val="bg-BG" w:eastAsia="bg-BG"/>
        </w:rPr>
        <w:t xml:space="preserve">1. да нямат деформации или повреди в конструкцията, създаващи опасност за корабоплаването или за съоръженията, които защитават от ветрово или вълново въздействие; </w:t>
      </w:r>
    </w:p>
    <w:p w14:paraId="799D614F" w14:textId="62DD465C" w:rsidR="000C5C5A" w:rsidRPr="00805152" w:rsidRDefault="000C5C5A" w:rsidP="00891DC0">
      <w:pPr>
        <w:spacing w:after="0" w:line="360" w:lineRule="auto"/>
        <w:ind w:firstLine="708"/>
        <w:rPr>
          <w:rFonts w:ascii="Times New Roman" w:eastAsia="Times New Roman" w:hAnsi="Times New Roman"/>
          <w:sz w:val="22"/>
          <w:lang w:val="bg-BG" w:eastAsia="bg-BG"/>
        </w:rPr>
      </w:pPr>
      <w:r w:rsidRPr="00805152">
        <w:rPr>
          <w:rFonts w:ascii="Times New Roman" w:eastAsia="Times New Roman" w:hAnsi="Times New Roman"/>
          <w:sz w:val="22"/>
          <w:lang w:val="bg-BG" w:eastAsia="bg-BG"/>
        </w:rPr>
        <w:t>2. да нямат необозначени или необезопасени за корабоплаването подводни или надводни елементи.</w:t>
      </w:r>
    </w:p>
    <w:p w14:paraId="52C9F0BE" w14:textId="55BCCDE0" w:rsidR="000C5C5A" w:rsidRPr="000C3144" w:rsidRDefault="000C5C5A" w:rsidP="000C3144">
      <w:pPr>
        <w:pStyle w:val="Heading3"/>
        <w:rPr>
          <w:rFonts w:ascii="Times New Roman" w:eastAsiaTheme="minorHAnsi" w:hAnsi="Times New Roman"/>
          <w:sz w:val="22"/>
          <w:szCs w:val="22"/>
          <w:lang w:val="bg-BG"/>
        </w:rPr>
      </w:pPr>
      <w:bookmarkStart w:id="98" w:name="_Toc136961113"/>
      <w:r w:rsidRPr="000C3144">
        <w:rPr>
          <w:rStyle w:val="Heading3Char"/>
          <w:rFonts w:ascii="Times New Roman" w:hAnsi="Times New Roman"/>
          <w:b/>
          <w:sz w:val="22"/>
          <w:szCs w:val="22"/>
          <w:lang w:val="bg-BG"/>
        </w:rPr>
        <w:t>РЕГЛАМЕНТ (ЕС) № 651/2014</w:t>
      </w:r>
      <w:r w:rsidRPr="000C3144">
        <w:rPr>
          <w:rStyle w:val="Heading3Char"/>
          <w:rFonts w:ascii="Times New Roman" w:hAnsi="Times New Roman"/>
          <w:sz w:val="22"/>
          <w:szCs w:val="22"/>
          <w:lang w:val="bg-BG"/>
        </w:rPr>
        <w:t xml:space="preserve"> на Комисията от 17 юни 2014 година за обявяване на някои категории помощи за съвместими с вътрешния пазар в приложение на членове 107 и 108 от Договора (ОВ L 187, 26.6.2014 г.)</w:t>
      </w:r>
      <w:r w:rsidRPr="000C3144">
        <w:rPr>
          <w:rFonts w:ascii="Times New Roman" w:eastAsiaTheme="minorHAnsi" w:hAnsi="Times New Roman"/>
          <w:sz w:val="22"/>
          <w:szCs w:val="22"/>
          <w:lang w:val="bg-BG"/>
        </w:rPr>
        <w:t xml:space="preserve"> или Общият Регламент за групово освобождаване (ОРГО)</w:t>
      </w:r>
      <w:bookmarkEnd w:id="98"/>
    </w:p>
    <w:p w14:paraId="282595AC" w14:textId="77777777" w:rsidR="000C5C5A" w:rsidRPr="00805152" w:rsidRDefault="000C5C5A" w:rsidP="000C5C5A">
      <w:pPr>
        <w:autoSpaceDE w:val="0"/>
        <w:autoSpaceDN w:val="0"/>
        <w:spacing w:after="0" w:line="240" w:lineRule="auto"/>
        <w:rPr>
          <w:rFonts w:ascii="Times New Roman" w:eastAsiaTheme="minorEastAsia" w:hAnsi="Times New Roman"/>
          <w:b/>
          <w:sz w:val="22"/>
          <w:lang w:val="bg-BG" w:eastAsia="bg-BG"/>
        </w:rPr>
      </w:pPr>
    </w:p>
    <w:p w14:paraId="44EBA97F" w14:textId="77777777" w:rsidR="000C5C5A" w:rsidRPr="00805152" w:rsidRDefault="000C5C5A" w:rsidP="00891DC0">
      <w:pPr>
        <w:autoSpaceDE w:val="0"/>
        <w:autoSpaceDN w:val="0"/>
        <w:adjustRightInd w:val="0"/>
        <w:spacing w:after="0" w:line="360" w:lineRule="auto"/>
        <w:ind w:firstLine="709"/>
        <w:rPr>
          <w:rFonts w:ascii="Times New Roman" w:eastAsiaTheme="minorEastAsia" w:hAnsi="Times New Roman"/>
          <w:b/>
          <w:sz w:val="22"/>
          <w:lang w:val="bg-BG" w:eastAsia="bg-BG"/>
        </w:rPr>
      </w:pPr>
      <w:r w:rsidRPr="00805152">
        <w:rPr>
          <w:rFonts w:ascii="Times New Roman" w:eastAsiaTheme="minorEastAsia" w:hAnsi="Times New Roman"/>
          <w:sz w:val="22"/>
          <w:lang w:val="bg-BG" w:eastAsia="bg-BG"/>
        </w:rPr>
        <w:t>Помощите, които отговарят на всички условия, определени в настоящия регламент, а именно на общите условия и на специалните условия за отделните категории помощи, следва да бъдат освободени от задължението за уведомяване, установено в член 108, параграф 3 от Договора. За държавните помощи по смисъла на член 107, параграф 1 от Договора, които не попадат в приложното поле на настоящия регламент, следва да продължи да се прилага задължението за уведомяване по член 108, параграф 3 от Договора.</w:t>
      </w:r>
    </w:p>
    <w:p w14:paraId="1FD247F4" w14:textId="77777777" w:rsidR="000C5C5A" w:rsidRPr="00805152" w:rsidRDefault="000C5C5A" w:rsidP="00891DC0">
      <w:pPr>
        <w:autoSpaceDE w:val="0"/>
        <w:autoSpaceDN w:val="0"/>
        <w:adjustRightInd w:val="0"/>
        <w:spacing w:after="0" w:line="360" w:lineRule="auto"/>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За да се гарантира прозрачност Регламентът изисква от държавите членки създаването на подробни уебсайтове за държавна помощ на регионално или национално равнище, в които се представя обобщена информация относно всяка мярка за помощ, която е освободена от задължението за уведомяване, като това задължение е условие за съвместимостта на индивидуалните помощи с вътрешния пазар. Наред с това в съответствие с член 3 от Регламент (ЕО) № 994/98, изменен с Регламент (ЕС) № 733/2013, обобщената информация за всяка мярка за помощ, освободена от задължението за уведомяване съгласно настоящия регламент, следва да се публикува на уебсайта на Комисията.</w:t>
      </w:r>
    </w:p>
    <w:p w14:paraId="611F14CF" w14:textId="77777777" w:rsidR="000C5C5A" w:rsidRPr="00805152" w:rsidRDefault="000C5C5A" w:rsidP="00891DC0">
      <w:pPr>
        <w:autoSpaceDE w:val="0"/>
        <w:autoSpaceDN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lastRenderedPageBreak/>
        <w:t>Съгласно Общите разпоредби, Член 1, Приложно поле, т.1, буква „н“ Регламентът се прилага за категорията помощ „за пристанища“. „Помощ" означава всяка мярка, която изпълнява всички критерии, определени в член 107, параграф 1 от Договора.</w:t>
      </w:r>
    </w:p>
    <w:p w14:paraId="006E39BF" w14:textId="77777777" w:rsidR="000C5C5A" w:rsidRPr="00805152" w:rsidRDefault="000C5C5A" w:rsidP="00891DC0">
      <w:pPr>
        <w:autoSpaceDE w:val="0"/>
        <w:autoSpaceDN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За целите на Регламента („Определения за помощ за пристанища“, т. . 154, 157 и 159):</w:t>
      </w:r>
    </w:p>
    <w:p w14:paraId="1FAA011F" w14:textId="77777777" w:rsidR="000C5C5A" w:rsidRPr="00805152" w:rsidRDefault="000C5C5A" w:rsidP="00891DC0">
      <w:pPr>
        <w:autoSpaceDE w:val="0"/>
        <w:autoSpaceDN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b/>
          <w:sz w:val="22"/>
          <w:lang w:val="bg-BG" w:eastAsia="bg-BG"/>
        </w:rPr>
        <w:t>а)</w:t>
      </w:r>
      <w:r w:rsidRPr="00805152">
        <w:rPr>
          <w:rFonts w:ascii="Times New Roman" w:eastAsiaTheme="minorEastAsia" w:hAnsi="Times New Roman"/>
          <w:sz w:val="22"/>
          <w:lang w:val="bg-BG" w:eastAsia="bg-BG"/>
        </w:rPr>
        <w:t xml:space="preserve"> </w:t>
      </w:r>
      <w:r w:rsidRPr="00805152">
        <w:rPr>
          <w:rFonts w:ascii="Times New Roman" w:eastAsiaTheme="minorEastAsia" w:hAnsi="Times New Roman"/>
          <w:b/>
          <w:sz w:val="22"/>
          <w:lang w:val="bg-BG" w:eastAsia="bg-BG"/>
        </w:rPr>
        <w:t>„пристанище"</w:t>
      </w:r>
      <w:r w:rsidRPr="00805152">
        <w:rPr>
          <w:rFonts w:ascii="Times New Roman" w:eastAsiaTheme="minorEastAsia" w:hAnsi="Times New Roman"/>
          <w:sz w:val="22"/>
          <w:lang w:val="bg-BG" w:eastAsia="bg-BG"/>
        </w:rPr>
        <w:t xml:space="preserve"> означава наземно и морско пространство, състоящо се от инфраструктура и оборудване, предназначени главно за приемането на плавателни съдове, тяхното товарене и разтоварване, складиране, получаване и предаване на стоки и за качване и слизане от борда на пътници, екипажи и други лица, както и всяка друга инфраструктура, необходима на превозвачите в пристанището;</w:t>
      </w:r>
    </w:p>
    <w:p w14:paraId="57F9C699" w14:textId="77777777" w:rsidR="000C5C5A" w:rsidRPr="00805152" w:rsidRDefault="000C5C5A" w:rsidP="00891DC0">
      <w:pPr>
        <w:autoSpaceDE w:val="0"/>
        <w:autoSpaceDN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b/>
          <w:sz w:val="22"/>
          <w:lang w:val="bg-BG" w:eastAsia="bg-BG"/>
        </w:rPr>
        <w:t>б)</w:t>
      </w:r>
      <w:r w:rsidRPr="00805152">
        <w:rPr>
          <w:rFonts w:ascii="Times New Roman" w:eastAsiaTheme="minorEastAsia" w:hAnsi="Times New Roman"/>
          <w:sz w:val="22"/>
          <w:lang w:val="bg-BG" w:eastAsia="bg-BG"/>
        </w:rPr>
        <w:t xml:space="preserve"> </w:t>
      </w:r>
      <w:r w:rsidRPr="00805152">
        <w:rPr>
          <w:rFonts w:ascii="Times New Roman" w:eastAsiaTheme="minorEastAsia" w:hAnsi="Times New Roman"/>
          <w:b/>
          <w:sz w:val="22"/>
          <w:lang w:val="bg-BG" w:eastAsia="bg-BG"/>
        </w:rPr>
        <w:t>„пристанищна инфраструктура"</w:t>
      </w:r>
      <w:r w:rsidRPr="00805152">
        <w:rPr>
          <w:rFonts w:ascii="Times New Roman" w:eastAsiaTheme="minorEastAsia" w:hAnsi="Times New Roman"/>
          <w:sz w:val="22"/>
          <w:lang w:val="bg-BG" w:eastAsia="bg-BG"/>
        </w:rPr>
        <w:t xml:space="preserve"> означава </w:t>
      </w:r>
      <w:r w:rsidRPr="00805152">
        <w:rPr>
          <w:rFonts w:ascii="Times New Roman" w:eastAsiaTheme="minorEastAsia" w:hAnsi="Times New Roman"/>
          <w:b/>
          <w:sz w:val="22"/>
          <w:lang w:val="bg-BG" w:eastAsia="bg-BG"/>
        </w:rPr>
        <w:t>инфраструктура и съоръжения</w:t>
      </w:r>
      <w:r w:rsidRPr="00805152">
        <w:rPr>
          <w:rFonts w:ascii="Times New Roman" w:eastAsiaTheme="minorEastAsia" w:hAnsi="Times New Roman"/>
          <w:sz w:val="22"/>
          <w:lang w:val="bg-BG" w:eastAsia="bg-BG"/>
        </w:rPr>
        <w:t xml:space="preserve"> за предоставяне на транспортни пристанищни услуги, например котвени стоянки, използвани за акостирането на кораби, стени на кейовете, кейове и плаващи понтонни рампи в приливно-отливните области, вътрешни водни басейни, насипи и пресушаване на земя от морето, инфраструктура за алтернативни горива и инфраструктура за събиране на отпадъци от експлоатацията на корабите и на остатъци от товари;</w:t>
      </w:r>
    </w:p>
    <w:p w14:paraId="2444B3BD" w14:textId="77777777" w:rsidR="000C5C5A" w:rsidRPr="00805152" w:rsidRDefault="000C5C5A" w:rsidP="00891DC0">
      <w:pPr>
        <w:autoSpaceDE w:val="0"/>
        <w:autoSpaceDN w:val="0"/>
        <w:spacing w:after="0" w:line="360" w:lineRule="auto"/>
        <w:ind w:firstLine="708"/>
        <w:rPr>
          <w:rFonts w:ascii="Times New Roman" w:eastAsiaTheme="minorEastAsia" w:hAnsi="Times New Roman"/>
          <w:b/>
          <w:sz w:val="22"/>
          <w:lang w:val="bg-BG" w:eastAsia="bg-BG"/>
        </w:rPr>
      </w:pPr>
      <w:r w:rsidRPr="00805152">
        <w:rPr>
          <w:rFonts w:ascii="Times New Roman" w:eastAsiaTheme="minorEastAsia" w:hAnsi="Times New Roman"/>
          <w:b/>
          <w:sz w:val="22"/>
          <w:lang w:val="bg-BG" w:eastAsia="bg-BG"/>
        </w:rPr>
        <w:t xml:space="preserve">в) „инфраструктура за достъп" </w:t>
      </w:r>
      <w:r w:rsidRPr="00805152">
        <w:rPr>
          <w:rFonts w:ascii="Times New Roman" w:eastAsiaTheme="minorEastAsia" w:hAnsi="Times New Roman"/>
          <w:sz w:val="22"/>
          <w:lang w:val="bg-BG" w:eastAsia="bg-BG"/>
        </w:rPr>
        <w:t>означава</w:t>
      </w:r>
      <w:r w:rsidRPr="00805152">
        <w:rPr>
          <w:rFonts w:ascii="Times New Roman" w:eastAsiaTheme="minorEastAsia" w:hAnsi="Times New Roman"/>
          <w:b/>
          <w:sz w:val="22"/>
          <w:lang w:val="bg-BG" w:eastAsia="bg-BG"/>
        </w:rPr>
        <w:t xml:space="preserve"> всеки вид инфраструктура, необходима за осигуряването на достъп и влизане по суша, море или река от ползвателите до пристанище или в пристанище,</w:t>
      </w:r>
      <w:r w:rsidRPr="00805152">
        <w:rPr>
          <w:rFonts w:ascii="Times New Roman" w:eastAsiaTheme="minorEastAsia" w:hAnsi="Times New Roman"/>
          <w:sz w:val="22"/>
          <w:lang w:val="bg-BG" w:eastAsia="bg-BG"/>
        </w:rPr>
        <w:t xml:space="preserve"> по-специално </w:t>
      </w:r>
      <w:r w:rsidRPr="00805152">
        <w:rPr>
          <w:rFonts w:ascii="Times New Roman" w:eastAsiaTheme="minorEastAsia" w:hAnsi="Times New Roman"/>
          <w:b/>
          <w:sz w:val="22"/>
          <w:lang w:val="bg-BG" w:eastAsia="bg-BG"/>
        </w:rPr>
        <w:t>пътища</w:t>
      </w:r>
      <w:r w:rsidRPr="00805152">
        <w:rPr>
          <w:rFonts w:ascii="Times New Roman" w:eastAsiaTheme="minorEastAsia" w:hAnsi="Times New Roman"/>
          <w:sz w:val="22"/>
          <w:lang w:val="bg-BG" w:eastAsia="bg-BG"/>
        </w:rPr>
        <w:t xml:space="preserve">, железопътни коловози, </w:t>
      </w:r>
      <w:r w:rsidRPr="00805152">
        <w:rPr>
          <w:rFonts w:ascii="Times New Roman" w:eastAsiaTheme="minorEastAsia" w:hAnsi="Times New Roman"/>
          <w:b/>
          <w:sz w:val="22"/>
          <w:lang w:val="bg-BG" w:eastAsia="bg-BG"/>
        </w:rPr>
        <w:t xml:space="preserve">канали </w:t>
      </w:r>
      <w:r w:rsidRPr="00805152">
        <w:rPr>
          <w:rFonts w:ascii="Times New Roman" w:eastAsiaTheme="minorEastAsia" w:hAnsi="Times New Roman"/>
          <w:sz w:val="22"/>
          <w:lang w:val="bg-BG" w:eastAsia="bg-BG"/>
        </w:rPr>
        <w:t>и шлюзове;</w:t>
      </w:r>
    </w:p>
    <w:p w14:paraId="7AB014DA" w14:textId="77777777" w:rsidR="000C5C5A" w:rsidRPr="00805152" w:rsidRDefault="000C5C5A" w:rsidP="00891DC0">
      <w:pPr>
        <w:autoSpaceDE w:val="0"/>
        <w:autoSpaceDN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Съгласно чл. 4, т. 1, б. „дд“ „Прагове за уведомяване“ Регламентът не се прилага за помощи за морски пристанища, надхвърлящи следните прагове: допустими разходи от 130 милиона евро на проект (или 150 милиона евро на проект в морско пристанище, включено в работния план за коридор на основната мрежа, както е посочено в член 47 от Регламент (ЕС) № 1315/2013 на Европейския парламент и на Съвета).</w:t>
      </w:r>
    </w:p>
    <w:p w14:paraId="501CDC11" w14:textId="77777777" w:rsidR="000C5C5A" w:rsidRPr="00805152" w:rsidRDefault="000C5C5A" w:rsidP="003A05A1">
      <w:pPr>
        <w:autoSpaceDE w:val="0"/>
        <w:autoSpaceDN w:val="0"/>
        <w:spacing w:after="0" w:line="360" w:lineRule="auto"/>
        <w:ind w:firstLine="706"/>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Съгласно Раздел 15, чл. 56б, т. 2 „Допустимите разходи са разходите, включително разходите за планирането на: а) </w:t>
      </w:r>
      <w:r w:rsidRPr="00805152">
        <w:rPr>
          <w:rFonts w:ascii="Times New Roman" w:eastAsiaTheme="minorEastAsia" w:hAnsi="Times New Roman"/>
          <w:b/>
          <w:sz w:val="22"/>
          <w:lang w:val="bg-BG" w:eastAsia="bg-BG"/>
        </w:rPr>
        <w:t>инвестиции за изграждане, замяна или модернизиране на пристанищни инфраструктури</w:t>
      </w:r>
      <w:r w:rsidRPr="00805152">
        <w:rPr>
          <w:rFonts w:ascii="Times New Roman" w:eastAsiaTheme="minorEastAsia" w:hAnsi="Times New Roman"/>
          <w:sz w:val="22"/>
          <w:lang w:val="bg-BG" w:eastAsia="bg-BG"/>
        </w:rPr>
        <w:t>; б) инвестиции за изграждане, замяна или модернизиране на инфраструктури за достъп; в) драгиране.“ Размерът на помощта не надхвърля разликата между допустимите разходи и оперативната печалба от инвестицията, като оперативната печалба се приспада предварително от допустимите разходи въз основа на реалистични предвиждания или чрез механизъм за възстановяване на средства (в случая с ДППИ от инфраструктурните такси за достъп по чл. 103в, ал. 1, т.1 и ал. 2 т. 1 от ЗМПВВППРБ).</w:t>
      </w:r>
    </w:p>
    <w:p w14:paraId="7E334F2A" w14:textId="77777777" w:rsidR="000C5C5A" w:rsidRPr="00805152" w:rsidRDefault="000C5C5A" w:rsidP="00891DC0">
      <w:pPr>
        <w:autoSpaceDE w:val="0"/>
        <w:autoSpaceDN w:val="0"/>
        <w:adjustRightInd w:val="0"/>
        <w:spacing w:after="0" w:line="360" w:lineRule="auto"/>
        <w:ind w:firstLine="708"/>
        <w:rPr>
          <w:rFonts w:ascii="Times New Roman" w:eastAsiaTheme="minorEastAsia" w:hAnsi="Times New Roman"/>
          <w:sz w:val="22"/>
          <w:lang w:val="bg-BG" w:eastAsia="bg-BG"/>
        </w:rPr>
      </w:pPr>
      <w:r w:rsidRPr="00805152">
        <w:rPr>
          <w:rFonts w:ascii="Times New Roman" w:eastAsiaTheme="minorEastAsia" w:hAnsi="Times New Roman"/>
          <w:sz w:val="22"/>
          <w:lang w:val="bg-BG" w:eastAsia="bg-BG"/>
        </w:rPr>
        <w:t xml:space="preserve">Интензитетът на помощта за всяка инвестиция </w:t>
      </w:r>
      <w:r w:rsidRPr="00805152">
        <w:rPr>
          <w:rFonts w:ascii="Times New Roman" w:eastAsiaTheme="minorEastAsia" w:hAnsi="Times New Roman"/>
          <w:b/>
          <w:sz w:val="22"/>
          <w:lang w:val="bg-BG" w:eastAsia="bg-BG"/>
        </w:rPr>
        <w:t xml:space="preserve">за изграждане, замяна или модернизиране на пристанищни инфраструктури </w:t>
      </w:r>
      <w:r w:rsidRPr="00805152">
        <w:rPr>
          <w:rFonts w:ascii="Times New Roman" w:eastAsiaTheme="minorEastAsia" w:hAnsi="Times New Roman"/>
          <w:sz w:val="22"/>
          <w:lang w:val="bg-BG" w:eastAsia="bg-BG"/>
        </w:rPr>
        <w:t xml:space="preserve">не надвишава 100 % от допустимите разходи, когато всички допустими </w:t>
      </w:r>
      <w:r w:rsidRPr="00805152">
        <w:rPr>
          <w:rFonts w:ascii="Times New Roman" w:eastAsiaTheme="minorEastAsia" w:hAnsi="Times New Roman"/>
          <w:sz w:val="22"/>
          <w:lang w:val="bg-BG" w:eastAsia="bg-BG"/>
        </w:rPr>
        <w:lastRenderedPageBreak/>
        <w:t>разходи на проекта са до 20 милиона евро, респ. 80 % от допустимите разходи, когато всички допустими разходи на проекта са над 20 милиона евро и до 50 милиона евро.</w:t>
      </w:r>
    </w:p>
    <w:p w14:paraId="4C8EEE07" w14:textId="77777777" w:rsidR="000C5C5A" w:rsidRPr="00805152" w:rsidRDefault="000C5C5A" w:rsidP="00E21053">
      <w:pPr>
        <w:autoSpaceDE w:val="0"/>
        <w:autoSpaceDN w:val="0"/>
        <w:adjustRightInd w:val="0"/>
        <w:spacing w:after="0" w:line="240" w:lineRule="auto"/>
        <w:rPr>
          <w:rFonts w:ascii="Times New Roman" w:eastAsiaTheme="minorEastAsia" w:hAnsi="Times New Roman"/>
          <w:sz w:val="24"/>
          <w:lang w:val="bg-BG" w:eastAsia="bg-BG"/>
        </w:rPr>
      </w:pPr>
    </w:p>
    <w:p w14:paraId="3D2218A7" w14:textId="5E4DA585" w:rsidR="000C5C5A" w:rsidRPr="00805152" w:rsidRDefault="000C5C5A" w:rsidP="00E21053">
      <w:pPr>
        <w:autoSpaceDE w:val="0"/>
        <w:autoSpaceDN w:val="0"/>
        <w:adjustRightInd w:val="0"/>
        <w:spacing w:after="0" w:line="240" w:lineRule="auto"/>
        <w:rPr>
          <w:rFonts w:ascii="Times New Roman" w:eastAsiaTheme="minorEastAsia" w:hAnsi="Times New Roman"/>
          <w:sz w:val="24"/>
          <w:lang w:val="bg-BG" w:eastAsia="bg-BG"/>
        </w:rPr>
      </w:pPr>
    </w:p>
    <w:p w14:paraId="50B5204B" w14:textId="1207B73F" w:rsidR="00AD6203" w:rsidRPr="001C2ED0" w:rsidRDefault="000C5C5A" w:rsidP="001C2ED0">
      <w:pPr>
        <w:pStyle w:val="Heading1"/>
        <w:numPr>
          <w:ilvl w:val="0"/>
          <w:numId w:val="0"/>
        </w:numPr>
        <w:ind w:left="432"/>
        <w:rPr>
          <w:rFonts w:ascii="Times New Roman" w:hAnsi="Times New Roman"/>
          <w:sz w:val="22"/>
          <w:lang w:val="bg-BG"/>
        </w:rPr>
      </w:pPr>
      <w:r w:rsidRPr="00805152">
        <w:rPr>
          <w:rFonts w:ascii="Times New Roman" w:eastAsiaTheme="minorEastAsia" w:hAnsi="Times New Roman"/>
          <w:sz w:val="24"/>
          <w:lang w:val="bg-BG" w:eastAsia="bg-BG"/>
        </w:rPr>
        <w:br w:type="page"/>
      </w:r>
      <w:bookmarkStart w:id="99" w:name="_Toc95837670"/>
    </w:p>
    <w:p w14:paraId="4FA4C70B" w14:textId="77777777" w:rsidR="00AD6203" w:rsidRPr="00AD6203" w:rsidRDefault="00AD6203" w:rsidP="00AD6203">
      <w:pPr>
        <w:pStyle w:val="Heading1"/>
        <w:rPr>
          <w:rFonts w:ascii="Times New Roman" w:hAnsi="Times New Roman"/>
          <w:lang w:val="bg-BG"/>
        </w:rPr>
      </w:pPr>
      <w:bookmarkStart w:id="100" w:name="_Toc136961114"/>
      <w:r w:rsidRPr="00AD6203">
        <w:rPr>
          <w:rFonts w:ascii="Times New Roman" w:hAnsi="Times New Roman"/>
          <w:lang w:val="bg-BG"/>
        </w:rPr>
        <w:lastRenderedPageBreak/>
        <w:t>Анализ на търсенето</w:t>
      </w:r>
      <w:bookmarkEnd w:id="99"/>
      <w:bookmarkEnd w:id="100"/>
    </w:p>
    <w:p w14:paraId="7F74DD1D" w14:textId="77777777" w:rsidR="00AD6203" w:rsidRPr="00AD6203" w:rsidRDefault="00AD6203" w:rsidP="00AD6203">
      <w:pPr>
        <w:pStyle w:val="Heading2"/>
        <w:rPr>
          <w:rFonts w:ascii="Times New Roman" w:hAnsi="Times New Roman"/>
          <w:lang w:val="bg-BG"/>
        </w:rPr>
      </w:pPr>
      <w:bookmarkStart w:id="101" w:name="_Toc95837671"/>
      <w:bookmarkStart w:id="102" w:name="_Toc136961115"/>
      <w:r w:rsidRPr="00AD6203">
        <w:rPr>
          <w:rFonts w:ascii="Times New Roman" w:hAnsi="Times New Roman"/>
          <w:lang w:val="bg-BG"/>
        </w:rPr>
        <w:t>Икономическа макрорамка и прогнози</w:t>
      </w:r>
      <w:bookmarkEnd w:id="101"/>
      <w:bookmarkEnd w:id="102"/>
    </w:p>
    <w:p w14:paraId="4153A5DC" w14:textId="77777777" w:rsidR="00AD6203" w:rsidRPr="00AD6203" w:rsidRDefault="00AD6203" w:rsidP="00AD6203">
      <w:pPr>
        <w:pStyle w:val="Heading3"/>
        <w:rPr>
          <w:rFonts w:ascii="Times New Roman" w:hAnsi="Times New Roman"/>
          <w:lang w:val="bg-BG" w:eastAsia="bg-BG"/>
        </w:rPr>
      </w:pPr>
      <w:bookmarkStart w:id="103" w:name="_Toc95837672"/>
      <w:bookmarkStart w:id="104" w:name="_Toc136961116"/>
      <w:r w:rsidRPr="00AD6203">
        <w:rPr>
          <w:rFonts w:ascii="Times New Roman" w:hAnsi="Times New Roman"/>
          <w:lang w:val="bg-BG" w:eastAsia="bg-BG"/>
        </w:rPr>
        <w:t>Анализ на развитието на икономиката</w:t>
      </w:r>
      <w:bookmarkEnd w:id="103"/>
      <w:bookmarkEnd w:id="104"/>
    </w:p>
    <w:p w14:paraId="410EBA5F"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Като страна член на Европейския съюз</w:t>
      </w:r>
      <w:r w:rsidRPr="003A05A1">
        <w:rPr>
          <w:rFonts w:ascii="Times New Roman" w:hAnsi="Times New Roman"/>
          <w:sz w:val="22"/>
          <w:vertAlign w:val="superscript"/>
          <w:lang w:val="bg-BG"/>
        </w:rPr>
        <w:footnoteReference w:id="13"/>
      </w:r>
      <w:r w:rsidRPr="003A05A1">
        <w:rPr>
          <w:rFonts w:ascii="Times New Roman" w:hAnsi="Times New Roman"/>
          <w:sz w:val="22"/>
          <w:lang w:val="bg-BG"/>
        </w:rPr>
        <w:t>, социално-икономическата среда в България трябва да се сравнява с останалите страни и средните показатели за Европа.</w:t>
      </w:r>
    </w:p>
    <w:p w14:paraId="6D1092FE"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Тенденциите са анализирани в период до края на 2022 г., преди COVID-19 кризата и след това, включително влиянието на войната в Украйна, доколкото вече има отразени официални статистически данни за това.</w:t>
      </w:r>
    </w:p>
    <w:p w14:paraId="2FE41B3A"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Най-често срещаният показател за измерване на икономическата активност е брутния вътрешен продукт (БВП). В периода 2000 - 2020 г. годишният растеж на БВП в ЕС е доста променлив. Между 2001 и 2007 г. икономиката в ЕС нараства с годишен темп между 1 % и 3 %. От 2008 до 2013 г. икономиката в ЕС е силно засегната от финансовата криза, като БВП спада с повече от 4 % през 2009 г. и след това отново слабо намалява през 2012 година. Оттогава икономиката в ЕС постепенно се възстановява, като годишните темпове на растеж са около 2 % между 2014 и 2019 г. През 2020 г. се достига най-ниският ръст от -5,9%, а през 2021 г. започва възстановяването с ръст от 5,1%. Предварителните данни за  2022 г., средно за ЕС и Еврозоната не достигат планираното ниво от 4% на годишна база и отчита ръст от 3,4%</w:t>
      </w:r>
    </w:p>
    <w:p w14:paraId="5CF54AC6" w14:textId="77777777" w:rsidR="00AD6203" w:rsidRPr="00AD6203" w:rsidRDefault="00AD6203" w:rsidP="00AD6203">
      <w:pPr>
        <w:spacing w:after="60" w:line="276" w:lineRule="auto"/>
        <w:ind w:firstLine="720"/>
        <w:jc w:val="center"/>
        <w:rPr>
          <w:rFonts w:ascii="Times New Roman" w:hAnsi="Times New Roman" w:cs="Calibri"/>
          <w:i/>
          <w:sz w:val="22"/>
          <w:szCs w:val="24"/>
          <w:lang w:val="bg-BG"/>
        </w:rPr>
      </w:pPr>
      <w:r w:rsidRPr="00AD6203">
        <w:rPr>
          <w:rFonts w:ascii="Times New Roman" w:hAnsi="Times New Roman" w:cs="Calibri"/>
          <w:i/>
          <w:noProof/>
          <w:sz w:val="22"/>
          <w:szCs w:val="24"/>
          <w:lang w:val="en-US"/>
        </w:rPr>
        <w:drawing>
          <wp:inline distT="0" distB="0" distL="0" distR="0" wp14:anchorId="7F4A8178" wp14:editId="35B98910">
            <wp:extent cx="4257675" cy="2374834"/>
            <wp:effectExtent l="0" t="0" r="0" b="6985"/>
            <wp:docPr id="7222" name="Picture 7222" descr="C:\Users\Mariya Tchakarova\Downloads\TEC00115_LINE_2023-05-18T13_10_28Z.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iya Tchakarova\Downloads\TEC00115_LINE_2023-05-18T13_10_28Z.jpe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84771" cy="2389948"/>
                    </a:xfrm>
                    <a:prstGeom prst="rect">
                      <a:avLst/>
                    </a:prstGeom>
                    <a:noFill/>
                    <a:ln>
                      <a:noFill/>
                    </a:ln>
                  </pic:spPr>
                </pic:pic>
              </a:graphicData>
            </a:graphic>
          </wp:inline>
        </w:drawing>
      </w:r>
    </w:p>
    <w:p w14:paraId="49426B71" w14:textId="77777777" w:rsidR="00AD6203" w:rsidRPr="0072757D" w:rsidRDefault="00AD6203" w:rsidP="0044435E">
      <w:pPr>
        <w:pStyle w:val="BP-Figure"/>
        <w:ind w:hanging="502"/>
      </w:pPr>
      <w:r w:rsidRPr="0072757D">
        <w:rPr>
          <w:rFonts w:cs="Calibri"/>
        </w:rPr>
        <w:t>Динамика на БВП в ЕС</w:t>
      </w:r>
      <w:r w:rsidRPr="0072757D">
        <w:rPr>
          <w:vertAlign w:val="superscript"/>
        </w:rPr>
        <w:footnoteReference w:id="14"/>
      </w:r>
    </w:p>
    <w:p w14:paraId="4209BC31"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lastRenderedPageBreak/>
        <w:t xml:space="preserve">Подобен модел се наблюдава като цяло за еврозоната и държавите-членки на ЕС. Въпреки това, не всички държави-членки отчитат същите тенденции. Най-висок ръст на БВП през 2022 г. отчитат Португалия </w:t>
      </w:r>
      <w:r w:rsidRPr="003A05A1">
        <w:rPr>
          <w:rFonts w:ascii="Times New Roman" w:hAnsi="Times New Roman"/>
          <w:sz w:val="22"/>
          <w:lang w:val="en-US"/>
        </w:rPr>
        <w:t xml:space="preserve">(5,8%) </w:t>
      </w:r>
      <w:r w:rsidRPr="003A05A1">
        <w:rPr>
          <w:rFonts w:ascii="Times New Roman" w:hAnsi="Times New Roman"/>
          <w:sz w:val="22"/>
          <w:lang w:val="bg-BG"/>
        </w:rPr>
        <w:t xml:space="preserve">и Ирландия </w:t>
      </w:r>
      <w:r w:rsidRPr="003A05A1">
        <w:rPr>
          <w:rFonts w:ascii="Times New Roman" w:hAnsi="Times New Roman"/>
          <w:sz w:val="22"/>
          <w:lang w:val="en-US"/>
        </w:rPr>
        <w:t xml:space="preserve">(5,4%). </w:t>
      </w:r>
      <w:r w:rsidRPr="003A05A1">
        <w:rPr>
          <w:rFonts w:ascii="Times New Roman" w:hAnsi="Times New Roman"/>
          <w:sz w:val="22"/>
          <w:lang w:val="bg-BG"/>
        </w:rPr>
        <w:t xml:space="preserve">Ръст под 2% е отчетен в Германия, Естония, Литва, Латвия и Финландия.  </w:t>
      </w:r>
    </w:p>
    <w:p w14:paraId="0A858463"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В ЕС инвестициите и потреблението следват същите три фази на развитие като БВП, като по-големи колебания се наблюдават при инвестициите. С възстановяването от финансовата криза, инвестициите и потреблението нарастват устойчиво между 2015 и 2022 г. - съответно с около 4,1 % и 2,4 % годишно.</w:t>
      </w:r>
    </w:p>
    <w:p w14:paraId="3F34829C"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Инфлацията в ЕС се измерва с Хармонизирания индекс на потребителските цени. Между 2001 и 2007 г. годишната инфлацията в ЕС е около 2 %. В периода 2008 - 2011 г. инфлацията регистрира по-силни колебания всяка година, докато постепенно се забавя от 3 % през 2011 г. на 0 % през 2015 г., преди да достигне 0.3 % през 2020 година и 5% към Декември 2021 г.</w:t>
      </w:r>
    </w:p>
    <w:p w14:paraId="5C8380CC" w14:textId="77777777" w:rsidR="00AD6203" w:rsidRPr="00AD6203" w:rsidRDefault="00AD6203" w:rsidP="00AD6203">
      <w:pPr>
        <w:spacing w:after="60" w:line="276" w:lineRule="auto"/>
        <w:ind w:firstLine="720"/>
        <w:jc w:val="center"/>
        <w:rPr>
          <w:rFonts w:ascii="Times New Roman" w:hAnsi="Times New Roman" w:cs="Calibri"/>
          <w:i/>
          <w:sz w:val="22"/>
          <w:szCs w:val="24"/>
          <w:lang w:val="bg-BG"/>
        </w:rPr>
      </w:pPr>
      <w:r w:rsidRPr="00AD6203">
        <w:rPr>
          <w:rFonts w:ascii="Times New Roman" w:hAnsi="Times New Roman" w:cs="Calibri"/>
          <w:i/>
          <w:noProof/>
          <w:sz w:val="22"/>
          <w:szCs w:val="24"/>
          <w:lang w:val="en-US"/>
        </w:rPr>
        <w:drawing>
          <wp:inline distT="0" distB="0" distL="0" distR="0" wp14:anchorId="41E64AC9" wp14:editId="2C34C23A">
            <wp:extent cx="4343400" cy="2764942"/>
            <wp:effectExtent l="0" t="0" r="0" b="0"/>
            <wp:docPr id="7223" name="Picture 7223" descr="C:\Users\Mariya Tchakarova\Downloads\TEC00118_LINE_2023-05-18T11_45_20Z.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iya Tchakarova\Downloads\TEC00118_LINE_2023-05-18T11_45_20Z.jpe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68457" cy="2780893"/>
                    </a:xfrm>
                    <a:prstGeom prst="rect">
                      <a:avLst/>
                    </a:prstGeom>
                    <a:noFill/>
                    <a:ln>
                      <a:noFill/>
                    </a:ln>
                  </pic:spPr>
                </pic:pic>
              </a:graphicData>
            </a:graphic>
          </wp:inline>
        </w:drawing>
      </w:r>
    </w:p>
    <w:p w14:paraId="6EC0EB3E" w14:textId="062110F9" w:rsidR="0072757D" w:rsidRPr="0072757D" w:rsidRDefault="0072757D" w:rsidP="00ED188B">
      <w:pPr>
        <w:pStyle w:val="BP-Figure"/>
        <w:ind w:hanging="502"/>
        <w:rPr>
          <w:rFonts w:cs="Calibri"/>
        </w:rPr>
      </w:pPr>
      <w:r w:rsidRPr="0072757D">
        <w:rPr>
          <w:rFonts w:cs="Calibri"/>
        </w:rPr>
        <w:t>Динамика на инфлацията в ЕС</w:t>
      </w:r>
      <w:r w:rsidRPr="0072757D">
        <w:rPr>
          <w:rFonts w:cs="Calibri"/>
          <w:vertAlign w:val="superscript"/>
        </w:rPr>
        <w:footnoteReference w:id="15"/>
      </w:r>
      <w:r>
        <w:rPr>
          <w:rFonts w:cs="Calibri"/>
        </w:rPr>
        <w:t xml:space="preserve"> </w:t>
      </w:r>
    </w:p>
    <w:p w14:paraId="27E894CD" w14:textId="77777777" w:rsidR="00AD6203" w:rsidRPr="00AD6203" w:rsidRDefault="00AD6203" w:rsidP="00AD6203">
      <w:pPr>
        <w:spacing w:after="120" w:line="24" w:lineRule="atLeast"/>
        <w:ind w:firstLine="720"/>
        <w:rPr>
          <w:rFonts w:ascii="Times New Roman" w:hAnsi="Times New Roman"/>
          <w:sz w:val="24"/>
          <w:szCs w:val="24"/>
          <w:lang w:val="bg-BG"/>
        </w:rPr>
      </w:pPr>
    </w:p>
    <w:p w14:paraId="20A13B6A"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Данните</w:t>
      </w:r>
      <w:r w:rsidRPr="003A05A1">
        <w:rPr>
          <w:rFonts w:ascii="Times New Roman" w:hAnsi="Times New Roman"/>
          <w:sz w:val="22"/>
          <w:lang w:val="en-US"/>
        </w:rPr>
        <w:t xml:space="preserve"> </w:t>
      </w:r>
      <w:r w:rsidRPr="003A05A1">
        <w:rPr>
          <w:rFonts w:ascii="Times New Roman" w:hAnsi="Times New Roman"/>
          <w:sz w:val="22"/>
          <w:lang w:val="bg-BG"/>
        </w:rPr>
        <w:t>към края на 2022 г. показват, че в резултат на енергийната криза и ръста на горивата, заложеното ниво от 3,9% на годишна база, реално е далеч по-високо в размер на 9,2% средно за ЕС. За България коригираната прогноза на ЕК</w:t>
      </w:r>
      <w:r w:rsidRPr="003A05A1">
        <w:rPr>
          <w:rFonts w:ascii="Times New Roman" w:hAnsi="Times New Roman"/>
          <w:sz w:val="22"/>
          <w:vertAlign w:val="superscript"/>
          <w:lang w:val="bg-BG"/>
        </w:rPr>
        <w:footnoteReference w:id="16"/>
      </w:r>
      <w:r w:rsidRPr="003A05A1">
        <w:rPr>
          <w:rFonts w:ascii="Times New Roman" w:hAnsi="Times New Roman"/>
          <w:sz w:val="22"/>
          <w:lang w:val="bg-BG"/>
        </w:rPr>
        <w:t xml:space="preserve"> след предварителните резултати за 2022 г. е 14,7% на годишна база.</w:t>
      </w:r>
    </w:p>
    <w:p w14:paraId="64711B29"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lastRenderedPageBreak/>
        <w:t>Този модел се наблюдава в голяма степен в еврозоната и в повечето държави-членки. През 2022 г. най-висока инфлация се наблюдава в Литва (18.9 %), Естония  (19.4 %), Латвия (17.2 %)  и Чехия (14.8 %), а най-ниска - в Малта (4.4 %) и Франция (4.4 %).</w:t>
      </w:r>
    </w:p>
    <w:p w14:paraId="622BE2F0"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Дългосрочните лихвени проценти могат да бъдат измерени чрез развитието на доходността от дългосрочните облигации. В ЕС лихвеният процент е 5.3 % в началото на хилядолетието, вариращ между 4 % и 5 % до 2011 година. Оттогава той постоянно намалява, за да достигне 1.1 % през 2016 г., след това се увеличава до 1.4 % през 2018 г. и отново намалява през 2019 г. до 0.7 %. За 2022 г. по решеие на Европейската Централна банка, лихвите са повишени, като антиинфлационна мярка и достигат средни стойности от 2,25%, като най-високи са стойностите в Гърция от 3,94%, и Великобритания от 3,24%. Прогнозата на ЕЦБ е през 2023 г. тези стойности слабо да се повишат и да се достигнат средни стойности от 3,0%.</w:t>
      </w:r>
    </w:p>
    <w:p w14:paraId="48ADF25F"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Що се отнася до обменните курсове, еврото отслабна през 2022 г. спрямо долара, но възстанови позиции в края на годината и приключи на стойности от 1,09 </w:t>
      </w:r>
      <w:r w:rsidRPr="003A05A1">
        <w:rPr>
          <w:rFonts w:ascii="Times New Roman" w:hAnsi="Times New Roman"/>
          <w:sz w:val="22"/>
          <w:lang w:val="en-US"/>
        </w:rPr>
        <w:t>USD/EUR</w:t>
      </w:r>
      <w:r w:rsidRPr="003A05A1">
        <w:rPr>
          <w:rFonts w:ascii="Times New Roman" w:hAnsi="Times New Roman"/>
          <w:sz w:val="22"/>
          <w:lang w:val="bg-BG"/>
        </w:rPr>
        <w:t xml:space="preserve">. Британският паунд възстанови част от загубените си позиции през 2021 г. и </w:t>
      </w:r>
      <w:r w:rsidRPr="003A05A1">
        <w:rPr>
          <w:rFonts w:ascii="Times New Roman" w:hAnsi="Times New Roman"/>
          <w:sz w:val="22"/>
          <w:lang w:val="en-US"/>
        </w:rPr>
        <w:t>2022</w:t>
      </w:r>
      <w:r w:rsidRPr="003A05A1">
        <w:rPr>
          <w:rFonts w:ascii="Times New Roman" w:hAnsi="Times New Roman"/>
          <w:sz w:val="22"/>
          <w:lang w:val="bg-BG"/>
        </w:rPr>
        <w:t xml:space="preserve"> г. приключи на курс 0,877 </w:t>
      </w:r>
      <w:r w:rsidRPr="003A05A1">
        <w:rPr>
          <w:rFonts w:ascii="Times New Roman" w:hAnsi="Times New Roman"/>
          <w:sz w:val="22"/>
          <w:lang w:val="en-US"/>
        </w:rPr>
        <w:t>GBP</w:t>
      </w:r>
      <w:r w:rsidRPr="003A05A1">
        <w:rPr>
          <w:rFonts w:ascii="Times New Roman" w:hAnsi="Times New Roman"/>
          <w:sz w:val="22"/>
          <w:lang w:val="bg-BG"/>
        </w:rPr>
        <w:t>/</w:t>
      </w:r>
      <w:r w:rsidRPr="003A05A1">
        <w:rPr>
          <w:rFonts w:ascii="Times New Roman" w:hAnsi="Times New Roman"/>
          <w:sz w:val="22"/>
          <w:lang w:val="en-US"/>
        </w:rPr>
        <w:t>EUR</w:t>
      </w:r>
      <w:r w:rsidRPr="003A05A1">
        <w:rPr>
          <w:rFonts w:ascii="Times New Roman" w:hAnsi="Times New Roman"/>
          <w:sz w:val="22"/>
          <w:lang w:val="bg-BG"/>
        </w:rPr>
        <w:t xml:space="preserve">. Швейцарският франк запазва високата си стойност от 2021 г., въпреки слабото понижение през първото полугодие на 2022 г. и приключва годината със стойности от 0,99 </w:t>
      </w:r>
      <w:r w:rsidRPr="003A05A1">
        <w:rPr>
          <w:rFonts w:ascii="Times New Roman" w:hAnsi="Times New Roman"/>
          <w:sz w:val="22"/>
          <w:lang w:val="en-US"/>
        </w:rPr>
        <w:t>CHF/EUR</w:t>
      </w:r>
      <w:r w:rsidRPr="003A05A1">
        <w:rPr>
          <w:rFonts w:ascii="Times New Roman" w:hAnsi="Times New Roman"/>
          <w:sz w:val="22"/>
          <w:lang w:val="bg-BG"/>
        </w:rPr>
        <w:t>.</w:t>
      </w:r>
    </w:p>
    <w:p w14:paraId="5437F08A"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След като е относително стабилен - около 10 % между 2000 и 2005 г., коефициентът на безработица спада до 7.2 % през 2008 година. Оттогава равнището на безработицата в ЕС непрекъснато нараства, достигайки връх от 11.4 % през 2013 година. След възстановяването на икономиката безработицата намалява до 6.7 % през 2019 година. Подобна тенденция се наблюдава сред мъжете, жените и младежите, но при жените коефициентът е малко по-висок отколкото при мъжете, а нивото на безработица е приблизително двойно по-ниско при младите хора.</w:t>
      </w:r>
    </w:p>
    <w:p w14:paraId="0113C9A9" w14:textId="7F928472" w:rsidR="00AD6203" w:rsidRPr="00AD6203" w:rsidRDefault="00AD6203" w:rsidP="003A05A1">
      <w:pPr>
        <w:spacing w:after="0" w:line="360" w:lineRule="auto"/>
        <w:ind w:firstLine="720"/>
        <w:rPr>
          <w:rFonts w:ascii="Times New Roman" w:hAnsi="Times New Roman"/>
          <w:sz w:val="24"/>
          <w:szCs w:val="24"/>
          <w:lang w:val="bg-BG"/>
        </w:rPr>
      </w:pPr>
      <w:r w:rsidRPr="003A05A1">
        <w:rPr>
          <w:rFonts w:ascii="Times New Roman" w:hAnsi="Times New Roman"/>
          <w:sz w:val="22"/>
          <w:lang w:val="bg-BG"/>
        </w:rPr>
        <w:t xml:space="preserve">През последните години в еврозоната и всички държави-членки на ЕС до началото на 2020 г., безработицата намалява. Въпреки това все още съществуват големи различия между държавите членки. През 2022 г. коефициента на безработица е най-висок в Испания 14,8%, Гърция с 14,7%, Италия и Швеция с 9,5%. Най-ниски нива, под 5% има в </w:t>
      </w:r>
      <w:r w:rsidR="00ED188B" w:rsidRPr="003A05A1">
        <w:rPr>
          <w:rFonts w:ascii="Times New Roman" w:hAnsi="Times New Roman"/>
          <w:sz w:val="22"/>
          <w:lang w:val="bg-BG"/>
        </w:rPr>
        <w:t>Люксембург</w:t>
      </w:r>
      <w:r w:rsidRPr="003A05A1">
        <w:rPr>
          <w:rFonts w:ascii="Times New Roman" w:hAnsi="Times New Roman"/>
          <w:sz w:val="22"/>
          <w:lang w:val="bg-BG"/>
        </w:rPr>
        <w:t xml:space="preserve">, Дания, Швейцария, Норвегия, Холандия  и Словения. </w:t>
      </w:r>
    </w:p>
    <w:p w14:paraId="6F2BFE9B" w14:textId="77777777" w:rsidR="00AD6203" w:rsidRPr="00AD6203" w:rsidRDefault="00AD6203" w:rsidP="00AD6203">
      <w:pPr>
        <w:spacing w:before="120" w:after="60" w:line="276" w:lineRule="auto"/>
        <w:ind w:firstLine="720"/>
        <w:jc w:val="center"/>
        <w:rPr>
          <w:rFonts w:ascii="Times New Roman" w:hAnsi="Times New Roman" w:cs="Calibri"/>
          <w:i/>
          <w:sz w:val="22"/>
          <w:szCs w:val="24"/>
          <w:lang w:val="bg-BG"/>
        </w:rPr>
      </w:pPr>
      <w:r w:rsidRPr="00AD6203">
        <w:rPr>
          <w:rFonts w:ascii="Times New Roman" w:hAnsi="Times New Roman" w:cs="Calibri"/>
          <w:i/>
          <w:noProof/>
          <w:sz w:val="22"/>
          <w:szCs w:val="24"/>
          <w:lang w:val="en-US"/>
        </w:rPr>
        <w:lastRenderedPageBreak/>
        <w:drawing>
          <wp:inline distT="0" distB="0" distL="0" distR="0" wp14:anchorId="52FD9C3D" wp14:editId="665FBE27">
            <wp:extent cx="4815840" cy="2392680"/>
            <wp:effectExtent l="0" t="0" r="3810" b="7620"/>
            <wp:docPr id="7224" name="Picture 7224" descr="C:\Users\Mariya Tchakarova\Downloads\TPS00203_LINE_2023-05-18T11_50_24Z.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iya Tchakarova\Downloads\TPS00203_LINE_2023-05-18T11_50_24Z.jpe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15840" cy="2392680"/>
                    </a:xfrm>
                    <a:prstGeom prst="rect">
                      <a:avLst/>
                    </a:prstGeom>
                    <a:noFill/>
                    <a:ln>
                      <a:noFill/>
                    </a:ln>
                  </pic:spPr>
                </pic:pic>
              </a:graphicData>
            </a:graphic>
          </wp:inline>
        </w:drawing>
      </w:r>
    </w:p>
    <w:p w14:paraId="0902585C" w14:textId="58AAE567" w:rsidR="0072757D" w:rsidRPr="0072757D" w:rsidRDefault="00737B07" w:rsidP="00ED188B">
      <w:pPr>
        <w:pStyle w:val="BP-Figure"/>
        <w:ind w:hanging="502"/>
        <w:rPr>
          <w:rFonts w:cs="Calibri"/>
        </w:rPr>
      </w:pPr>
      <w:r>
        <w:rPr>
          <w:rFonts w:cs="Calibri"/>
        </w:rPr>
        <w:t xml:space="preserve">Динамика на безработицата в </w:t>
      </w:r>
      <w:r w:rsidR="0072757D" w:rsidRPr="0072757D">
        <w:rPr>
          <w:rFonts w:cs="Calibri"/>
        </w:rPr>
        <w:t>ЕС</w:t>
      </w:r>
      <w:r w:rsidR="0072757D" w:rsidRPr="0072757D">
        <w:rPr>
          <w:rFonts w:cs="Calibri"/>
          <w:vertAlign w:val="superscript"/>
        </w:rPr>
        <w:footnoteReference w:id="17"/>
      </w:r>
      <w:r w:rsidR="0072757D" w:rsidRPr="0072757D">
        <w:rPr>
          <w:rFonts w:cs="Calibri"/>
          <w:vertAlign w:val="superscript"/>
        </w:rPr>
        <w:t xml:space="preserve"> </w:t>
      </w:r>
    </w:p>
    <w:p w14:paraId="1BDF56EF" w14:textId="77777777" w:rsidR="00AD6203" w:rsidRPr="00AD6203" w:rsidRDefault="00AD6203" w:rsidP="00AD6203">
      <w:pPr>
        <w:spacing w:after="120" w:line="24" w:lineRule="atLeast"/>
        <w:ind w:firstLine="720"/>
        <w:rPr>
          <w:rFonts w:ascii="Times New Roman" w:hAnsi="Times New Roman"/>
          <w:sz w:val="24"/>
          <w:szCs w:val="24"/>
          <w:lang w:val="bg-BG"/>
        </w:rPr>
      </w:pPr>
    </w:p>
    <w:p w14:paraId="6216C705"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В периода на кризата от началото на 2020 г. има драстична промяна във водещите показатели на Европейската икономика. Основният показател, използван за сравнение е дефицита, отнесен към БВП</w:t>
      </w:r>
      <w:r w:rsidRPr="003A05A1">
        <w:rPr>
          <w:rFonts w:ascii="Times New Roman" w:hAnsi="Times New Roman"/>
          <w:sz w:val="22"/>
          <w:vertAlign w:val="superscript"/>
          <w:lang w:val="bg-BG"/>
        </w:rPr>
        <w:footnoteReference w:id="18"/>
      </w:r>
      <w:r w:rsidRPr="003A05A1">
        <w:rPr>
          <w:rFonts w:ascii="Times New Roman" w:hAnsi="Times New Roman"/>
          <w:sz w:val="22"/>
          <w:lang w:val="bg-BG"/>
        </w:rPr>
        <w:t>.</w:t>
      </w:r>
    </w:p>
    <w:p w14:paraId="1EDDED80" w14:textId="77777777" w:rsidR="00AD6203" w:rsidRPr="00AD6203" w:rsidRDefault="00AD6203" w:rsidP="00AD6203">
      <w:pPr>
        <w:suppressAutoHyphens/>
        <w:spacing w:before="120" w:after="120" w:line="240" w:lineRule="auto"/>
        <w:ind w:firstLine="720"/>
        <w:jc w:val="center"/>
        <w:rPr>
          <w:rFonts w:ascii="Times New Roman" w:eastAsia="Times New Roman" w:hAnsi="Times New Roman" w:cs="Arial"/>
          <w:i/>
          <w:sz w:val="22"/>
          <w:szCs w:val="24"/>
          <w:lang w:val="bg-BG" w:eastAsia="ar-SA"/>
        </w:rPr>
      </w:pPr>
      <w:r w:rsidRPr="00AD6203">
        <w:rPr>
          <w:rFonts w:ascii="Times New Roman" w:hAnsi="Times New Roman"/>
          <w:noProof/>
          <w:sz w:val="24"/>
          <w:szCs w:val="24"/>
          <w:lang w:val="en-US"/>
        </w:rPr>
        <w:drawing>
          <wp:inline distT="0" distB="0" distL="0" distR="0" wp14:anchorId="020ED0E3" wp14:editId="0D704B77">
            <wp:extent cx="4907280" cy="2743200"/>
            <wp:effectExtent l="0" t="0" r="7620" b="0"/>
            <wp:docPr id="7225" name="Chart 72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81BF485" w14:textId="7EAA3D5A" w:rsidR="00737B07" w:rsidRPr="0072757D" w:rsidRDefault="00737B07" w:rsidP="004C4D6C">
      <w:pPr>
        <w:pStyle w:val="BP-Figure"/>
        <w:ind w:left="2268" w:hanging="567"/>
        <w:jc w:val="center"/>
        <w:rPr>
          <w:rFonts w:cs="Calibri"/>
        </w:rPr>
      </w:pPr>
      <w:r w:rsidRPr="00737B07">
        <w:rPr>
          <w:rFonts w:cs="Calibri"/>
        </w:rPr>
        <w:t>Бюджетен дефицит отнесен към БВП на ниво ЕС и България</w:t>
      </w:r>
    </w:p>
    <w:p w14:paraId="19A9EBE2" w14:textId="77777777" w:rsidR="00AD6203" w:rsidRPr="00AD6203" w:rsidRDefault="00AD6203" w:rsidP="00AD6203">
      <w:pPr>
        <w:spacing w:after="120" w:line="24" w:lineRule="atLeast"/>
        <w:ind w:firstLine="720"/>
        <w:rPr>
          <w:rFonts w:ascii="Times New Roman" w:hAnsi="Times New Roman"/>
          <w:sz w:val="24"/>
          <w:szCs w:val="24"/>
          <w:lang w:val="bg-BG"/>
        </w:rPr>
      </w:pPr>
    </w:p>
    <w:p w14:paraId="26CAEACF"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lastRenderedPageBreak/>
        <w:t xml:space="preserve">Видно от данните, в резултат на предприетите мерки за подпомагане на бизнеса, подкрепа на заетостта, данъчни облекчения и директни субсидии, ЕС обръща тенденцията от второто тримесечие на 2020 г., но има необходимост от поне няколко години за достигане на показателите от първото тримесечие на 2019 г. Това дава основание да бъде направено мотивирано допускане, че най-рано през 2025 г. основните макроикономически индикатори ще постигнат нивата си от преди кризата.    </w:t>
      </w:r>
    </w:p>
    <w:p w14:paraId="519ED965"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За характеристика на икономическата и социална среда в България са използвани водещи индикатори, свързани директно или индиректно с предмета на проекта.</w:t>
      </w:r>
    </w:p>
    <w:p w14:paraId="5606DB7F"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Историческите данни за ръста на БВП</w:t>
      </w:r>
      <w:r w:rsidRPr="003A05A1">
        <w:rPr>
          <w:rFonts w:ascii="Times New Roman" w:hAnsi="Times New Roman"/>
          <w:sz w:val="22"/>
          <w:vertAlign w:val="superscript"/>
          <w:lang w:val="bg-BG"/>
        </w:rPr>
        <w:footnoteReference w:id="19"/>
      </w:r>
      <w:r w:rsidRPr="003A05A1">
        <w:rPr>
          <w:rFonts w:ascii="Times New Roman" w:hAnsi="Times New Roman"/>
          <w:sz w:val="22"/>
          <w:lang w:val="bg-BG"/>
        </w:rPr>
        <w:t xml:space="preserve"> показват, че в годините България има изпреварващ ръст, спрямо средното ниво за ЕС, но в условията на COVID-19 кризата, той рязко намалява. Успешното овладяване на ръста на БВП в Европа се дължи на държави като Германия, Франция и Финландия, които имат по-нисък от средния, а Швеция има положителен ръст през 2020 г. от 2,7%.</w:t>
      </w:r>
    </w:p>
    <w:p w14:paraId="1F863744" w14:textId="41C4475B" w:rsidR="00714ED1" w:rsidRPr="00AD6203" w:rsidRDefault="00714ED1" w:rsidP="00ED188B">
      <w:pPr>
        <w:spacing w:after="120" w:line="24" w:lineRule="atLeast"/>
        <w:ind w:firstLine="720"/>
        <w:jc w:val="center"/>
        <w:rPr>
          <w:rFonts w:ascii="Times New Roman" w:hAnsi="Times New Roman"/>
          <w:sz w:val="24"/>
          <w:szCs w:val="24"/>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10</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Pr="00714ED1">
        <w:rPr>
          <w:rFonts w:ascii="Times New Roman" w:eastAsia="Times New Roman" w:hAnsi="Times New Roman"/>
          <w:i/>
          <w:iCs/>
          <w:sz w:val="22"/>
          <w:lang w:val="bg-BG"/>
        </w:rPr>
        <w:t>Исторически данни за БВП на ниво ЕС и България</w:t>
      </w:r>
    </w:p>
    <w:tbl>
      <w:tblPr>
        <w:tblW w:w="45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985"/>
        <w:gridCol w:w="972"/>
        <w:gridCol w:w="1031"/>
        <w:gridCol w:w="1039"/>
        <w:gridCol w:w="1011"/>
        <w:gridCol w:w="1038"/>
        <w:gridCol w:w="1032"/>
      </w:tblGrid>
      <w:tr w:rsidR="00AD6203" w:rsidRPr="00AD6203" w14:paraId="1CC09170" w14:textId="77777777" w:rsidTr="00D86E60">
        <w:trPr>
          <w:trHeight w:val="360"/>
          <w:jc w:val="center"/>
        </w:trPr>
        <w:tc>
          <w:tcPr>
            <w:tcW w:w="979" w:type="pct"/>
            <w:shd w:val="clear" w:color="auto" w:fill="C5E0B3"/>
            <w:noWrap/>
            <w:vAlign w:val="bottom"/>
            <w:hideMark/>
          </w:tcPr>
          <w:p w14:paraId="30ED7C1D" w14:textId="77777777" w:rsidR="00AD6203" w:rsidRPr="00AD6203" w:rsidRDefault="00AD6203" w:rsidP="00AD6203">
            <w:pPr>
              <w:spacing w:before="60" w:after="60" w:line="240" w:lineRule="auto"/>
              <w:ind w:hanging="23"/>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Ръст на БВП</w:t>
            </w:r>
          </w:p>
        </w:tc>
        <w:tc>
          <w:tcPr>
            <w:tcW w:w="557" w:type="pct"/>
            <w:shd w:val="clear" w:color="auto" w:fill="C5E0B3"/>
            <w:noWrap/>
            <w:vAlign w:val="bottom"/>
            <w:hideMark/>
          </w:tcPr>
          <w:p w14:paraId="21BF3E3A" w14:textId="77777777" w:rsidR="00AD6203" w:rsidRPr="00AD6203" w:rsidRDefault="00AD6203" w:rsidP="00AD6203">
            <w:pPr>
              <w:spacing w:before="60" w:after="60" w:line="240" w:lineRule="auto"/>
              <w:ind w:right="-131" w:hanging="76"/>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2016 г.</w:t>
            </w:r>
          </w:p>
        </w:tc>
        <w:tc>
          <w:tcPr>
            <w:tcW w:w="550" w:type="pct"/>
            <w:shd w:val="clear" w:color="auto" w:fill="C5E0B3"/>
            <w:noWrap/>
            <w:vAlign w:val="bottom"/>
            <w:hideMark/>
          </w:tcPr>
          <w:p w14:paraId="40C2FACE" w14:textId="77777777" w:rsidR="00AD6203" w:rsidRPr="00AD6203" w:rsidRDefault="00AD6203" w:rsidP="00AD6203">
            <w:pPr>
              <w:spacing w:before="60" w:after="60" w:line="240" w:lineRule="auto"/>
              <w:ind w:right="-98" w:hanging="85"/>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2017 г.</w:t>
            </w:r>
          </w:p>
        </w:tc>
        <w:tc>
          <w:tcPr>
            <w:tcW w:w="583" w:type="pct"/>
            <w:shd w:val="clear" w:color="auto" w:fill="C5E0B3"/>
            <w:noWrap/>
            <w:vAlign w:val="bottom"/>
            <w:hideMark/>
          </w:tcPr>
          <w:p w14:paraId="131C9278" w14:textId="77777777" w:rsidR="00AD6203" w:rsidRPr="00AD6203" w:rsidRDefault="00AD6203" w:rsidP="00AD6203">
            <w:pPr>
              <w:spacing w:before="60" w:after="60" w:line="240" w:lineRule="auto"/>
              <w:ind w:hanging="28"/>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2018 г.</w:t>
            </w:r>
          </w:p>
        </w:tc>
        <w:tc>
          <w:tcPr>
            <w:tcW w:w="588" w:type="pct"/>
            <w:shd w:val="clear" w:color="auto" w:fill="C5E0B3"/>
            <w:noWrap/>
            <w:vAlign w:val="bottom"/>
            <w:hideMark/>
          </w:tcPr>
          <w:p w14:paraId="4A2BD312" w14:textId="77777777" w:rsidR="00AD6203" w:rsidRPr="00AD6203" w:rsidRDefault="00AD6203" w:rsidP="00AD6203">
            <w:pPr>
              <w:spacing w:before="60" w:after="60" w:line="240" w:lineRule="auto"/>
              <w:ind w:hanging="19"/>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2019 г.</w:t>
            </w:r>
          </w:p>
        </w:tc>
        <w:tc>
          <w:tcPr>
            <w:tcW w:w="572" w:type="pct"/>
            <w:shd w:val="clear" w:color="auto" w:fill="C5E0B3"/>
            <w:noWrap/>
            <w:vAlign w:val="bottom"/>
            <w:hideMark/>
          </w:tcPr>
          <w:p w14:paraId="0E4D2C57" w14:textId="77777777" w:rsidR="00AD6203" w:rsidRPr="00AD6203" w:rsidRDefault="00AD6203" w:rsidP="00AD6203">
            <w:pPr>
              <w:spacing w:before="60" w:after="60" w:line="240" w:lineRule="auto"/>
              <w:ind w:right="-74" w:hanging="41"/>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2020 г.</w:t>
            </w:r>
          </w:p>
        </w:tc>
        <w:tc>
          <w:tcPr>
            <w:tcW w:w="587" w:type="pct"/>
            <w:shd w:val="clear" w:color="auto" w:fill="C5E0B3"/>
            <w:vAlign w:val="bottom"/>
          </w:tcPr>
          <w:p w14:paraId="41AAAE11" w14:textId="77777777" w:rsidR="00AD6203" w:rsidRPr="00AD6203" w:rsidRDefault="00AD6203" w:rsidP="00AD6203">
            <w:pPr>
              <w:spacing w:before="60" w:after="60" w:line="240" w:lineRule="auto"/>
              <w:ind w:right="-89"/>
              <w:jc w:val="center"/>
              <w:rPr>
                <w:rFonts w:ascii="Times New Roman" w:eastAsia="Times New Roman" w:hAnsi="Times New Roman"/>
                <w:b/>
                <w:sz w:val="24"/>
                <w:szCs w:val="24"/>
                <w:lang w:val="bg-BG"/>
              </w:rPr>
            </w:pPr>
            <w:r w:rsidRPr="00AD6203">
              <w:rPr>
                <w:rFonts w:ascii="Times New Roman" w:eastAsia="Times New Roman" w:hAnsi="Times New Roman"/>
                <w:b/>
                <w:sz w:val="24"/>
                <w:szCs w:val="24"/>
                <w:lang w:val="bg-BG"/>
              </w:rPr>
              <w:t>2021 г.</w:t>
            </w:r>
          </w:p>
        </w:tc>
        <w:tc>
          <w:tcPr>
            <w:tcW w:w="584" w:type="pct"/>
            <w:shd w:val="clear" w:color="auto" w:fill="C5E0B3"/>
          </w:tcPr>
          <w:p w14:paraId="4BE49F50" w14:textId="77777777" w:rsidR="00AD6203" w:rsidRPr="00AD6203" w:rsidRDefault="00AD6203" w:rsidP="00AD6203">
            <w:pPr>
              <w:spacing w:before="60" w:after="60" w:line="240" w:lineRule="auto"/>
              <w:ind w:right="-81"/>
              <w:jc w:val="center"/>
              <w:rPr>
                <w:rFonts w:ascii="Times New Roman" w:eastAsia="Times New Roman" w:hAnsi="Times New Roman"/>
                <w:b/>
                <w:sz w:val="24"/>
                <w:szCs w:val="24"/>
                <w:lang w:val="bg-BG"/>
              </w:rPr>
            </w:pPr>
            <w:r w:rsidRPr="00AD6203">
              <w:rPr>
                <w:rFonts w:ascii="Times New Roman" w:hAnsi="Times New Roman"/>
                <w:b/>
                <w:sz w:val="24"/>
                <w:szCs w:val="24"/>
                <w:lang w:val="bg-BG"/>
              </w:rPr>
              <w:t>2022 г.</w:t>
            </w:r>
          </w:p>
        </w:tc>
      </w:tr>
      <w:tr w:rsidR="00AD6203" w:rsidRPr="00AD6203" w14:paraId="77235D41" w14:textId="77777777" w:rsidTr="00D86E60">
        <w:trPr>
          <w:trHeight w:val="244"/>
          <w:jc w:val="center"/>
        </w:trPr>
        <w:tc>
          <w:tcPr>
            <w:tcW w:w="979" w:type="pct"/>
            <w:shd w:val="clear" w:color="auto" w:fill="auto"/>
            <w:noWrap/>
            <w:vAlign w:val="center"/>
            <w:hideMark/>
          </w:tcPr>
          <w:p w14:paraId="22983335" w14:textId="77777777" w:rsidR="00AD6203" w:rsidRPr="00AD6203" w:rsidRDefault="00AD6203" w:rsidP="00AD6203">
            <w:pPr>
              <w:spacing w:after="0" w:line="240" w:lineRule="auto"/>
              <w:ind w:hanging="23"/>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България</w:t>
            </w:r>
          </w:p>
        </w:tc>
        <w:tc>
          <w:tcPr>
            <w:tcW w:w="557" w:type="pct"/>
            <w:shd w:val="clear" w:color="auto" w:fill="auto"/>
            <w:noWrap/>
            <w:vAlign w:val="center"/>
            <w:hideMark/>
          </w:tcPr>
          <w:p w14:paraId="43F1309A" w14:textId="77777777" w:rsidR="00AD6203" w:rsidRPr="00AD6203" w:rsidRDefault="00AD6203" w:rsidP="00AD6203">
            <w:pPr>
              <w:spacing w:after="0" w:line="240" w:lineRule="auto"/>
              <w:ind w:firstLine="47"/>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3,8</w:t>
            </w:r>
          </w:p>
        </w:tc>
        <w:tc>
          <w:tcPr>
            <w:tcW w:w="550" w:type="pct"/>
            <w:shd w:val="clear" w:color="auto" w:fill="auto"/>
            <w:noWrap/>
            <w:vAlign w:val="center"/>
            <w:hideMark/>
          </w:tcPr>
          <w:p w14:paraId="16E24E34" w14:textId="77777777" w:rsidR="00AD6203" w:rsidRPr="00AD6203" w:rsidRDefault="00AD6203" w:rsidP="00AD6203">
            <w:pPr>
              <w:spacing w:after="0" w:line="240" w:lineRule="auto"/>
              <w:ind w:firstLine="142"/>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3,5</w:t>
            </w:r>
          </w:p>
        </w:tc>
        <w:tc>
          <w:tcPr>
            <w:tcW w:w="583" w:type="pct"/>
            <w:shd w:val="clear" w:color="auto" w:fill="auto"/>
            <w:noWrap/>
            <w:vAlign w:val="center"/>
            <w:hideMark/>
          </w:tcPr>
          <w:p w14:paraId="02DED498" w14:textId="77777777" w:rsidR="00AD6203" w:rsidRPr="00AD6203" w:rsidRDefault="00AD6203" w:rsidP="00AD6203">
            <w:pPr>
              <w:spacing w:after="0" w:line="240" w:lineRule="auto"/>
              <w:ind w:firstLine="142"/>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3,1</w:t>
            </w:r>
          </w:p>
        </w:tc>
        <w:tc>
          <w:tcPr>
            <w:tcW w:w="588" w:type="pct"/>
            <w:shd w:val="clear" w:color="auto" w:fill="auto"/>
            <w:noWrap/>
            <w:vAlign w:val="center"/>
            <w:hideMark/>
          </w:tcPr>
          <w:p w14:paraId="398E8B6F" w14:textId="77777777" w:rsidR="00AD6203" w:rsidRPr="00AD6203" w:rsidRDefault="00AD6203" w:rsidP="00AD6203">
            <w:pPr>
              <w:spacing w:after="0" w:line="240" w:lineRule="auto"/>
              <w:ind w:firstLine="3"/>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3,7</w:t>
            </w:r>
          </w:p>
        </w:tc>
        <w:tc>
          <w:tcPr>
            <w:tcW w:w="572" w:type="pct"/>
            <w:shd w:val="clear" w:color="auto" w:fill="auto"/>
            <w:noWrap/>
            <w:vAlign w:val="center"/>
            <w:hideMark/>
          </w:tcPr>
          <w:p w14:paraId="2C87EE5B" w14:textId="77777777" w:rsidR="00AD6203" w:rsidRPr="00AD6203" w:rsidRDefault="00AD6203" w:rsidP="00AD6203">
            <w:pPr>
              <w:spacing w:after="0" w:line="240" w:lineRule="auto"/>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-4,8</w:t>
            </w:r>
          </w:p>
        </w:tc>
        <w:tc>
          <w:tcPr>
            <w:tcW w:w="587" w:type="pct"/>
            <w:vAlign w:val="center"/>
          </w:tcPr>
          <w:p w14:paraId="75CFD90B" w14:textId="77777777" w:rsidR="00AD6203" w:rsidRPr="00AD6203" w:rsidRDefault="00AD6203" w:rsidP="00AD6203">
            <w:pPr>
              <w:spacing w:after="0" w:line="240" w:lineRule="auto"/>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4,6</w:t>
            </w:r>
          </w:p>
        </w:tc>
        <w:tc>
          <w:tcPr>
            <w:tcW w:w="584" w:type="pct"/>
            <w:vAlign w:val="center"/>
          </w:tcPr>
          <w:p w14:paraId="41C67FD8" w14:textId="77777777" w:rsidR="00AD6203" w:rsidRPr="00AD6203" w:rsidRDefault="00AD6203" w:rsidP="00AD6203">
            <w:pPr>
              <w:spacing w:after="0" w:line="240" w:lineRule="auto"/>
              <w:jc w:val="center"/>
              <w:rPr>
                <w:rFonts w:ascii="Times New Roman" w:eastAsia="Times New Roman" w:hAnsi="Times New Roman"/>
                <w:sz w:val="24"/>
                <w:szCs w:val="24"/>
                <w:lang w:val="bg-BG"/>
              </w:rPr>
            </w:pPr>
            <w:r w:rsidRPr="00AD6203">
              <w:rPr>
                <w:rFonts w:ascii="Times New Roman" w:hAnsi="Times New Roman"/>
                <w:sz w:val="24"/>
                <w:szCs w:val="24"/>
                <w:lang w:val="bg-BG"/>
              </w:rPr>
              <w:t>3.4</w:t>
            </w:r>
          </w:p>
        </w:tc>
      </w:tr>
      <w:tr w:rsidR="00AD6203" w:rsidRPr="00AD6203" w14:paraId="7B96566C" w14:textId="77777777" w:rsidTr="00D86E60">
        <w:trPr>
          <w:trHeight w:val="235"/>
          <w:jc w:val="center"/>
        </w:trPr>
        <w:tc>
          <w:tcPr>
            <w:tcW w:w="979" w:type="pct"/>
            <w:shd w:val="clear" w:color="auto" w:fill="auto"/>
            <w:noWrap/>
            <w:vAlign w:val="center"/>
            <w:hideMark/>
          </w:tcPr>
          <w:p w14:paraId="22BD7403" w14:textId="77777777" w:rsidR="00AD6203" w:rsidRPr="00AD6203" w:rsidRDefault="00AD6203" w:rsidP="00AD6203">
            <w:pPr>
              <w:spacing w:after="0" w:line="240" w:lineRule="auto"/>
              <w:ind w:hanging="23"/>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ЕС</w:t>
            </w:r>
          </w:p>
        </w:tc>
        <w:tc>
          <w:tcPr>
            <w:tcW w:w="557" w:type="pct"/>
            <w:shd w:val="clear" w:color="auto" w:fill="auto"/>
            <w:noWrap/>
            <w:vAlign w:val="center"/>
            <w:hideMark/>
          </w:tcPr>
          <w:p w14:paraId="5918520F" w14:textId="77777777" w:rsidR="00AD6203" w:rsidRPr="00AD6203" w:rsidRDefault="00AD6203" w:rsidP="00AD6203">
            <w:pPr>
              <w:spacing w:after="0" w:line="240" w:lineRule="auto"/>
              <w:ind w:firstLine="47"/>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2</w:t>
            </w:r>
          </w:p>
        </w:tc>
        <w:tc>
          <w:tcPr>
            <w:tcW w:w="550" w:type="pct"/>
            <w:shd w:val="clear" w:color="auto" w:fill="auto"/>
            <w:noWrap/>
            <w:vAlign w:val="center"/>
            <w:hideMark/>
          </w:tcPr>
          <w:p w14:paraId="1510E16B" w14:textId="77777777" w:rsidR="00AD6203" w:rsidRPr="00AD6203" w:rsidRDefault="00AD6203" w:rsidP="00AD6203">
            <w:pPr>
              <w:spacing w:after="0" w:line="240" w:lineRule="auto"/>
              <w:ind w:firstLine="142"/>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2,8</w:t>
            </w:r>
          </w:p>
        </w:tc>
        <w:tc>
          <w:tcPr>
            <w:tcW w:w="583" w:type="pct"/>
            <w:shd w:val="clear" w:color="auto" w:fill="auto"/>
            <w:noWrap/>
            <w:vAlign w:val="center"/>
            <w:hideMark/>
          </w:tcPr>
          <w:p w14:paraId="43A482CA" w14:textId="77777777" w:rsidR="00AD6203" w:rsidRPr="00AD6203" w:rsidRDefault="00AD6203" w:rsidP="00AD6203">
            <w:pPr>
              <w:spacing w:after="0" w:line="240" w:lineRule="auto"/>
              <w:ind w:firstLine="142"/>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2,1</w:t>
            </w:r>
          </w:p>
        </w:tc>
        <w:tc>
          <w:tcPr>
            <w:tcW w:w="588" w:type="pct"/>
            <w:shd w:val="clear" w:color="auto" w:fill="auto"/>
            <w:noWrap/>
            <w:vAlign w:val="center"/>
            <w:hideMark/>
          </w:tcPr>
          <w:p w14:paraId="193A4CB6" w14:textId="77777777" w:rsidR="00AD6203" w:rsidRPr="00AD6203" w:rsidRDefault="00AD6203" w:rsidP="00AD6203">
            <w:pPr>
              <w:spacing w:after="0" w:line="240" w:lineRule="auto"/>
              <w:ind w:firstLine="3"/>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1,5</w:t>
            </w:r>
          </w:p>
        </w:tc>
        <w:tc>
          <w:tcPr>
            <w:tcW w:w="572" w:type="pct"/>
            <w:shd w:val="clear" w:color="auto" w:fill="auto"/>
            <w:noWrap/>
            <w:vAlign w:val="center"/>
            <w:hideMark/>
          </w:tcPr>
          <w:p w14:paraId="6C9DA6F9" w14:textId="77777777" w:rsidR="00AD6203" w:rsidRPr="00AD6203" w:rsidRDefault="00AD6203" w:rsidP="00AD6203">
            <w:pPr>
              <w:spacing w:after="0" w:line="240" w:lineRule="auto"/>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-5,9</w:t>
            </w:r>
          </w:p>
        </w:tc>
        <w:tc>
          <w:tcPr>
            <w:tcW w:w="587" w:type="pct"/>
            <w:vAlign w:val="center"/>
          </w:tcPr>
          <w:p w14:paraId="771B9BE2" w14:textId="77777777" w:rsidR="00AD6203" w:rsidRPr="00AD6203" w:rsidRDefault="00AD6203" w:rsidP="00AD6203">
            <w:pPr>
              <w:spacing w:after="0" w:line="240" w:lineRule="auto"/>
              <w:jc w:val="center"/>
              <w:rPr>
                <w:rFonts w:ascii="Times New Roman" w:eastAsia="Times New Roman" w:hAnsi="Times New Roman"/>
                <w:sz w:val="24"/>
                <w:szCs w:val="24"/>
                <w:lang w:val="bg-BG"/>
              </w:rPr>
            </w:pPr>
            <w:r w:rsidRPr="00AD6203">
              <w:rPr>
                <w:rFonts w:ascii="Times New Roman" w:eastAsia="Times New Roman" w:hAnsi="Times New Roman"/>
                <w:sz w:val="24"/>
                <w:szCs w:val="24"/>
                <w:lang w:val="bg-BG"/>
              </w:rPr>
              <w:t>2,1</w:t>
            </w:r>
          </w:p>
        </w:tc>
        <w:tc>
          <w:tcPr>
            <w:tcW w:w="584" w:type="pct"/>
            <w:vAlign w:val="center"/>
          </w:tcPr>
          <w:p w14:paraId="79383000" w14:textId="77777777" w:rsidR="00AD6203" w:rsidRPr="00AD6203" w:rsidRDefault="00AD6203" w:rsidP="00AD6203">
            <w:pPr>
              <w:spacing w:after="0" w:line="240" w:lineRule="auto"/>
              <w:ind w:hanging="18"/>
              <w:jc w:val="center"/>
              <w:rPr>
                <w:rFonts w:ascii="Times New Roman" w:eastAsia="Times New Roman" w:hAnsi="Times New Roman"/>
                <w:sz w:val="24"/>
                <w:szCs w:val="24"/>
                <w:lang w:val="bg-BG"/>
              </w:rPr>
            </w:pPr>
            <w:r w:rsidRPr="00AD6203">
              <w:rPr>
                <w:rFonts w:ascii="Times New Roman" w:hAnsi="Times New Roman"/>
                <w:sz w:val="24"/>
                <w:szCs w:val="24"/>
                <w:lang w:val="bg-BG"/>
              </w:rPr>
              <w:t>3,4</w:t>
            </w:r>
          </w:p>
        </w:tc>
      </w:tr>
    </w:tbl>
    <w:p w14:paraId="517E7920" w14:textId="74D6D89F" w:rsidR="00AD6203" w:rsidRPr="00AD6203" w:rsidRDefault="00AD6203" w:rsidP="00AD6203">
      <w:pPr>
        <w:shd w:val="clear" w:color="auto" w:fill="FFFFFF"/>
        <w:spacing w:before="60" w:after="120" w:line="24" w:lineRule="atLeast"/>
        <w:ind w:firstLine="720"/>
        <w:rPr>
          <w:rFonts w:ascii="Times New Roman" w:eastAsia="Times New Roman" w:hAnsi="Times New Roman"/>
          <w:i/>
          <w:sz w:val="20"/>
          <w:szCs w:val="20"/>
          <w:lang w:val="bg-BG"/>
        </w:rPr>
      </w:pPr>
      <w:r w:rsidRPr="00AD6203">
        <w:rPr>
          <w:rFonts w:ascii="Times New Roman" w:eastAsia="Times New Roman" w:hAnsi="Times New Roman"/>
          <w:i/>
          <w:sz w:val="20"/>
          <w:szCs w:val="20"/>
          <w:lang w:val="bg-BG"/>
        </w:rPr>
        <w:t>Източник: НСИ</w:t>
      </w:r>
    </w:p>
    <w:p w14:paraId="7BF99F42" w14:textId="77777777"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 xml:space="preserve">Анализът на обработените данни за динамиката на БВП е от публикациите на НСИ и показва, че брутният вътрешен продукт (БВП) на България е нараснал с 8,6% за периода 2020-2021 г. Това показват сезонно изгладените данни (преизчислени и допълнени) на Националния статистически институт (НСИ). Отчетеното повишение е най-голямото от последните 30 години. Последните неизгладени сезонно данни за края на 2022 г. показват, че прогнозите за ръста на БВП от април 2022 г. вероятно са оптимистични. </w:t>
      </w:r>
    </w:p>
    <w:p w14:paraId="325F90A0" w14:textId="77777777" w:rsidR="00AD6203"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Други макро-икономически показатели</w:t>
      </w:r>
      <w:r w:rsidRPr="003A05A1">
        <w:rPr>
          <w:rFonts w:ascii="Times New Roman" w:eastAsia="Times New Roman" w:hAnsi="Times New Roman"/>
          <w:sz w:val="22"/>
          <w:vertAlign w:val="superscript"/>
          <w:lang w:val="bg-BG"/>
        </w:rPr>
        <w:footnoteReference w:id="20"/>
      </w:r>
      <w:r w:rsidRPr="003A05A1">
        <w:rPr>
          <w:rFonts w:ascii="Times New Roman" w:eastAsia="Times New Roman" w:hAnsi="Times New Roman"/>
          <w:sz w:val="22"/>
          <w:lang w:val="bg-BG"/>
        </w:rPr>
        <w:t>, които дават информация за социално икономическата среда в България, са представени в следващата таблица:</w:t>
      </w:r>
    </w:p>
    <w:p w14:paraId="21B9C2BD" w14:textId="77777777" w:rsidR="00ED188B" w:rsidRDefault="00ED188B" w:rsidP="003A05A1">
      <w:pPr>
        <w:shd w:val="clear" w:color="auto" w:fill="FFFFFF"/>
        <w:spacing w:after="0" w:line="360" w:lineRule="auto"/>
        <w:ind w:firstLine="720"/>
        <w:rPr>
          <w:rFonts w:ascii="Times New Roman" w:eastAsia="Times New Roman" w:hAnsi="Times New Roman"/>
          <w:sz w:val="22"/>
          <w:lang w:val="bg-BG"/>
        </w:rPr>
      </w:pPr>
    </w:p>
    <w:p w14:paraId="7231D3DC" w14:textId="77777777" w:rsidR="00ED188B" w:rsidRDefault="00ED188B" w:rsidP="003A05A1">
      <w:pPr>
        <w:shd w:val="clear" w:color="auto" w:fill="FFFFFF"/>
        <w:spacing w:after="0" w:line="360" w:lineRule="auto"/>
        <w:ind w:firstLine="720"/>
        <w:rPr>
          <w:rFonts w:ascii="Times New Roman" w:eastAsia="Times New Roman" w:hAnsi="Times New Roman"/>
          <w:sz w:val="22"/>
          <w:lang w:val="bg-BG"/>
        </w:rPr>
      </w:pPr>
    </w:p>
    <w:p w14:paraId="2ADC72FF" w14:textId="77777777" w:rsidR="00ED188B" w:rsidRDefault="00ED188B" w:rsidP="003A05A1">
      <w:pPr>
        <w:shd w:val="clear" w:color="auto" w:fill="FFFFFF"/>
        <w:spacing w:after="0" w:line="360" w:lineRule="auto"/>
        <w:ind w:firstLine="720"/>
        <w:rPr>
          <w:rFonts w:ascii="Times New Roman" w:eastAsia="Times New Roman" w:hAnsi="Times New Roman"/>
          <w:sz w:val="22"/>
          <w:lang w:val="bg-BG"/>
        </w:rPr>
      </w:pPr>
    </w:p>
    <w:p w14:paraId="043A83CB" w14:textId="77777777" w:rsidR="00ED188B" w:rsidRDefault="00ED188B" w:rsidP="003A05A1">
      <w:pPr>
        <w:shd w:val="clear" w:color="auto" w:fill="FFFFFF"/>
        <w:spacing w:after="0" w:line="360" w:lineRule="auto"/>
        <w:ind w:firstLine="720"/>
        <w:rPr>
          <w:rFonts w:ascii="Times New Roman" w:eastAsia="Times New Roman" w:hAnsi="Times New Roman"/>
          <w:sz w:val="22"/>
          <w:lang w:val="bg-BG"/>
        </w:rPr>
      </w:pPr>
    </w:p>
    <w:p w14:paraId="20974AAD" w14:textId="77777777" w:rsidR="00ED188B" w:rsidRDefault="00ED188B" w:rsidP="003A05A1">
      <w:pPr>
        <w:shd w:val="clear" w:color="auto" w:fill="FFFFFF"/>
        <w:spacing w:after="0" w:line="360" w:lineRule="auto"/>
        <w:ind w:firstLine="720"/>
        <w:rPr>
          <w:rFonts w:ascii="Times New Roman" w:eastAsia="Times New Roman" w:hAnsi="Times New Roman"/>
          <w:sz w:val="22"/>
          <w:lang w:val="bg-BG"/>
        </w:rPr>
      </w:pPr>
    </w:p>
    <w:p w14:paraId="354ED92A" w14:textId="77777777" w:rsidR="00ED188B" w:rsidRPr="00AD6203" w:rsidRDefault="00ED188B" w:rsidP="003A05A1">
      <w:pPr>
        <w:shd w:val="clear" w:color="auto" w:fill="FFFFFF"/>
        <w:spacing w:after="0" w:line="360" w:lineRule="auto"/>
        <w:ind w:firstLine="720"/>
        <w:rPr>
          <w:rFonts w:ascii="Times New Roman" w:eastAsia="Times New Roman" w:hAnsi="Times New Roman"/>
          <w:sz w:val="24"/>
          <w:szCs w:val="24"/>
          <w:lang w:val="bg-BG"/>
        </w:rPr>
      </w:pPr>
    </w:p>
    <w:p w14:paraId="173C2876" w14:textId="279B07CB" w:rsidR="00AD6203" w:rsidRPr="00D86E60" w:rsidRDefault="00D86E60" w:rsidP="00ED188B">
      <w:pPr>
        <w:spacing w:after="120" w:line="24" w:lineRule="atLeast"/>
        <w:ind w:firstLine="720"/>
        <w:jc w:val="center"/>
        <w:rPr>
          <w:rFonts w:ascii="Times New Roman" w:eastAsia="Times New Roman" w:hAnsi="Times New Roman"/>
          <w:i/>
          <w:iCs/>
          <w:sz w:val="22"/>
          <w:lang w:val="bg-BG"/>
        </w:rPr>
      </w:pPr>
      <w:r w:rsidRPr="00805152">
        <w:rPr>
          <w:rFonts w:ascii="Times New Roman" w:eastAsia="Times New Roman" w:hAnsi="Times New Roman"/>
          <w:i/>
          <w:iCs/>
          <w:sz w:val="22"/>
          <w:lang w:val="bg-BG"/>
        </w:rPr>
        <w:lastRenderedPageBreak/>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11</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00AD6203" w:rsidRPr="00D86E60">
        <w:rPr>
          <w:rFonts w:ascii="Times New Roman" w:eastAsia="Times New Roman" w:hAnsi="Times New Roman"/>
          <w:i/>
          <w:iCs/>
          <w:sz w:val="22"/>
          <w:lang w:val="bg-BG"/>
        </w:rPr>
        <w:t>Исторически данни за основните макро-икономически индикатори в България</w:t>
      </w:r>
    </w:p>
    <w:tbl>
      <w:tblPr>
        <w:tblW w:w="10206" w:type="dxa"/>
        <w:tblInd w:w="-185" w:type="dxa"/>
        <w:tblLayout w:type="fixed"/>
        <w:tblLook w:val="04A0" w:firstRow="1" w:lastRow="0" w:firstColumn="1" w:lastColumn="0" w:noHBand="0" w:noVBand="1"/>
      </w:tblPr>
      <w:tblGrid>
        <w:gridCol w:w="2268"/>
        <w:gridCol w:w="970"/>
        <w:gridCol w:w="1036"/>
        <w:gridCol w:w="984"/>
        <w:gridCol w:w="1083"/>
        <w:gridCol w:w="1053"/>
        <w:gridCol w:w="1021"/>
        <w:gridCol w:w="904"/>
        <w:gridCol w:w="887"/>
      </w:tblGrid>
      <w:tr w:rsidR="00AD6203" w:rsidRPr="00AD6203" w14:paraId="5C49A976" w14:textId="77777777" w:rsidTr="00AD6203">
        <w:trPr>
          <w:trHeight w:val="360"/>
        </w:trPr>
        <w:tc>
          <w:tcPr>
            <w:tcW w:w="2268" w:type="dxa"/>
            <w:tcBorders>
              <w:top w:val="single" w:sz="4" w:space="0" w:color="auto"/>
              <w:left w:val="single" w:sz="4" w:space="0" w:color="auto"/>
              <w:bottom w:val="single" w:sz="4" w:space="0" w:color="auto"/>
              <w:right w:val="single" w:sz="4" w:space="0" w:color="auto"/>
            </w:tcBorders>
            <w:shd w:val="clear" w:color="auto" w:fill="C5E0B3"/>
            <w:noWrap/>
            <w:vAlign w:val="center"/>
            <w:hideMark/>
          </w:tcPr>
          <w:p w14:paraId="79E904A4" w14:textId="77777777" w:rsidR="00AD6203" w:rsidRPr="00AD6203" w:rsidRDefault="00AD6203" w:rsidP="00AD6203">
            <w:pPr>
              <w:spacing w:after="0" w:line="240" w:lineRule="auto"/>
              <w:ind w:hanging="1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Макро показатели</w:t>
            </w:r>
          </w:p>
        </w:tc>
        <w:tc>
          <w:tcPr>
            <w:tcW w:w="970" w:type="dxa"/>
            <w:tcBorders>
              <w:top w:val="single" w:sz="4" w:space="0" w:color="auto"/>
              <w:left w:val="nil"/>
              <w:bottom w:val="single" w:sz="4" w:space="0" w:color="auto"/>
              <w:right w:val="single" w:sz="4" w:space="0" w:color="auto"/>
            </w:tcBorders>
            <w:shd w:val="clear" w:color="auto" w:fill="C5E0B3"/>
            <w:noWrap/>
            <w:vAlign w:val="center"/>
            <w:hideMark/>
          </w:tcPr>
          <w:p w14:paraId="7B63F63E" w14:textId="77777777" w:rsidR="00AD6203" w:rsidRPr="00AD6203" w:rsidRDefault="00AD6203" w:rsidP="00AD6203">
            <w:pPr>
              <w:spacing w:after="0" w:line="240" w:lineRule="auto"/>
              <w:ind w:left="-700" w:firstLine="627"/>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2015 г</w:t>
            </w:r>
          </w:p>
        </w:tc>
        <w:tc>
          <w:tcPr>
            <w:tcW w:w="1036" w:type="dxa"/>
            <w:tcBorders>
              <w:top w:val="single" w:sz="4" w:space="0" w:color="auto"/>
              <w:left w:val="nil"/>
              <w:bottom w:val="single" w:sz="4" w:space="0" w:color="auto"/>
              <w:right w:val="single" w:sz="4" w:space="0" w:color="auto"/>
            </w:tcBorders>
            <w:shd w:val="clear" w:color="auto" w:fill="C5E0B3"/>
            <w:noWrap/>
            <w:vAlign w:val="center"/>
            <w:hideMark/>
          </w:tcPr>
          <w:p w14:paraId="44EAB3AA" w14:textId="77777777" w:rsidR="00AD6203" w:rsidRPr="00AD6203" w:rsidRDefault="00AD6203" w:rsidP="00AD6203">
            <w:pPr>
              <w:spacing w:after="0" w:line="240" w:lineRule="auto"/>
              <w:ind w:right="-88" w:hanging="92"/>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2016 г.</w:t>
            </w:r>
          </w:p>
        </w:tc>
        <w:tc>
          <w:tcPr>
            <w:tcW w:w="984" w:type="dxa"/>
            <w:tcBorders>
              <w:top w:val="single" w:sz="4" w:space="0" w:color="auto"/>
              <w:left w:val="nil"/>
              <w:bottom w:val="single" w:sz="4" w:space="0" w:color="auto"/>
              <w:right w:val="single" w:sz="4" w:space="0" w:color="auto"/>
            </w:tcBorders>
            <w:shd w:val="clear" w:color="auto" w:fill="C5E0B3"/>
            <w:noWrap/>
            <w:vAlign w:val="center"/>
            <w:hideMark/>
          </w:tcPr>
          <w:p w14:paraId="7AFB666F" w14:textId="77777777" w:rsidR="00AD6203" w:rsidRPr="00AD6203" w:rsidRDefault="00AD6203" w:rsidP="00AD6203">
            <w:pPr>
              <w:spacing w:after="0" w:line="240" w:lineRule="auto"/>
              <w:ind w:hanging="23"/>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2017 г.</w:t>
            </w:r>
          </w:p>
        </w:tc>
        <w:tc>
          <w:tcPr>
            <w:tcW w:w="1083" w:type="dxa"/>
            <w:tcBorders>
              <w:top w:val="single" w:sz="4" w:space="0" w:color="auto"/>
              <w:left w:val="nil"/>
              <w:bottom w:val="single" w:sz="4" w:space="0" w:color="auto"/>
              <w:right w:val="single" w:sz="4" w:space="0" w:color="auto"/>
            </w:tcBorders>
            <w:shd w:val="clear" w:color="auto" w:fill="C5E0B3"/>
            <w:noWrap/>
            <w:vAlign w:val="center"/>
            <w:hideMark/>
          </w:tcPr>
          <w:p w14:paraId="19959CD3" w14:textId="77777777" w:rsidR="00AD6203" w:rsidRPr="00AD6203" w:rsidRDefault="00AD6203" w:rsidP="00AD6203">
            <w:pPr>
              <w:spacing w:after="0" w:line="240" w:lineRule="auto"/>
              <w:ind w:hanging="25"/>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2018 г.</w:t>
            </w:r>
          </w:p>
        </w:tc>
        <w:tc>
          <w:tcPr>
            <w:tcW w:w="1053" w:type="dxa"/>
            <w:tcBorders>
              <w:top w:val="single" w:sz="4" w:space="0" w:color="auto"/>
              <w:left w:val="nil"/>
              <w:bottom w:val="single" w:sz="4" w:space="0" w:color="auto"/>
              <w:right w:val="single" w:sz="4" w:space="0" w:color="auto"/>
            </w:tcBorders>
            <w:shd w:val="clear" w:color="auto" w:fill="C5E0B3"/>
            <w:noWrap/>
            <w:vAlign w:val="center"/>
            <w:hideMark/>
          </w:tcPr>
          <w:p w14:paraId="1BADFEBB" w14:textId="77777777" w:rsidR="00AD6203" w:rsidRPr="00AD6203" w:rsidRDefault="00AD6203" w:rsidP="00AD6203">
            <w:pPr>
              <w:spacing w:after="0" w:line="240" w:lineRule="auto"/>
              <w:ind w:hanging="18"/>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2019 г.</w:t>
            </w:r>
          </w:p>
        </w:tc>
        <w:tc>
          <w:tcPr>
            <w:tcW w:w="1021" w:type="dxa"/>
            <w:tcBorders>
              <w:top w:val="single" w:sz="4" w:space="0" w:color="auto"/>
              <w:left w:val="nil"/>
              <w:bottom w:val="single" w:sz="4" w:space="0" w:color="auto"/>
              <w:right w:val="single" w:sz="4" w:space="0" w:color="auto"/>
            </w:tcBorders>
            <w:shd w:val="clear" w:color="auto" w:fill="C5E0B3"/>
            <w:noWrap/>
            <w:vAlign w:val="center"/>
            <w:hideMark/>
          </w:tcPr>
          <w:p w14:paraId="7D12089F" w14:textId="77777777" w:rsidR="00AD6203" w:rsidRPr="00AD6203" w:rsidRDefault="00AD6203" w:rsidP="00AD6203">
            <w:pPr>
              <w:spacing w:after="0" w:line="240" w:lineRule="auto"/>
              <w:ind w:right="-155" w:hanging="115"/>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2020 г.</w:t>
            </w:r>
          </w:p>
        </w:tc>
        <w:tc>
          <w:tcPr>
            <w:tcW w:w="904" w:type="dxa"/>
            <w:tcBorders>
              <w:top w:val="single" w:sz="4" w:space="0" w:color="auto"/>
              <w:left w:val="nil"/>
              <w:bottom w:val="single" w:sz="4" w:space="0" w:color="auto"/>
              <w:right w:val="single" w:sz="4" w:space="0" w:color="auto"/>
            </w:tcBorders>
            <w:shd w:val="clear" w:color="auto" w:fill="C5E0B3"/>
            <w:vAlign w:val="center"/>
          </w:tcPr>
          <w:p w14:paraId="37E1C0E9" w14:textId="77777777" w:rsidR="00AD6203" w:rsidRPr="00AD6203" w:rsidRDefault="00AD6203" w:rsidP="00AD6203">
            <w:pPr>
              <w:spacing w:after="0" w:line="240" w:lineRule="auto"/>
              <w:ind w:right="-119" w:hanging="61"/>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2021 г.</w:t>
            </w:r>
          </w:p>
        </w:tc>
        <w:tc>
          <w:tcPr>
            <w:tcW w:w="887" w:type="dxa"/>
            <w:tcBorders>
              <w:top w:val="single" w:sz="4" w:space="0" w:color="auto"/>
              <w:left w:val="nil"/>
              <w:bottom w:val="single" w:sz="4" w:space="0" w:color="auto"/>
              <w:right w:val="single" w:sz="4" w:space="0" w:color="auto"/>
            </w:tcBorders>
            <w:shd w:val="clear" w:color="auto" w:fill="C5E0B3"/>
            <w:vAlign w:val="center"/>
          </w:tcPr>
          <w:p w14:paraId="6AB27BF0" w14:textId="77777777" w:rsidR="00AD6203" w:rsidRPr="00AD6203" w:rsidRDefault="00AD6203" w:rsidP="00AD6203">
            <w:pPr>
              <w:spacing w:after="0" w:line="240" w:lineRule="auto"/>
              <w:ind w:left="-76" w:right="-119" w:hanging="61"/>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 xml:space="preserve"> 2022 г.</w:t>
            </w:r>
          </w:p>
        </w:tc>
      </w:tr>
      <w:tr w:rsidR="00AD6203" w:rsidRPr="00AD6203" w14:paraId="2CC3C78A" w14:textId="77777777" w:rsidTr="00D86E60">
        <w:trPr>
          <w:trHeight w:val="30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0F6F6B3"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Население в млн.</w:t>
            </w:r>
          </w:p>
        </w:tc>
        <w:tc>
          <w:tcPr>
            <w:tcW w:w="970" w:type="dxa"/>
            <w:tcBorders>
              <w:top w:val="nil"/>
              <w:left w:val="nil"/>
              <w:bottom w:val="single" w:sz="4" w:space="0" w:color="auto"/>
              <w:right w:val="single" w:sz="4" w:space="0" w:color="auto"/>
            </w:tcBorders>
            <w:shd w:val="clear" w:color="auto" w:fill="auto"/>
            <w:noWrap/>
            <w:vAlign w:val="center"/>
            <w:hideMark/>
          </w:tcPr>
          <w:p w14:paraId="6D62FAE7"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7,2</w:t>
            </w:r>
          </w:p>
        </w:tc>
        <w:tc>
          <w:tcPr>
            <w:tcW w:w="1036" w:type="dxa"/>
            <w:tcBorders>
              <w:top w:val="nil"/>
              <w:left w:val="nil"/>
              <w:bottom w:val="single" w:sz="4" w:space="0" w:color="auto"/>
              <w:right w:val="single" w:sz="4" w:space="0" w:color="auto"/>
            </w:tcBorders>
            <w:shd w:val="clear" w:color="auto" w:fill="auto"/>
            <w:noWrap/>
            <w:vAlign w:val="center"/>
            <w:hideMark/>
          </w:tcPr>
          <w:p w14:paraId="094073DF"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7,1</w:t>
            </w:r>
          </w:p>
        </w:tc>
        <w:tc>
          <w:tcPr>
            <w:tcW w:w="984" w:type="dxa"/>
            <w:tcBorders>
              <w:top w:val="nil"/>
              <w:left w:val="nil"/>
              <w:bottom w:val="single" w:sz="4" w:space="0" w:color="auto"/>
              <w:right w:val="single" w:sz="4" w:space="0" w:color="auto"/>
            </w:tcBorders>
            <w:shd w:val="clear" w:color="auto" w:fill="auto"/>
            <w:noWrap/>
            <w:vAlign w:val="center"/>
            <w:hideMark/>
          </w:tcPr>
          <w:p w14:paraId="08A9E08C"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7,1</w:t>
            </w:r>
          </w:p>
        </w:tc>
        <w:tc>
          <w:tcPr>
            <w:tcW w:w="1083" w:type="dxa"/>
            <w:tcBorders>
              <w:top w:val="nil"/>
              <w:left w:val="nil"/>
              <w:bottom w:val="single" w:sz="4" w:space="0" w:color="auto"/>
              <w:right w:val="single" w:sz="4" w:space="0" w:color="auto"/>
            </w:tcBorders>
            <w:shd w:val="clear" w:color="auto" w:fill="auto"/>
            <w:noWrap/>
            <w:vAlign w:val="center"/>
            <w:hideMark/>
          </w:tcPr>
          <w:p w14:paraId="7818069D"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7</w:t>
            </w:r>
          </w:p>
        </w:tc>
        <w:tc>
          <w:tcPr>
            <w:tcW w:w="1053" w:type="dxa"/>
            <w:tcBorders>
              <w:top w:val="nil"/>
              <w:left w:val="nil"/>
              <w:bottom w:val="single" w:sz="4" w:space="0" w:color="auto"/>
              <w:right w:val="single" w:sz="4" w:space="0" w:color="auto"/>
            </w:tcBorders>
            <w:shd w:val="clear" w:color="auto" w:fill="auto"/>
            <w:noWrap/>
            <w:vAlign w:val="center"/>
            <w:hideMark/>
          </w:tcPr>
          <w:p w14:paraId="4CC2B83C"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6,95</w:t>
            </w:r>
          </w:p>
        </w:tc>
        <w:tc>
          <w:tcPr>
            <w:tcW w:w="1021" w:type="dxa"/>
            <w:tcBorders>
              <w:top w:val="nil"/>
              <w:left w:val="nil"/>
              <w:bottom w:val="single" w:sz="4" w:space="0" w:color="auto"/>
              <w:right w:val="single" w:sz="4" w:space="0" w:color="auto"/>
            </w:tcBorders>
            <w:shd w:val="clear" w:color="auto" w:fill="auto"/>
            <w:noWrap/>
            <w:vAlign w:val="center"/>
            <w:hideMark/>
          </w:tcPr>
          <w:p w14:paraId="6522B1BB"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6,92</w:t>
            </w:r>
          </w:p>
        </w:tc>
        <w:tc>
          <w:tcPr>
            <w:tcW w:w="904" w:type="dxa"/>
            <w:tcBorders>
              <w:top w:val="nil"/>
              <w:left w:val="nil"/>
              <w:bottom w:val="single" w:sz="4" w:space="0" w:color="auto"/>
              <w:right w:val="single" w:sz="4" w:space="0" w:color="auto"/>
            </w:tcBorders>
            <w:vAlign w:val="center"/>
          </w:tcPr>
          <w:p w14:paraId="7F094E43"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6,86</w:t>
            </w:r>
          </w:p>
        </w:tc>
        <w:tc>
          <w:tcPr>
            <w:tcW w:w="887" w:type="dxa"/>
            <w:tcBorders>
              <w:top w:val="nil"/>
              <w:left w:val="nil"/>
              <w:bottom w:val="single" w:sz="4" w:space="0" w:color="auto"/>
              <w:right w:val="single" w:sz="4" w:space="0" w:color="auto"/>
            </w:tcBorders>
            <w:vAlign w:val="center"/>
          </w:tcPr>
          <w:p w14:paraId="230C5FCC"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6,81</w:t>
            </w:r>
          </w:p>
        </w:tc>
      </w:tr>
      <w:tr w:rsidR="00AD6203" w:rsidRPr="00AD6203" w14:paraId="01783FA7" w14:textId="77777777" w:rsidTr="00AD6203">
        <w:trPr>
          <w:trHeight w:val="36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6DCAB5F9"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БВП на глава от населението (EUR)</w:t>
            </w:r>
          </w:p>
        </w:tc>
        <w:tc>
          <w:tcPr>
            <w:tcW w:w="970" w:type="dxa"/>
            <w:tcBorders>
              <w:top w:val="nil"/>
              <w:left w:val="nil"/>
              <w:bottom w:val="single" w:sz="4" w:space="0" w:color="auto"/>
              <w:right w:val="single" w:sz="4" w:space="0" w:color="auto"/>
            </w:tcBorders>
            <w:shd w:val="clear" w:color="auto" w:fill="auto"/>
            <w:noWrap/>
            <w:vAlign w:val="center"/>
            <w:hideMark/>
          </w:tcPr>
          <w:p w14:paraId="14B3FE2E"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6 384</w:t>
            </w:r>
          </w:p>
        </w:tc>
        <w:tc>
          <w:tcPr>
            <w:tcW w:w="1036" w:type="dxa"/>
            <w:tcBorders>
              <w:top w:val="nil"/>
              <w:left w:val="nil"/>
              <w:bottom w:val="single" w:sz="4" w:space="0" w:color="auto"/>
              <w:right w:val="single" w:sz="4" w:space="0" w:color="auto"/>
            </w:tcBorders>
            <w:shd w:val="clear" w:color="auto" w:fill="auto"/>
            <w:noWrap/>
            <w:vAlign w:val="center"/>
            <w:hideMark/>
          </w:tcPr>
          <w:p w14:paraId="582AF3C4"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6 846</w:t>
            </w:r>
          </w:p>
        </w:tc>
        <w:tc>
          <w:tcPr>
            <w:tcW w:w="984" w:type="dxa"/>
            <w:tcBorders>
              <w:top w:val="nil"/>
              <w:left w:val="nil"/>
              <w:bottom w:val="single" w:sz="4" w:space="0" w:color="auto"/>
              <w:right w:val="single" w:sz="4" w:space="0" w:color="auto"/>
            </w:tcBorders>
            <w:shd w:val="clear" w:color="auto" w:fill="auto"/>
            <w:noWrap/>
            <w:vAlign w:val="center"/>
            <w:hideMark/>
          </w:tcPr>
          <w:p w14:paraId="02D683DE"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7 419</w:t>
            </w:r>
          </w:p>
        </w:tc>
        <w:tc>
          <w:tcPr>
            <w:tcW w:w="1083" w:type="dxa"/>
            <w:tcBorders>
              <w:top w:val="nil"/>
              <w:left w:val="nil"/>
              <w:bottom w:val="single" w:sz="4" w:space="0" w:color="auto"/>
              <w:right w:val="single" w:sz="4" w:space="0" w:color="auto"/>
            </w:tcBorders>
            <w:shd w:val="clear" w:color="auto" w:fill="auto"/>
            <w:noWrap/>
            <w:vAlign w:val="center"/>
            <w:hideMark/>
          </w:tcPr>
          <w:p w14:paraId="7A8D9112"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8 012</w:t>
            </w:r>
          </w:p>
        </w:tc>
        <w:tc>
          <w:tcPr>
            <w:tcW w:w="1053" w:type="dxa"/>
            <w:tcBorders>
              <w:top w:val="nil"/>
              <w:left w:val="nil"/>
              <w:bottom w:val="single" w:sz="4" w:space="0" w:color="auto"/>
              <w:right w:val="single" w:sz="4" w:space="0" w:color="auto"/>
            </w:tcBorders>
            <w:shd w:val="clear" w:color="auto" w:fill="auto"/>
            <w:noWrap/>
            <w:vAlign w:val="center"/>
            <w:hideMark/>
          </w:tcPr>
          <w:p w14:paraId="24034CF0"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8 680</w:t>
            </w:r>
          </w:p>
        </w:tc>
        <w:tc>
          <w:tcPr>
            <w:tcW w:w="1021" w:type="dxa"/>
            <w:tcBorders>
              <w:top w:val="nil"/>
              <w:left w:val="nil"/>
              <w:bottom w:val="single" w:sz="4" w:space="0" w:color="auto"/>
              <w:right w:val="single" w:sz="4" w:space="0" w:color="auto"/>
            </w:tcBorders>
            <w:shd w:val="clear" w:color="auto" w:fill="auto"/>
            <w:noWrap/>
            <w:vAlign w:val="center"/>
            <w:hideMark/>
          </w:tcPr>
          <w:p w14:paraId="2DAB653C"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8 845</w:t>
            </w:r>
          </w:p>
        </w:tc>
        <w:tc>
          <w:tcPr>
            <w:tcW w:w="904" w:type="dxa"/>
            <w:tcBorders>
              <w:top w:val="nil"/>
              <w:left w:val="nil"/>
              <w:bottom w:val="single" w:sz="4" w:space="0" w:color="auto"/>
              <w:right w:val="single" w:sz="4" w:space="0" w:color="auto"/>
            </w:tcBorders>
            <w:vAlign w:val="center"/>
          </w:tcPr>
          <w:p w14:paraId="235784AB"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9111</w:t>
            </w:r>
          </w:p>
        </w:tc>
        <w:tc>
          <w:tcPr>
            <w:tcW w:w="887" w:type="dxa"/>
            <w:tcBorders>
              <w:top w:val="nil"/>
              <w:left w:val="nil"/>
              <w:bottom w:val="single" w:sz="4" w:space="0" w:color="auto"/>
              <w:right w:val="single" w:sz="4" w:space="0" w:color="auto"/>
            </w:tcBorders>
            <w:vAlign w:val="center"/>
          </w:tcPr>
          <w:p w14:paraId="6F894DBD"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9786</w:t>
            </w:r>
          </w:p>
        </w:tc>
      </w:tr>
      <w:tr w:rsidR="00AD6203" w:rsidRPr="00AD6203" w14:paraId="09E8CFE2" w14:textId="77777777" w:rsidTr="00D86E60">
        <w:trPr>
          <w:trHeight w:val="327"/>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7D2EA409"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Безработица (%)</w:t>
            </w:r>
          </w:p>
        </w:tc>
        <w:tc>
          <w:tcPr>
            <w:tcW w:w="970" w:type="dxa"/>
            <w:tcBorders>
              <w:top w:val="nil"/>
              <w:left w:val="nil"/>
              <w:bottom w:val="single" w:sz="4" w:space="0" w:color="auto"/>
              <w:right w:val="single" w:sz="4" w:space="0" w:color="auto"/>
            </w:tcBorders>
            <w:shd w:val="clear" w:color="auto" w:fill="auto"/>
            <w:noWrap/>
            <w:vAlign w:val="center"/>
            <w:hideMark/>
          </w:tcPr>
          <w:p w14:paraId="0157DA38"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8</w:t>
            </w:r>
          </w:p>
        </w:tc>
        <w:tc>
          <w:tcPr>
            <w:tcW w:w="1036" w:type="dxa"/>
            <w:tcBorders>
              <w:top w:val="nil"/>
              <w:left w:val="nil"/>
              <w:bottom w:val="single" w:sz="4" w:space="0" w:color="auto"/>
              <w:right w:val="single" w:sz="4" w:space="0" w:color="auto"/>
            </w:tcBorders>
            <w:shd w:val="clear" w:color="auto" w:fill="auto"/>
            <w:noWrap/>
            <w:vAlign w:val="center"/>
            <w:hideMark/>
          </w:tcPr>
          <w:p w14:paraId="225B5968"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6,7</w:t>
            </w:r>
          </w:p>
        </w:tc>
        <w:tc>
          <w:tcPr>
            <w:tcW w:w="984" w:type="dxa"/>
            <w:tcBorders>
              <w:top w:val="nil"/>
              <w:left w:val="nil"/>
              <w:bottom w:val="single" w:sz="4" w:space="0" w:color="auto"/>
              <w:right w:val="single" w:sz="4" w:space="0" w:color="auto"/>
            </w:tcBorders>
            <w:shd w:val="clear" w:color="auto" w:fill="auto"/>
            <w:noWrap/>
            <w:vAlign w:val="center"/>
            <w:hideMark/>
          </w:tcPr>
          <w:p w14:paraId="2581B410"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5,7</w:t>
            </w:r>
          </w:p>
        </w:tc>
        <w:tc>
          <w:tcPr>
            <w:tcW w:w="1083" w:type="dxa"/>
            <w:tcBorders>
              <w:top w:val="nil"/>
              <w:left w:val="nil"/>
              <w:bottom w:val="single" w:sz="4" w:space="0" w:color="auto"/>
              <w:right w:val="single" w:sz="4" w:space="0" w:color="auto"/>
            </w:tcBorders>
            <w:shd w:val="clear" w:color="auto" w:fill="auto"/>
            <w:noWrap/>
            <w:vAlign w:val="center"/>
            <w:hideMark/>
          </w:tcPr>
          <w:p w14:paraId="7BE5A183"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4,7</w:t>
            </w:r>
          </w:p>
        </w:tc>
        <w:tc>
          <w:tcPr>
            <w:tcW w:w="1053" w:type="dxa"/>
            <w:tcBorders>
              <w:top w:val="nil"/>
              <w:left w:val="nil"/>
              <w:bottom w:val="single" w:sz="4" w:space="0" w:color="auto"/>
              <w:right w:val="single" w:sz="4" w:space="0" w:color="auto"/>
            </w:tcBorders>
            <w:shd w:val="clear" w:color="auto" w:fill="auto"/>
            <w:noWrap/>
            <w:vAlign w:val="center"/>
            <w:hideMark/>
          </w:tcPr>
          <w:p w14:paraId="33722307"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5,9</w:t>
            </w:r>
          </w:p>
        </w:tc>
        <w:tc>
          <w:tcPr>
            <w:tcW w:w="1021" w:type="dxa"/>
            <w:tcBorders>
              <w:top w:val="nil"/>
              <w:left w:val="nil"/>
              <w:bottom w:val="single" w:sz="4" w:space="0" w:color="auto"/>
              <w:right w:val="single" w:sz="4" w:space="0" w:color="auto"/>
            </w:tcBorders>
            <w:shd w:val="clear" w:color="auto" w:fill="auto"/>
            <w:noWrap/>
            <w:vAlign w:val="center"/>
            <w:hideMark/>
          </w:tcPr>
          <w:p w14:paraId="3CB68C26"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5,0</w:t>
            </w:r>
          </w:p>
        </w:tc>
        <w:tc>
          <w:tcPr>
            <w:tcW w:w="904" w:type="dxa"/>
            <w:tcBorders>
              <w:top w:val="nil"/>
              <w:left w:val="nil"/>
              <w:bottom w:val="single" w:sz="4" w:space="0" w:color="auto"/>
              <w:right w:val="single" w:sz="4" w:space="0" w:color="auto"/>
            </w:tcBorders>
            <w:vAlign w:val="center"/>
          </w:tcPr>
          <w:p w14:paraId="422B6805"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4,8</w:t>
            </w:r>
          </w:p>
        </w:tc>
        <w:tc>
          <w:tcPr>
            <w:tcW w:w="887" w:type="dxa"/>
            <w:tcBorders>
              <w:top w:val="nil"/>
              <w:left w:val="nil"/>
              <w:bottom w:val="single" w:sz="4" w:space="0" w:color="auto"/>
              <w:right w:val="single" w:sz="4" w:space="0" w:color="auto"/>
            </w:tcBorders>
            <w:vAlign w:val="center"/>
          </w:tcPr>
          <w:p w14:paraId="164255F8"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5,0</w:t>
            </w:r>
          </w:p>
        </w:tc>
      </w:tr>
      <w:tr w:rsidR="00AD6203" w:rsidRPr="00AD6203" w14:paraId="39181B71" w14:textId="77777777" w:rsidTr="00AD6203">
        <w:trPr>
          <w:trHeight w:val="36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437BBAD6"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Бюджетен дефицит (%)</w:t>
            </w:r>
          </w:p>
        </w:tc>
        <w:tc>
          <w:tcPr>
            <w:tcW w:w="970" w:type="dxa"/>
            <w:tcBorders>
              <w:top w:val="nil"/>
              <w:left w:val="nil"/>
              <w:bottom w:val="single" w:sz="4" w:space="0" w:color="auto"/>
              <w:right w:val="single" w:sz="4" w:space="0" w:color="auto"/>
            </w:tcBorders>
            <w:shd w:val="clear" w:color="auto" w:fill="auto"/>
            <w:noWrap/>
            <w:vAlign w:val="center"/>
            <w:hideMark/>
          </w:tcPr>
          <w:p w14:paraId="7CBB843F"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0,7</w:t>
            </w:r>
          </w:p>
        </w:tc>
        <w:tc>
          <w:tcPr>
            <w:tcW w:w="1036" w:type="dxa"/>
            <w:tcBorders>
              <w:top w:val="nil"/>
              <w:left w:val="nil"/>
              <w:bottom w:val="single" w:sz="4" w:space="0" w:color="auto"/>
              <w:right w:val="single" w:sz="4" w:space="0" w:color="auto"/>
            </w:tcBorders>
            <w:shd w:val="clear" w:color="auto" w:fill="auto"/>
            <w:noWrap/>
            <w:vAlign w:val="center"/>
            <w:hideMark/>
          </w:tcPr>
          <w:p w14:paraId="40CD634B"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0,3</w:t>
            </w:r>
          </w:p>
        </w:tc>
        <w:tc>
          <w:tcPr>
            <w:tcW w:w="984" w:type="dxa"/>
            <w:tcBorders>
              <w:top w:val="nil"/>
              <w:left w:val="nil"/>
              <w:bottom w:val="single" w:sz="4" w:space="0" w:color="auto"/>
              <w:right w:val="single" w:sz="4" w:space="0" w:color="auto"/>
            </w:tcBorders>
            <w:shd w:val="clear" w:color="auto" w:fill="auto"/>
            <w:noWrap/>
            <w:vAlign w:val="center"/>
            <w:hideMark/>
          </w:tcPr>
          <w:p w14:paraId="2266F835"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1,6</w:t>
            </w:r>
          </w:p>
        </w:tc>
        <w:tc>
          <w:tcPr>
            <w:tcW w:w="1083" w:type="dxa"/>
            <w:tcBorders>
              <w:top w:val="nil"/>
              <w:left w:val="nil"/>
              <w:bottom w:val="single" w:sz="4" w:space="0" w:color="auto"/>
              <w:right w:val="single" w:sz="4" w:space="0" w:color="auto"/>
            </w:tcBorders>
            <w:shd w:val="clear" w:color="auto" w:fill="auto"/>
            <w:noWrap/>
            <w:vAlign w:val="center"/>
            <w:hideMark/>
          </w:tcPr>
          <w:p w14:paraId="634CD96D"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1,7</w:t>
            </w:r>
          </w:p>
        </w:tc>
        <w:tc>
          <w:tcPr>
            <w:tcW w:w="1053" w:type="dxa"/>
            <w:tcBorders>
              <w:top w:val="nil"/>
              <w:left w:val="nil"/>
              <w:bottom w:val="single" w:sz="4" w:space="0" w:color="auto"/>
              <w:right w:val="single" w:sz="4" w:space="0" w:color="auto"/>
            </w:tcBorders>
            <w:shd w:val="clear" w:color="auto" w:fill="auto"/>
            <w:noWrap/>
            <w:vAlign w:val="center"/>
            <w:hideMark/>
          </w:tcPr>
          <w:p w14:paraId="163E1214"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2,1</w:t>
            </w:r>
          </w:p>
        </w:tc>
        <w:tc>
          <w:tcPr>
            <w:tcW w:w="1021" w:type="dxa"/>
            <w:tcBorders>
              <w:top w:val="nil"/>
              <w:left w:val="nil"/>
              <w:bottom w:val="single" w:sz="4" w:space="0" w:color="auto"/>
              <w:right w:val="single" w:sz="4" w:space="0" w:color="auto"/>
            </w:tcBorders>
            <w:shd w:val="clear" w:color="auto" w:fill="auto"/>
            <w:noWrap/>
            <w:vAlign w:val="center"/>
            <w:hideMark/>
          </w:tcPr>
          <w:p w14:paraId="664836D2"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-4,4</w:t>
            </w:r>
          </w:p>
        </w:tc>
        <w:tc>
          <w:tcPr>
            <w:tcW w:w="904" w:type="dxa"/>
            <w:tcBorders>
              <w:top w:val="nil"/>
              <w:left w:val="nil"/>
              <w:bottom w:val="single" w:sz="4" w:space="0" w:color="auto"/>
              <w:right w:val="single" w:sz="4" w:space="0" w:color="auto"/>
            </w:tcBorders>
            <w:vAlign w:val="center"/>
          </w:tcPr>
          <w:p w14:paraId="7B6C00E9"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-1,8</w:t>
            </w:r>
          </w:p>
        </w:tc>
        <w:tc>
          <w:tcPr>
            <w:tcW w:w="887" w:type="dxa"/>
            <w:tcBorders>
              <w:top w:val="nil"/>
              <w:left w:val="nil"/>
              <w:bottom w:val="single" w:sz="4" w:space="0" w:color="auto"/>
              <w:right w:val="single" w:sz="4" w:space="0" w:color="auto"/>
            </w:tcBorders>
            <w:vAlign w:val="center"/>
          </w:tcPr>
          <w:p w14:paraId="796BD6B0"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-0.2</w:t>
            </w:r>
          </w:p>
        </w:tc>
      </w:tr>
      <w:tr w:rsidR="00AD6203" w:rsidRPr="00AD6203" w14:paraId="044675C8" w14:textId="77777777" w:rsidTr="00AD6203">
        <w:trPr>
          <w:trHeight w:val="36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6CE1A17A"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Публичен дълг (в % от БВП)</w:t>
            </w:r>
          </w:p>
        </w:tc>
        <w:tc>
          <w:tcPr>
            <w:tcW w:w="970" w:type="dxa"/>
            <w:tcBorders>
              <w:top w:val="nil"/>
              <w:left w:val="nil"/>
              <w:bottom w:val="single" w:sz="4" w:space="0" w:color="auto"/>
              <w:right w:val="single" w:sz="4" w:space="0" w:color="auto"/>
            </w:tcBorders>
            <w:shd w:val="clear" w:color="auto" w:fill="auto"/>
            <w:noWrap/>
            <w:vAlign w:val="center"/>
            <w:hideMark/>
          </w:tcPr>
          <w:p w14:paraId="26FCC6F3"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26</w:t>
            </w:r>
          </w:p>
        </w:tc>
        <w:tc>
          <w:tcPr>
            <w:tcW w:w="1036" w:type="dxa"/>
            <w:tcBorders>
              <w:top w:val="nil"/>
              <w:left w:val="nil"/>
              <w:bottom w:val="single" w:sz="4" w:space="0" w:color="auto"/>
              <w:right w:val="single" w:sz="4" w:space="0" w:color="auto"/>
            </w:tcBorders>
            <w:shd w:val="clear" w:color="auto" w:fill="auto"/>
            <w:noWrap/>
            <w:vAlign w:val="center"/>
            <w:hideMark/>
          </w:tcPr>
          <w:p w14:paraId="4A69150B"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29,1</w:t>
            </w:r>
          </w:p>
        </w:tc>
        <w:tc>
          <w:tcPr>
            <w:tcW w:w="984" w:type="dxa"/>
            <w:tcBorders>
              <w:top w:val="nil"/>
              <w:left w:val="nil"/>
              <w:bottom w:val="single" w:sz="4" w:space="0" w:color="auto"/>
              <w:right w:val="single" w:sz="4" w:space="0" w:color="auto"/>
            </w:tcBorders>
            <w:shd w:val="clear" w:color="auto" w:fill="auto"/>
            <w:noWrap/>
            <w:vAlign w:val="center"/>
            <w:hideMark/>
          </w:tcPr>
          <w:p w14:paraId="3C592CC0"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25,1</w:t>
            </w:r>
          </w:p>
        </w:tc>
        <w:tc>
          <w:tcPr>
            <w:tcW w:w="1083" w:type="dxa"/>
            <w:tcBorders>
              <w:top w:val="nil"/>
              <w:left w:val="nil"/>
              <w:bottom w:val="single" w:sz="4" w:space="0" w:color="auto"/>
              <w:right w:val="single" w:sz="4" w:space="0" w:color="auto"/>
            </w:tcBorders>
            <w:shd w:val="clear" w:color="auto" w:fill="auto"/>
            <w:noWrap/>
            <w:vAlign w:val="center"/>
            <w:hideMark/>
          </w:tcPr>
          <w:p w14:paraId="44168EDA"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22,1</w:t>
            </w:r>
          </w:p>
        </w:tc>
        <w:tc>
          <w:tcPr>
            <w:tcW w:w="1053" w:type="dxa"/>
            <w:tcBorders>
              <w:top w:val="nil"/>
              <w:left w:val="nil"/>
              <w:bottom w:val="single" w:sz="4" w:space="0" w:color="auto"/>
              <w:right w:val="single" w:sz="4" w:space="0" w:color="auto"/>
            </w:tcBorders>
            <w:shd w:val="clear" w:color="auto" w:fill="auto"/>
            <w:noWrap/>
            <w:vAlign w:val="center"/>
            <w:hideMark/>
          </w:tcPr>
          <w:p w14:paraId="30731784"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20</w:t>
            </w:r>
          </w:p>
        </w:tc>
        <w:tc>
          <w:tcPr>
            <w:tcW w:w="1021" w:type="dxa"/>
            <w:tcBorders>
              <w:top w:val="nil"/>
              <w:left w:val="nil"/>
              <w:bottom w:val="single" w:sz="4" w:space="0" w:color="auto"/>
              <w:right w:val="single" w:sz="4" w:space="0" w:color="auto"/>
            </w:tcBorders>
            <w:shd w:val="clear" w:color="auto" w:fill="auto"/>
            <w:noWrap/>
            <w:vAlign w:val="center"/>
            <w:hideMark/>
          </w:tcPr>
          <w:p w14:paraId="4A59E005"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24,7</w:t>
            </w:r>
          </w:p>
        </w:tc>
        <w:tc>
          <w:tcPr>
            <w:tcW w:w="904" w:type="dxa"/>
            <w:tcBorders>
              <w:top w:val="nil"/>
              <w:left w:val="nil"/>
              <w:bottom w:val="single" w:sz="4" w:space="0" w:color="auto"/>
              <w:right w:val="single" w:sz="4" w:space="0" w:color="auto"/>
            </w:tcBorders>
            <w:vAlign w:val="center"/>
          </w:tcPr>
          <w:p w14:paraId="74F3FB13"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25,2</w:t>
            </w:r>
          </w:p>
        </w:tc>
        <w:tc>
          <w:tcPr>
            <w:tcW w:w="887" w:type="dxa"/>
            <w:tcBorders>
              <w:top w:val="nil"/>
              <w:left w:val="nil"/>
              <w:bottom w:val="single" w:sz="4" w:space="0" w:color="auto"/>
              <w:right w:val="single" w:sz="4" w:space="0" w:color="auto"/>
            </w:tcBorders>
            <w:vAlign w:val="center"/>
          </w:tcPr>
          <w:p w14:paraId="4EF4113F"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20.5</w:t>
            </w:r>
          </w:p>
        </w:tc>
      </w:tr>
      <w:tr w:rsidR="00AD6203" w:rsidRPr="00AD6203" w14:paraId="089275BE" w14:textId="77777777" w:rsidTr="00AD6203">
        <w:trPr>
          <w:trHeight w:val="36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E212F9B"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Годишна инфлация (%)</w:t>
            </w:r>
          </w:p>
        </w:tc>
        <w:tc>
          <w:tcPr>
            <w:tcW w:w="970" w:type="dxa"/>
            <w:tcBorders>
              <w:top w:val="nil"/>
              <w:left w:val="nil"/>
              <w:bottom w:val="single" w:sz="4" w:space="0" w:color="auto"/>
              <w:right w:val="single" w:sz="4" w:space="0" w:color="auto"/>
            </w:tcBorders>
            <w:shd w:val="clear" w:color="auto" w:fill="auto"/>
            <w:noWrap/>
            <w:vAlign w:val="center"/>
            <w:hideMark/>
          </w:tcPr>
          <w:p w14:paraId="7A2C1EC1"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-0,1</w:t>
            </w:r>
          </w:p>
        </w:tc>
        <w:tc>
          <w:tcPr>
            <w:tcW w:w="1036" w:type="dxa"/>
            <w:tcBorders>
              <w:top w:val="nil"/>
              <w:left w:val="nil"/>
              <w:bottom w:val="single" w:sz="4" w:space="0" w:color="auto"/>
              <w:right w:val="single" w:sz="4" w:space="0" w:color="auto"/>
            </w:tcBorders>
            <w:shd w:val="clear" w:color="auto" w:fill="auto"/>
            <w:noWrap/>
            <w:vAlign w:val="center"/>
            <w:hideMark/>
          </w:tcPr>
          <w:p w14:paraId="09A4BCF7"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-0,8</w:t>
            </w:r>
          </w:p>
        </w:tc>
        <w:tc>
          <w:tcPr>
            <w:tcW w:w="984" w:type="dxa"/>
            <w:tcBorders>
              <w:top w:val="nil"/>
              <w:left w:val="nil"/>
              <w:bottom w:val="single" w:sz="4" w:space="0" w:color="auto"/>
              <w:right w:val="single" w:sz="4" w:space="0" w:color="auto"/>
            </w:tcBorders>
            <w:shd w:val="clear" w:color="auto" w:fill="auto"/>
            <w:noWrap/>
            <w:vAlign w:val="center"/>
            <w:hideMark/>
          </w:tcPr>
          <w:p w14:paraId="0FF2041C"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c>
          <w:tcPr>
            <w:tcW w:w="1083" w:type="dxa"/>
            <w:tcBorders>
              <w:top w:val="nil"/>
              <w:left w:val="nil"/>
              <w:bottom w:val="single" w:sz="4" w:space="0" w:color="auto"/>
              <w:right w:val="single" w:sz="4" w:space="0" w:color="auto"/>
            </w:tcBorders>
            <w:shd w:val="clear" w:color="auto" w:fill="auto"/>
            <w:noWrap/>
            <w:vAlign w:val="center"/>
            <w:hideMark/>
          </w:tcPr>
          <w:p w14:paraId="5294585F"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2,7</w:t>
            </w:r>
          </w:p>
        </w:tc>
        <w:tc>
          <w:tcPr>
            <w:tcW w:w="1053" w:type="dxa"/>
            <w:tcBorders>
              <w:top w:val="nil"/>
              <w:left w:val="nil"/>
              <w:bottom w:val="single" w:sz="4" w:space="0" w:color="auto"/>
              <w:right w:val="single" w:sz="4" w:space="0" w:color="auto"/>
            </w:tcBorders>
            <w:shd w:val="clear" w:color="auto" w:fill="auto"/>
            <w:noWrap/>
            <w:vAlign w:val="center"/>
            <w:hideMark/>
          </w:tcPr>
          <w:p w14:paraId="200F292D"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3,8</w:t>
            </w:r>
          </w:p>
        </w:tc>
        <w:tc>
          <w:tcPr>
            <w:tcW w:w="1021" w:type="dxa"/>
            <w:tcBorders>
              <w:top w:val="nil"/>
              <w:left w:val="nil"/>
              <w:bottom w:val="single" w:sz="4" w:space="0" w:color="auto"/>
              <w:right w:val="single" w:sz="4" w:space="0" w:color="auto"/>
            </w:tcBorders>
            <w:shd w:val="clear" w:color="auto" w:fill="auto"/>
            <w:noWrap/>
            <w:vAlign w:val="center"/>
            <w:hideMark/>
          </w:tcPr>
          <w:p w14:paraId="00AB7613"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0,1</w:t>
            </w:r>
          </w:p>
        </w:tc>
        <w:tc>
          <w:tcPr>
            <w:tcW w:w="904" w:type="dxa"/>
            <w:tcBorders>
              <w:top w:val="nil"/>
              <w:left w:val="nil"/>
              <w:bottom w:val="single" w:sz="4" w:space="0" w:color="auto"/>
              <w:right w:val="single" w:sz="4" w:space="0" w:color="auto"/>
            </w:tcBorders>
            <w:vAlign w:val="center"/>
          </w:tcPr>
          <w:p w14:paraId="4CDD5865"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c>
          <w:tcPr>
            <w:tcW w:w="887" w:type="dxa"/>
            <w:tcBorders>
              <w:top w:val="nil"/>
              <w:left w:val="nil"/>
              <w:bottom w:val="single" w:sz="4" w:space="0" w:color="auto"/>
              <w:right w:val="single" w:sz="4" w:space="0" w:color="auto"/>
            </w:tcBorders>
            <w:vAlign w:val="center"/>
          </w:tcPr>
          <w:p w14:paraId="6294FBF3" w14:textId="77777777" w:rsidR="00AD6203" w:rsidRPr="00AD6203" w:rsidRDefault="00AD6203" w:rsidP="00AD6203">
            <w:pPr>
              <w:spacing w:after="0" w:line="240" w:lineRule="auto"/>
              <w:ind w:hanging="90"/>
              <w:jc w:val="center"/>
              <w:rPr>
                <w:rFonts w:ascii="Times New Roman" w:eastAsia="Times New Roman" w:hAnsi="Times New Roman"/>
                <w:color w:val="000000"/>
                <w:sz w:val="24"/>
                <w:szCs w:val="24"/>
                <w:lang w:val="en-US"/>
              </w:rPr>
            </w:pPr>
            <w:r w:rsidRPr="00AD6203">
              <w:rPr>
                <w:rFonts w:ascii="Times New Roman" w:eastAsia="Times New Roman" w:hAnsi="Times New Roman"/>
                <w:color w:val="000000"/>
                <w:sz w:val="24"/>
                <w:szCs w:val="24"/>
                <w:lang w:val="bg-BG"/>
              </w:rPr>
              <w:t>14,7</w:t>
            </w:r>
          </w:p>
        </w:tc>
      </w:tr>
      <w:tr w:rsidR="00AD6203" w:rsidRPr="00AD6203" w14:paraId="0BCF275C" w14:textId="77777777" w:rsidTr="00D86E60">
        <w:trPr>
          <w:trHeight w:val="264"/>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75BBB30A"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Валутен курс</w:t>
            </w:r>
          </w:p>
        </w:tc>
        <w:tc>
          <w:tcPr>
            <w:tcW w:w="970" w:type="dxa"/>
            <w:tcBorders>
              <w:top w:val="nil"/>
              <w:left w:val="nil"/>
              <w:bottom w:val="single" w:sz="4" w:space="0" w:color="auto"/>
              <w:right w:val="single" w:sz="4" w:space="0" w:color="auto"/>
            </w:tcBorders>
            <w:shd w:val="clear" w:color="auto" w:fill="auto"/>
            <w:noWrap/>
            <w:vAlign w:val="center"/>
            <w:hideMark/>
          </w:tcPr>
          <w:p w14:paraId="3CD08F9A" w14:textId="77777777" w:rsidR="00AD6203" w:rsidRPr="00AD6203" w:rsidRDefault="00AD6203" w:rsidP="00AD6203">
            <w:pPr>
              <w:spacing w:after="0" w:line="240" w:lineRule="auto"/>
              <w:ind w:right="-136"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1036" w:type="dxa"/>
            <w:tcBorders>
              <w:top w:val="nil"/>
              <w:left w:val="nil"/>
              <w:bottom w:val="single" w:sz="4" w:space="0" w:color="auto"/>
              <w:right w:val="single" w:sz="4" w:space="0" w:color="auto"/>
            </w:tcBorders>
            <w:shd w:val="clear" w:color="auto" w:fill="auto"/>
            <w:noWrap/>
            <w:vAlign w:val="center"/>
            <w:hideMark/>
          </w:tcPr>
          <w:p w14:paraId="2821E249" w14:textId="77777777" w:rsidR="00AD6203" w:rsidRPr="00AD6203" w:rsidRDefault="00AD6203" w:rsidP="00AD6203">
            <w:pPr>
              <w:spacing w:after="0" w:line="240" w:lineRule="auto"/>
              <w:ind w:right="-83" w:hanging="80"/>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984" w:type="dxa"/>
            <w:tcBorders>
              <w:top w:val="nil"/>
              <w:left w:val="nil"/>
              <w:bottom w:val="single" w:sz="4" w:space="0" w:color="auto"/>
              <w:right w:val="single" w:sz="4" w:space="0" w:color="auto"/>
            </w:tcBorders>
            <w:shd w:val="clear" w:color="auto" w:fill="auto"/>
            <w:noWrap/>
            <w:vAlign w:val="center"/>
            <w:hideMark/>
          </w:tcPr>
          <w:p w14:paraId="36F2CE1B" w14:textId="77777777" w:rsidR="00AD6203" w:rsidRPr="00AD6203" w:rsidRDefault="00AD6203" w:rsidP="00AD6203">
            <w:pPr>
              <w:spacing w:after="0" w:line="240" w:lineRule="auto"/>
              <w:ind w:right="-182" w:hanging="13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1083" w:type="dxa"/>
            <w:tcBorders>
              <w:top w:val="nil"/>
              <w:left w:val="nil"/>
              <w:bottom w:val="single" w:sz="4" w:space="0" w:color="auto"/>
              <w:right w:val="single" w:sz="4" w:space="0" w:color="auto"/>
            </w:tcBorders>
            <w:shd w:val="clear" w:color="auto" w:fill="auto"/>
            <w:noWrap/>
            <w:vAlign w:val="center"/>
            <w:hideMark/>
          </w:tcPr>
          <w:p w14:paraId="1BD9B582" w14:textId="77777777" w:rsidR="00AD6203" w:rsidRPr="00AD6203" w:rsidRDefault="00AD6203" w:rsidP="00AD6203">
            <w:pPr>
              <w:spacing w:after="0" w:line="240" w:lineRule="auto"/>
              <w:ind w:right="-62" w:hanging="34"/>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1053" w:type="dxa"/>
            <w:tcBorders>
              <w:top w:val="nil"/>
              <w:left w:val="nil"/>
              <w:bottom w:val="single" w:sz="4" w:space="0" w:color="auto"/>
              <w:right w:val="single" w:sz="4" w:space="0" w:color="auto"/>
            </w:tcBorders>
            <w:shd w:val="clear" w:color="auto" w:fill="auto"/>
            <w:noWrap/>
            <w:vAlign w:val="center"/>
            <w:hideMark/>
          </w:tcPr>
          <w:p w14:paraId="0A14EB96" w14:textId="77777777" w:rsidR="00AD6203" w:rsidRPr="00AD6203" w:rsidRDefault="00AD6203" w:rsidP="00AD6203">
            <w:pPr>
              <w:spacing w:after="0" w:line="240" w:lineRule="auto"/>
              <w:ind w:right="-121" w:hanging="64"/>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1021" w:type="dxa"/>
            <w:tcBorders>
              <w:top w:val="nil"/>
              <w:left w:val="nil"/>
              <w:bottom w:val="single" w:sz="4" w:space="0" w:color="auto"/>
              <w:right w:val="single" w:sz="4" w:space="0" w:color="auto"/>
            </w:tcBorders>
            <w:shd w:val="clear" w:color="auto" w:fill="auto"/>
            <w:noWrap/>
            <w:vAlign w:val="center"/>
            <w:hideMark/>
          </w:tcPr>
          <w:p w14:paraId="5F9E852C" w14:textId="77777777" w:rsidR="00AD6203" w:rsidRPr="00AD6203" w:rsidRDefault="00AD6203" w:rsidP="00AD6203">
            <w:pPr>
              <w:spacing w:after="0" w:line="240" w:lineRule="auto"/>
              <w:ind w:right="-73" w:hanging="9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904" w:type="dxa"/>
            <w:tcBorders>
              <w:top w:val="nil"/>
              <w:left w:val="nil"/>
              <w:bottom w:val="single" w:sz="4" w:space="0" w:color="auto"/>
              <w:right w:val="single" w:sz="4" w:space="0" w:color="auto"/>
            </w:tcBorders>
            <w:shd w:val="clear" w:color="auto" w:fill="auto"/>
            <w:vAlign w:val="center"/>
          </w:tcPr>
          <w:p w14:paraId="5F67E537" w14:textId="77777777" w:rsidR="00AD6203" w:rsidRPr="00AD6203" w:rsidRDefault="00AD6203" w:rsidP="00AD6203">
            <w:pPr>
              <w:spacing w:after="0" w:line="240" w:lineRule="auto"/>
              <w:ind w:right="-119" w:hanging="92"/>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c>
          <w:tcPr>
            <w:tcW w:w="887" w:type="dxa"/>
            <w:tcBorders>
              <w:top w:val="nil"/>
              <w:left w:val="nil"/>
              <w:bottom w:val="single" w:sz="4" w:space="0" w:color="auto"/>
              <w:right w:val="single" w:sz="4" w:space="0" w:color="auto"/>
            </w:tcBorders>
            <w:vAlign w:val="center"/>
          </w:tcPr>
          <w:p w14:paraId="2FD14EF7" w14:textId="77777777" w:rsidR="00AD6203" w:rsidRPr="00AD6203" w:rsidRDefault="00AD6203" w:rsidP="00AD6203">
            <w:pPr>
              <w:spacing w:after="0" w:line="240" w:lineRule="auto"/>
              <w:ind w:right="-119" w:hanging="92"/>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1,95583</w:t>
            </w:r>
          </w:p>
        </w:tc>
      </w:tr>
      <w:tr w:rsidR="00AD6203" w:rsidRPr="00AD6203" w14:paraId="5E706603" w14:textId="77777777" w:rsidTr="00AD6203">
        <w:trPr>
          <w:trHeight w:val="360"/>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2525AECB"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Външно търговски баланс</w:t>
            </w:r>
          </w:p>
        </w:tc>
        <w:tc>
          <w:tcPr>
            <w:tcW w:w="970" w:type="dxa"/>
            <w:tcBorders>
              <w:top w:val="nil"/>
              <w:left w:val="nil"/>
              <w:bottom w:val="single" w:sz="4" w:space="0" w:color="auto"/>
              <w:right w:val="single" w:sz="4" w:space="0" w:color="auto"/>
            </w:tcBorders>
            <w:shd w:val="clear" w:color="auto" w:fill="auto"/>
            <w:noWrap/>
            <w:vAlign w:val="center"/>
            <w:hideMark/>
          </w:tcPr>
          <w:p w14:paraId="31AF6854"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-2,6</w:t>
            </w:r>
          </w:p>
        </w:tc>
        <w:tc>
          <w:tcPr>
            <w:tcW w:w="1036" w:type="dxa"/>
            <w:tcBorders>
              <w:top w:val="nil"/>
              <w:left w:val="nil"/>
              <w:bottom w:val="single" w:sz="4" w:space="0" w:color="auto"/>
              <w:right w:val="single" w:sz="4" w:space="0" w:color="auto"/>
            </w:tcBorders>
            <w:shd w:val="clear" w:color="auto" w:fill="auto"/>
            <w:noWrap/>
            <w:vAlign w:val="center"/>
            <w:hideMark/>
          </w:tcPr>
          <w:p w14:paraId="31423C67"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w:t>
            </w:r>
          </w:p>
        </w:tc>
        <w:tc>
          <w:tcPr>
            <w:tcW w:w="984" w:type="dxa"/>
            <w:tcBorders>
              <w:top w:val="nil"/>
              <w:left w:val="nil"/>
              <w:bottom w:val="single" w:sz="4" w:space="0" w:color="auto"/>
              <w:right w:val="single" w:sz="4" w:space="0" w:color="auto"/>
            </w:tcBorders>
            <w:shd w:val="clear" w:color="auto" w:fill="auto"/>
            <w:noWrap/>
            <w:vAlign w:val="center"/>
            <w:hideMark/>
          </w:tcPr>
          <w:p w14:paraId="551405BF"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-0,8</w:t>
            </w:r>
          </w:p>
        </w:tc>
        <w:tc>
          <w:tcPr>
            <w:tcW w:w="1083" w:type="dxa"/>
            <w:tcBorders>
              <w:top w:val="nil"/>
              <w:left w:val="nil"/>
              <w:bottom w:val="single" w:sz="4" w:space="0" w:color="auto"/>
              <w:right w:val="single" w:sz="4" w:space="0" w:color="auto"/>
            </w:tcBorders>
            <w:shd w:val="clear" w:color="auto" w:fill="auto"/>
            <w:noWrap/>
            <w:vAlign w:val="center"/>
            <w:hideMark/>
          </w:tcPr>
          <w:p w14:paraId="7C2D516A"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-1,9</w:t>
            </w:r>
          </w:p>
        </w:tc>
        <w:tc>
          <w:tcPr>
            <w:tcW w:w="1053" w:type="dxa"/>
            <w:tcBorders>
              <w:top w:val="nil"/>
              <w:left w:val="nil"/>
              <w:bottom w:val="single" w:sz="4" w:space="0" w:color="auto"/>
              <w:right w:val="single" w:sz="4" w:space="0" w:color="auto"/>
            </w:tcBorders>
            <w:shd w:val="clear" w:color="auto" w:fill="auto"/>
            <w:noWrap/>
            <w:vAlign w:val="center"/>
            <w:hideMark/>
          </w:tcPr>
          <w:p w14:paraId="71995853"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w:t>
            </w:r>
          </w:p>
        </w:tc>
        <w:tc>
          <w:tcPr>
            <w:tcW w:w="1021" w:type="dxa"/>
            <w:tcBorders>
              <w:top w:val="nil"/>
              <w:left w:val="nil"/>
              <w:bottom w:val="single" w:sz="4" w:space="0" w:color="auto"/>
              <w:right w:val="single" w:sz="4" w:space="0" w:color="auto"/>
            </w:tcBorders>
            <w:shd w:val="clear" w:color="auto" w:fill="auto"/>
            <w:noWrap/>
            <w:vAlign w:val="center"/>
            <w:hideMark/>
          </w:tcPr>
          <w:p w14:paraId="22DE5C12"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0,90</w:t>
            </w:r>
          </w:p>
        </w:tc>
        <w:tc>
          <w:tcPr>
            <w:tcW w:w="904" w:type="dxa"/>
            <w:tcBorders>
              <w:top w:val="nil"/>
              <w:left w:val="nil"/>
              <w:bottom w:val="single" w:sz="4" w:space="0" w:color="auto"/>
              <w:right w:val="single" w:sz="4" w:space="0" w:color="auto"/>
            </w:tcBorders>
            <w:vAlign w:val="center"/>
          </w:tcPr>
          <w:p w14:paraId="477ED204"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-0.72</w:t>
            </w:r>
          </w:p>
        </w:tc>
        <w:tc>
          <w:tcPr>
            <w:tcW w:w="887" w:type="dxa"/>
            <w:tcBorders>
              <w:top w:val="nil"/>
              <w:left w:val="nil"/>
              <w:bottom w:val="single" w:sz="4" w:space="0" w:color="auto"/>
              <w:right w:val="single" w:sz="4" w:space="0" w:color="auto"/>
            </w:tcBorders>
            <w:vAlign w:val="center"/>
          </w:tcPr>
          <w:p w14:paraId="674BB51F"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-2.0</w:t>
            </w:r>
          </w:p>
        </w:tc>
      </w:tr>
      <w:tr w:rsidR="00AD6203" w:rsidRPr="00AD6203" w14:paraId="4A4AB5E4" w14:textId="77777777" w:rsidTr="00D86E60">
        <w:trPr>
          <w:trHeight w:val="219"/>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90675AE" w14:textId="211DC3FB"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Внос (млрд</w:t>
            </w:r>
            <w:r w:rsidR="004C4D6C">
              <w:rPr>
                <w:rFonts w:ascii="Times New Roman" w:eastAsia="Times New Roman" w:hAnsi="Times New Roman"/>
                <w:color w:val="000000"/>
                <w:sz w:val="24"/>
                <w:szCs w:val="24"/>
                <w:lang w:val="bg-BG"/>
              </w:rPr>
              <w:t>.</w:t>
            </w:r>
            <w:r w:rsidRPr="00AD6203">
              <w:rPr>
                <w:rFonts w:ascii="Times New Roman" w:eastAsia="Times New Roman" w:hAnsi="Times New Roman"/>
                <w:color w:val="000000"/>
                <w:sz w:val="24"/>
                <w:szCs w:val="24"/>
                <w:lang w:val="bg-BG"/>
              </w:rPr>
              <w:t xml:space="preserve"> EUR)</w:t>
            </w:r>
          </w:p>
        </w:tc>
        <w:tc>
          <w:tcPr>
            <w:tcW w:w="970" w:type="dxa"/>
            <w:tcBorders>
              <w:top w:val="nil"/>
              <w:left w:val="nil"/>
              <w:bottom w:val="single" w:sz="4" w:space="0" w:color="auto"/>
              <w:right w:val="single" w:sz="4" w:space="0" w:color="auto"/>
            </w:tcBorders>
            <w:shd w:val="clear" w:color="auto" w:fill="auto"/>
            <w:noWrap/>
            <w:vAlign w:val="center"/>
            <w:hideMark/>
          </w:tcPr>
          <w:p w14:paraId="27DD5FF7"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21,9</w:t>
            </w:r>
          </w:p>
        </w:tc>
        <w:tc>
          <w:tcPr>
            <w:tcW w:w="1036" w:type="dxa"/>
            <w:tcBorders>
              <w:top w:val="nil"/>
              <w:left w:val="nil"/>
              <w:bottom w:val="single" w:sz="4" w:space="0" w:color="auto"/>
              <w:right w:val="single" w:sz="4" w:space="0" w:color="auto"/>
            </w:tcBorders>
            <w:shd w:val="clear" w:color="auto" w:fill="auto"/>
            <w:noWrap/>
            <w:vAlign w:val="center"/>
            <w:hideMark/>
          </w:tcPr>
          <w:p w14:paraId="72B752B4"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23,1</w:t>
            </w:r>
          </w:p>
        </w:tc>
        <w:tc>
          <w:tcPr>
            <w:tcW w:w="984" w:type="dxa"/>
            <w:tcBorders>
              <w:top w:val="nil"/>
              <w:left w:val="nil"/>
              <w:bottom w:val="single" w:sz="4" w:space="0" w:color="auto"/>
              <w:right w:val="single" w:sz="4" w:space="0" w:color="auto"/>
            </w:tcBorders>
            <w:shd w:val="clear" w:color="auto" w:fill="auto"/>
            <w:noWrap/>
            <w:vAlign w:val="center"/>
            <w:hideMark/>
          </w:tcPr>
          <w:p w14:paraId="7DECCAA2"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27</w:t>
            </w:r>
          </w:p>
        </w:tc>
        <w:tc>
          <w:tcPr>
            <w:tcW w:w="1083" w:type="dxa"/>
            <w:tcBorders>
              <w:top w:val="nil"/>
              <w:left w:val="nil"/>
              <w:bottom w:val="single" w:sz="4" w:space="0" w:color="auto"/>
              <w:right w:val="single" w:sz="4" w:space="0" w:color="auto"/>
            </w:tcBorders>
            <w:shd w:val="clear" w:color="auto" w:fill="auto"/>
            <w:noWrap/>
            <w:vAlign w:val="center"/>
            <w:hideMark/>
          </w:tcPr>
          <w:p w14:paraId="0026A3D0"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27,1</w:t>
            </w:r>
          </w:p>
        </w:tc>
        <w:tc>
          <w:tcPr>
            <w:tcW w:w="1053" w:type="dxa"/>
            <w:tcBorders>
              <w:top w:val="nil"/>
              <w:left w:val="nil"/>
              <w:bottom w:val="single" w:sz="4" w:space="0" w:color="auto"/>
              <w:right w:val="single" w:sz="4" w:space="0" w:color="auto"/>
            </w:tcBorders>
            <w:shd w:val="clear" w:color="auto" w:fill="auto"/>
            <w:noWrap/>
            <w:vAlign w:val="center"/>
            <w:hideMark/>
          </w:tcPr>
          <w:p w14:paraId="656718E2"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29,9</w:t>
            </w:r>
          </w:p>
        </w:tc>
        <w:tc>
          <w:tcPr>
            <w:tcW w:w="1021" w:type="dxa"/>
            <w:tcBorders>
              <w:top w:val="nil"/>
              <w:left w:val="nil"/>
              <w:bottom w:val="single" w:sz="4" w:space="0" w:color="auto"/>
              <w:right w:val="single" w:sz="4" w:space="0" w:color="auto"/>
            </w:tcBorders>
            <w:shd w:val="clear" w:color="auto" w:fill="auto"/>
            <w:noWrap/>
            <w:vAlign w:val="center"/>
            <w:hideMark/>
          </w:tcPr>
          <w:p w14:paraId="3F328A64"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33,03</w:t>
            </w:r>
          </w:p>
        </w:tc>
        <w:tc>
          <w:tcPr>
            <w:tcW w:w="904" w:type="dxa"/>
            <w:tcBorders>
              <w:top w:val="nil"/>
              <w:left w:val="nil"/>
              <w:bottom w:val="single" w:sz="4" w:space="0" w:color="auto"/>
              <w:right w:val="single" w:sz="4" w:space="0" w:color="auto"/>
            </w:tcBorders>
            <w:vAlign w:val="center"/>
          </w:tcPr>
          <w:p w14:paraId="10F402F6"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36,37</w:t>
            </w:r>
          </w:p>
        </w:tc>
        <w:tc>
          <w:tcPr>
            <w:tcW w:w="887" w:type="dxa"/>
            <w:tcBorders>
              <w:top w:val="nil"/>
              <w:left w:val="nil"/>
              <w:bottom w:val="single" w:sz="4" w:space="0" w:color="auto"/>
              <w:right w:val="single" w:sz="4" w:space="0" w:color="auto"/>
            </w:tcBorders>
            <w:vAlign w:val="center"/>
          </w:tcPr>
          <w:p w14:paraId="7C2248AB"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24,8</w:t>
            </w:r>
          </w:p>
        </w:tc>
      </w:tr>
      <w:tr w:rsidR="00AD6203" w:rsidRPr="00AD6203" w14:paraId="5A5E5D46" w14:textId="77777777" w:rsidTr="00D86E60">
        <w:trPr>
          <w:trHeight w:val="264"/>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2F30C9B7" w14:textId="0DF4409D"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Износ (млрд</w:t>
            </w:r>
            <w:r w:rsidR="004C4D6C">
              <w:rPr>
                <w:rFonts w:ascii="Times New Roman" w:eastAsia="Times New Roman" w:hAnsi="Times New Roman"/>
                <w:color w:val="000000"/>
                <w:sz w:val="24"/>
                <w:szCs w:val="24"/>
                <w:lang w:val="bg-BG"/>
              </w:rPr>
              <w:t>.</w:t>
            </w:r>
            <w:r w:rsidRPr="00AD6203">
              <w:rPr>
                <w:rFonts w:ascii="Times New Roman" w:eastAsia="Times New Roman" w:hAnsi="Times New Roman"/>
                <w:color w:val="000000"/>
                <w:sz w:val="24"/>
                <w:szCs w:val="24"/>
                <w:lang w:val="bg-BG"/>
              </w:rPr>
              <w:t xml:space="preserve"> EUR)</w:t>
            </w:r>
          </w:p>
        </w:tc>
        <w:tc>
          <w:tcPr>
            <w:tcW w:w="970" w:type="dxa"/>
            <w:tcBorders>
              <w:top w:val="nil"/>
              <w:left w:val="nil"/>
              <w:bottom w:val="single" w:sz="4" w:space="0" w:color="auto"/>
              <w:right w:val="single" w:sz="4" w:space="0" w:color="auto"/>
            </w:tcBorders>
            <w:shd w:val="clear" w:color="auto" w:fill="auto"/>
            <w:noWrap/>
            <w:vAlign w:val="center"/>
            <w:hideMark/>
          </w:tcPr>
          <w:p w14:paraId="7DB73BCE" w14:textId="77777777" w:rsidR="00AD6203" w:rsidRPr="00AD6203" w:rsidRDefault="00AD6203" w:rsidP="00AD6203">
            <w:pPr>
              <w:spacing w:after="0" w:line="240" w:lineRule="auto"/>
              <w:ind w:firstLine="6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24,5</w:t>
            </w:r>
          </w:p>
        </w:tc>
        <w:tc>
          <w:tcPr>
            <w:tcW w:w="1036" w:type="dxa"/>
            <w:tcBorders>
              <w:top w:val="nil"/>
              <w:left w:val="nil"/>
              <w:bottom w:val="single" w:sz="4" w:space="0" w:color="auto"/>
              <w:right w:val="single" w:sz="4" w:space="0" w:color="auto"/>
            </w:tcBorders>
            <w:shd w:val="clear" w:color="auto" w:fill="auto"/>
            <w:noWrap/>
            <w:vAlign w:val="center"/>
            <w:hideMark/>
          </w:tcPr>
          <w:p w14:paraId="797E553A"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24,1</w:t>
            </w:r>
          </w:p>
        </w:tc>
        <w:tc>
          <w:tcPr>
            <w:tcW w:w="984" w:type="dxa"/>
            <w:tcBorders>
              <w:top w:val="nil"/>
              <w:left w:val="nil"/>
              <w:bottom w:val="single" w:sz="4" w:space="0" w:color="auto"/>
              <w:right w:val="single" w:sz="4" w:space="0" w:color="auto"/>
            </w:tcBorders>
            <w:shd w:val="clear" w:color="auto" w:fill="auto"/>
            <w:noWrap/>
            <w:vAlign w:val="center"/>
            <w:hideMark/>
          </w:tcPr>
          <w:p w14:paraId="7E989AF6" w14:textId="77777777" w:rsidR="00AD6203" w:rsidRPr="00AD6203" w:rsidRDefault="00AD6203" w:rsidP="00AD6203">
            <w:pPr>
              <w:spacing w:after="0" w:line="240" w:lineRule="auto"/>
              <w:ind w:hanging="23"/>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27,7</w:t>
            </w:r>
          </w:p>
        </w:tc>
        <w:tc>
          <w:tcPr>
            <w:tcW w:w="1083" w:type="dxa"/>
            <w:tcBorders>
              <w:top w:val="nil"/>
              <w:left w:val="nil"/>
              <w:bottom w:val="single" w:sz="4" w:space="0" w:color="auto"/>
              <w:right w:val="single" w:sz="4" w:space="0" w:color="auto"/>
            </w:tcBorders>
            <w:shd w:val="clear" w:color="auto" w:fill="auto"/>
            <w:noWrap/>
            <w:vAlign w:val="center"/>
            <w:hideMark/>
          </w:tcPr>
          <w:p w14:paraId="3F7DCA2D" w14:textId="77777777" w:rsidR="00AD6203" w:rsidRPr="00AD6203" w:rsidRDefault="00AD6203" w:rsidP="00AD6203">
            <w:pPr>
              <w:spacing w:after="0" w:line="240" w:lineRule="auto"/>
              <w:ind w:hanging="25"/>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29,6</w:t>
            </w:r>
          </w:p>
        </w:tc>
        <w:tc>
          <w:tcPr>
            <w:tcW w:w="1053" w:type="dxa"/>
            <w:tcBorders>
              <w:top w:val="nil"/>
              <w:left w:val="nil"/>
              <w:bottom w:val="single" w:sz="4" w:space="0" w:color="auto"/>
              <w:right w:val="single" w:sz="4" w:space="0" w:color="auto"/>
            </w:tcBorders>
            <w:shd w:val="clear" w:color="auto" w:fill="auto"/>
            <w:noWrap/>
            <w:vAlign w:val="center"/>
            <w:hideMark/>
          </w:tcPr>
          <w:p w14:paraId="57C1EF19" w14:textId="77777777" w:rsidR="00AD6203" w:rsidRPr="00AD6203" w:rsidRDefault="00AD6203" w:rsidP="00AD6203">
            <w:pPr>
              <w:spacing w:after="0" w:line="240" w:lineRule="auto"/>
              <w:ind w:hanging="1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33,2</w:t>
            </w:r>
          </w:p>
        </w:tc>
        <w:tc>
          <w:tcPr>
            <w:tcW w:w="1021" w:type="dxa"/>
            <w:tcBorders>
              <w:top w:val="nil"/>
              <w:left w:val="nil"/>
              <w:bottom w:val="single" w:sz="4" w:space="0" w:color="auto"/>
              <w:right w:val="single" w:sz="4" w:space="0" w:color="auto"/>
            </w:tcBorders>
            <w:shd w:val="clear" w:color="auto" w:fill="auto"/>
            <w:noWrap/>
            <w:vAlign w:val="center"/>
            <w:hideMark/>
          </w:tcPr>
          <w:p w14:paraId="45FE6840"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33,93</w:t>
            </w:r>
          </w:p>
        </w:tc>
        <w:tc>
          <w:tcPr>
            <w:tcW w:w="904" w:type="dxa"/>
            <w:tcBorders>
              <w:top w:val="nil"/>
              <w:left w:val="nil"/>
              <w:bottom w:val="single" w:sz="4" w:space="0" w:color="auto"/>
              <w:right w:val="single" w:sz="4" w:space="0" w:color="auto"/>
            </w:tcBorders>
            <w:vAlign w:val="center"/>
          </w:tcPr>
          <w:p w14:paraId="4BF234BE"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35,65</w:t>
            </w:r>
          </w:p>
        </w:tc>
        <w:tc>
          <w:tcPr>
            <w:tcW w:w="887" w:type="dxa"/>
            <w:tcBorders>
              <w:top w:val="nil"/>
              <w:left w:val="nil"/>
              <w:bottom w:val="single" w:sz="4" w:space="0" w:color="auto"/>
              <w:right w:val="single" w:sz="4" w:space="0" w:color="auto"/>
            </w:tcBorders>
            <w:vAlign w:val="center"/>
          </w:tcPr>
          <w:p w14:paraId="25DE4088" w14:textId="77777777" w:rsidR="00AD6203" w:rsidRPr="00AD6203" w:rsidRDefault="00AD6203" w:rsidP="00AD6203">
            <w:pPr>
              <w:spacing w:after="0" w:line="240" w:lineRule="auto"/>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22,8</w:t>
            </w:r>
          </w:p>
        </w:tc>
      </w:tr>
    </w:tbl>
    <w:p w14:paraId="712D2549" w14:textId="331C2918" w:rsidR="00AD6203" w:rsidRPr="00AD6203" w:rsidRDefault="00420C39" w:rsidP="00AD6203">
      <w:pPr>
        <w:spacing w:after="120" w:line="24" w:lineRule="atLeast"/>
        <w:ind w:firstLine="708"/>
        <w:rPr>
          <w:rFonts w:ascii="Times New Roman" w:eastAsia="Times New Roman" w:hAnsi="Times New Roman"/>
          <w:i/>
          <w:sz w:val="20"/>
          <w:szCs w:val="20"/>
          <w:lang w:val="bg-BG"/>
        </w:rPr>
      </w:pPr>
      <w:r>
        <w:rPr>
          <w:rFonts w:ascii="Times New Roman" w:eastAsia="Times New Roman" w:hAnsi="Times New Roman"/>
          <w:i/>
          <w:sz w:val="20"/>
          <w:szCs w:val="20"/>
          <w:lang w:val="bg-BG"/>
        </w:rPr>
        <w:t>Източник: НСИ и БНБ</w:t>
      </w:r>
    </w:p>
    <w:p w14:paraId="6BFC6012" w14:textId="2CEE01BE"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Предварителните данни за края на 2022 г. показват, че има ръст на инфлацията към края на м.</w:t>
      </w:r>
      <w:r w:rsidR="00ED188B">
        <w:rPr>
          <w:rFonts w:ascii="Times New Roman" w:eastAsia="Times New Roman" w:hAnsi="Times New Roman"/>
          <w:sz w:val="22"/>
          <w:lang w:val="bg-BG"/>
        </w:rPr>
        <w:t xml:space="preserve"> </w:t>
      </w:r>
      <w:r w:rsidRPr="003A05A1">
        <w:rPr>
          <w:rFonts w:ascii="Times New Roman" w:eastAsia="Times New Roman" w:hAnsi="Times New Roman"/>
          <w:sz w:val="22"/>
          <w:lang w:val="bg-BG"/>
        </w:rPr>
        <w:t>октомври от 14.1%, която се очаква да достигне нива от 14,7 % към края на годината, след обработка на предварителните данни.</w:t>
      </w:r>
    </w:p>
    <w:p w14:paraId="7F1FA27A" w14:textId="41C59590" w:rsidR="00AD6203" w:rsidRPr="00ED188B" w:rsidRDefault="00AD6203" w:rsidP="00ED188B">
      <w:pPr>
        <w:shd w:val="clear" w:color="auto" w:fill="FFFFFF"/>
        <w:spacing w:after="0" w:line="360" w:lineRule="auto"/>
        <w:ind w:firstLine="720"/>
        <w:rPr>
          <w:rFonts w:ascii="Times New Roman" w:eastAsia="Times New Roman" w:hAnsi="Times New Roman"/>
          <w:sz w:val="24"/>
          <w:szCs w:val="24"/>
          <w:lang w:val="bg-BG"/>
        </w:rPr>
      </w:pPr>
      <w:r w:rsidRPr="003A05A1">
        <w:rPr>
          <w:rFonts w:ascii="Times New Roman" w:eastAsia="Times New Roman" w:hAnsi="Times New Roman"/>
          <w:sz w:val="22"/>
          <w:lang w:val="bg-BG"/>
        </w:rPr>
        <w:t>Безработицата се очаква да спадне спрямо стойността си от края  на 2021 г. от 5,3%. Към края на 2022 г. е отчетена стойност от 4.1% и към края на 2022 г. се очаква средногодишната стойност да достигне 5,0%. БВП на глава от населението има надвишаващи стойности за последното тримесечие на 2022 г., спрямо същото за 2021 г. и към края на годината се очаква ръст от 4.8% по съпоставими цени.</w:t>
      </w:r>
    </w:p>
    <w:p w14:paraId="7BA91183" w14:textId="77777777" w:rsidR="00AD6203" w:rsidRPr="00AD6203" w:rsidRDefault="00AD6203" w:rsidP="00AD6203">
      <w:pPr>
        <w:pStyle w:val="Heading3"/>
        <w:rPr>
          <w:rFonts w:ascii="Times New Roman" w:hAnsi="Times New Roman"/>
          <w:lang w:val="bg-BG" w:eastAsia="bg-BG"/>
        </w:rPr>
      </w:pPr>
      <w:bookmarkStart w:id="105" w:name="_Toc95837673"/>
      <w:bookmarkStart w:id="106" w:name="_Toc136961117"/>
      <w:r w:rsidRPr="00AD6203">
        <w:rPr>
          <w:rFonts w:ascii="Times New Roman" w:hAnsi="Times New Roman"/>
          <w:lang w:val="bg-BG" w:eastAsia="bg-BG"/>
        </w:rPr>
        <w:t>Прогнози и допускания за развитие на макро-икономическите индикатори</w:t>
      </w:r>
      <w:bookmarkEnd w:id="105"/>
      <w:bookmarkEnd w:id="106"/>
    </w:p>
    <w:p w14:paraId="2011BDB6" w14:textId="77777777" w:rsidR="00AD6203" w:rsidRPr="003A05A1" w:rsidRDefault="00AD6203" w:rsidP="003A05A1">
      <w:pPr>
        <w:shd w:val="clear" w:color="auto" w:fill="FFFFFF"/>
        <w:spacing w:after="0" w:line="360" w:lineRule="auto"/>
        <w:ind w:firstLine="720"/>
        <w:rPr>
          <w:rFonts w:ascii="Times New Roman" w:hAnsi="Times New Roman"/>
          <w:sz w:val="22"/>
          <w:lang w:val="bg-BG"/>
        </w:rPr>
      </w:pPr>
      <w:r w:rsidRPr="003A05A1">
        <w:rPr>
          <w:rFonts w:ascii="Times New Roman" w:hAnsi="Times New Roman"/>
          <w:sz w:val="22"/>
          <w:lang w:val="bg-BG"/>
        </w:rPr>
        <w:t>Направените допускания за дългосрочната прогноза на макро индикаторите е следната:</w:t>
      </w:r>
    </w:p>
    <w:p w14:paraId="63A7B0FA" w14:textId="77777777" w:rsidR="00AD6203" w:rsidRPr="003A05A1" w:rsidRDefault="00AD6203" w:rsidP="0021547C">
      <w:pPr>
        <w:numPr>
          <w:ilvl w:val="0"/>
          <w:numId w:val="81"/>
        </w:numPr>
        <w:autoSpaceDE w:val="0"/>
        <w:autoSpaceDN w:val="0"/>
        <w:adjustRightInd w:val="0"/>
        <w:spacing w:after="0" w:line="360" w:lineRule="auto"/>
        <w:ind w:left="1170" w:hanging="450"/>
        <w:rPr>
          <w:rFonts w:ascii="Times New Roman" w:hAnsi="Times New Roman"/>
          <w:noProof/>
          <w:color w:val="000000"/>
          <w:sz w:val="22"/>
          <w:lang w:val="bg-BG"/>
        </w:rPr>
      </w:pPr>
      <w:r w:rsidRPr="003A05A1">
        <w:rPr>
          <w:rFonts w:ascii="Times New Roman" w:hAnsi="Times New Roman"/>
          <w:color w:val="000000"/>
          <w:sz w:val="22"/>
          <w:lang w:val="bg-BG"/>
        </w:rPr>
        <w:t>Средствата, планирани по НПВУ се усвоят напълно за периода в плана, което дава подсилващ ръст на икономиката и социалната среда в България;</w:t>
      </w:r>
    </w:p>
    <w:p w14:paraId="333D5A10" w14:textId="77777777" w:rsidR="00AD6203" w:rsidRPr="003A05A1" w:rsidRDefault="00AD6203" w:rsidP="0021547C">
      <w:pPr>
        <w:numPr>
          <w:ilvl w:val="0"/>
          <w:numId w:val="81"/>
        </w:numPr>
        <w:autoSpaceDE w:val="0"/>
        <w:autoSpaceDN w:val="0"/>
        <w:adjustRightInd w:val="0"/>
        <w:spacing w:after="0" w:line="360" w:lineRule="auto"/>
        <w:ind w:left="1170" w:hanging="450"/>
        <w:rPr>
          <w:rFonts w:ascii="Times New Roman" w:hAnsi="Times New Roman"/>
          <w:noProof/>
          <w:color w:val="000000"/>
          <w:sz w:val="22"/>
          <w:lang w:val="bg-BG"/>
        </w:rPr>
      </w:pPr>
      <w:r w:rsidRPr="003A05A1">
        <w:rPr>
          <w:rFonts w:ascii="Times New Roman" w:hAnsi="Times New Roman"/>
          <w:color w:val="000000"/>
          <w:sz w:val="22"/>
          <w:lang w:val="bg-BG"/>
        </w:rPr>
        <w:t>COVID-19 кризата вече не оказва влияние върху развитието на икономиката;</w:t>
      </w:r>
    </w:p>
    <w:p w14:paraId="53B4D939" w14:textId="77777777" w:rsidR="00AD6203" w:rsidRPr="003A05A1" w:rsidRDefault="00AD6203" w:rsidP="0021547C">
      <w:pPr>
        <w:numPr>
          <w:ilvl w:val="0"/>
          <w:numId w:val="81"/>
        </w:numPr>
        <w:autoSpaceDE w:val="0"/>
        <w:autoSpaceDN w:val="0"/>
        <w:adjustRightInd w:val="0"/>
        <w:spacing w:after="0" w:line="360" w:lineRule="auto"/>
        <w:ind w:left="1170" w:hanging="450"/>
        <w:rPr>
          <w:rFonts w:ascii="Times New Roman" w:hAnsi="Times New Roman"/>
          <w:noProof/>
          <w:color w:val="000000"/>
          <w:sz w:val="22"/>
          <w:lang w:val="bg-BG"/>
        </w:rPr>
      </w:pPr>
      <w:r w:rsidRPr="003A05A1">
        <w:rPr>
          <w:rFonts w:ascii="Times New Roman" w:hAnsi="Times New Roman"/>
          <w:color w:val="000000"/>
          <w:sz w:val="22"/>
          <w:lang w:val="bg-BG"/>
        </w:rPr>
        <w:t>Войната в Украйна приключва до края на 2023 г. или няма да оказва такова голямо влияние върху цената на енергийните ресурси, както в периода юни 2021- края на 2022 г.;</w:t>
      </w:r>
    </w:p>
    <w:p w14:paraId="5BFE4F80" w14:textId="77777777" w:rsidR="00AD6203" w:rsidRDefault="00AD6203" w:rsidP="0021547C">
      <w:pPr>
        <w:numPr>
          <w:ilvl w:val="0"/>
          <w:numId w:val="81"/>
        </w:numPr>
        <w:autoSpaceDE w:val="0"/>
        <w:autoSpaceDN w:val="0"/>
        <w:adjustRightInd w:val="0"/>
        <w:spacing w:after="0" w:line="360" w:lineRule="auto"/>
        <w:ind w:left="1170" w:hanging="450"/>
        <w:rPr>
          <w:rFonts w:ascii="Times New Roman" w:hAnsi="Times New Roman"/>
          <w:noProof/>
          <w:color w:val="000000"/>
          <w:sz w:val="22"/>
          <w:lang w:val="bg-BG"/>
        </w:rPr>
      </w:pPr>
      <w:r w:rsidRPr="003A05A1">
        <w:rPr>
          <w:rFonts w:ascii="Times New Roman" w:hAnsi="Times New Roman"/>
          <w:color w:val="000000"/>
          <w:sz w:val="22"/>
          <w:lang w:val="bg-BG"/>
        </w:rPr>
        <w:t>За периода до края на прогнозата от 25 години не са налице рискови фактори, които могат да доведат до рязка промяна на основните индикатори.</w:t>
      </w:r>
    </w:p>
    <w:p w14:paraId="41399AC5" w14:textId="77777777" w:rsidR="00ED188B" w:rsidRPr="003A05A1" w:rsidRDefault="00ED188B" w:rsidP="00ED188B">
      <w:pPr>
        <w:autoSpaceDE w:val="0"/>
        <w:autoSpaceDN w:val="0"/>
        <w:adjustRightInd w:val="0"/>
        <w:spacing w:after="0" w:line="360" w:lineRule="auto"/>
        <w:ind w:left="1170"/>
        <w:rPr>
          <w:rFonts w:ascii="Times New Roman" w:hAnsi="Times New Roman"/>
          <w:noProof/>
          <w:color w:val="000000"/>
          <w:sz w:val="22"/>
          <w:lang w:val="bg-BG"/>
        </w:rPr>
      </w:pPr>
    </w:p>
    <w:p w14:paraId="463CBBA4" w14:textId="77777777" w:rsidR="00AD6203" w:rsidRPr="003A05A1" w:rsidRDefault="00AD6203" w:rsidP="003A05A1">
      <w:pPr>
        <w:shd w:val="clear" w:color="auto" w:fill="FFFFFF"/>
        <w:spacing w:after="0" w:line="360" w:lineRule="auto"/>
        <w:ind w:firstLine="720"/>
        <w:rPr>
          <w:rFonts w:ascii="Times New Roman" w:hAnsi="Times New Roman"/>
          <w:sz w:val="22"/>
          <w:lang w:val="bg-BG"/>
        </w:rPr>
      </w:pPr>
      <w:r w:rsidRPr="003A05A1">
        <w:rPr>
          <w:rFonts w:ascii="Times New Roman" w:hAnsi="Times New Roman"/>
          <w:sz w:val="22"/>
          <w:lang w:val="bg-BG"/>
        </w:rPr>
        <w:lastRenderedPageBreak/>
        <w:t>На база анализа и направените допускания, прогнозите за основните макро индикатори са както следва:</w:t>
      </w:r>
    </w:p>
    <w:p w14:paraId="44E11A67" w14:textId="4561AC0F" w:rsidR="00D86E60" w:rsidRPr="00D86E60" w:rsidRDefault="00D86E60" w:rsidP="00D86E60">
      <w:pPr>
        <w:spacing w:after="120" w:line="24" w:lineRule="atLeast"/>
        <w:ind w:firstLine="720"/>
        <w:rPr>
          <w:rFonts w:ascii="Times New Roman" w:eastAsia="Times New Roman" w:hAnsi="Times New Roman"/>
          <w:i/>
          <w:iCs/>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12</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Pr="00D86E60">
        <w:rPr>
          <w:rFonts w:ascii="Times New Roman" w:eastAsia="Times New Roman" w:hAnsi="Times New Roman"/>
          <w:i/>
          <w:iCs/>
          <w:sz w:val="22"/>
          <w:lang w:val="bg-BG"/>
        </w:rPr>
        <w:t>Прогнози за основните макро-икономически индикатори в България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6"/>
        <w:gridCol w:w="901"/>
        <w:gridCol w:w="901"/>
        <w:gridCol w:w="901"/>
        <w:gridCol w:w="927"/>
        <w:gridCol w:w="899"/>
        <w:gridCol w:w="909"/>
        <w:gridCol w:w="926"/>
      </w:tblGrid>
      <w:tr w:rsidR="00AD6203" w:rsidRPr="00AD6203" w14:paraId="5AD51A8B" w14:textId="77777777" w:rsidTr="00AD6203">
        <w:trPr>
          <w:trHeight w:val="543"/>
          <w:jc w:val="center"/>
        </w:trPr>
        <w:tc>
          <w:tcPr>
            <w:tcW w:w="0" w:type="auto"/>
            <w:shd w:val="clear" w:color="auto" w:fill="C5E0B3"/>
            <w:noWrap/>
            <w:vAlign w:val="center"/>
            <w:hideMark/>
          </w:tcPr>
          <w:p w14:paraId="03D586C0" w14:textId="77777777" w:rsidR="00AD6203" w:rsidRPr="00AD6203" w:rsidRDefault="00AD6203" w:rsidP="00AD6203">
            <w:pPr>
              <w:spacing w:after="0" w:line="240" w:lineRule="auto"/>
              <w:ind w:firstLine="67"/>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Индикатори</w:t>
            </w:r>
          </w:p>
        </w:tc>
        <w:tc>
          <w:tcPr>
            <w:tcW w:w="901" w:type="dxa"/>
            <w:shd w:val="clear" w:color="auto" w:fill="C5E0B3"/>
            <w:noWrap/>
            <w:vAlign w:val="center"/>
            <w:hideMark/>
          </w:tcPr>
          <w:p w14:paraId="319F1D1D" w14:textId="77777777" w:rsidR="00AD6203" w:rsidRPr="00AD6203" w:rsidRDefault="00AD6203" w:rsidP="00AD6203">
            <w:pPr>
              <w:spacing w:after="0" w:line="240" w:lineRule="auto"/>
              <w:ind w:right="-108" w:hanging="10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2022 г.</w:t>
            </w:r>
          </w:p>
        </w:tc>
        <w:tc>
          <w:tcPr>
            <w:tcW w:w="901" w:type="dxa"/>
            <w:shd w:val="clear" w:color="auto" w:fill="C5E0B3"/>
            <w:noWrap/>
            <w:vAlign w:val="center"/>
            <w:hideMark/>
          </w:tcPr>
          <w:p w14:paraId="402C9F34" w14:textId="77777777" w:rsidR="00AD6203" w:rsidRPr="00AD6203" w:rsidRDefault="00AD6203" w:rsidP="00AD6203">
            <w:pPr>
              <w:spacing w:after="0" w:line="240" w:lineRule="auto"/>
              <w:ind w:right="-108" w:hanging="10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2023 г.</w:t>
            </w:r>
          </w:p>
        </w:tc>
        <w:tc>
          <w:tcPr>
            <w:tcW w:w="901" w:type="dxa"/>
            <w:shd w:val="clear" w:color="auto" w:fill="C5E0B3"/>
            <w:noWrap/>
            <w:vAlign w:val="center"/>
            <w:hideMark/>
          </w:tcPr>
          <w:p w14:paraId="0AE4542D" w14:textId="77777777" w:rsidR="00AD6203" w:rsidRPr="00AD6203" w:rsidRDefault="00AD6203" w:rsidP="00AD6203">
            <w:pPr>
              <w:spacing w:after="0" w:line="240" w:lineRule="auto"/>
              <w:ind w:right="-108" w:hanging="10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2024 г.</w:t>
            </w:r>
          </w:p>
        </w:tc>
        <w:tc>
          <w:tcPr>
            <w:tcW w:w="927" w:type="dxa"/>
            <w:shd w:val="clear" w:color="auto" w:fill="C5E0B3"/>
            <w:noWrap/>
            <w:vAlign w:val="center"/>
            <w:hideMark/>
          </w:tcPr>
          <w:p w14:paraId="747E045B" w14:textId="77777777" w:rsidR="00AD6203" w:rsidRPr="00AD6203" w:rsidRDefault="00AD6203" w:rsidP="00AD6203">
            <w:pPr>
              <w:spacing w:after="0" w:line="240" w:lineRule="auto"/>
              <w:ind w:right="-82" w:hanging="10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2025 г.</w:t>
            </w:r>
          </w:p>
        </w:tc>
        <w:tc>
          <w:tcPr>
            <w:tcW w:w="899" w:type="dxa"/>
            <w:shd w:val="clear" w:color="auto" w:fill="C5E0B3"/>
            <w:noWrap/>
            <w:vAlign w:val="center"/>
            <w:hideMark/>
          </w:tcPr>
          <w:p w14:paraId="217A183D" w14:textId="77777777" w:rsidR="00AD6203" w:rsidRPr="00AD6203" w:rsidRDefault="00AD6203" w:rsidP="00AD6203">
            <w:pPr>
              <w:spacing w:after="0" w:line="240" w:lineRule="auto"/>
              <w:ind w:right="-125" w:hanging="117"/>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2030 г.</w:t>
            </w:r>
          </w:p>
        </w:tc>
        <w:tc>
          <w:tcPr>
            <w:tcW w:w="909" w:type="dxa"/>
            <w:shd w:val="clear" w:color="auto" w:fill="C5E0B3"/>
            <w:noWrap/>
            <w:vAlign w:val="center"/>
            <w:hideMark/>
          </w:tcPr>
          <w:p w14:paraId="64009554" w14:textId="77777777" w:rsidR="00AD6203" w:rsidRPr="00AD6203" w:rsidRDefault="00AD6203" w:rsidP="00AD6203">
            <w:pPr>
              <w:spacing w:after="0" w:line="240" w:lineRule="auto"/>
              <w:ind w:right="-108" w:hanging="10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2040 г.</w:t>
            </w:r>
          </w:p>
        </w:tc>
        <w:tc>
          <w:tcPr>
            <w:tcW w:w="926" w:type="dxa"/>
            <w:shd w:val="clear" w:color="auto" w:fill="C5E0B3"/>
            <w:noWrap/>
            <w:vAlign w:val="center"/>
            <w:hideMark/>
          </w:tcPr>
          <w:p w14:paraId="056DA810" w14:textId="77777777" w:rsidR="00AD6203" w:rsidRPr="00AD6203" w:rsidRDefault="00AD6203" w:rsidP="00AD6203">
            <w:pPr>
              <w:spacing w:after="0" w:line="240" w:lineRule="auto"/>
              <w:ind w:right="-73" w:hanging="117"/>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2050 г.</w:t>
            </w:r>
          </w:p>
        </w:tc>
      </w:tr>
      <w:tr w:rsidR="00AD6203" w:rsidRPr="00AD6203" w14:paraId="46A20CEA" w14:textId="77777777" w:rsidTr="00D86E60">
        <w:trPr>
          <w:trHeight w:val="282"/>
          <w:jc w:val="center"/>
        </w:trPr>
        <w:tc>
          <w:tcPr>
            <w:tcW w:w="0" w:type="auto"/>
            <w:shd w:val="clear" w:color="auto" w:fill="auto"/>
            <w:noWrap/>
            <w:vAlign w:val="center"/>
            <w:hideMark/>
          </w:tcPr>
          <w:p w14:paraId="3C683132" w14:textId="77777777" w:rsidR="00AD6203" w:rsidRPr="00AD6203" w:rsidRDefault="00AD6203" w:rsidP="00AD6203">
            <w:pPr>
              <w:spacing w:after="0" w:line="240" w:lineRule="auto"/>
              <w:ind w:firstLine="6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Ръст на БВП</w:t>
            </w:r>
          </w:p>
        </w:tc>
        <w:tc>
          <w:tcPr>
            <w:tcW w:w="901" w:type="dxa"/>
            <w:shd w:val="clear" w:color="auto" w:fill="auto"/>
            <w:noWrap/>
            <w:vAlign w:val="center"/>
            <w:hideMark/>
          </w:tcPr>
          <w:p w14:paraId="043417D2"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4,8</w:t>
            </w:r>
          </w:p>
        </w:tc>
        <w:tc>
          <w:tcPr>
            <w:tcW w:w="901" w:type="dxa"/>
            <w:shd w:val="clear" w:color="auto" w:fill="auto"/>
            <w:noWrap/>
            <w:vAlign w:val="center"/>
            <w:hideMark/>
          </w:tcPr>
          <w:p w14:paraId="5D827FCC"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c>
          <w:tcPr>
            <w:tcW w:w="901" w:type="dxa"/>
            <w:shd w:val="clear" w:color="auto" w:fill="auto"/>
            <w:noWrap/>
            <w:vAlign w:val="center"/>
            <w:hideMark/>
          </w:tcPr>
          <w:p w14:paraId="726D8AE6"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3,6</w:t>
            </w:r>
          </w:p>
        </w:tc>
        <w:tc>
          <w:tcPr>
            <w:tcW w:w="927" w:type="dxa"/>
            <w:shd w:val="clear" w:color="auto" w:fill="auto"/>
            <w:noWrap/>
            <w:vAlign w:val="center"/>
            <w:hideMark/>
          </w:tcPr>
          <w:p w14:paraId="6F7698EE" w14:textId="77777777" w:rsidR="00AD6203" w:rsidRPr="00AD6203" w:rsidRDefault="00AD6203" w:rsidP="00AD6203">
            <w:pPr>
              <w:spacing w:after="0" w:line="240" w:lineRule="auto"/>
              <w:ind w:right="-82"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3,4</w:t>
            </w:r>
          </w:p>
        </w:tc>
        <w:tc>
          <w:tcPr>
            <w:tcW w:w="899" w:type="dxa"/>
            <w:shd w:val="clear" w:color="auto" w:fill="auto"/>
            <w:noWrap/>
            <w:vAlign w:val="center"/>
            <w:hideMark/>
          </w:tcPr>
          <w:p w14:paraId="33D5DA92" w14:textId="77777777" w:rsidR="00AD6203" w:rsidRPr="00AD6203" w:rsidRDefault="00AD6203" w:rsidP="00AD6203">
            <w:pPr>
              <w:spacing w:after="0" w:line="240" w:lineRule="auto"/>
              <w:ind w:right="-125"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c>
          <w:tcPr>
            <w:tcW w:w="909" w:type="dxa"/>
            <w:shd w:val="clear" w:color="auto" w:fill="auto"/>
            <w:noWrap/>
            <w:vAlign w:val="center"/>
            <w:hideMark/>
          </w:tcPr>
          <w:p w14:paraId="2E2EF379"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c>
          <w:tcPr>
            <w:tcW w:w="926" w:type="dxa"/>
            <w:shd w:val="clear" w:color="auto" w:fill="auto"/>
            <w:noWrap/>
            <w:vAlign w:val="center"/>
            <w:hideMark/>
          </w:tcPr>
          <w:p w14:paraId="5A3F3A07" w14:textId="77777777" w:rsidR="00AD6203" w:rsidRPr="00AD6203" w:rsidRDefault="00AD6203" w:rsidP="00AD6203">
            <w:pPr>
              <w:spacing w:after="0" w:line="240" w:lineRule="auto"/>
              <w:ind w:right="-73"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2,8</w:t>
            </w:r>
          </w:p>
        </w:tc>
      </w:tr>
      <w:tr w:rsidR="00AD6203" w:rsidRPr="00AD6203" w14:paraId="7FA5A6C9" w14:textId="77777777" w:rsidTr="00D86E60">
        <w:trPr>
          <w:trHeight w:val="264"/>
          <w:jc w:val="center"/>
        </w:trPr>
        <w:tc>
          <w:tcPr>
            <w:tcW w:w="0" w:type="auto"/>
            <w:shd w:val="clear" w:color="auto" w:fill="auto"/>
            <w:noWrap/>
            <w:vAlign w:val="center"/>
            <w:hideMark/>
          </w:tcPr>
          <w:p w14:paraId="51D635D6" w14:textId="77777777" w:rsidR="00AD6203" w:rsidRPr="00AD6203" w:rsidRDefault="00AD6203" w:rsidP="00AD6203">
            <w:pPr>
              <w:spacing w:after="0" w:line="240" w:lineRule="auto"/>
              <w:ind w:firstLine="6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Инфлация</w:t>
            </w:r>
          </w:p>
        </w:tc>
        <w:tc>
          <w:tcPr>
            <w:tcW w:w="901" w:type="dxa"/>
            <w:shd w:val="clear" w:color="auto" w:fill="auto"/>
            <w:noWrap/>
            <w:vAlign w:val="center"/>
            <w:hideMark/>
          </w:tcPr>
          <w:p w14:paraId="21DC41DD"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14,7</w:t>
            </w:r>
          </w:p>
        </w:tc>
        <w:tc>
          <w:tcPr>
            <w:tcW w:w="901" w:type="dxa"/>
            <w:shd w:val="clear" w:color="auto" w:fill="auto"/>
            <w:noWrap/>
            <w:vAlign w:val="center"/>
            <w:hideMark/>
          </w:tcPr>
          <w:p w14:paraId="19D77D13"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5,1</w:t>
            </w:r>
          </w:p>
        </w:tc>
        <w:tc>
          <w:tcPr>
            <w:tcW w:w="901" w:type="dxa"/>
            <w:shd w:val="clear" w:color="auto" w:fill="auto"/>
            <w:noWrap/>
            <w:vAlign w:val="center"/>
            <w:hideMark/>
          </w:tcPr>
          <w:p w14:paraId="7AE607CF"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2,7</w:t>
            </w:r>
          </w:p>
        </w:tc>
        <w:tc>
          <w:tcPr>
            <w:tcW w:w="927" w:type="dxa"/>
            <w:shd w:val="clear" w:color="auto" w:fill="auto"/>
            <w:noWrap/>
            <w:vAlign w:val="center"/>
            <w:hideMark/>
          </w:tcPr>
          <w:p w14:paraId="65C67C18" w14:textId="77777777" w:rsidR="00AD6203" w:rsidRPr="00AD6203" w:rsidRDefault="00AD6203" w:rsidP="00AD6203">
            <w:pPr>
              <w:spacing w:after="0" w:line="240" w:lineRule="auto"/>
              <w:ind w:right="-82"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2,3</w:t>
            </w:r>
          </w:p>
        </w:tc>
        <w:tc>
          <w:tcPr>
            <w:tcW w:w="899" w:type="dxa"/>
            <w:shd w:val="clear" w:color="auto" w:fill="auto"/>
            <w:noWrap/>
            <w:vAlign w:val="center"/>
            <w:hideMark/>
          </w:tcPr>
          <w:p w14:paraId="0A939424" w14:textId="77777777" w:rsidR="00AD6203" w:rsidRPr="00AD6203" w:rsidRDefault="00AD6203" w:rsidP="00AD6203">
            <w:pPr>
              <w:spacing w:after="0" w:line="240" w:lineRule="auto"/>
              <w:ind w:right="-125"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1,8</w:t>
            </w:r>
          </w:p>
        </w:tc>
        <w:tc>
          <w:tcPr>
            <w:tcW w:w="909" w:type="dxa"/>
            <w:shd w:val="clear" w:color="auto" w:fill="auto"/>
            <w:noWrap/>
            <w:vAlign w:val="center"/>
            <w:hideMark/>
          </w:tcPr>
          <w:p w14:paraId="5AA6E060"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1,8</w:t>
            </w:r>
          </w:p>
        </w:tc>
        <w:tc>
          <w:tcPr>
            <w:tcW w:w="926" w:type="dxa"/>
            <w:shd w:val="clear" w:color="auto" w:fill="auto"/>
            <w:noWrap/>
            <w:vAlign w:val="center"/>
            <w:hideMark/>
          </w:tcPr>
          <w:p w14:paraId="4EFA9EA9" w14:textId="77777777" w:rsidR="00AD6203" w:rsidRPr="00AD6203" w:rsidRDefault="00AD6203" w:rsidP="00AD6203">
            <w:pPr>
              <w:spacing w:after="0" w:line="240" w:lineRule="auto"/>
              <w:ind w:right="-73"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1,8</w:t>
            </w:r>
          </w:p>
        </w:tc>
      </w:tr>
      <w:tr w:rsidR="00AD6203" w:rsidRPr="00AD6203" w14:paraId="4823BDCB" w14:textId="77777777" w:rsidTr="00D86E60">
        <w:trPr>
          <w:trHeight w:val="255"/>
          <w:jc w:val="center"/>
        </w:trPr>
        <w:tc>
          <w:tcPr>
            <w:tcW w:w="0" w:type="auto"/>
            <w:shd w:val="clear" w:color="auto" w:fill="auto"/>
            <w:noWrap/>
            <w:vAlign w:val="center"/>
            <w:hideMark/>
          </w:tcPr>
          <w:p w14:paraId="10FC74B8" w14:textId="77777777" w:rsidR="00AD6203" w:rsidRPr="00AD6203" w:rsidRDefault="00AD6203" w:rsidP="00AD6203">
            <w:pPr>
              <w:spacing w:after="0" w:line="240" w:lineRule="auto"/>
              <w:ind w:firstLine="6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Безработица</w:t>
            </w:r>
          </w:p>
        </w:tc>
        <w:tc>
          <w:tcPr>
            <w:tcW w:w="901" w:type="dxa"/>
            <w:shd w:val="clear" w:color="auto" w:fill="auto"/>
            <w:noWrap/>
            <w:vAlign w:val="center"/>
            <w:hideMark/>
          </w:tcPr>
          <w:p w14:paraId="40166886"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5,0</w:t>
            </w:r>
          </w:p>
        </w:tc>
        <w:tc>
          <w:tcPr>
            <w:tcW w:w="901" w:type="dxa"/>
            <w:shd w:val="clear" w:color="auto" w:fill="auto"/>
            <w:noWrap/>
            <w:vAlign w:val="center"/>
            <w:hideMark/>
          </w:tcPr>
          <w:p w14:paraId="36B4A091"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4,8</w:t>
            </w:r>
          </w:p>
        </w:tc>
        <w:tc>
          <w:tcPr>
            <w:tcW w:w="901" w:type="dxa"/>
            <w:shd w:val="clear" w:color="auto" w:fill="auto"/>
            <w:noWrap/>
            <w:vAlign w:val="center"/>
            <w:hideMark/>
          </w:tcPr>
          <w:p w14:paraId="4A80A3E1"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4,4</w:t>
            </w:r>
          </w:p>
        </w:tc>
        <w:tc>
          <w:tcPr>
            <w:tcW w:w="927" w:type="dxa"/>
            <w:shd w:val="clear" w:color="auto" w:fill="auto"/>
            <w:noWrap/>
            <w:vAlign w:val="center"/>
            <w:hideMark/>
          </w:tcPr>
          <w:p w14:paraId="441BDA56" w14:textId="77777777" w:rsidR="00AD6203" w:rsidRPr="00AD6203" w:rsidRDefault="00AD6203" w:rsidP="00AD6203">
            <w:pPr>
              <w:spacing w:after="0" w:line="240" w:lineRule="auto"/>
              <w:ind w:right="-82"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4,2</w:t>
            </w:r>
          </w:p>
        </w:tc>
        <w:tc>
          <w:tcPr>
            <w:tcW w:w="899" w:type="dxa"/>
            <w:shd w:val="clear" w:color="auto" w:fill="auto"/>
            <w:noWrap/>
            <w:vAlign w:val="center"/>
            <w:hideMark/>
          </w:tcPr>
          <w:p w14:paraId="7B93E8C9" w14:textId="77777777" w:rsidR="00AD6203" w:rsidRPr="00AD6203" w:rsidRDefault="00AD6203" w:rsidP="00AD6203">
            <w:pPr>
              <w:spacing w:after="0" w:line="240" w:lineRule="auto"/>
              <w:ind w:right="-125"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w:t>
            </w:r>
          </w:p>
        </w:tc>
        <w:tc>
          <w:tcPr>
            <w:tcW w:w="909" w:type="dxa"/>
            <w:shd w:val="clear" w:color="auto" w:fill="auto"/>
            <w:noWrap/>
            <w:vAlign w:val="center"/>
            <w:hideMark/>
          </w:tcPr>
          <w:p w14:paraId="74565529"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w:t>
            </w:r>
          </w:p>
        </w:tc>
        <w:tc>
          <w:tcPr>
            <w:tcW w:w="926" w:type="dxa"/>
            <w:shd w:val="clear" w:color="auto" w:fill="auto"/>
            <w:noWrap/>
            <w:vAlign w:val="center"/>
            <w:hideMark/>
          </w:tcPr>
          <w:p w14:paraId="2F0E06B3" w14:textId="77777777" w:rsidR="00AD6203" w:rsidRPr="00AD6203" w:rsidRDefault="00AD6203" w:rsidP="00AD6203">
            <w:pPr>
              <w:spacing w:after="0" w:line="240" w:lineRule="auto"/>
              <w:ind w:right="-73" w:hanging="11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3,3</w:t>
            </w:r>
          </w:p>
        </w:tc>
      </w:tr>
      <w:tr w:rsidR="00AD6203" w:rsidRPr="00AD6203" w14:paraId="3C9443C2" w14:textId="77777777" w:rsidTr="00D86E60">
        <w:trPr>
          <w:trHeight w:val="237"/>
          <w:jc w:val="center"/>
        </w:trPr>
        <w:tc>
          <w:tcPr>
            <w:tcW w:w="0" w:type="auto"/>
            <w:shd w:val="clear" w:color="auto" w:fill="auto"/>
            <w:noWrap/>
            <w:vAlign w:val="center"/>
            <w:hideMark/>
          </w:tcPr>
          <w:p w14:paraId="1E34FA80" w14:textId="77777777" w:rsidR="00AD6203" w:rsidRPr="00AD6203" w:rsidRDefault="00AD6203" w:rsidP="00AD6203">
            <w:pPr>
              <w:spacing w:after="0" w:line="240" w:lineRule="auto"/>
              <w:ind w:firstLine="67"/>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Население</w:t>
            </w:r>
          </w:p>
        </w:tc>
        <w:tc>
          <w:tcPr>
            <w:tcW w:w="901" w:type="dxa"/>
            <w:shd w:val="clear" w:color="auto" w:fill="auto"/>
            <w:noWrap/>
            <w:vAlign w:val="center"/>
            <w:hideMark/>
          </w:tcPr>
          <w:p w14:paraId="717ACD99"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6 805 117</w:t>
            </w:r>
          </w:p>
        </w:tc>
        <w:tc>
          <w:tcPr>
            <w:tcW w:w="901" w:type="dxa"/>
            <w:shd w:val="clear" w:color="auto" w:fill="auto"/>
            <w:noWrap/>
            <w:vAlign w:val="center"/>
            <w:hideMark/>
          </w:tcPr>
          <w:p w14:paraId="0F2E6344"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6 818 286</w:t>
            </w:r>
          </w:p>
        </w:tc>
        <w:tc>
          <w:tcPr>
            <w:tcW w:w="901" w:type="dxa"/>
            <w:shd w:val="clear" w:color="auto" w:fill="auto"/>
            <w:noWrap/>
            <w:vAlign w:val="center"/>
            <w:hideMark/>
          </w:tcPr>
          <w:p w14:paraId="01A2E4C6"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6 777 000</w:t>
            </w:r>
          </w:p>
        </w:tc>
        <w:tc>
          <w:tcPr>
            <w:tcW w:w="927" w:type="dxa"/>
            <w:shd w:val="clear" w:color="auto" w:fill="auto"/>
            <w:noWrap/>
            <w:vAlign w:val="center"/>
            <w:hideMark/>
          </w:tcPr>
          <w:p w14:paraId="612F34D4" w14:textId="77777777" w:rsidR="00AD6203" w:rsidRPr="00AD6203" w:rsidRDefault="00AD6203" w:rsidP="00AD6203">
            <w:pPr>
              <w:spacing w:after="0" w:line="240" w:lineRule="auto"/>
              <w:ind w:right="-82" w:hanging="108"/>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6 735 715</w:t>
            </w:r>
          </w:p>
        </w:tc>
        <w:tc>
          <w:tcPr>
            <w:tcW w:w="899" w:type="dxa"/>
            <w:shd w:val="clear" w:color="auto" w:fill="auto"/>
            <w:noWrap/>
            <w:vAlign w:val="center"/>
            <w:hideMark/>
          </w:tcPr>
          <w:p w14:paraId="6B0A8BFF" w14:textId="77777777" w:rsidR="00AD6203" w:rsidRPr="00AD6203" w:rsidRDefault="00AD6203" w:rsidP="00AD6203">
            <w:pPr>
              <w:spacing w:after="0" w:line="240" w:lineRule="auto"/>
              <w:ind w:right="-125" w:hanging="117"/>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6 527 464</w:t>
            </w:r>
          </w:p>
        </w:tc>
        <w:tc>
          <w:tcPr>
            <w:tcW w:w="909" w:type="dxa"/>
            <w:shd w:val="clear" w:color="auto" w:fill="auto"/>
            <w:noWrap/>
            <w:vAlign w:val="center"/>
            <w:hideMark/>
          </w:tcPr>
          <w:p w14:paraId="0EA998EC" w14:textId="77777777" w:rsidR="00AD6203" w:rsidRPr="00AD6203" w:rsidRDefault="00AD6203" w:rsidP="00AD6203">
            <w:pPr>
              <w:spacing w:after="0" w:line="240" w:lineRule="auto"/>
              <w:ind w:right="-108" w:hanging="108"/>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6 135 500</w:t>
            </w:r>
          </w:p>
        </w:tc>
        <w:tc>
          <w:tcPr>
            <w:tcW w:w="926" w:type="dxa"/>
            <w:shd w:val="clear" w:color="auto" w:fill="auto"/>
            <w:noWrap/>
            <w:vAlign w:val="center"/>
            <w:hideMark/>
          </w:tcPr>
          <w:p w14:paraId="1B5C3CC6" w14:textId="77777777" w:rsidR="00AD6203" w:rsidRPr="00AD6203" w:rsidRDefault="00AD6203" w:rsidP="00AD6203">
            <w:pPr>
              <w:spacing w:after="0" w:line="240" w:lineRule="auto"/>
              <w:ind w:right="-73" w:hanging="117"/>
              <w:jc w:val="center"/>
              <w:rPr>
                <w:rFonts w:ascii="Times New Roman" w:eastAsia="Times New Roman" w:hAnsi="Times New Roman"/>
                <w:color w:val="000000"/>
                <w:sz w:val="20"/>
                <w:szCs w:val="20"/>
                <w:lang w:val="bg-BG"/>
              </w:rPr>
            </w:pPr>
            <w:r w:rsidRPr="00AD6203">
              <w:rPr>
                <w:rFonts w:ascii="Times New Roman" w:eastAsia="Times New Roman" w:hAnsi="Times New Roman"/>
                <w:color w:val="000000"/>
                <w:sz w:val="20"/>
                <w:szCs w:val="20"/>
                <w:lang w:val="bg-BG"/>
              </w:rPr>
              <w:t>5 791 137</w:t>
            </w:r>
          </w:p>
        </w:tc>
      </w:tr>
    </w:tbl>
    <w:p w14:paraId="1EF83C6D" w14:textId="77777777" w:rsidR="00AD6203" w:rsidRPr="00AD6203" w:rsidRDefault="00AD6203" w:rsidP="00AD6203">
      <w:pPr>
        <w:spacing w:after="120" w:line="24" w:lineRule="atLeast"/>
        <w:ind w:firstLine="720"/>
        <w:rPr>
          <w:rFonts w:ascii="Times New Roman" w:hAnsi="Times New Roman"/>
          <w:color w:val="00B0F0"/>
          <w:sz w:val="24"/>
          <w:szCs w:val="24"/>
          <w:lang w:val="bg-BG" w:eastAsia="ar-SA"/>
        </w:rPr>
      </w:pPr>
    </w:p>
    <w:p w14:paraId="3432D7FF" w14:textId="77777777" w:rsidR="00AD6203" w:rsidRPr="00AD6203" w:rsidRDefault="00AD6203" w:rsidP="00AD6203">
      <w:pPr>
        <w:pStyle w:val="Heading2"/>
        <w:rPr>
          <w:rFonts w:ascii="Times New Roman" w:hAnsi="Times New Roman"/>
          <w:lang w:val="bg-BG"/>
        </w:rPr>
      </w:pPr>
      <w:bookmarkStart w:id="107" w:name="_Toc95837674"/>
      <w:bookmarkStart w:id="108" w:name="_Toc136961118"/>
      <w:r w:rsidRPr="00AD6203">
        <w:rPr>
          <w:rFonts w:ascii="Times New Roman" w:hAnsi="Times New Roman"/>
          <w:lang w:val="bg-BG"/>
        </w:rPr>
        <w:t>Социално-икономическо развитие на района на проекта</w:t>
      </w:r>
      <w:bookmarkEnd w:id="107"/>
      <w:bookmarkEnd w:id="108"/>
    </w:p>
    <w:p w14:paraId="1D952688" w14:textId="77777777" w:rsidR="00AD6203" w:rsidRPr="003A05A1" w:rsidRDefault="00AD6203" w:rsidP="003A05A1">
      <w:pPr>
        <w:shd w:val="clear" w:color="auto" w:fill="FFFFFF"/>
        <w:spacing w:after="0" w:line="360" w:lineRule="auto"/>
        <w:ind w:firstLine="630"/>
        <w:rPr>
          <w:rFonts w:ascii="Times New Roman" w:eastAsia="Times New Roman" w:hAnsi="Times New Roman" w:cs="Arial"/>
          <w:sz w:val="22"/>
          <w:lang w:val="bg-BG"/>
        </w:rPr>
      </w:pPr>
      <w:r w:rsidRPr="003A05A1">
        <w:rPr>
          <w:rFonts w:ascii="Times New Roman" w:eastAsia="Times New Roman" w:hAnsi="Times New Roman" w:cs="Arial"/>
          <w:sz w:val="22"/>
          <w:lang w:val="bg-BG"/>
        </w:rPr>
        <w:t xml:space="preserve">Проектът е разположен изцяло на територията на област Бургас и затова са разгледани условията за развитие в тази област.  </w:t>
      </w:r>
    </w:p>
    <w:p w14:paraId="7DF40186" w14:textId="77777777"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Пристанище Бургас се намира в община Бургас, област Бургас, Югоизточен район за планиране. Територията</w:t>
      </w:r>
      <w:r w:rsidRPr="003A05A1">
        <w:rPr>
          <w:rFonts w:ascii="Times New Roman" w:hAnsi="Times New Roman"/>
          <w:sz w:val="22"/>
          <w:vertAlign w:val="superscript"/>
          <w:lang w:val="bg-BG"/>
        </w:rPr>
        <w:footnoteReference w:id="21"/>
      </w:r>
      <w:r w:rsidRPr="003A05A1">
        <w:rPr>
          <w:rFonts w:ascii="Times New Roman" w:eastAsia="Times New Roman" w:hAnsi="Times New Roman"/>
          <w:sz w:val="22"/>
          <w:lang w:val="bg-BG"/>
        </w:rPr>
        <w:t xml:space="preserve"> на общината е част от непосредствената контактна зона на националното пространство с акваторията на Черно море. Особеностите на крайбрежната зона като преход между сушата и морето я прави особено привлекателна за заселване и развитие на разнообразни стопански дейности.</w:t>
      </w:r>
    </w:p>
    <w:p w14:paraId="14EB74E2" w14:textId="77777777"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Географското положение на общината е изключително благоприятно и в наднационален и регионален контекст, което се обуславя както от развитието и усвояването на транспортно-логистичния потенциал на пристанищния комплекс и неговата инфраструктурна функционално-икономическа интеграция с АМ „Тракия“ и ж.п. линия 8, така и от цялостното й позициониране в рамките на коридор „Ориент/Източно Средиземноморски“. Особено важни са перспективите за развитие на общината в контекста на неговото разширяване на изток и прерастването му в ТРАСЕКА (транспортен коридор Европа – Кавказ – Азия). Това от своя страна създава възможности, свързани с достъпа до пазари в рамките на целия Черноморски регион, Близкия изток и Централна Азия.</w:t>
      </w:r>
    </w:p>
    <w:p w14:paraId="27EFB7AD" w14:textId="77777777"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 xml:space="preserve">Град Бургас е административен и опорен център на общината и на областта. В него е съсредоточен основният икономически и демографски потенциал, като влиянието му е доминиращо в целия Югоизточен район от ниво 2. Динамиката на населението в община Бургас от последните 10 години е ниска, като броят остава сравнително стабилен, със слаб тренд на намаляване. Според Плана за интегрирано развитие на Община Бургас, един от основните приоритети е развитието на сектори от синята икономика, пряко свързани с корабоплаването, пристанищата, морския транспорт и морски </w:t>
      </w:r>
      <w:r w:rsidRPr="003A05A1">
        <w:rPr>
          <w:rFonts w:ascii="Times New Roman" w:eastAsia="Times New Roman" w:hAnsi="Times New Roman"/>
          <w:sz w:val="22"/>
          <w:lang w:val="bg-BG"/>
        </w:rPr>
        <w:lastRenderedPageBreak/>
        <w:t>туризъм, което показва, че на местно и национално ниво значимостта на инвестициите в пристанището са оценени като първостепенни за развитието на района на проекта.</w:t>
      </w:r>
    </w:p>
    <w:p w14:paraId="0E754AB8" w14:textId="0F11A030" w:rsidR="00D86E60" w:rsidRPr="00D86E60" w:rsidRDefault="00D86E60" w:rsidP="004822D7">
      <w:pPr>
        <w:spacing w:after="120" w:line="24" w:lineRule="atLeast"/>
        <w:ind w:firstLine="720"/>
        <w:jc w:val="center"/>
        <w:rPr>
          <w:rFonts w:ascii="Times New Roman" w:eastAsia="Times New Roman" w:hAnsi="Times New Roman"/>
          <w:i/>
          <w:iCs/>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13</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Pr="00D86E60">
        <w:rPr>
          <w:rFonts w:ascii="Times New Roman" w:eastAsia="Times New Roman" w:hAnsi="Times New Roman"/>
          <w:i/>
          <w:sz w:val="22"/>
          <w:lang w:val="bg-BG"/>
        </w:rPr>
        <w:t>Население на област Бургас</w:t>
      </w:r>
      <w:r w:rsidRPr="00D86E60">
        <w:rPr>
          <w:rFonts w:ascii="Times New Roman" w:hAnsi="Times New Roman"/>
          <w:i/>
          <w:sz w:val="22"/>
          <w:vertAlign w:val="superscript"/>
          <w:lang w:val="bg-BG"/>
        </w:rPr>
        <w:footnoteReference w:id="22"/>
      </w:r>
    </w:p>
    <w:tbl>
      <w:tblPr>
        <w:tblW w:w="8725" w:type="dxa"/>
        <w:jc w:val="center"/>
        <w:tblLook w:val="04A0" w:firstRow="1" w:lastRow="0" w:firstColumn="1" w:lastColumn="0" w:noHBand="0" w:noVBand="1"/>
      </w:tblPr>
      <w:tblGrid>
        <w:gridCol w:w="2253"/>
        <w:gridCol w:w="1110"/>
        <w:gridCol w:w="1042"/>
        <w:gridCol w:w="1080"/>
        <w:gridCol w:w="1080"/>
        <w:gridCol w:w="1080"/>
        <w:gridCol w:w="1080"/>
      </w:tblGrid>
      <w:tr w:rsidR="00AD6203" w:rsidRPr="00AD6203" w14:paraId="5E603B40" w14:textId="77777777" w:rsidTr="004822D7">
        <w:trPr>
          <w:trHeight w:val="462"/>
          <w:jc w:val="center"/>
        </w:trPr>
        <w:tc>
          <w:tcPr>
            <w:tcW w:w="2253" w:type="dxa"/>
            <w:tcBorders>
              <w:top w:val="single" w:sz="4" w:space="0" w:color="auto"/>
              <w:left w:val="single" w:sz="4" w:space="0" w:color="auto"/>
              <w:bottom w:val="single" w:sz="4" w:space="0" w:color="auto"/>
              <w:right w:val="single" w:sz="4" w:space="0" w:color="auto"/>
            </w:tcBorders>
            <w:shd w:val="clear" w:color="auto" w:fill="C5E0B3"/>
            <w:noWrap/>
            <w:vAlign w:val="center"/>
            <w:hideMark/>
          </w:tcPr>
          <w:p w14:paraId="1737F705" w14:textId="77777777" w:rsidR="00AD6203" w:rsidRPr="00AD6203" w:rsidRDefault="00AD6203" w:rsidP="00AD6203">
            <w:pPr>
              <w:spacing w:after="0" w:line="276" w:lineRule="auto"/>
              <w:rPr>
                <w:rFonts w:ascii="Times New Roman" w:eastAsia="Times New Roman" w:hAnsi="Times New Roman"/>
                <w:b/>
                <w:bCs/>
                <w:color w:val="000000"/>
                <w:sz w:val="24"/>
                <w:szCs w:val="24"/>
                <w:lang w:val="bg-BG"/>
              </w:rPr>
            </w:pPr>
            <w:bookmarkStart w:id="109" w:name="_Hlk95400449"/>
            <w:r w:rsidRPr="00AD6203">
              <w:rPr>
                <w:rFonts w:ascii="Times New Roman" w:eastAsia="Times New Roman" w:hAnsi="Times New Roman"/>
                <w:b/>
                <w:bCs/>
                <w:color w:val="000000"/>
                <w:sz w:val="24"/>
                <w:szCs w:val="24"/>
                <w:lang w:val="bg-BG"/>
              </w:rPr>
              <w:t>Област Бургас</w:t>
            </w:r>
          </w:p>
        </w:tc>
        <w:tc>
          <w:tcPr>
            <w:tcW w:w="1110" w:type="dxa"/>
            <w:tcBorders>
              <w:top w:val="single" w:sz="4" w:space="0" w:color="auto"/>
              <w:left w:val="nil"/>
              <w:bottom w:val="single" w:sz="4" w:space="0" w:color="auto"/>
              <w:right w:val="single" w:sz="4" w:space="0" w:color="auto"/>
            </w:tcBorders>
            <w:shd w:val="clear" w:color="auto" w:fill="C5E0B3"/>
            <w:noWrap/>
            <w:vAlign w:val="center"/>
            <w:hideMark/>
          </w:tcPr>
          <w:p w14:paraId="590C2D2B" w14:textId="77777777" w:rsidR="00AD6203" w:rsidRPr="00AD6203" w:rsidRDefault="00AD6203" w:rsidP="00AD6203">
            <w:pPr>
              <w:spacing w:after="0" w:line="276" w:lineRule="auto"/>
              <w:ind w:firstLine="5"/>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2015 г.</w:t>
            </w:r>
          </w:p>
        </w:tc>
        <w:tc>
          <w:tcPr>
            <w:tcW w:w="1042" w:type="dxa"/>
            <w:tcBorders>
              <w:top w:val="single" w:sz="4" w:space="0" w:color="auto"/>
              <w:left w:val="nil"/>
              <w:bottom w:val="single" w:sz="4" w:space="0" w:color="auto"/>
              <w:right w:val="single" w:sz="4" w:space="0" w:color="auto"/>
            </w:tcBorders>
            <w:shd w:val="clear" w:color="auto" w:fill="C5E0B3"/>
            <w:noWrap/>
            <w:vAlign w:val="center"/>
            <w:hideMark/>
          </w:tcPr>
          <w:p w14:paraId="432DA6DC" w14:textId="77777777" w:rsidR="00AD6203" w:rsidRPr="00AD6203" w:rsidRDefault="00AD6203" w:rsidP="00AD6203">
            <w:pPr>
              <w:spacing w:after="0" w:line="276" w:lineRule="auto"/>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2016 г.</w:t>
            </w:r>
          </w:p>
        </w:tc>
        <w:tc>
          <w:tcPr>
            <w:tcW w:w="1080" w:type="dxa"/>
            <w:tcBorders>
              <w:top w:val="single" w:sz="4" w:space="0" w:color="auto"/>
              <w:left w:val="nil"/>
              <w:bottom w:val="single" w:sz="4" w:space="0" w:color="auto"/>
              <w:right w:val="single" w:sz="4" w:space="0" w:color="auto"/>
            </w:tcBorders>
            <w:shd w:val="clear" w:color="auto" w:fill="C5E0B3"/>
            <w:noWrap/>
            <w:vAlign w:val="center"/>
            <w:hideMark/>
          </w:tcPr>
          <w:p w14:paraId="49671066" w14:textId="77777777" w:rsidR="00AD6203" w:rsidRPr="00AD6203" w:rsidRDefault="00AD6203" w:rsidP="00AD6203">
            <w:pPr>
              <w:spacing w:after="0" w:line="276" w:lineRule="auto"/>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2017 г.</w:t>
            </w:r>
          </w:p>
        </w:tc>
        <w:tc>
          <w:tcPr>
            <w:tcW w:w="1080" w:type="dxa"/>
            <w:tcBorders>
              <w:top w:val="single" w:sz="4" w:space="0" w:color="auto"/>
              <w:left w:val="nil"/>
              <w:bottom w:val="single" w:sz="4" w:space="0" w:color="auto"/>
              <w:right w:val="single" w:sz="4" w:space="0" w:color="auto"/>
            </w:tcBorders>
            <w:shd w:val="clear" w:color="auto" w:fill="C5E0B3"/>
            <w:noWrap/>
            <w:vAlign w:val="center"/>
            <w:hideMark/>
          </w:tcPr>
          <w:p w14:paraId="11ED0807" w14:textId="77777777" w:rsidR="00AD6203" w:rsidRPr="00AD6203" w:rsidRDefault="00AD6203" w:rsidP="00AD6203">
            <w:pPr>
              <w:spacing w:after="0" w:line="276" w:lineRule="auto"/>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2018 г.</w:t>
            </w:r>
          </w:p>
        </w:tc>
        <w:tc>
          <w:tcPr>
            <w:tcW w:w="1080" w:type="dxa"/>
            <w:tcBorders>
              <w:top w:val="single" w:sz="4" w:space="0" w:color="auto"/>
              <w:left w:val="nil"/>
              <w:bottom w:val="single" w:sz="4" w:space="0" w:color="auto"/>
              <w:right w:val="single" w:sz="4" w:space="0" w:color="auto"/>
            </w:tcBorders>
            <w:shd w:val="clear" w:color="auto" w:fill="C5E0B3"/>
            <w:noWrap/>
            <w:vAlign w:val="center"/>
            <w:hideMark/>
          </w:tcPr>
          <w:p w14:paraId="4D59A865" w14:textId="77777777" w:rsidR="00AD6203" w:rsidRPr="00AD6203" w:rsidRDefault="00AD6203" w:rsidP="00AD6203">
            <w:pPr>
              <w:spacing w:after="0" w:line="276" w:lineRule="auto"/>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2019 г.</w:t>
            </w:r>
          </w:p>
        </w:tc>
        <w:tc>
          <w:tcPr>
            <w:tcW w:w="1080" w:type="dxa"/>
            <w:tcBorders>
              <w:top w:val="single" w:sz="4" w:space="0" w:color="auto"/>
              <w:left w:val="nil"/>
              <w:bottom w:val="single" w:sz="4" w:space="0" w:color="auto"/>
              <w:right w:val="single" w:sz="4" w:space="0" w:color="auto"/>
            </w:tcBorders>
            <w:shd w:val="clear" w:color="auto" w:fill="C5E0B3"/>
            <w:vAlign w:val="center"/>
          </w:tcPr>
          <w:p w14:paraId="039DF8D8" w14:textId="77777777" w:rsidR="00AD6203" w:rsidRPr="00AD6203" w:rsidRDefault="00AD6203" w:rsidP="00AD6203">
            <w:pPr>
              <w:spacing w:after="0" w:line="276" w:lineRule="auto"/>
              <w:jc w:val="center"/>
              <w:rPr>
                <w:rFonts w:ascii="Times New Roman" w:eastAsia="Times New Roman" w:hAnsi="Times New Roman"/>
                <w:b/>
                <w:bCs/>
                <w:color w:val="000000"/>
                <w:sz w:val="24"/>
                <w:szCs w:val="24"/>
                <w:lang w:val="bg-BG"/>
              </w:rPr>
            </w:pPr>
            <w:r w:rsidRPr="00AD6203">
              <w:rPr>
                <w:rFonts w:ascii="Times New Roman" w:eastAsia="Times New Roman" w:hAnsi="Times New Roman"/>
                <w:b/>
                <w:bCs/>
                <w:color w:val="000000"/>
                <w:sz w:val="24"/>
                <w:szCs w:val="24"/>
                <w:lang w:val="bg-BG"/>
              </w:rPr>
              <w:t>2020 г.</w:t>
            </w:r>
          </w:p>
        </w:tc>
      </w:tr>
      <w:tr w:rsidR="00AD6203" w:rsidRPr="00AD6203" w14:paraId="517F8849" w14:textId="77777777" w:rsidTr="004822D7">
        <w:trPr>
          <w:trHeight w:val="360"/>
          <w:jc w:val="center"/>
        </w:trPr>
        <w:tc>
          <w:tcPr>
            <w:tcW w:w="2253" w:type="dxa"/>
            <w:tcBorders>
              <w:top w:val="nil"/>
              <w:left w:val="single" w:sz="4" w:space="0" w:color="auto"/>
              <w:bottom w:val="single" w:sz="4" w:space="0" w:color="auto"/>
              <w:right w:val="single" w:sz="4" w:space="0" w:color="auto"/>
            </w:tcBorders>
            <w:shd w:val="clear" w:color="auto" w:fill="auto"/>
            <w:noWrap/>
            <w:vAlign w:val="center"/>
            <w:hideMark/>
          </w:tcPr>
          <w:p w14:paraId="2CCDFCB7" w14:textId="77777777" w:rsidR="00AD6203" w:rsidRPr="00AD6203" w:rsidRDefault="00AD6203" w:rsidP="00AD6203">
            <w:pPr>
              <w:spacing w:after="0" w:line="276" w:lineRule="auto"/>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Население</w:t>
            </w:r>
          </w:p>
        </w:tc>
        <w:tc>
          <w:tcPr>
            <w:tcW w:w="11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64B29F" w14:textId="77777777" w:rsidR="00AD6203" w:rsidRPr="00AD6203" w:rsidRDefault="00AD6203" w:rsidP="00AD6203">
            <w:pPr>
              <w:spacing w:after="0" w:line="276" w:lineRule="auto"/>
              <w:ind w:firstLine="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411 987</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33257C2B" w14:textId="77777777" w:rsidR="00AD6203" w:rsidRPr="00AD6203" w:rsidRDefault="00AD6203" w:rsidP="00AD6203">
            <w:pPr>
              <w:spacing w:after="0" w:line="276" w:lineRule="auto"/>
              <w:jc w:val="center"/>
              <w:rPr>
                <w:rFonts w:ascii="Times New Roman" w:hAnsi="Times New Roman"/>
                <w:color w:val="000000"/>
                <w:sz w:val="24"/>
                <w:szCs w:val="24"/>
                <w:lang w:val="bg-BG"/>
              </w:rPr>
            </w:pPr>
            <w:r w:rsidRPr="00AD6203">
              <w:rPr>
                <w:rFonts w:ascii="Times New Roman" w:hAnsi="Times New Roman"/>
                <w:sz w:val="24"/>
                <w:szCs w:val="24"/>
                <w:lang w:val="bg-BG"/>
              </w:rPr>
              <w:t>412 684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0194195" w14:textId="77777777" w:rsidR="00AD6203" w:rsidRPr="00AD6203" w:rsidRDefault="00AD6203" w:rsidP="00AD6203">
            <w:pPr>
              <w:spacing w:after="0" w:line="276" w:lineRule="auto"/>
              <w:jc w:val="center"/>
              <w:rPr>
                <w:rFonts w:ascii="Times New Roman" w:hAnsi="Times New Roman"/>
                <w:color w:val="000000"/>
                <w:sz w:val="24"/>
                <w:szCs w:val="24"/>
                <w:lang w:val="bg-BG"/>
              </w:rPr>
            </w:pPr>
            <w:r w:rsidRPr="00AD6203">
              <w:rPr>
                <w:rFonts w:ascii="Times New Roman" w:hAnsi="Times New Roman"/>
                <w:sz w:val="24"/>
                <w:szCs w:val="24"/>
                <w:lang w:val="bg-BG"/>
              </w:rPr>
              <w:t>411 579</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23F5C14E" w14:textId="77777777" w:rsidR="00AD6203" w:rsidRPr="00AD6203" w:rsidRDefault="00AD6203" w:rsidP="00AD6203">
            <w:pPr>
              <w:spacing w:after="0" w:line="276" w:lineRule="auto"/>
              <w:jc w:val="center"/>
              <w:rPr>
                <w:rFonts w:ascii="Times New Roman" w:hAnsi="Times New Roman"/>
                <w:color w:val="000000"/>
                <w:sz w:val="24"/>
                <w:szCs w:val="24"/>
                <w:lang w:val="bg-BG"/>
              </w:rPr>
            </w:pPr>
            <w:r w:rsidRPr="00AD6203">
              <w:rPr>
                <w:rFonts w:ascii="Times New Roman" w:hAnsi="Times New Roman"/>
                <w:sz w:val="24"/>
                <w:szCs w:val="24"/>
                <w:lang w:val="bg-BG"/>
              </w:rPr>
              <w:t>410 331</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26058E73" w14:textId="77777777" w:rsidR="00AD6203" w:rsidRPr="00AD6203" w:rsidRDefault="00AD6203" w:rsidP="00AD6203">
            <w:pPr>
              <w:spacing w:after="0" w:line="276" w:lineRule="auto"/>
              <w:jc w:val="center"/>
              <w:rPr>
                <w:rFonts w:ascii="Times New Roman" w:hAnsi="Times New Roman"/>
                <w:color w:val="000000"/>
                <w:sz w:val="24"/>
                <w:szCs w:val="24"/>
                <w:lang w:val="bg-BG"/>
              </w:rPr>
            </w:pPr>
            <w:r w:rsidRPr="00AD6203">
              <w:rPr>
                <w:rFonts w:ascii="Times New Roman" w:hAnsi="Times New Roman"/>
                <w:sz w:val="24"/>
                <w:szCs w:val="24"/>
                <w:lang w:val="bg-BG"/>
              </w:rPr>
              <w:t>409 265</w:t>
            </w:r>
          </w:p>
        </w:tc>
        <w:tc>
          <w:tcPr>
            <w:tcW w:w="1080" w:type="dxa"/>
            <w:tcBorders>
              <w:top w:val="single" w:sz="4" w:space="0" w:color="auto"/>
              <w:left w:val="nil"/>
              <w:bottom w:val="single" w:sz="4" w:space="0" w:color="auto"/>
              <w:right w:val="single" w:sz="4" w:space="0" w:color="auto"/>
            </w:tcBorders>
            <w:vAlign w:val="center"/>
          </w:tcPr>
          <w:p w14:paraId="3E36A5B3" w14:textId="77777777" w:rsidR="00AD6203" w:rsidRPr="00AD6203" w:rsidRDefault="00AD6203" w:rsidP="00AD6203">
            <w:pPr>
              <w:spacing w:after="0" w:line="276" w:lineRule="auto"/>
              <w:jc w:val="center"/>
              <w:rPr>
                <w:rFonts w:ascii="Times New Roman" w:hAnsi="Times New Roman"/>
                <w:color w:val="000000"/>
                <w:sz w:val="24"/>
                <w:szCs w:val="24"/>
                <w:lang w:val="bg-BG"/>
              </w:rPr>
            </w:pPr>
            <w:r w:rsidRPr="00AD6203">
              <w:rPr>
                <w:rFonts w:ascii="Times New Roman" w:hAnsi="Times New Roman"/>
                <w:sz w:val="24"/>
                <w:szCs w:val="24"/>
                <w:lang w:val="bg-BG"/>
              </w:rPr>
              <w:t>409 750</w:t>
            </w:r>
          </w:p>
        </w:tc>
      </w:tr>
    </w:tbl>
    <w:p w14:paraId="5A5DF9FB" w14:textId="77777777" w:rsidR="004822D7" w:rsidRDefault="004822D7" w:rsidP="003A05A1">
      <w:pPr>
        <w:shd w:val="clear" w:color="auto" w:fill="FFFFFF"/>
        <w:spacing w:after="0" w:line="360" w:lineRule="auto"/>
        <w:ind w:firstLine="720"/>
        <w:rPr>
          <w:rFonts w:ascii="Times New Roman" w:eastAsia="Times New Roman" w:hAnsi="Times New Roman"/>
          <w:sz w:val="22"/>
          <w:lang w:val="bg-BG"/>
        </w:rPr>
      </w:pPr>
    </w:p>
    <w:p w14:paraId="249C4491" w14:textId="318BC6FF" w:rsidR="00AD6203" w:rsidRPr="003A05A1" w:rsidRDefault="00AD6203" w:rsidP="003A05A1">
      <w:pPr>
        <w:shd w:val="clear" w:color="auto" w:fill="FFFFFF"/>
        <w:spacing w:after="0" w:line="360" w:lineRule="auto"/>
        <w:ind w:firstLine="720"/>
        <w:rPr>
          <w:rFonts w:ascii="Times New Roman" w:eastAsia="Times New Roman" w:hAnsi="Times New Roman"/>
          <w:sz w:val="22"/>
          <w:lang w:val="bg-BG"/>
        </w:rPr>
      </w:pPr>
      <w:r w:rsidRPr="003A05A1">
        <w:rPr>
          <w:rFonts w:ascii="Times New Roman" w:eastAsia="Times New Roman" w:hAnsi="Times New Roman"/>
          <w:sz w:val="22"/>
          <w:lang w:val="bg-BG"/>
        </w:rPr>
        <w:t>Данните за района на проекта</w:t>
      </w:r>
      <w:r w:rsidRPr="003A05A1">
        <w:rPr>
          <w:rFonts w:ascii="Times New Roman" w:eastAsia="Times New Roman" w:hAnsi="Times New Roman"/>
          <w:sz w:val="22"/>
          <w:vertAlign w:val="superscript"/>
          <w:lang w:val="bg-BG"/>
        </w:rPr>
        <w:footnoteReference w:id="23"/>
      </w:r>
      <w:r w:rsidRPr="003A05A1">
        <w:rPr>
          <w:rFonts w:ascii="Times New Roman" w:eastAsia="Times New Roman" w:hAnsi="Times New Roman"/>
          <w:sz w:val="22"/>
          <w:lang w:val="bg-BG"/>
        </w:rPr>
        <w:t xml:space="preserve"> показват, че по всички основни макро индикатори, област Бургас е близо до средните стойности  за страната, а в някои случаи, дори с по-добри трендове. Въпреки относителното запазване на броя на населението (което донякъде се дължи на механичния прираст от малките населени места към по-големите), в годините, естественият прираст е значително по-висок от средния за страната, видно от следващата графика. </w:t>
      </w:r>
    </w:p>
    <w:p w14:paraId="19FF45AC" w14:textId="77777777" w:rsidR="00AD6203" w:rsidRPr="00AD6203" w:rsidRDefault="00AD6203" w:rsidP="00AD6203">
      <w:pPr>
        <w:shd w:val="clear" w:color="auto" w:fill="FFFFFF"/>
        <w:spacing w:before="240" w:after="0" w:line="276" w:lineRule="auto"/>
        <w:ind w:firstLine="720"/>
        <w:rPr>
          <w:rFonts w:ascii="Times New Roman" w:eastAsia="Times New Roman" w:hAnsi="Times New Roman"/>
          <w:sz w:val="24"/>
          <w:szCs w:val="24"/>
          <w:lang w:val="bg-BG"/>
        </w:rPr>
      </w:pPr>
      <w:r w:rsidRPr="00AD6203">
        <w:rPr>
          <w:rFonts w:ascii="Times New Roman" w:hAnsi="Times New Roman"/>
          <w:noProof/>
          <w:sz w:val="24"/>
          <w:szCs w:val="24"/>
          <w:lang w:val="en-US"/>
        </w:rPr>
        <w:drawing>
          <wp:inline distT="0" distB="0" distL="0" distR="0" wp14:anchorId="280BD426" wp14:editId="68D67DF5">
            <wp:extent cx="5124450" cy="2514600"/>
            <wp:effectExtent l="0" t="0" r="0" b="0"/>
            <wp:docPr id="2401287" name="Chart 240128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2674E1B" w14:textId="6BD9BEC9" w:rsidR="00737B07" w:rsidRPr="0072757D" w:rsidRDefault="00737B07" w:rsidP="004822D7">
      <w:pPr>
        <w:pStyle w:val="BP-Figure"/>
        <w:ind w:left="3510" w:hanging="533"/>
        <w:rPr>
          <w:rFonts w:cs="Calibri"/>
        </w:rPr>
      </w:pPr>
      <w:r w:rsidRPr="00737B07">
        <w:rPr>
          <w:rFonts w:cs="Calibri"/>
        </w:rPr>
        <w:t xml:space="preserve">Динамика на естествения прираст в Област Бургас </w:t>
      </w:r>
    </w:p>
    <w:p w14:paraId="07D638AC" w14:textId="77777777" w:rsidR="00AD6203" w:rsidRPr="00AD6203" w:rsidRDefault="00AD6203" w:rsidP="00AD6203">
      <w:pPr>
        <w:shd w:val="clear" w:color="auto" w:fill="FFFFFF"/>
        <w:spacing w:after="0" w:line="276" w:lineRule="auto"/>
        <w:ind w:firstLine="720"/>
        <w:rPr>
          <w:rFonts w:ascii="Times New Roman" w:hAnsi="Times New Roman"/>
          <w:noProof/>
          <w:sz w:val="24"/>
          <w:szCs w:val="24"/>
          <w:lang w:val="bg-BG"/>
        </w:rPr>
      </w:pPr>
    </w:p>
    <w:p w14:paraId="4048DE8C" w14:textId="77777777" w:rsidR="00AD6203" w:rsidRPr="003A05A1" w:rsidRDefault="00AD6203" w:rsidP="003A05A1">
      <w:pPr>
        <w:shd w:val="clear" w:color="auto" w:fill="FFFFFF"/>
        <w:spacing w:after="0" w:line="360" w:lineRule="auto"/>
        <w:ind w:firstLine="720"/>
        <w:rPr>
          <w:rFonts w:ascii="Times New Roman" w:hAnsi="Times New Roman"/>
          <w:noProof/>
          <w:sz w:val="22"/>
          <w:lang w:val="bg-BG"/>
        </w:rPr>
      </w:pPr>
      <w:r w:rsidRPr="003A05A1">
        <w:rPr>
          <w:rFonts w:ascii="Times New Roman" w:hAnsi="Times New Roman"/>
          <w:noProof/>
          <w:sz w:val="22"/>
          <w:lang w:val="bg-BG"/>
        </w:rPr>
        <w:t xml:space="preserve">Благодарение на транспортните дейности в пристанището и добрата свързаност между различните видове транспорт, през последните няколко години безработицата в област Бургас е по-ниска от средната за страната. Анализите за засегнатите сектори от COVID-19 кризата показват, че в някои сектори на транспорта има ръст на извършената работа, а именно железопътен и морски товарен транспорт.  </w:t>
      </w:r>
    </w:p>
    <w:p w14:paraId="468E8650" w14:textId="77777777" w:rsidR="00AD6203" w:rsidRPr="00AD6203" w:rsidRDefault="00AD6203" w:rsidP="00AD6203">
      <w:pPr>
        <w:shd w:val="clear" w:color="auto" w:fill="FFFFFF"/>
        <w:spacing w:after="120" w:line="24" w:lineRule="atLeast"/>
        <w:ind w:firstLine="720"/>
        <w:rPr>
          <w:rFonts w:ascii="Times New Roman" w:hAnsi="Times New Roman"/>
          <w:noProof/>
          <w:sz w:val="24"/>
          <w:szCs w:val="24"/>
          <w:lang w:val="bg-BG"/>
        </w:rPr>
      </w:pPr>
    </w:p>
    <w:p w14:paraId="64C382A7" w14:textId="77777777" w:rsidR="00AD6203" w:rsidRPr="00AD6203" w:rsidRDefault="00AD6203" w:rsidP="00AD6203">
      <w:pPr>
        <w:shd w:val="clear" w:color="auto" w:fill="FFFFFF"/>
        <w:spacing w:after="0" w:line="276" w:lineRule="auto"/>
        <w:ind w:firstLine="720"/>
        <w:rPr>
          <w:rFonts w:ascii="Times New Roman" w:hAnsi="Times New Roman"/>
          <w:noProof/>
          <w:sz w:val="24"/>
          <w:szCs w:val="24"/>
          <w:lang w:val="bg-BG"/>
        </w:rPr>
      </w:pPr>
      <w:r w:rsidRPr="00AD6203">
        <w:rPr>
          <w:rFonts w:ascii="Times New Roman" w:hAnsi="Times New Roman"/>
          <w:noProof/>
          <w:sz w:val="24"/>
          <w:szCs w:val="24"/>
          <w:lang w:val="en-US"/>
        </w:rPr>
        <w:drawing>
          <wp:inline distT="0" distB="0" distL="0" distR="0" wp14:anchorId="07AB1D23" wp14:editId="4A89883A">
            <wp:extent cx="4987636" cy="2410691"/>
            <wp:effectExtent l="0" t="0" r="3810" b="889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6550E27" w14:textId="0960C458" w:rsidR="00737B07" w:rsidRPr="0072757D" w:rsidRDefault="00737B07" w:rsidP="004822D7">
      <w:pPr>
        <w:pStyle w:val="BP-Figure"/>
        <w:ind w:left="3510" w:hanging="533"/>
        <w:rPr>
          <w:rFonts w:cs="Calibri"/>
        </w:rPr>
      </w:pPr>
      <w:r w:rsidRPr="00737B07">
        <w:t>Динамика на нивото на безработица в Област Бургас</w:t>
      </w:r>
      <w:r w:rsidRPr="00737B07">
        <w:rPr>
          <w:rFonts w:cs="Calibri"/>
        </w:rPr>
        <w:t xml:space="preserve"> </w:t>
      </w:r>
    </w:p>
    <w:p w14:paraId="0B8F0887" w14:textId="77777777" w:rsidR="00AD6203" w:rsidRPr="00AD6203" w:rsidRDefault="00AD6203" w:rsidP="00AD6203">
      <w:pPr>
        <w:widowControl w:val="0"/>
        <w:autoSpaceDE w:val="0"/>
        <w:autoSpaceDN w:val="0"/>
        <w:adjustRightInd w:val="0"/>
        <w:spacing w:after="0" w:line="276" w:lineRule="auto"/>
        <w:ind w:left="2070"/>
        <w:jc w:val="left"/>
        <w:rPr>
          <w:rFonts w:ascii="Times New Roman CYR" w:hAnsi="Times New Roman CYR" w:cs="Times New Roman CYR"/>
          <w:i/>
          <w:iCs/>
          <w:sz w:val="24"/>
          <w:szCs w:val="24"/>
          <w:lang w:val="bg-BG"/>
        </w:rPr>
      </w:pPr>
    </w:p>
    <w:p w14:paraId="0946E608" w14:textId="48902B95" w:rsidR="00AD6203" w:rsidRPr="003A05A1" w:rsidRDefault="003A05A1" w:rsidP="003A05A1">
      <w:pPr>
        <w:shd w:val="clear" w:color="auto" w:fill="FFFFFF"/>
        <w:spacing w:after="0" w:line="360" w:lineRule="auto"/>
        <w:ind w:firstLine="720"/>
        <w:rPr>
          <w:rFonts w:ascii="Times New Roman" w:hAnsi="Times New Roman"/>
          <w:noProof/>
          <w:sz w:val="22"/>
          <w:lang w:val="bg-BG"/>
        </w:rPr>
      </w:pPr>
      <w:r w:rsidRPr="003A05A1">
        <w:rPr>
          <w:rFonts w:ascii="Times New Roman" w:hAnsi="Times New Roman"/>
          <w:noProof/>
          <w:sz w:val="22"/>
          <w:lang w:val="bg-BG"/>
        </w:rPr>
        <w:t>Сравнително ниското</w:t>
      </w:r>
      <w:r w:rsidR="00AD6203" w:rsidRPr="003A05A1">
        <w:rPr>
          <w:rFonts w:ascii="Times New Roman" w:hAnsi="Times New Roman"/>
          <w:noProof/>
          <w:sz w:val="22"/>
          <w:lang w:val="bg-BG"/>
        </w:rPr>
        <w:t xml:space="preserve"> ниво на безработицата и фактът, че Бургас разполага освен с голямо пристанище и с много индустрии, свързани вторично с морския транспорт е обяснение за нивото на ръста на БВП, който също е близо до средния за страната, с изключение на 2020 г.</w:t>
      </w:r>
    </w:p>
    <w:p w14:paraId="7FF38337" w14:textId="77777777" w:rsidR="00AD6203" w:rsidRPr="00AD6203" w:rsidRDefault="00AD6203" w:rsidP="00AD6203">
      <w:pPr>
        <w:shd w:val="clear" w:color="auto" w:fill="FFFFFF"/>
        <w:spacing w:after="0" w:line="276" w:lineRule="auto"/>
        <w:ind w:firstLine="720"/>
        <w:rPr>
          <w:rFonts w:ascii="Times New Roman" w:hAnsi="Times New Roman"/>
          <w:noProof/>
          <w:sz w:val="24"/>
          <w:szCs w:val="24"/>
          <w:lang w:val="bg-BG"/>
        </w:rPr>
      </w:pPr>
    </w:p>
    <w:p w14:paraId="3BFDCBAB" w14:textId="77777777" w:rsidR="00AD6203" w:rsidRPr="00AD6203" w:rsidRDefault="00AD6203" w:rsidP="00AD6203">
      <w:pPr>
        <w:shd w:val="clear" w:color="auto" w:fill="FFFFFF"/>
        <w:spacing w:after="0" w:line="276" w:lineRule="auto"/>
        <w:ind w:firstLine="720"/>
        <w:rPr>
          <w:rFonts w:ascii="Times New Roman" w:hAnsi="Times New Roman"/>
          <w:noProof/>
          <w:sz w:val="24"/>
          <w:szCs w:val="24"/>
          <w:lang w:val="bg-BG"/>
        </w:rPr>
      </w:pPr>
      <w:r w:rsidRPr="00AD6203">
        <w:rPr>
          <w:rFonts w:ascii="Times New Roman" w:hAnsi="Times New Roman"/>
          <w:noProof/>
          <w:sz w:val="24"/>
          <w:szCs w:val="24"/>
          <w:lang w:val="en-US"/>
        </w:rPr>
        <w:drawing>
          <wp:inline distT="0" distB="0" distL="0" distR="0" wp14:anchorId="193C01F9" wp14:editId="2E246C53">
            <wp:extent cx="4940135" cy="2458192"/>
            <wp:effectExtent l="0" t="0" r="13335" b="18415"/>
            <wp:docPr id="2401283" name="Chart 240128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54EB01D4" w14:textId="24D2152E" w:rsidR="00737B07" w:rsidRPr="00737B07" w:rsidRDefault="00737B07" w:rsidP="004822D7">
      <w:pPr>
        <w:pStyle w:val="BP-Figure"/>
        <w:ind w:left="3420" w:hanging="585"/>
      </w:pPr>
      <w:r w:rsidRPr="00737B07">
        <w:t xml:space="preserve">Динамика на ръста на БВП на глава от населението </w:t>
      </w:r>
    </w:p>
    <w:p w14:paraId="1AA719AA" w14:textId="77777777" w:rsidR="00AD6203" w:rsidRPr="00AD6203" w:rsidRDefault="00AD6203" w:rsidP="00AD6203">
      <w:pPr>
        <w:widowControl w:val="0"/>
        <w:autoSpaceDE w:val="0"/>
        <w:autoSpaceDN w:val="0"/>
        <w:adjustRightInd w:val="0"/>
        <w:spacing w:after="0" w:line="276" w:lineRule="auto"/>
        <w:ind w:left="2880"/>
        <w:jc w:val="left"/>
        <w:rPr>
          <w:rFonts w:ascii="Times New Roman CYR" w:hAnsi="Times New Roman CYR" w:cs="Times New Roman CYR"/>
          <w:i/>
          <w:iCs/>
          <w:sz w:val="24"/>
          <w:szCs w:val="24"/>
          <w:lang w:val="bg-BG"/>
        </w:rPr>
      </w:pPr>
    </w:p>
    <w:p w14:paraId="179053C5" w14:textId="77777777" w:rsidR="00AD6203" w:rsidRPr="003A05A1" w:rsidRDefault="00AD6203" w:rsidP="003A05A1">
      <w:pPr>
        <w:shd w:val="clear" w:color="auto" w:fill="FFFFFF"/>
        <w:spacing w:after="0" w:line="360" w:lineRule="auto"/>
        <w:ind w:firstLine="720"/>
        <w:rPr>
          <w:rFonts w:ascii="Times New Roman" w:hAnsi="Times New Roman"/>
          <w:noProof/>
          <w:sz w:val="22"/>
          <w:lang w:val="bg-BG"/>
        </w:rPr>
      </w:pPr>
      <w:r w:rsidRPr="003A05A1">
        <w:rPr>
          <w:rFonts w:ascii="Times New Roman" w:hAnsi="Times New Roman"/>
          <w:noProof/>
          <w:sz w:val="22"/>
          <w:lang w:val="bg-BG"/>
        </w:rPr>
        <w:t>Изводът, който може да се направи от този кратък анализ на социално-икономическата среда е, че проекта е от важно значение не само за град Бургас, но и за целия  Югоизточен район за планиране  и областта.</w:t>
      </w:r>
    </w:p>
    <w:bookmarkEnd w:id="109"/>
    <w:p w14:paraId="16EA6B36" w14:textId="77777777" w:rsidR="00AD6203" w:rsidRPr="00AD6203" w:rsidRDefault="00AD6203" w:rsidP="00AD6203">
      <w:pPr>
        <w:shd w:val="clear" w:color="auto" w:fill="FFFFFF"/>
        <w:spacing w:after="0" w:line="276" w:lineRule="auto"/>
        <w:ind w:firstLine="540"/>
        <w:rPr>
          <w:rFonts w:ascii="Times New Roman" w:hAnsi="Times New Roman" w:cs="Arial"/>
          <w:sz w:val="22"/>
          <w:szCs w:val="24"/>
          <w:lang w:val="bg-BG"/>
        </w:rPr>
      </w:pPr>
    </w:p>
    <w:p w14:paraId="6AF2B638" w14:textId="77777777" w:rsidR="00AD6203" w:rsidRPr="00AD6203" w:rsidRDefault="00AD6203" w:rsidP="00AD6203">
      <w:pPr>
        <w:pStyle w:val="Heading2"/>
        <w:rPr>
          <w:rFonts w:ascii="Times New Roman" w:hAnsi="Times New Roman"/>
          <w:lang w:val="bg-BG"/>
        </w:rPr>
      </w:pPr>
      <w:bookmarkStart w:id="110" w:name="_Toc95837675"/>
      <w:bookmarkStart w:id="111" w:name="_Toc136961119"/>
      <w:r w:rsidRPr="00AD6203">
        <w:rPr>
          <w:rFonts w:ascii="Times New Roman" w:hAnsi="Times New Roman"/>
          <w:lang w:val="bg-BG"/>
        </w:rPr>
        <w:lastRenderedPageBreak/>
        <w:t>Прогноза за търсенето</w:t>
      </w:r>
      <w:bookmarkEnd w:id="110"/>
      <w:bookmarkEnd w:id="111"/>
    </w:p>
    <w:p w14:paraId="7C456206"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Транспортната политика на ЕС, прилагана и от българското правителство, цели да насърчава екологосъобразността, безопасността и ефективността при пазара на стоки и да гарантира правото на свободен достъп  на гражданите до всички точки на ЕС с предпочитан от тях вид транспорт.</w:t>
      </w:r>
    </w:p>
    <w:p w14:paraId="0CCE7EBD"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В изпълнение на тази политика, Европейската комисия прие Зелената сделка, определяща стратегическа рамка за неутрална по отношение на климата икономика на ЕС до 2050 г. За тази цел, в нея се призовава за 90 % намаляване на емисиите от транспорта до 2050 г. Приоритетните действия на Зелената сделка за преминаване към устойчива и интелигентна мобилност включват засилване на мултимодален транспорт, поддържане и  внедряване на различни решения за автоматизирана мобилност, по-добро справяне с външните разходи на транспортни дейности чрез ценообразуване, увеличаване на производството и устойчиво внедряване на алтернативни горива за транспорта, както и решения за намаляване на замърсяването от транспорта, особено в градовете.</w:t>
      </w:r>
    </w:p>
    <w:p w14:paraId="68E0C431" w14:textId="77777777" w:rsidR="00AD6203" w:rsidRPr="003A05A1" w:rsidRDefault="00AD6203" w:rsidP="003A05A1">
      <w:pPr>
        <w:spacing w:after="0" w:line="360" w:lineRule="auto"/>
        <w:ind w:firstLine="720"/>
        <w:rPr>
          <w:rFonts w:ascii="Times New Roman" w:hAnsi="Times New Roman"/>
          <w:sz w:val="22"/>
          <w:lang w:val="bg-BG"/>
        </w:rPr>
      </w:pPr>
      <w:bookmarkStart w:id="112" w:name="_Hlk95400620"/>
      <w:r w:rsidRPr="003A05A1">
        <w:rPr>
          <w:rFonts w:ascii="Times New Roman" w:hAnsi="Times New Roman"/>
          <w:sz w:val="22"/>
          <w:lang w:val="bg-BG"/>
        </w:rPr>
        <w:t xml:space="preserve">Данните за съществуващото положение в товарните превози показва, че средно за ЕС 75,3% от стоките продължават да се превозват чрез автомобилен транспорт, 18,7% с железопътен транспорт и едва 6% с воден транспорт. </w:t>
      </w:r>
    </w:p>
    <w:bookmarkEnd w:id="112"/>
    <w:p w14:paraId="11D37A19"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Чрез воден транспорт се превозват основно метални руди (25,3%), сурови петролни продукти (15,1%) и химикали (11%). Средно за Европа ръстът на товарните превози чрез морски транспорт е 3% средногодишно и 2,8% за речния транспорт.</w:t>
      </w:r>
    </w:p>
    <w:p w14:paraId="78FFD2F1"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При пътническите превози, модалният сплит е разпределен още по-диференцирано към сухоземния транспорт с общ дял от 82,38%. В сухоземния транспорт, автомобилният заема 82,8% от превозените пътници. Чрез автобуси са превозени 9,4% от пътниците и с железопътен транспорт 7,8% от тях. Въздушният транспорт е превозил 12,5% от пътниците, а водният 5,12%, като този дял се дължи основно на круизните кораби. Средногодишният ръст на пътническите превози с воден транспорт е 2,2%.</w:t>
      </w:r>
    </w:p>
    <w:p w14:paraId="094C5ACB"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Водният транспорт е най-предпочитаният вид транспорт за масови товари на дълги разстояния, по две основателни причини:</w:t>
      </w:r>
    </w:p>
    <w:p w14:paraId="5143DF4F" w14:textId="77777777" w:rsidR="00AD6203" w:rsidRPr="003A05A1" w:rsidRDefault="00AD6203" w:rsidP="0021547C">
      <w:pPr>
        <w:numPr>
          <w:ilvl w:val="0"/>
          <w:numId w:val="80"/>
        </w:numPr>
        <w:spacing w:after="0" w:line="360" w:lineRule="auto"/>
        <w:contextualSpacing/>
        <w:rPr>
          <w:rFonts w:ascii="Times New Roman" w:hAnsi="Times New Roman"/>
          <w:sz w:val="22"/>
          <w:lang w:val="bg-BG"/>
        </w:rPr>
      </w:pPr>
      <w:r w:rsidRPr="003A05A1">
        <w:rPr>
          <w:rFonts w:ascii="Times New Roman" w:hAnsi="Times New Roman"/>
          <w:sz w:val="22"/>
          <w:lang w:val="bg-BG"/>
        </w:rPr>
        <w:t>Най-екологичен;</w:t>
      </w:r>
    </w:p>
    <w:p w14:paraId="33DAB111" w14:textId="7A0A8A28" w:rsidR="00AD6203" w:rsidRPr="003A05A1" w:rsidRDefault="00AD6203" w:rsidP="0021547C">
      <w:pPr>
        <w:numPr>
          <w:ilvl w:val="0"/>
          <w:numId w:val="80"/>
        </w:numPr>
        <w:tabs>
          <w:tab w:val="left" w:pos="3196"/>
        </w:tabs>
        <w:spacing w:after="0" w:line="360" w:lineRule="auto"/>
        <w:contextualSpacing/>
        <w:rPr>
          <w:rFonts w:ascii="Times New Roman" w:hAnsi="Times New Roman"/>
          <w:sz w:val="22"/>
          <w:lang w:val="bg-BG"/>
        </w:rPr>
      </w:pPr>
      <w:r w:rsidRPr="003A05A1">
        <w:rPr>
          <w:rFonts w:ascii="Times New Roman" w:hAnsi="Times New Roman"/>
          <w:sz w:val="22"/>
          <w:lang w:val="bg-BG"/>
        </w:rPr>
        <w:t>Най-ниска себестойност</w:t>
      </w:r>
      <w:r w:rsidRPr="003A05A1">
        <w:rPr>
          <w:rFonts w:ascii="Times New Roman" w:hAnsi="Times New Roman"/>
          <w:sz w:val="22"/>
          <w:vertAlign w:val="superscript"/>
          <w:lang w:val="bg-BG"/>
        </w:rPr>
        <w:footnoteReference w:id="24"/>
      </w:r>
      <w:r w:rsidRPr="003A05A1">
        <w:rPr>
          <w:rFonts w:ascii="Times New Roman" w:hAnsi="Times New Roman"/>
          <w:sz w:val="22"/>
          <w:lang w:val="bg-BG"/>
        </w:rPr>
        <w:t xml:space="preserve"> на единица извършена работа, в </w:t>
      </w:r>
      <w:r w:rsidR="003A05A1">
        <w:rPr>
          <w:rFonts w:ascii="Times New Roman" w:hAnsi="Times New Roman"/>
          <w:sz w:val="22"/>
          <w:lang w:val="bg-BG"/>
        </w:rPr>
        <w:t>случая основно за 1 тон товари.</w:t>
      </w:r>
    </w:p>
    <w:p w14:paraId="67C7AB12" w14:textId="7FE16350" w:rsidR="00AD6203" w:rsidRPr="003A05A1" w:rsidRDefault="00AD6203" w:rsidP="003A05A1">
      <w:pPr>
        <w:spacing w:after="0" w:line="360" w:lineRule="auto"/>
        <w:ind w:firstLine="720"/>
        <w:rPr>
          <w:rFonts w:ascii="Times New Roman" w:hAnsi="Times New Roman"/>
          <w:sz w:val="22"/>
          <w:lang w:val="bg-BG"/>
        </w:rPr>
      </w:pPr>
      <w:bookmarkStart w:id="113" w:name="_Hlk95400641"/>
      <w:r w:rsidRPr="003A05A1">
        <w:rPr>
          <w:rFonts w:ascii="Times New Roman" w:hAnsi="Times New Roman"/>
          <w:sz w:val="22"/>
          <w:lang w:val="bg-BG"/>
        </w:rPr>
        <w:lastRenderedPageBreak/>
        <w:t xml:space="preserve">Официалната статистика отчита извършената работа от водния транспорт в тона и тонкм и пъткм или брой превозени пътници, което съответства на изискванията за съпоставимост на отделните видове транспорт и техния принос в модалния сплит. Това е единна практика, установена от Евростат, според изискванията на Директива 2009/42/ЕО на ЕП и на Съвета от 6 май 2009 г. относно статистическите данни при превоз на товари и пътници по море и Наредба № 919 за събиране на статистическа информация за дейността на пристанищните оператори и собствениците на пристанища и пристанищни съоръжения в Република България. Към тази методология за изходна информация от официални статистически данни са пригодени и препоръчваните методи за използване на редица инструменти за икономическа оценка на проектите, а в конкретния случай АРП. Затова прогнозата е правена за извършена работа, но отчитайки спецификата на пристанищните дейности тя е измервана в тона и съответно в брой кораби по видове пристанища. </w:t>
      </w:r>
    </w:p>
    <w:p w14:paraId="71FABFD5" w14:textId="016328D4" w:rsidR="00AD6203" w:rsidRPr="00AD6203" w:rsidRDefault="00AD6203" w:rsidP="003A05A1">
      <w:pPr>
        <w:spacing w:after="0" w:line="360" w:lineRule="auto"/>
        <w:ind w:firstLine="720"/>
        <w:rPr>
          <w:rFonts w:ascii="Times New Roman" w:hAnsi="Times New Roman"/>
          <w:i/>
          <w:sz w:val="24"/>
          <w:szCs w:val="24"/>
          <w:lang w:val="bg-BG"/>
        </w:rPr>
      </w:pPr>
      <w:r w:rsidRPr="003A05A1">
        <w:rPr>
          <w:rFonts w:ascii="Times New Roman" w:hAnsi="Times New Roman"/>
          <w:sz w:val="22"/>
          <w:lang w:val="bg-BG"/>
        </w:rPr>
        <w:t>В България водният транспорт заема 2,8% от извършената работа в товарните превози и 0,87% от превозените пътници в общия модален сплит. На база данни от НСИ</w:t>
      </w:r>
      <w:r w:rsidRPr="003A05A1">
        <w:rPr>
          <w:rFonts w:ascii="Times New Roman" w:hAnsi="Times New Roman"/>
          <w:sz w:val="22"/>
          <w:vertAlign w:val="superscript"/>
          <w:lang w:val="bg-BG"/>
        </w:rPr>
        <w:footnoteReference w:id="25"/>
      </w:r>
      <w:r w:rsidRPr="003A05A1">
        <w:rPr>
          <w:rFonts w:ascii="Times New Roman" w:hAnsi="Times New Roman"/>
          <w:sz w:val="22"/>
          <w:lang w:val="bg-BG"/>
        </w:rPr>
        <w:t xml:space="preserve"> в последните години има ясно изразен ръст при превоза на товари от морските пристанища в размер на 2,9% средногодишно, без отчитането на резултатите от 2020 г. и 1,38% ръст при отчитане на окончателните резултати от 2021 г</w:t>
      </w:r>
      <w:r w:rsidRPr="003A05A1">
        <w:rPr>
          <w:rFonts w:ascii="Times New Roman" w:hAnsi="Times New Roman"/>
          <w:i/>
          <w:sz w:val="22"/>
          <w:lang w:val="bg-BG"/>
        </w:rPr>
        <w:t>.</w:t>
      </w:r>
      <w:r w:rsidRPr="003A05A1">
        <w:rPr>
          <w:rFonts w:ascii="Times New Roman" w:hAnsi="Times New Roman"/>
          <w:i/>
          <w:sz w:val="22"/>
          <w:lang w:val="en-US"/>
        </w:rPr>
        <w:t xml:space="preserve"> (</w:t>
      </w:r>
      <w:r w:rsidRPr="003A05A1">
        <w:rPr>
          <w:rFonts w:ascii="Times New Roman" w:hAnsi="Times New Roman"/>
          <w:i/>
          <w:sz w:val="22"/>
          <w:lang w:val="bg-BG"/>
        </w:rPr>
        <w:t>последна отчетна година в НСИ</w:t>
      </w:r>
      <w:r w:rsidRPr="003A05A1">
        <w:rPr>
          <w:rFonts w:ascii="Times New Roman" w:hAnsi="Times New Roman"/>
          <w:i/>
          <w:sz w:val="22"/>
          <w:lang w:val="en-US"/>
        </w:rPr>
        <w:t>)</w:t>
      </w:r>
      <w:r w:rsidR="003A05A1">
        <w:rPr>
          <w:rFonts w:ascii="Times New Roman" w:hAnsi="Times New Roman"/>
          <w:i/>
          <w:sz w:val="22"/>
          <w:lang w:val="en-US"/>
        </w:rPr>
        <w:t>.</w:t>
      </w:r>
    </w:p>
    <w:p w14:paraId="3B9E369B" w14:textId="77777777" w:rsidR="00AD6203" w:rsidRPr="00AD6203" w:rsidRDefault="00AD6203" w:rsidP="00AD6203">
      <w:pPr>
        <w:spacing w:after="120" w:line="24" w:lineRule="atLeast"/>
        <w:ind w:firstLine="720"/>
        <w:jc w:val="center"/>
        <w:rPr>
          <w:rFonts w:ascii="Times New Roman" w:hAnsi="Times New Roman"/>
          <w:sz w:val="24"/>
          <w:szCs w:val="24"/>
          <w:lang w:val="bg-BG"/>
        </w:rPr>
      </w:pPr>
      <w:r w:rsidRPr="00AD6203">
        <w:rPr>
          <w:rFonts w:ascii="Times New Roman" w:hAnsi="Times New Roman"/>
          <w:noProof/>
          <w:sz w:val="24"/>
          <w:szCs w:val="24"/>
          <w:lang w:val="en-US"/>
        </w:rPr>
        <w:drawing>
          <wp:inline distT="0" distB="0" distL="0" distR="0" wp14:anchorId="465C6ED7" wp14:editId="6B44A670">
            <wp:extent cx="4572000" cy="2200275"/>
            <wp:effectExtent l="0" t="0" r="0" b="9525"/>
            <wp:docPr id="7226" name="Chart 72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bookmarkEnd w:id="113"/>
    <w:p w14:paraId="46452A8B" w14:textId="2578C1C7" w:rsidR="00737B07" w:rsidRPr="00737B07" w:rsidRDefault="00737B07" w:rsidP="004822D7">
      <w:pPr>
        <w:pStyle w:val="BP-Figure"/>
        <w:ind w:left="3402" w:hanging="567"/>
      </w:pPr>
      <w:r w:rsidRPr="00737B07">
        <w:t xml:space="preserve">Динамика на товарооборота в Българските морски пристанища </w:t>
      </w:r>
    </w:p>
    <w:p w14:paraId="2FA8371C" w14:textId="77777777" w:rsidR="004822D7" w:rsidRDefault="004822D7" w:rsidP="003A05A1">
      <w:pPr>
        <w:spacing w:after="0" w:line="360" w:lineRule="auto"/>
        <w:ind w:firstLine="720"/>
        <w:rPr>
          <w:rFonts w:ascii="Times New Roman" w:hAnsi="Times New Roman"/>
          <w:sz w:val="22"/>
          <w:lang w:val="bg-BG"/>
        </w:rPr>
      </w:pPr>
    </w:p>
    <w:p w14:paraId="1A3C6C37" w14:textId="77777777" w:rsidR="004822D7" w:rsidRDefault="004822D7" w:rsidP="003A05A1">
      <w:pPr>
        <w:spacing w:after="0" w:line="360" w:lineRule="auto"/>
        <w:ind w:firstLine="720"/>
        <w:rPr>
          <w:rFonts w:ascii="Times New Roman" w:hAnsi="Times New Roman"/>
          <w:sz w:val="22"/>
          <w:lang w:val="bg-BG"/>
        </w:rPr>
      </w:pPr>
    </w:p>
    <w:p w14:paraId="3D5A5584" w14:textId="6356F686"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lastRenderedPageBreak/>
        <w:t>Кратък анализ на динамиката на товарооборота в речните пристанища показва, че в 2019</w:t>
      </w:r>
      <w:r w:rsidRPr="003A05A1">
        <w:rPr>
          <w:rFonts w:ascii="Times New Roman" w:hAnsi="Times New Roman"/>
          <w:sz w:val="22"/>
          <w:lang w:val="en-US"/>
        </w:rPr>
        <w:t xml:space="preserve"> </w:t>
      </w:r>
      <w:r w:rsidRPr="003A05A1">
        <w:rPr>
          <w:rFonts w:ascii="Times New Roman" w:hAnsi="Times New Roman"/>
          <w:sz w:val="22"/>
          <w:lang w:val="bg-BG"/>
        </w:rPr>
        <w:t xml:space="preserve">г. се  отчита значителен ръст от 13,84%, който за съжаление през 2020г. бележи спад, вероятно поради кризата </w:t>
      </w:r>
      <w:r w:rsidRPr="003A05A1">
        <w:rPr>
          <w:rFonts w:ascii="Times New Roman" w:hAnsi="Times New Roman"/>
          <w:sz w:val="22"/>
          <w:lang w:val="en-US"/>
        </w:rPr>
        <w:t xml:space="preserve">COVID19 </w:t>
      </w:r>
      <w:r w:rsidRPr="003A05A1">
        <w:rPr>
          <w:rFonts w:ascii="Times New Roman" w:hAnsi="Times New Roman"/>
          <w:sz w:val="22"/>
          <w:lang w:val="bg-BG"/>
        </w:rPr>
        <w:t>и през 2021г. има сравнително д</w:t>
      </w:r>
      <w:r w:rsidR="004822D7">
        <w:rPr>
          <w:rFonts w:ascii="Times New Roman" w:hAnsi="Times New Roman"/>
          <w:sz w:val="22"/>
          <w:lang w:val="bg-BG"/>
        </w:rPr>
        <w:t>объ</w:t>
      </w:r>
      <w:r w:rsidRPr="003A05A1">
        <w:rPr>
          <w:rFonts w:ascii="Times New Roman" w:hAnsi="Times New Roman"/>
          <w:sz w:val="22"/>
          <w:lang w:val="bg-BG"/>
        </w:rPr>
        <w:t xml:space="preserve">р ръст от 2,49%, но все още добрите нива от 2014-2015г. не могат да бъдат достигнати. В българските речни пристанища се обработват около 4 млн. тона товари, като съотношението на  натоварените и разтоварените през години се запазва и динамиката се дължи основно на крайбрежните такива. </w:t>
      </w:r>
    </w:p>
    <w:p w14:paraId="4D8F8377" w14:textId="7107E6A2" w:rsidR="00AD6203" w:rsidRPr="00AD6203" w:rsidRDefault="003A05A1" w:rsidP="003A05A1">
      <w:pPr>
        <w:spacing w:after="0" w:line="360" w:lineRule="auto"/>
        <w:ind w:firstLine="720"/>
        <w:rPr>
          <w:rFonts w:ascii="Times New Roman" w:hAnsi="Times New Roman"/>
          <w:sz w:val="24"/>
          <w:szCs w:val="24"/>
          <w:lang w:val="bg-BG"/>
        </w:rPr>
      </w:pPr>
      <w:r>
        <w:rPr>
          <w:rFonts w:ascii="Times New Roman" w:hAnsi="Times New Roman"/>
          <w:sz w:val="22"/>
          <w:lang w:val="bg-BG"/>
        </w:rPr>
        <w:t>За последните 10 години</w:t>
      </w:r>
      <w:r w:rsidR="00AD6203" w:rsidRPr="003A05A1">
        <w:rPr>
          <w:rFonts w:ascii="Times New Roman" w:hAnsi="Times New Roman"/>
          <w:sz w:val="22"/>
          <w:lang w:val="bg-BG"/>
        </w:rPr>
        <w:t>, по данни на НСИ</w:t>
      </w:r>
      <w:r w:rsidR="00AD6203" w:rsidRPr="003A05A1">
        <w:rPr>
          <w:rFonts w:ascii="Times New Roman" w:hAnsi="Times New Roman"/>
          <w:sz w:val="22"/>
          <w:vertAlign w:val="superscript"/>
          <w:lang w:val="bg-BG"/>
        </w:rPr>
        <w:footnoteReference w:id="26"/>
      </w:r>
      <w:r w:rsidR="00AD6203" w:rsidRPr="003A05A1">
        <w:rPr>
          <w:rFonts w:ascii="Times New Roman" w:hAnsi="Times New Roman"/>
          <w:sz w:val="22"/>
          <w:lang w:val="bg-BG"/>
        </w:rPr>
        <w:t>, в речния товарен транспорт има много слабо изразен ръст от 0,04% средногодишно, без включване на резултатите от 2020 г. и -0,27% с тяхното отчитане. Това дава основание за слабо оптимистична прогноза за развитие, в сравнение с установения средногодишен ръст, който заради големия спад през 2016 г. е леко отрицателен (-0.38%) за периода на анализа.</w:t>
      </w:r>
    </w:p>
    <w:p w14:paraId="1C00D647" w14:textId="77777777" w:rsidR="00AD6203" w:rsidRPr="00AD6203" w:rsidRDefault="00AD6203" w:rsidP="00AD6203">
      <w:pPr>
        <w:spacing w:after="120" w:line="24" w:lineRule="atLeast"/>
        <w:ind w:firstLine="720"/>
        <w:jc w:val="center"/>
        <w:rPr>
          <w:rFonts w:ascii="Times New Roman" w:hAnsi="Times New Roman"/>
          <w:sz w:val="24"/>
          <w:szCs w:val="24"/>
          <w:lang w:val="bg-BG"/>
        </w:rPr>
      </w:pPr>
      <w:r w:rsidRPr="00AD6203">
        <w:rPr>
          <w:rFonts w:ascii="Times New Roman" w:hAnsi="Times New Roman"/>
          <w:noProof/>
          <w:sz w:val="24"/>
          <w:szCs w:val="24"/>
          <w:lang w:val="en-US"/>
        </w:rPr>
        <w:drawing>
          <wp:inline distT="0" distB="0" distL="0" distR="0" wp14:anchorId="36EA7717" wp14:editId="22E1D371">
            <wp:extent cx="4572000" cy="2171700"/>
            <wp:effectExtent l="0" t="0" r="0" b="0"/>
            <wp:docPr id="7227" name="Chart 72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8513AFB" w14:textId="12E72552" w:rsidR="00737B07" w:rsidRPr="00737B07" w:rsidRDefault="00737B07" w:rsidP="004822D7">
      <w:pPr>
        <w:pStyle w:val="BP-Figure"/>
        <w:ind w:left="3420" w:hanging="585"/>
      </w:pPr>
      <w:r w:rsidRPr="00737B07">
        <w:t xml:space="preserve">Динамика на товарооборота в Българските </w:t>
      </w:r>
      <w:r>
        <w:t>речни</w:t>
      </w:r>
      <w:r w:rsidRPr="00737B07">
        <w:t xml:space="preserve"> пристанища </w:t>
      </w:r>
    </w:p>
    <w:p w14:paraId="32A555C0" w14:textId="77777777" w:rsidR="00AD6203" w:rsidRPr="00AD6203" w:rsidRDefault="00AD6203" w:rsidP="00AD6203">
      <w:pPr>
        <w:spacing w:after="120" w:line="24" w:lineRule="atLeast"/>
        <w:ind w:firstLine="720"/>
        <w:rPr>
          <w:rFonts w:ascii="Times New Roman" w:hAnsi="Times New Roman"/>
          <w:sz w:val="24"/>
          <w:szCs w:val="24"/>
          <w:lang w:val="bg-BG"/>
        </w:rPr>
      </w:pPr>
    </w:p>
    <w:p w14:paraId="0BD7791A"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При превоза на пътници с воден транспорт</w:t>
      </w:r>
      <w:r w:rsidRPr="003A05A1">
        <w:rPr>
          <w:rFonts w:ascii="Times New Roman" w:hAnsi="Times New Roman"/>
          <w:sz w:val="22"/>
          <w:vertAlign w:val="superscript"/>
          <w:lang w:val="bg-BG"/>
        </w:rPr>
        <w:footnoteReference w:id="27"/>
      </w:r>
      <w:r w:rsidRPr="003A05A1">
        <w:rPr>
          <w:rFonts w:ascii="Times New Roman" w:hAnsi="Times New Roman"/>
          <w:sz w:val="22"/>
          <w:lang w:val="bg-BG"/>
        </w:rPr>
        <w:t xml:space="preserve"> резултатите от последните години показват значителен ръст, като тенденция, но сривът през 2020 г. (-20,66%), намалява средногодишния ръст до 2,51%.</w:t>
      </w:r>
    </w:p>
    <w:p w14:paraId="644D7F75" w14:textId="77777777" w:rsidR="00AD6203" w:rsidRPr="00AD6203" w:rsidRDefault="00AD6203" w:rsidP="00AD6203">
      <w:pPr>
        <w:suppressAutoHyphens/>
        <w:spacing w:before="120" w:after="120" w:line="240" w:lineRule="auto"/>
        <w:ind w:firstLine="720"/>
        <w:jc w:val="center"/>
        <w:rPr>
          <w:rFonts w:ascii="Times New Roman" w:hAnsi="Times New Roman"/>
          <w:sz w:val="24"/>
          <w:szCs w:val="24"/>
          <w:lang w:val="bg-BG"/>
        </w:rPr>
      </w:pPr>
      <w:r w:rsidRPr="00AD6203">
        <w:rPr>
          <w:rFonts w:ascii="Times New Roman" w:hAnsi="Times New Roman"/>
          <w:noProof/>
          <w:sz w:val="24"/>
          <w:szCs w:val="24"/>
          <w:lang w:val="en-US"/>
        </w:rPr>
        <w:lastRenderedPageBreak/>
        <w:drawing>
          <wp:inline distT="0" distB="0" distL="0" distR="0" wp14:anchorId="5A62F00B" wp14:editId="209FC711">
            <wp:extent cx="5200650" cy="2387600"/>
            <wp:effectExtent l="0" t="0" r="0" b="12700"/>
            <wp:docPr id="7228" name="Chart 7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0977C7A" w14:textId="7CAF9EE2" w:rsidR="00737B07" w:rsidRPr="00737B07" w:rsidRDefault="00737B07" w:rsidP="004822D7">
      <w:pPr>
        <w:pStyle w:val="BP-Figure"/>
        <w:ind w:left="2340" w:hanging="497"/>
      </w:pPr>
      <w:bookmarkStart w:id="114" w:name="_Hlk95400661"/>
      <w:r w:rsidRPr="00737B07">
        <w:t xml:space="preserve">Динамика на извършената работа за пътнически превози в Българските пристанища </w:t>
      </w:r>
    </w:p>
    <w:p w14:paraId="347E6246" w14:textId="77777777" w:rsidR="00AD6203" w:rsidRPr="00AD6203" w:rsidRDefault="00AD6203" w:rsidP="00AD6203">
      <w:pPr>
        <w:spacing w:after="120" w:line="24" w:lineRule="atLeast"/>
        <w:ind w:firstLine="720"/>
        <w:rPr>
          <w:rFonts w:ascii="Times New Roman" w:hAnsi="Times New Roman"/>
          <w:sz w:val="24"/>
          <w:szCs w:val="24"/>
          <w:lang w:val="bg-BG"/>
        </w:rPr>
      </w:pPr>
    </w:p>
    <w:p w14:paraId="6F8CEA13"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Изводите за пазара на транспортни услуги от речен транспорт са, че товарните превози се развиват с по-бавни темпове от средното за Европейски съюз, а пътническите превози изпреварват този тренд, което се дължи на експанзията в речните круизи и чисто географското разположение на страната ни. И в двата вида превози има основание за оптимистични прогнози по отношение на търсенето на предлаганите услуги, като за речните товарни превози тази прогноза е запазена по-умерена , в сравнение с пътническите.</w:t>
      </w:r>
    </w:p>
    <w:p w14:paraId="0BFCC228" w14:textId="48B0C316"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Прогнозата за търсенето е направена на ниво собственик на инфраструктурата, в случая ДППИ, съгласно изискванията на Делегиран Регламент (ЕС) № 480/2014 на Комисията от 3 март 2014 г. и Указания за изготвяне на АРП на инвестиционни проекти, където в раздел 2.7.2. Методология за изготвяне на Финансовия анализ, изрично е казано, че той се изготвя от гледна точка на собственика на инфраструктурата, а не само за конкретния проект. На това основание, в прогнозата на търсенето са включени всички пристанища, като са използвани статистически данни за тях и информация, предоставена от ДППИ по отделни такива. В сценария „С проект“ са направени допускания само за ръст на базовата прогноза, в резултат от подобрените условия в </w:t>
      </w:r>
      <w:r w:rsidR="004822D7" w:rsidRPr="003A05A1">
        <w:rPr>
          <w:rFonts w:ascii="Times New Roman" w:hAnsi="Times New Roman"/>
          <w:sz w:val="22"/>
          <w:lang w:val="bg-BG"/>
        </w:rPr>
        <w:t>пристанище</w:t>
      </w:r>
      <w:r w:rsidRPr="003A05A1">
        <w:rPr>
          <w:rFonts w:ascii="Times New Roman" w:hAnsi="Times New Roman"/>
          <w:sz w:val="22"/>
          <w:lang w:val="en-US"/>
        </w:rPr>
        <w:t xml:space="preserve"> </w:t>
      </w:r>
      <w:r w:rsidRPr="003A05A1">
        <w:rPr>
          <w:rFonts w:ascii="Times New Roman" w:hAnsi="Times New Roman"/>
          <w:sz w:val="22"/>
          <w:lang w:val="bg-BG"/>
        </w:rPr>
        <w:t xml:space="preserve">Бургас, след реализацията  на проекта. </w:t>
      </w:r>
    </w:p>
    <w:bookmarkEnd w:id="114"/>
    <w:p w14:paraId="7AB137B1"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За нуждите на дългосрочните прогнози е анализиран приноса на обработените товари по пристанища, на база данни, предоставени от ДППИ. Прогнозата е направена за 25 годишен период, препоръчван за този сектор от транспорта.</w:t>
      </w:r>
    </w:p>
    <w:p w14:paraId="17706924" w14:textId="77777777" w:rsidR="00D86E60" w:rsidRDefault="00D86E60" w:rsidP="00AD6203">
      <w:pPr>
        <w:spacing w:after="120" w:line="24" w:lineRule="atLeast"/>
        <w:ind w:firstLine="720"/>
        <w:rPr>
          <w:rFonts w:ascii="Times New Roman" w:hAnsi="Times New Roman"/>
          <w:sz w:val="24"/>
          <w:szCs w:val="24"/>
          <w:lang w:val="bg-BG"/>
        </w:rPr>
      </w:pPr>
    </w:p>
    <w:p w14:paraId="6185F2DF" w14:textId="77777777" w:rsidR="003A05A1" w:rsidRDefault="003A05A1" w:rsidP="00AD6203">
      <w:pPr>
        <w:spacing w:after="120" w:line="24" w:lineRule="atLeast"/>
        <w:ind w:firstLine="720"/>
        <w:rPr>
          <w:rFonts w:ascii="Times New Roman" w:hAnsi="Times New Roman"/>
          <w:sz w:val="24"/>
          <w:szCs w:val="24"/>
          <w:lang w:val="bg-BG"/>
        </w:rPr>
      </w:pPr>
    </w:p>
    <w:p w14:paraId="7BB28638" w14:textId="59D086D9" w:rsidR="00AD6203" w:rsidRPr="00AD6203" w:rsidRDefault="00D86E60" w:rsidP="004822D7">
      <w:pPr>
        <w:spacing w:after="120" w:line="24" w:lineRule="atLeast"/>
        <w:ind w:firstLine="720"/>
        <w:jc w:val="center"/>
        <w:rPr>
          <w:rFonts w:ascii="Times New Roman" w:eastAsia="Times New Roman" w:hAnsi="Times New Roman"/>
          <w:sz w:val="24"/>
          <w:szCs w:val="24"/>
          <w:lang w:val="bg-BG"/>
        </w:rPr>
      </w:pPr>
      <w:r w:rsidRPr="00805152">
        <w:rPr>
          <w:rFonts w:ascii="Times New Roman" w:eastAsia="Times New Roman" w:hAnsi="Times New Roman"/>
          <w:i/>
          <w:iCs/>
          <w:sz w:val="22"/>
          <w:lang w:val="bg-BG"/>
        </w:rPr>
        <w:lastRenderedPageBreak/>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14</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00AD6203" w:rsidRPr="00D86E60">
        <w:rPr>
          <w:rFonts w:ascii="Times New Roman" w:hAnsi="Times New Roman" w:cs="Arial"/>
          <w:i/>
          <w:color w:val="000000"/>
          <w:sz w:val="22"/>
          <w:lang w:val="bg-BG"/>
        </w:rPr>
        <w:t>Извършена  обработка на товари по пристанища</w:t>
      </w:r>
    </w:p>
    <w:tbl>
      <w:tblPr>
        <w:tblW w:w="5000" w:type="pct"/>
        <w:jc w:val="center"/>
        <w:tblLayout w:type="fixed"/>
        <w:tblLook w:val="04A0" w:firstRow="1" w:lastRow="0" w:firstColumn="1" w:lastColumn="0" w:noHBand="0" w:noVBand="1"/>
      </w:tblPr>
      <w:tblGrid>
        <w:gridCol w:w="4718"/>
        <w:gridCol w:w="1373"/>
        <w:gridCol w:w="1307"/>
        <w:gridCol w:w="1189"/>
        <w:gridCol w:w="1178"/>
      </w:tblGrid>
      <w:tr w:rsidR="00AD6203" w:rsidRPr="00AD6203" w14:paraId="2B80FB8C" w14:textId="77777777" w:rsidTr="00AD6203">
        <w:trPr>
          <w:trHeight w:val="288"/>
          <w:jc w:val="center"/>
        </w:trPr>
        <w:tc>
          <w:tcPr>
            <w:tcW w:w="2416" w:type="pct"/>
            <w:vMerge w:val="restart"/>
            <w:tcBorders>
              <w:top w:val="single" w:sz="8" w:space="0" w:color="auto"/>
              <w:left w:val="single" w:sz="8" w:space="0" w:color="auto"/>
              <w:bottom w:val="single" w:sz="4" w:space="0" w:color="000000"/>
              <w:right w:val="single" w:sz="4" w:space="0" w:color="auto"/>
            </w:tcBorders>
            <w:shd w:val="clear" w:color="auto" w:fill="C5E0B3"/>
            <w:noWrap/>
            <w:vAlign w:val="center"/>
            <w:hideMark/>
          </w:tcPr>
          <w:p w14:paraId="0AD41B8B"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Показатели за извършена работа</w:t>
            </w:r>
          </w:p>
        </w:tc>
        <w:tc>
          <w:tcPr>
            <w:tcW w:w="2584" w:type="pct"/>
            <w:gridSpan w:val="4"/>
            <w:tcBorders>
              <w:top w:val="single" w:sz="8" w:space="0" w:color="auto"/>
              <w:left w:val="nil"/>
              <w:bottom w:val="single" w:sz="4" w:space="0" w:color="auto"/>
              <w:right w:val="single" w:sz="4" w:space="0" w:color="auto"/>
            </w:tcBorders>
            <w:shd w:val="clear" w:color="auto" w:fill="C5E0B3"/>
            <w:noWrap/>
            <w:vAlign w:val="center"/>
            <w:hideMark/>
          </w:tcPr>
          <w:p w14:paraId="06314717" w14:textId="77777777" w:rsidR="00AD6203" w:rsidRPr="00AD6203" w:rsidRDefault="00AD6203" w:rsidP="00AD6203">
            <w:pPr>
              <w:spacing w:before="60" w:after="60" w:line="24" w:lineRule="atLeast"/>
              <w:jc w:val="center"/>
              <w:rPr>
                <w:rFonts w:ascii="Times New Roman" w:hAnsi="Times New Roman"/>
                <w:b/>
                <w:color w:val="000000"/>
                <w:sz w:val="22"/>
                <w:szCs w:val="24"/>
                <w:lang w:val="bg-BG"/>
              </w:rPr>
            </w:pPr>
            <w:r w:rsidRPr="00AD6203">
              <w:rPr>
                <w:rFonts w:ascii="Times New Roman" w:hAnsi="Times New Roman"/>
                <w:b/>
                <w:color w:val="000000"/>
                <w:sz w:val="22"/>
                <w:szCs w:val="24"/>
                <w:lang w:val="bg-BG"/>
              </w:rPr>
              <w:t>2018</w:t>
            </w:r>
            <w:r w:rsidRPr="00AD6203">
              <w:rPr>
                <w:rFonts w:ascii="Times New Roman" w:hAnsi="Times New Roman"/>
                <w:b/>
                <w:color w:val="000000"/>
                <w:sz w:val="22"/>
                <w:szCs w:val="24"/>
                <w:lang w:val="en-US"/>
              </w:rPr>
              <w:t xml:space="preserve"> </w:t>
            </w:r>
            <w:r w:rsidRPr="00AD6203">
              <w:rPr>
                <w:rFonts w:ascii="Times New Roman" w:hAnsi="Times New Roman"/>
                <w:b/>
                <w:color w:val="000000"/>
                <w:sz w:val="22"/>
                <w:szCs w:val="24"/>
                <w:lang w:val="bg-BG"/>
              </w:rPr>
              <w:t>г.</w:t>
            </w:r>
          </w:p>
        </w:tc>
      </w:tr>
      <w:tr w:rsidR="00AD6203" w:rsidRPr="00AD6203" w14:paraId="4A57F322" w14:textId="77777777" w:rsidTr="00AD6203">
        <w:trPr>
          <w:trHeight w:val="288"/>
          <w:jc w:val="center"/>
        </w:trPr>
        <w:tc>
          <w:tcPr>
            <w:tcW w:w="2416" w:type="pct"/>
            <w:vMerge/>
            <w:tcBorders>
              <w:top w:val="single" w:sz="8" w:space="0" w:color="auto"/>
              <w:left w:val="single" w:sz="8" w:space="0" w:color="auto"/>
              <w:bottom w:val="single" w:sz="4" w:space="0" w:color="000000"/>
              <w:right w:val="single" w:sz="4" w:space="0" w:color="auto"/>
            </w:tcBorders>
            <w:shd w:val="clear" w:color="auto" w:fill="C5E0B3"/>
            <w:vAlign w:val="center"/>
            <w:hideMark/>
          </w:tcPr>
          <w:p w14:paraId="0E3EFA8F"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p>
        </w:tc>
        <w:tc>
          <w:tcPr>
            <w:tcW w:w="703" w:type="pct"/>
            <w:tcBorders>
              <w:top w:val="nil"/>
              <w:left w:val="nil"/>
              <w:bottom w:val="single" w:sz="4" w:space="0" w:color="auto"/>
              <w:right w:val="single" w:sz="4" w:space="0" w:color="auto"/>
            </w:tcBorders>
            <w:shd w:val="clear" w:color="auto" w:fill="C5E0B3"/>
            <w:noWrap/>
            <w:vAlign w:val="center"/>
            <w:hideMark/>
          </w:tcPr>
          <w:p w14:paraId="211F0B7B"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Варна</w:t>
            </w:r>
          </w:p>
        </w:tc>
        <w:tc>
          <w:tcPr>
            <w:tcW w:w="669" w:type="pct"/>
            <w:tcBorders>
              <w:top w:val="nil"/>
              <w:left w:val="nil"/>
              <w:bottom w:val="single" w:sz="4" w:space="0" w:color="auto"/>
              <w:right w:val="single" w:sz="4" w:space="0" w:color="auto"/>
            </w:tcBorders>
            <w:shd w:val="clear" w:color="auto" w:fill="C5E0B3"/>
            <w:noWrap/>
            <w:vAlign w:val="center"/>
            <w:hideMark/>
          </w:tcPr>
          <w:p w14:paraId="3F0824C2"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Бургас</w:t>
            </w:r>
          </w:p>
        </w:tc>
        <w:tc>
          <w:tcPr>
            <w:tcW w:w="609" w:type="pct"/>
            <w:tcBorders>
              <w:top w:val="nil"/>
              <w:left w:val="nil"/>
              <w:bottom w:val="single" w:sz="4" w:space="0" w:color="auto"/>
              <w:right w:val="single" w:sz="4" w:space="0" w:color="auto"/>
            </w:tcBorders>
            <w:shd w:val="clear" w:color="auto" w:fill="C5E0B3"/>
            <w:noWrap/>
            <w:vAlign w:val="center"/>
            <w:hideMark/>
          </w:tcPr>
          <w:p w14:paraId="3676ED5C"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Русе</w:t>
            </w:r>
          </w:p>
        </w:tc>
        <w:tc>
          <w:tcPr>
            <w:tcW w:w="603" w:type="pct"/>
            <w:tcBorders>
              <w:top w:val="nil"/>
              <w:left w:val="nil"/>
              <w:bottom w:val="single" w:sz="4" w:space="0" w:color="auto"/>
              <w:right w:val="single" w:sz="4" w:space="0" w:color="auto"/>
            </w:tcBorders>
            <w:shd w:val="clear" w:color="auto" w:fill="C5E0B3"/>
            <w:noWrap/>
            <w:vAlign w:val="center"/>
            <w:hideMark/>
          </w:tcPr>
          <w:p w14:paraId="0B7CB5D2"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Лом</w:t>
            </w:r>
          </w:p>
        </w:tc>
      </w:tr>
      <w:tr w:rsidR="00AD6203" w:rsidRPr="00AD6203" w14:paraId="6E803483" w14:textId="77777777" w:rsidTr="00AD6203">
        <w:trPr>
          <w:trHeight w:val="288"/>
          <w:jc w:val="center"/>
        </w:trPr>
        <w:tc>
          <w:tcPr>
            <w:tcW w:w="2416" w:type="pct"/>
            <w:tcBorders>
              <w:top w:val="nil"/>
              <w:left w:val="single" w:sz="8" w:space="0" w:color="auto"/>
              <w:bottom w:val="single" w:sz="4" w:space="0" w:color="auto"/>
              <w:right w:val="single" w:sz="4" w:space="0" w:color="auto"/>
            </w:tcBorders>
            <w:shd w:val="clear" w:color="auto" w:fill="auto"/>
            <w:noWrap/>
            <w:vAlign w:val="center"/>
            <w:hideMark/>
          </w:tcPr>
          <w:p w14:paraId="2B1741E2"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Извършена работа в тона</w:t>
            </w:r>
          </w:p>
        </w:tc>
        <w:tc>
          <w:tcPr>
            <w:tcW w:w="703" w:type="pct"/>
            <w:tcBorders>
              <w:top w:val="nil"/>
              <w:left w:val="nil"/>
              <w:bottom w:val="single" w:sz="4" w:space="0" w:color="auto"/>
              <w:right w:val="single" w:sz="4" w:space="0" w:color="auto"/>
            </w:tcBorders>
            <w:shd w:val="clear" w:color="auto" w:fill="auto"/>
            <w:noWrap/>
            <w:vAlign w:val="center"/>
            <w:hideMark/>
          </w:tcPr>
          <w:p w14:paraId="36474F79" w14:textId="77777777" w:rsidR="00AD6203" w:rsidRPr="00AD6203" w:rsidRDefault="00AD6203" w:rsidP="00AD6203">
            <w:pPr>
              <w:spacing w:before="60" w:after="60" w:line="24" w:lineRule="atLeast"/>
              <w:ind w:hanging="10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17 105 814</w:t>
            </w:r>
          </w:p>
        </w:tc>
        <w:tc>
          <w:tcPr>
            <w:tcW w:w="669" w:type="pct"/>
            <w:tcBorders>
              <w:top w:val="nil"/>
              <w:left w:val="nil"/>
              <w:bottom w:val="single" w:sz="4" w:space="0" w:color="auto"/>
              <w:right w:val="single" w:sz="4" w:space="0" w:color="auto"/>
            </w:tcBorders>
            <w:shd w:val="clear" w:color="auto" w:fill="auto"/>
            <w:noWrap/>
            <w:vAlign w:val="center"/>
            <w:hideMark/>
          </w:tcPr>
          <w:p w14:paraId="68C09CA9" w14:textId="77777777" w:rsidR="00AD6203" w:rsidRPr="00AD6203" w:rsidRDefault="00AD6203" w:rsidP="00AD6203">
            <w:pPr>
              <w:spacing w:before="60" w:after="60" w:line="24" w:lineRule="atLeast"/>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9 731 815</w:t>
            </w:r>
          </w:p>
        </w:tc>
        <w:tc>
          <w:tcPr>
            <w:tcW w:w="60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46F914" w14:textId="77777777" w:rsidR="00AD6203" w:rsidRPr="00AD6203" w:rsidRDefault="00AD6203" w:rsidP="00AD6203">
            <w:pPr>
              <w:spacing w:before="60" w:after="60" w:line="24" w:lineRule="atLeast"/>
              <w:ind w:hanging="183"/>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1 146 977</w:t>
            </w:r>
          </w:p>
        </w:tc>
        <w:tc>
          <w:tcPr>
            <w:tcW w:w="603" w:type="pct"/>
            <w:tcBorders>
              <w:top w:val="single" w:sz="4" w:space="0" w:color="auto"/>
              <w:left w:val="nil"/>
              <w:bottom w:val="single" w:sz="4" w:space="0" w:color="auto"/>
              <w:right w:val="single" w:sz="4" w:space="0" w:color="auto"/>
            </w:tcBorders>
            <w:shd w:val="clear" w:color="auto" w:fill="auto"/>
            <w:noWrap/>
            <w:vAlign w:val="bottom"/>
            <w:hideMark/>
          </w:tcPr>
          <w:p w14:paraId="7DCE4D80" w14:textId="77777777" w:rsidR="00AD6203" w:rsidRPr="00AD6203" w:rsidRDefault="00AD6203" w:rsidP="00AD6203">
            <w:pPr>
              <w:spacing w:before="60" w:after="60" w:line="24" w:lineRule="atLeast"/>
              <w:ind w:left="-111"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732 114</w:t>
            </w:r>
          </w:p>
        </w:tc>
      </w:tr>
      <w:tr w:rsidR="00AD6203" w:rsidRPr="00AD6203" w14:paraId="78D958C9" w14:textId="77777777" w:rsidTr="00AD6203">
        <w:trPr>
          <w:trHeight w:val="300"/>
          <w:jc w:val="center"/>
        </w:trPr>
        <w:tc>
          <w:tcPr>
            <w:tcW w:w="2416" w:type="pct"/>
            <w:tcBorders>
              <w:top w:val="nil"/>
              <w:left w:val="single" w:sz="8" w:space="0" w:color="auto"/>
              <w:bottom w:val="single" w:sz="8" w:space="0" w:color="auto"/>
              <w:right w:val="single" w:sz="4" w:space="0" w:color="auto"/>
            </w:tcBorders>
            <w:shd w:val="clear" w:color="auto" w:fill="auto"/>
            <w:noWrap/>
            <w:vAlign w:val="center"/>
            <w:hideMark/>
          </w:tcPr>
          <w:p w14:paraId="476B8019"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Брой корабни посещения - товарни кораби</w:t>
            </w:r>
          </w:p>
        </w:tc>
        <w:tc>
          <w:tcPr>
            <w:tcW w:w="703" w:type="pct"/>
            <w:tcBorders>
              <w:top w:val="nil"/>
              <w:left w:val="nil"/>
              <w:bottom w:val="single" w:sz="8" w:space="0" w:color="auto"/>
              <w:right w:val="single" w:sz="4" w:space="0" w:color="auto"/>
            </w:tcBorders>
            <w:shd w:val="clear" w:color="auto" w:fill="auto"/>
            <w:noWrap/>
            <w:vAlign w:val="center"/>
            <w:hideMark/>
          </w:tcPr>
          <w:p w14:paraId="021E1853"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1 815</w:t>
            </w:r>
          </w:p>
        </w:tc>
        <w:tc>
          <w:tcPr>
            <w:tcW w:w="669" w:type="pct"/>
            <w:tcBorders>
              <w:top w:val="nil"/>
              <w:left w:val="nil"/>
              <w:bottom w:val="single" w:sz="8" w:space="0" w:color="auto"/>
              <w:right w:val="single" w:sz="4" w:space="0" w:color="auto"/>
            </w:tcBorders>
            <w:shd w:val="clear" w:color="auto" w:fill="auto"/>
            <w:noWrap/>
            <w:vAlign w:val="center"/>
            <w:hideMark/>
          </w:tcPr>
          <w:p w14:paraId="5797E871"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1 602</w:t>
            </w:r>
          </w:p>
        </w:tc>
        <w:tc>
          <w:tcPr>
            <w:tcW w:w="609" w:type="pct"/>
            <w:tcBorders>
              <w:top w:val="nil"/>
              <w:left w:val="nil"/>
              <w:bottom w:val="single" w:sz="8" w:space="0" w:color="auto"/>
              <w:right w:val="single" w:sz="4" w:space="0" w:color="auto"/>
            </w:tcBorders>
            <w:shd w:val="clear" w:color="auto" w:fill="auto"/>
            <w:noWrap/>
            <w:vAlign w:val="center"/>
            <w:hideMark/>
          </w:tcPr>
          <w:p w14:paraId="79BD0B0B"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1 234</w:t>
            </w:r>
          </w:p>
        </w:tc>
        <w:tc>
          <w:tcPr>
            <w:tcW w:w="603" w:type="pct"/>
            <w:tcBorders>
              <w:top w:val="nil"/>
              <w:left w:val="nil"/>
              <w:bottom w:val="single" w:sz="8" w:space="0" w:color="auto"/>
              <w:right w:val="single" w:sz="4" w:space="0" w:color="auto"/>
            </w:tcBorders>
            <w:shd w:val="clear" w:color="auto" w:fill="auto"/>
            <w:noWrap/>
            <w:vAlign w:val="center"/>
            <w:hideMark/>
          </w:tcPr>
          <w:p w14:paraId="645DAD97" w14:textId="77777777" w:rsidR="00AD6203" w:rsidRPr="00AD6203" w:rsidRDefault="00AD6203" w:rsidP="00AD6203">
            <w:pPr>
              <w:spacing w:before="60" w:after="60" w:line="24" w:lineRule="atLeast"/>
              <w:ind w:left="-111"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1 383</w:t>
            </w:r>
          </w:p>
        </w:tc>
      </w:tr>
      <w:tr w:rsidR="00AD6203" w:rsidRPr="00AD6203" w14:paraId="2FCFFB9C" w14:textId="77777777" w:rsidTr="00AD6203">
        <w:trPr>
          <w:trHeight w:val="288"/>
          <w:jc w:val="center"/>
        </w:trPr>
        <w:tc>
          <w:tcPr>
            <w:tcW w:w="2416" w:type="pct"/>
            <w:vMerge w:val="restart"/>
            <w:tcBorders>
              <w:top w:val="single" w:sz="8" w:space="0" w:color="auto"/>
              <w:left w:val="single" w:sz="8" w:space="0" w:color="auto"/>
              <w:bottom w:val="single" w:sz="4" w:space="0" w:color="000000"/>
              <w:right w:val="single" w:sz="4" w:space="0" w:color="auto"/>
            </w:tcBorders>
            <w:shd w:val="clear" w:color="auto" w:fill="C5E0B3"/>
            <w:noWrap/>
            <w:vAlign w:val="center"/>
            <w:hideMark/>
          </w:tcPr>
          <w:p w14:paraId="45301C8B"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Показатели за извършена работа</w:t>
            </w:r>
          </w:p>
        </w:tc>
        <w:tc>
          <w:tcPr>
            <w:tcW w:w="2584" w:type="pct"/>
            <w:gridSpan w:val="4"/>
            <w:tcBorders>
              <w:top w:val="single" w:sz="8" w:space="0" w:color="auto"/>
              <w:left w:val="nil"/>
              <w:bottom w:val="single" w:sz="4" w:space="0" w:color="auto"/>
              <w:right w:val="single" w:sz="4" w:space="0" w:color="auto"/>
            </w:tcBorders>
            <w:shd w:val="clear" w:color="auto" w:fill="C5E0B3"/>
            <w:noWrap/>
            <w:vAlign w:val="center"/>
            <w:hideMark/>
          </w:tcPr>
          <w:p w14:paraId="61C3CE58" w14:textId="77777777" w:rsidR="00AD6203" w:rsidRPr="00AD6203" w:rsidRDefault="00AD6203" w:rsidP="00AD6203">
            <w:pPr>
              <w:spacing w:before="60" w:after="60" w:line="24" w:lineRule="atLeast"/>
              <w:ind w:firstLine="49"/>
              <w:jc w:val="center"/>
              <w:rPr>
                <w:rFonts w:ascii="Times New Roman" w:hAnsi="Times New Roman"/>
                <w:b/>
                <w:color w:val="000000"/>
                <w:sz w:val="22"/>
                <w:szCs w:val="24"/>
                <w:lang w:val="bg-BG"/>
              </w:rPr>
            </w:pPr>
            <w:r w:rsidRPr="00AD6203">
              <w:rPr>
                <w:rFonts w:ascii="Times New Roman" w:hAnsi="Times New Roman"/>
                <w:b/>
                <w:color w:val="000000"/>
                <w:sz w:val="22"/>
                <w:szCs w:val="24"/>
                <w:lang w:val="bg-BG"/>
              </w:rPr>
              <w:t>2019</w:t>
            </w:r>
            <w:r w:rsidRPr="00AD6203">
              <w:rPr>
                <w:rFonts w:ascii="Times New Roman" w:hAnsi="Times New Roman"/>
                <w:b/>
                <w:color w:val="000000"/>
                <w:sz w:val="22"/>
                <w:szCs w:val="24"/>
                <w:lang w:val="en-US"/>
              </w:rPr>
              <w:t xml:space="preserve"> </w:t>
            </w:r>
            <w:r w:rsidRPr="00AD6203">
              <w:rPr>
                <w:rFonts w:ascii="Times New Roman" w:hAnsi="Times New Roman"/>
                <w:b/>
                <w:color w:val="000000"/>
                <w:sz w:val="22"/>
                <w:szCs w:val="24"/>
                <w:lang w:val="bg-BG"/>
              </w:rPr>
              <w:t>г.</w:t>
            </w:r>
          </w:p>
        </w:tc>
      </w:tr>
      <w:tr w:rsidR="00AD6203" w:rsidRPr="00AD6203" w14:paraId="56958CC3" w14:textId="77777777" w:rsidTr="00AD6203">
        <w:trPr>
          <w:trHeight w:val="288"/>
          <w:jc w:val="center"/>
        </w:trPr>
        <w:tc>
          <w:tcPr>
            <w:tcW w:w="2416" w:type="pct"/>
            <w:vMerge/>
            <w:tcBorders>
              <w:top w:val="single" w:sz="8" w:space="0" w:color="auto"/>
              <w:left w:val="single" w:sz="8" w:space="0" w:color="auto"/>
              <w:bottom w:val="single" w:sz="4" w:space="0" w:color="000000"/>
              <w:right w:val="single" w:sz="4" w:space="0" w:color="auto"/>
            </w:tcBorders>
            <w:shd w:val="clear" w:color="auto" w:fill="C5E0B3"/>
            <w:vAlign w:val="center"/>
            <w:hideMark/>
          </w:tcPr>
          <w:p w14:paraId="58F449E4"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p>
        </w:tc>
        <w:tc>
          <w:tcPr>
            <w:tcW w:w="703" w:type="pct"/>
            <w:tcBorders>
              <w:top w:val="nil"/>
              <w:left w:val="nil"/>
              <w:bottom w:val="single" w:sz="4" w:space="0" w:color="auto"/>
              <w:right w:val="single" w:sz="4" w:space="0" w:color="auto"/>
            </w:tcBorders>
            <w:shd w:val="clear" w:color="auto" w:fill="C5E0B3"/>
            <w:noWrap/>
            <w:vAlign w:val="center"/>
            <w:hideMark/>
          </w:tcPr>
          <w:p w14:paraId="2EC38ED7"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Варна</w:t>
            </w:r>
          </w:p>
        </w:tc>
        <w:tc>
          <w:tcPr>
            <w:tcW w:w="669" w:type="pct"/>
            <w:tcBorders>
              <w:top w:val="nil"/>
              <w:left w:val="nil"/>
              <w:bottom w:val="single" w:sz="4" w:space="0" w:color="auto"/>
              <w:right w:val="single" w:sz="4" w:space="0" w:color="auto"/>
            </w:tcBorders>
            <w:shd w:val="clear" w:color="auto" w:fill="C5E0B3"/>
            <w:noWrap/>
            <w:vAlign w:val="center"/>
            <w:hideMark/>
          </w:tcPr>
          <w:p w14:paraId="1F4B8DDF"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Бургас</w:t>
            </w:r>
          </w:p>
        </w:tc>
        <w:tc>
          <w:tcPr>
            <w:tcW w:w="609" w:type="pct"/>
            <w:tcBorders>
              <w:top w:val="nil"/>
              <w:left w:val="nil"/>
              <w:bottom w:val="single" w:sz="4" w:space="0" w:color="auto"/>
              <w:right w:val="single" w:sz="4" w:space="0" w:color="auto"/>
            </w:tcBorders>
            <w:shd w:val="clear" w:color="auto" w:fill="C5E0B3"/>
            <w:noWrap/>
            <w:vAlign w:val="center"/>
            <w:hideMark/>
          </w:tcPr>
          <w:p w14:paraId="308E6D98"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Русе</w:t>
            </w:r>
          </w:p>
        </w:tc>
        <w:tc>
          <w:tcPr>
            <w:tcW w:w="603" w:type="pct"/>
            <w:tcBorders>
              <w:top w:val="nil"/>
              <w:left w:val="nil"/>
              <w:bottom w:val="single" w:sz="4" w:space="0" w:color="auto"/>
              <w:right w:val="single" w:sz="4" w:space="0" w:color="auto"/>
            </w:tcBorders>
            <w:shd w:val="clear" w:color="auto" w:fill="C5E0B3"/>
            <w:noWrap/>
            <w:vAlign w:val="center"/>
            <w:hideMark/>
          </w:tcPr>
          <w:p w14:paraId="630F21EE"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Лом</w:t>
            </w:r>
          </w:p>
        </w:tc>
      </w:tr>
      <w:tr w:rsidR="00AD6203" w:rsidRPr="00AD6203" w14:paraId="31E31079" w14:textId="77777777" w:rsidTr="00AD6203">
        <w:trPr>
          <w:trHeight w:val="288"/>
          <w:jc w:val="center"/>
        </w:trPr>
        <w:tc>
          <w:tcPr>
            <w:tcW w:w="2416" w:type="pct"/>
            <w:tcBorders>
              <w:top w:val="nil"/>
              <w:left w:val="single" w:sz="8" w:space="0" w:color="auto"/>
              <w:bottom w:val="single" w:sz="4" w:space="0" w:color="auto"/>
              <w:right w:val="single" w:sz="4" w:space="0" w:color="auto"/>
            </w:tcBorders>
            <w:shd w:val="clear" w:color="auto" w:fill="auto"/>
            <w:noWrap/>
            <w:vAlign w:val="center"/>
            <w:hideMark/>
          </w:tcPr>
          <w:p w14:paraId="424604DC"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Извършена работа в тона</w:t>
            </w:r>
          </w:p>
        </w:tc>
        <w:tc>
          <w:tcPr>
            <w:tcW w:w="703" w:type="pct"/>
            <w:tcBorders>
              <w:top w:val="nil"/>
              <w:left w:val="nil"/>
              <w:bottom w:val="single" w:sz="4" w:space="0" w:color="auto"/>
              <w:right w:val="single" w:sz="4" w:space="0" w:color="auto"/>
            </w:tcBorders>
            <w:shd w:val="clear" w:color="auto" w:fill="auto"/>
            <w:noWrap/>
            <w:vAlign w:val="center"/>
            <w:hideMark/>
          </w:tcPr>
          <w:p w14:paraId="1335349B" w14:textId="77777777" w:rsidR="00AD6203" w:rsidRPr="00AD6203" w:rsidRDefault="00AD6203" w:rsidP="00AD6203">
            <w:pPr>
              <w:spacing w:before="60" w:after="60" w:line="24" w:lineRule="atLeast"/>
              <w:ind w:hanging="131"/>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16 859 282</w:t>
            </w:r>
          </w:p>
        </w:tc>
        <w:tc>
          <w:tcPr>
            <w:tcW w:w="669" w:type="pct"/>
            <w:tcBorders>
              <w:top w:val="nil"/>
              <w:left w:val="nil"/>
              <w:bottom w:val="single" w:sz="4" w:space="0" w:color="auto"/>
              <w:right w:val="single" w:sz="4" w:space="0" w:color="auto"/>
            </w:tcBorders>
            <w:shd w:val="clear" w:color="auto" w:fill="auto"/>
            <w:noWrap/>
            <w:vAlign w:val="center"/>
            <w:hideMark/>
          </w:tcPr>
          <w:p w14:paraId="7B2FD920"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9 987 311</w:t>
            </w:r>
          </w:p>
        </w:tc>
        <w:tc>
          <w:tcPr>
            <w:tcW w:w="609" w:type="pct"/>
            <w:tcBorders>
              <w:top w:val="nil"/>
              <w:left w:val="nil"/>
              <w:bottom w:val="single" w:sz="4" w:space="0" w:color="auto"/>
              <w:right w:val="single" w:sz="4" w:space="0" w:color="auto"/>
            </w:tcBorders>
            <w:shd w:val="clear" w:color="auto" w:fill="auto"/>
            <w:noWrap/>
            <w:hideMark/>
          </w:tcPr>
          <w:p w14:paraId="75A99104" w14:textId="77777777" w:rsidR="00AD6203" w:rsidRPr="00AD6203" w:rsidRDefault="00AD6203" w:rsidP="00AD6203">
            <w:pPr>
              <w:spacing w:before="60" w:after="60" w:line="24" w:lineRule="atLeast"/>
              <w:ind w:hanging="134"/>
              <w:jc w:val="right"/>
              <w:rPr>
                <w:rFonts w:ascii="Times New Roman" w:hAnsi="Times New Roman"/>
                <w:color w:val="000000"/>
                <w:sz w:val="24"/>
                <w:szCs w:val="24"/>
                <w:lang w:val="bg-BG"/>
              </w:rPr>
            </w:pPr>
            <w:r w:rsidRPr="00AD6203">
              <w:rPr>
                <w:rFonts w:ascii="Times New Roman" w:hAnsi="Times New Roman"/>
                <w:sz w:val="24"/>
                <w:szCs w:val="24"/>
                <w:lang w:val="bg-BG"/>
              </w:rPr>
              <w:t>1 139 847</w:t>
            </w:r>
          </w:p>
        </w:tc>
        <w:tc>
          <w:tcPr>
            <w:tcW w:w="603" w:type="pct"/>
            <w:tcBorders>
              <w:top w:val="nil"/>
              <w:left w:val="nil"/>
              <w:bottom w:val="single" w:sz="4" w:space="0" w:color="auto"/>
              <w:right w:val="single" w:sz="4" w:space="0" w:color="auto"/>
            </w:tcBorders>
            <w:shd w:val="clear" w:color="auto" w:fill="auto"/>
            <w:noWrap/>
            <w:hideMark/>
          </w:tcPr>
          <w:p w14:paraId="052D31FB" w14:textId="77777777" w:rsidR="00AD6203" w:rsidRPr="00AD6203" w:rsidRDefault="00AD6203" w:rsidP="00AD6203">
            <w:pPr>
              <w:spacing w:before="60" w:after="60" w:line="24" w:lineRule="atLeast"/>
              <w:ind w:left="-111" w:firstLine="49"/>
              <w:jc w:val="right"/>
              <w:rPr>
                <w:rFonts w:ascii="Times New Roman" w:hAnsi="Times New Roman"/>
                <w:color w:val="000000"/>
                <w:sz w:val="24"/>
                <w:szCs w:val="24"/>
                <w:lang w:val="bg-BG"/>
              </w:rPr>
            </w:pPr>
            <w:r w:rsidRPr="00AD6203">
              <w:rPr>
                <w:rFonts w:ascii="Times New Roman" w:hAnsi="Times New Roman"/>
                <w:sz w:val="24"/>
                <w:szCs w:val="24"/>
                <w:lang w:val="bg-BG"/>
              </w:rPr>
              <w:t>805 130</w:t>
            </w:r>
          </w:p>
        </w:tc>
      </w:tr>
      <w:tr w:rsidR="00AD6203" w:rsidRPr="00AD6203" w14:paraId="0CEF72C5" w14:textId="77777777" w:rsidTr="00AD6203">
        <w:trPr>
          <w:trHeight w:val="300"/>
          <w:jc w:val="center"/>
        </w:trPr>
        <w:tc>
          <w:tcPr>
            <w:tcW w:w="2416" w:type="pct"/>
            <w:tcBorders>
              <w:top w:val="nil"/>
              <w:left w:val="single" w:sz="8" w:space="0" w:color="auto"/>
              <w:bottom w:val="single" w:sz="8" w:space="0" w:color="auto"/>
              <w:right w:val="single" w:sz="4" w:space="0" w:color="auto"/>
            </w:tcBorders>
            <w:shd w:val="clear" w:color="auto" w:fill="auto"/>
            <w:noWrap/>
            <w:vAlign w:val="center"/>
            <w:hideMark/>
          </w:tcPr>
          <w:p w14:paraId="6EFBC4D3"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Брой корабни посещения - товарни кораби</w:t>
            </w:r>
          </w:p>
        </w:tc>
        <w:tc>
          <w:tcPr>
            <w:tcW w:w="703" w:type="pct"/>
            <w:tcBorders>
              <w:top w:val="nil"/>
              <w:left w:val="nil"/>
              <w:bottom w:val="single" w:sz="8" w:space="0" w:color="auto"/>
              <w:right w:val="single" w:sz="4" w:space="0" w:color="auto"/>
            </w:tcBorders>
            <w:shd w:val="clear" w:color="auto" w:fill="auto"/>
            <w:noWrap/>
            <w:vAlign w:val="center"/>
            <w:hideMark/>
          </w:tcPr>
          <w:p w14:paraId="4BBACECF"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1 953</w:t>
            </w:r>
          </w:p>
        </w:tc>
        <w:tc>
          <w:tcPr>
            <w:tcW w:w="669" w:type="pct"/>
            <w:tcBorders>
              <w:top w:val="nil"/>
              <w:left w:val="nil"/>
              <w:bottom w:val="single" w:sz="8" w:space="0" w:color="auto"/>
              <w:right w:val="single" w:sz="4" w:space="0" w:color="auto"/>
            </w:tcBorders>
            <w:shd w:val="clear" w:color="auto" w:fill="auto"/>
            <w:noWrap/>
            <w:vAlign w:val="center"/>
            <w:hideMark/>
          </w:tcPr>
          <w:p w14:paraId="589CB44A"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1 820</w:t>
            </w:r>
          </w:p>
        </w:tc>
        <w:tc>
          <w:tcPr>
            <w:tcW w:w="609" w:type="pct"/>
            <w:tcBorders>
              <w:top w:val="nil"/>
              <w:left w:val="nil"/>
              <w:bottom w:val="single" w:sz="8" w:space="0" w:color="auto"/>
              <w:right w:val="single" w:sz="4" w:space="0" w:color="auto"/>
            </w:tcBorders>
            <w:shd w:val="clear" w:color="auto" w:fill="auto"/>
            <w:noWrap/>
            <w:vAlign w:val="center"/>
            <w:hideMark/>
          </w:tcPr>
          <w:p w14:paraId="0EBD539A"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1 318</w:t>
            </w:r>
          </w:p>
        </w:tc>
        <w:tc>
          <w:tcPr>
            <w:tcW w:w="603" w:type="pct"/>
            <w:tcBorders>
              <w:top w:val="nil"/>
              <w:left w:val="nil"/>
              <w:bottom w:val="single" w:sz="8" w:space="0" w:color="auto"/>
              <w:right w:val="single" w:sz="4" w:space="0" w:color="auto"/>
            </w:tcBorders>
            <w:shd w:val="clear" w:color="auto" w:fill="auto"/>
            <w:noWrap/>
            <w:vAlign w:val="center"/>
            <w:hideMark/>
          </w:tcPr>
          <w:p w14:paraId="103CF0D2" w14:textId="77777777" w:rsidR="00AD6203" w:rsidRPr="00AD6203" w:rsidRDefault="00AD6203" w:rsidP="00AD6203">
            <w:pPr>
              <w:spacing w:before="60" w:after="60" w:line="24" w:lineRule="atLeast"/>
              <w:ind w:left="-111"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1 522</w:t>
            </w:r>
          </w:p>
        </w:tc>
      </w:tr>
      <w:tr w:rsidR="00AD6203" w:rsidRPr="00AD6203" w14:paraId="5D9B54AD" w14:textId="77777777" w:rsidTr="00AD6203">
        <w:trPr>
          <w:trHeight w:val="288"/>
          <w:jc w:val="center"/>
        </w:trPr>
        <w:tc>
          <w:tcPr>
            <w:tcW w:w="2416" w:type="pct"/>
            <w:vMerge w:val="restart"/>
            <w:tcBorders>
              <w:top w:val="single" w:sz="8" w:space="0" w:color="auto"/>
              <w:left w:val="single" w:sz="8" w:space="0" w:color="auto"/>
              <w:bottom w:val="single" w:sz="4" w:space="0" w:color="000000"/>
              <w:right w:val="single" w:sz="4" w:space="0" w:color="auto"/>
            </w:tcBorders>
            <w:shd w:val="clear" w:color="auto" w:fill="C5E0B3"/>
            <w:noWrap/>
            <w:vAlign w:val="center"/>
            <w:hideMark/>
          </w:tcPr>
          <w:p w14:paraId="5912B82C"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Показатели за извършена работа</w:t>
            </w:r>
          </w:p>
        </w:tc>
        <w:tc>
          <w:tcPr>
            <w:tcW w:w="2584" w:type="pct"/>
            <w:gridSpan w:val="4"/>
            <w:tcBorders>
              <w:top w:val="single" w:sz="8" w:space="0" w:color="auto"/>
              <w:left w:val="nil"/>
              <w:bottom w:val="single" w:sz="4" w:space="0" w:color="auto"/>
              <w:right w:val="single" w:sz="4" w:space="0" w:color="auto"/>
            </w:tcBorders>
            <w:shd w:val="clear" w:color="auto" w:fill="C5E0B3"/>
            <w:noWrap/>
            <w:vAlign w:val="center"/>
            <w:hideMark/>
          </w:tcPr>
          <w:p w14:paraId="3E304A33" w14:textId="77777777" w:rsidR="00AD6203" w:rsidRPr="00AD6203" w:rsidRDefault="00AD6203" w:rsidP="00AD6203">
            <w:pPr>
              <w:spacing w:before="60" w:after="60" w:line="24" w:lineRule="atLeast"/>
              <w:ind w:firstLine="49"/>
              <w:jc w:val="center"/>
              <w:rPr>
                <w:rFonts w:ascii="Times New Roman" w:hAnsi="Times New Roman"/>
                <w:b/>
                <w:color w:val="000000"/>
                <w:sz w:val="22"/>
                <w:szCs w:val="24"/>
                <w:lang w:val="bg-BG"/>
              </w:rPr>
            </w:pPr>
            <w:r w:rsidRPr="00AD6203">
              <w:rPr>
                <w:rFonts w:ascii="Times New Roman" w:hAnsi="Times New Roman"/>
                <w:b/>
                <w:color w:val="000000"/>
                <w:sz w:val="22"/>
                <w:szCs w:val="24"/>
                <w:lang w:val="bg-BG"/>
              </w:rPr>
              <w:t>2020</w:t>
            </w:r>
            <w:r w:rsidRPr="00AD6203">
              <w:rPr>
                <w:rFonts w:ascii="Times New Roman" w:hAnsi="Times New Roman"/>
                <w:b/>
                <w:color w:val="000000"/>
                <w:sz w:val="22"/>
                <w:szCs w:val="24"/>
                <w:lang w:val="en-US"/>
              </w:rPr>
              <w:t xml:space="preserve"> </w:t>
            </w:r>
            <w:r w:rsidRPr="00AD6203">
              <w:rPr>
                <w:rFonts w:ascii="Times New Roman" w:hAnsi="Times New Roman"/>
                <w:b/>
                <w:color w:val="000000"/>
                <w:sz w:val="22"/>
                <w:szCs w:val="24"/>
                <w:lang w:val="bg-BG"/>
              </w:rPr>
              <w:t>г.</w:t>
            </w:r>
          </w:p>
        </w:tc>
      </w:tr>
      <w:tr w:rsidR="00AD6203" w:rsidRPr="00AD6203" w14:paraId="067CB955" w14:textId="77777777" w:rsidTr="00AD6203">
        <w:trPr>
          <w:trHeight w:val="288"/>
          <w:jc w:val="center"/>
        </w:trPr>
        <w:tc>
          <w:tcPr>
            <w:tcW w:w="2416" w:type="pct"/>
            <w:vMerge/>
            <w:tcBorders>
              <w:top w:val="single" w:sz="8" w:space="0" w:color="auto"/>
              <w:left w:val="single" w:sz="8" w:space="0" w:color="auto"/>
              <w:bottom w:val="single" w:sz="4" w:space="0" w:color="000000"/>
              <w:right w:val="single" w:sz="4" w:space="0" w:color="auto"/>
            </w:tcBorders>
            <w:shd w:val="clear" w:color="auto" w:fill="C5E0B3"/>
            <w:vAlign w:val="center"/>
            <w:hideMark/>
          </w:tcPr>
          <w:p w14:paraId="2B0C5BFF"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p>
        </w:tc>
        <w:tc>
          <w:tcPr>
            <w:tcW w:w="703" w:type="pct"/>
            <w:tcBorders>
              <w:top w:val="nil"/>
              <w:left w:val="nil"/>
              <w:bottom w:val="single" w:sz="4" w:space="0" w:color="auto"/>
              <w:right w:val="single" w:sz="4" w:space="0" w:color="auto"/>
            </w:tcBorders>
            <w:shd w:val="clear" w:color="auto" w:fill="C5E0B3"/>
            <w:noWrap/>
            <w:vAlign w:val="center"/>
            <w:hideMark/>
          </w:tcPr>
          <w:p w14:paraId="143215BD"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Варна</w:t>
            </w:r>
          </w:p>
        </w:tc>
        <w:tc>
          <w:tcPr>
            <w:tcW w:w="669" w:type="pct"/>
            <w:tcBorders>
              <w:top w:val="nil"/>
              <w:left w:val="nil"/>
              <w:bottom w:val="single" w:sz="4" w:space="0" w:color="auto"/>
              <w:right w:val="single" w:sz="4" w:space="0" w:color="auto"/>
            </w:tcBorders>
            <w:shd w:val="clear" w:color="auto" w:fill="C5E0B3"/>
            <w:noWrap/>
            <w:vAlign w:val="center"/>
            <w:hideMark/>
          </w:tcPr>
          <w:p w14:paraId="6078ADCE"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Бургас</w:t>
            </w:r>
          </w:p>
        </w:tc>
        <w:tc>
          <w:tcPr>
            <w:tcW w:w="609" w:type="pct"/>
            <w:tcBorders>
              <w:top w:val="nil"/>
              <w:left w:val="nil"/>
              <w:bottom w:val="single" w:sz="4" w:space="0" w:color="auto"/>
              <w:right w:val="single" w:sz="4" w:space="0" w:color="auto"/>
            </w:tcBorders>
            <w:shd w:val="clear" w:color="auto" w:fill="C5E0B3"/>
            <w:noWrap/>
            <w:vAlign w:val="center"/>
            <w:hideMark/>
          </w:tcPr>
          <w:p w14:paraId="10B08FE1"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Русе</w:t>
            </w:r>
          </w:p>
        </w:tc>
        <w:tc>
          <w:tcPr>
            <w:tcW w:w="603" w:type="pct"/>
            <w:tcBorders>
              <w:top w:val="nil"/>
              <w:left w:val="nil"/>
              <w:bottom w:val="single" w:sz="4" w:space="0" w:color="auto"/>
              <w:right w:val="single" w:sz="4" w:space="0" w:color="auto"/>
            </w:tcBorders>
            <w:shd w:val="clear" w:color="auto" w:fill="C5E0B3"/>
            <w:noWrap/>
            <w:vAlign w:val="center"/>
            <w:hideMark/>
          </w:tcPr>
          <w:p w14:paraId="608C6E9F"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Лом</w:t>
            </w:r>
          </w:p>
        </w:tc>
      </w:tr>
      <w:tr w:rsidR="00AD6203" w:rsidRPr="00AD6203" w14:paraId="2902892C" w14:textId="77777777" w:rsidTr="00AD6203">
        <w:trPr>
          <w:trHeight w:val="288"/>
          <w:jc w:val="center"/>
        </w:trPr>
        <w:tc>
          <w:tcPr>
            <w:tcW w:w="2416" w:type="pct"/>
            <w:tcBorders>
              <w:top w:val="nil"/>
              <w:left w:val="single" w:sz="8" w:space="0" w:color="auto"/>
              <w:bottom w:val="single" w:sz="4" w:space="0" w:color="auto"/>
              <w:right w:val="single" w:sz="4" w:space="0" w:color="auto"/>
            </w:tcBorders>
            <w:shd w:val="clear" w:color="auto" w:fill="auto"/>
            <w:noWrap/>
            <w:vAlign w:val="center"/>
            <w:hideMark/>
          </w:tcPr>
          <w:p w14:paraId="79DEB71C"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Извършена работа в тона</w:t>
            </w:r>
          </w:p>
        </w:tc>
        <w:tc>
          <w:tcPr>
            <w:tcW w:w="703" w:type="pct"/>
            <w:tcBorders>
              <w:top w:val="nil"/>
              <w:left w:val="nil"/>
              <w:bottom w:val="single" w:sz="4" w:space="0" w:color="auto"/>
              <w:right w:val="single" w:sz="4" w:space="0" w:color="auto"/>
            </w:tcBorders>
            <w:shd w:val="clear" w:color="auto" w:fill="auto"/>
            <w:noWrap/>
            <w:vAlign w:val="center"/>
            <w:hideMark/>
          </w:tcPr>
          <w:p w14:paraId="7023A714" w14:textId="77777777" w:rsidR="00AD6203" w:rsidRPr="00AD6203" w:rsidRDefault="00AD6203" w:rsidP="00AD6203">
            <w:pPr>
              <w:spacing w:before="60" w:after="60" w:line="24" w:lineRule="atLeast"/>
              <w:ind w:left="-50"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14 276 180</w:t>
            </w:r>
          </w:p>
        </w:tc>
        <w:tc>
          <w:tcPr>
            <w:tcW w:w="669" w:type="pct"/>
            <w:tcBorders>
              <w:top w:val="nil"/>
              <w:left w:val="nil"/>
              <w:bottom w:val="single" w:sz="4" w:space="0" w:color="auto"/>
              <w:right w:val="single" w:sz="4" w:space="0" w:color="auto"/>
            </w:tcBorders>
            <w:shd w:val="clear" w:color="auto" w:fill="auto"/>
            <w:noWrap/>
            <w:vAlign w:val="center"/>
            <w:hideMark/>
          </w:tcPr>
          <w:p w14:paraId="22CD987D"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8 567 444</w:t>
            </w:r>
          </w:p>
        </w:tc>
        <w:tc>
          <w:tcPr>
            <w:tcW w:w="609" w:type="pct"/>
            <w:tcBorders>
              <w:top w:val="nil"/>
              <w:left w:val="nil"/>
              <w:bottom w:val="single" w:sz="4" w:space="0" w:color="auto"/>
              <w:right w:val="single" w:sz="4" w:space="0" w:color="auto"/>
            </w:tcBorders>
            <w:shd w:val="clear" w:color="auto" w:fill="auto"/>
            <w:noWrap/>
            <w:hideMark/>
          </w:tcPr>
          <w:p w14:paraId="445FAE61" w14:textId="77777777" w:rsidR="00AD6203" w:rsidRPr="00AD6203" w:rsidRDefault="00AD6203" w:rsidP="00AD6203">
            <w:pPr>
              <w:spacing w:before="60" w:after="60" w:line="24" w:lineRule="atLeast"/>
              <w:ind w:hanging="104"/>
              <w:jc w:val="right"/>
              <w:rPr>
                <w:rFonts w:ascii="Times New Roman" w:hAnsi="Times New Roman"/>
                <w:color w:val="000000"/>
                <w:sz w:val="24"/>
                <w:szCs w:val="24"/>
                <w:lang w:val="bg-BG"/>
              </w:rPr>
            </w:pPr>
            <w:r w:rsidRPr="00AD6203">
              <w:rPr>
                <w:rFonts w:ascii="Times New Roman" w:hAnsi="Times New Roman"/>
                <w:sz w:val="24"/>
                <w:szCs w:val="24"/>
                <w:lang w:val="bg-BG"/>
              </w:rPr>
              <w:t>1 055 933</w:t>
            </w:r>
          </w:p>
        </w:tc>
        <w:tc>
          <w:tcPr>
            <w:tcW w:w="603" w:type="pct"/>
            <w:tcBorders>
              <w:top w:val="nil"/>
              <w:left w:val="nil"/>
              <w:bottom w:val="single" w:sz="4" w:space="0" w:color="auto"/>
              <w:right w:val="single" w:sz="8" w:space="0" w:color="auto"/>
            </w:tcBorders>
            <w:shd w:val="clear" w:color="auto" w:fill="auto"/>
            <w:noWrap/>
            <w:hideMark/>
          </w:tcPr>
          <w:p w14:paraId="25B19735" w14:textId="77777777" w:rsidR="00AD6203" w:rsidRPr="00AD6203" w:rsidRDefault="00AD6203" w:rsidP="00AD6203">
            <w:pPr>
              <w:spacing w:before="60" w:after="60" w:line="24" w:lineRule="atLeast"/>
              <w:ind w:left="-12" w:firstLine="49"/>
              <w:jc w:val="right"/>
              <w:rPr>
                <w:rFonts w:ascii="Times New Roman" w:hAnsi="Times New Roman"/>
                <w:color w:val="000000"/>
                <w:sz w:val="24"/>
                <w:szCs w:val="24"/>
                <w:lang w:val="bg-BG"/>
              </w:rPr>
            </w:pPr>
            <w:r w:rsidRPr="00AD6203">
              <w:rPr>
                <w:rFonts w:ascii="Times New Roman" w:hAnsi="Times New Roman"/>
                <w:sz w:val="24"/>
                <w:szCs w:val="24"/>
                <w:lang w:val="bg-BG"/>
              </w:rPr>
              <w:t>898 258</w:t>
            </w:r>
          </w:p>
        </w:tc>
      </w:tr>
      <w:tr w:rsidR="00AD6203" w:rsidRPr="00AD6203" w14:paraId="293704F8" w14:textId="77777777" w:rsidTr="00AD6203">
        <w:trPr>
          <w:trHeight w:val="300"/>
          <w:jc w:val="center"/>
        </w:trPr>
        <w:tc>
          <w:tcPr>
            <w:tcW w:w="2416" w:type="pct"/>
            <w:tcBorders>
              <w:top w:val="nil"/>
              <w:left w:val="single" w:sz="8" w:space="0" w:color="auto"/>
              <w:bottom w:val="single" w:sz="8" w:space="0" w:color="auto"/>
              <w:right w:val="single" w:sz="4" w:space="0" w:color="auto"/>
            </w:tcBorders>
            <w:shd w:val="clear" w:color="auto" w:fill="auto"/>
            <w:noWrap/>
            <w:vAlign w:val="center"/>
            <w:hideMark/>
          </w:tcPr>
          <w:p w14:paraId="61552A4F"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Брой корабни посещения - товарни кораби</w:t>
            </w:r>
          </w:p>
        </w:tc>
        <w:tc>
          <w:tcPr>
            <w:tcW w:w="703" w:type="pct"/>
            <w:tcBorders>
              <w:top w:val="nil"/>
              <w:left w:val="nil"/>
              <w:bottom w:val="single" w:sz="8" w:space="0" w:color="auto"/>
              <w:right w:val="single" w:sz="4" w:space="0" w:color="auto"/>
            </w:tcBorders>
            <w:shd w:val="clear" w:color="auto" w:fill="auto"/>
            <w:noWrap/>
            <w:vAlign w:val="center"/>
            <w:hideMark/>
          </w:tcPr>
          <w:p w14:paraId="1B4503ED" w14:textId="77777777" w:rsidR="00AD6203" w:rsidRPr="00AD6203" w:rsidRDefault="00AD6203" w:rsidP="00AD6203">
            <w:pPr>
              <w:spacing w:before="60" w:after="60" w:line="24" w:lineRule="atLeast"/>
              <w:ind w:left="-50"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1 731</w:t>
            </w:r>
          </w:p>
        </w:tc>
        <w:tc>
          <w:tcPr>
            <w:tcW w:w="669" w:type="pct"/>
            <w:tcBorders>
              <w:top w:val="nil"/>
              <w:left w:val="nil"/>
              <w:bottom w:val="single" w:sz="8" w:space="0" w:color="auto"/>
              <w:right w:val="single" w:sz="4" w:space="0" w:color="auto"/>
            </w:tcBorders>
            <w:shd w:val="clear" w:color="auto" w:fill="auto"/>
            <w:noWrap/>
            <w:vAlign w:val="center"/>
            <w:hideMark/>
          </w:tcPr>
          <w:p w14:paraId="41B44BCD"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1 680</w:t>
            </w:r>
          </w:p>
        </w:tc>
        <w:tc>
          <w:tcPr>
            <w:tcW w:w="609" w:type="pct"/>
            <w:tcBorders>
              <w:top w:val="nil"/>
              <w:left w:val="nil"/>
              <w:bottom w:val="single" w:sz="8" w:space="0" w:color="auto"/>
              <w:right w:val="single" w:sz="4" w:space="0" w:color="auto"/>
            </w:tcBorders>
            <w:shd w:val="clear" w:color="auto" w:fill="auto"/>
            <w:noWrap/>
            <w:vAlign w:val="center"/>
            <w:hideMark/>
          </w:tcPr>
          <w:p w14:paraId="3CCCD3DC"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1 188</w:t>
            </w:r>
          </w:p>
        </w:tc>
        <w:tc>
          <w:tcPr>
            <w:tcW w:w="603" w:type="pct"/>
            <w:tcBorders>
              <w:top w:val="nil"/>
              <w:left w:val="nil"/>
              <w:bottom w:val="single" w:sz="8" w:space="0" w:color="auto"/>
              <w:right w:val="single" w:sz="8" w:space="0" w:color="auto"/>
            </w:tcBorders>
            <w:shd w:val="clear" w:color="auto" w:fill="auto"/>
            <w:noWrap/>
            <w:vAlign w:val="center"/>
            <w:hideMark/>
          </w:tcPr>
          <w:p w14:paraId="18E87757" w14:textId="77777777" w:rsidR="00AD6203" w:rsidRPr="00AD6203" w:rsidRDefault="00AD6203" w:rsidP="00AD6203">
            <w:pPr>
              <w:spacing w:before="60" w:after="60" w:line="24" w:lineRule="atLeast"/>
              <w:ind w:left="-12"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1 207</w:t>
            </w:r>
          </w:p>
        </w:tc>
      </w:tr>
      <w:tr w:rsidR="00AD6203" w:rsidRPr="00AD6203" w14:paraId="42A55EE3" w14:textId="77777777" w:rsidTr="00AD6203">
        <w:trPr>
          <w:trHeight w:val="288"/>
          <w:jc w:val="center"/>
        </w:trPr>
        <w:tc>
          <w:tcPr>
            <w:tcW w:w="2416" w:type="pct"/>
            <w:vMerge w:val="restart"/>
            <w:tcBorders>
              <w:top w:val="single" w:sz="8" w:space="0" w:color="auto"/>
              <w:left w:val="single" w:sz="8" w:space="0" w:color="auto"/>
              <w:bottom w:val="single" w:sz="4" w:space="0" w:color="000000"/>
              <w:right w:val="single" w:sz="4" w:space="0" w:color="auto"/>
            </w:tcBorders>
            <w:shd w:val="clear" w:color="auto" w:fill="C5E0B3"/>
            <w:noWrap/>
            <w:vAlign w:val="center"/>
            <w:hideMark/>
          </w:tcPr>
          <w:p w14:paraId="3EC6790F"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Показатели за извършена работа</w:t>
            </w:r>
          </w:p>
        </w:tc>
        <w:tc>
          <w:tcPr>
            <w:tcW w:w="2584" w:type="pct"/>
            <w:gridSpan w:val="4"/>
            <w:tcBorders>
              <w:top w:val="single" w:sz="8" w:space="0" w:color="auto"/>
              <w:left w:val="nil"/>
              <w:bottom w:val="single" w:sz="4" w:space="0" w:color="auto"/>
              <w:right w:val="single" w:sz="4" w:space="0" w:color="auto"/>
            </w:tcBorders>
            <w:shd w:val="clear" w:color="auto" w:fill="C5E0B3"/>
            <w:noWrap/>
            <w:vAlign w:val="center"/>
            <w:hideMark/>
          </w:tcPr>
          <w:p w14:paraId="5F1EFB8E" w14:textId="77777777" w:rsidR="00AD6203" w:rsidRPr="00AD6203" w:rsidRDefault="00AD6203" w:rsidP="00AD6203">
            <w:pPr>
              <w:spacing w:before="60" w:after="60" w:line="24" w:lineRule="atLeast"/>
              <w:ind w:left="-50" w:firstLine="49"/>
              <w:jc w:val="center"/>
              <w:rPr>
                <w:rFonts w:ascii="Times New Roman" w:hAnsi="Times New Roman"/>
                <w:b/>
                <w:color w:val="000000"/>
                <w:sz w:val="22"/>
                <w:szCs w:val="24"/>
                <w:lang w:val="bg-BG"/>
              </w:rPr>
            </w:pPr>
            <w:r w:rsidRPr="00AD6203">
              <w:rPr>
                <w:rFonts w:ascii="Times New Roman" w:hAnsi="Times New Roman"/>
                <w:b/>
                <w:color w:val="000000"/>
                <w:sz w:val="22"/>
                <w:szCs w:val="24"/>
                <w:lang w:val="bg-BG"/>
              </w:rPr>
              <w:t>2021</w:t>
            </w:r>
            <w:r w:rsidRPr="00AD6203">
              <w:rPr>
                <w:rFonts w:ascii="Times New Roman" w:hAnsi="Times New Roman"/>
                <w:b/>
                <w:color w:val="000000"/>
                <w:sz w:val="22"/>
                <w:szCs w:val="24"/>
                <w:lang w:val="en-US"/>
              </w:rPr>
              <w:t xml:space="preserve"> </w:t>
            </w:r>
            <w:r w:rsidRPr="00AD6203">
              <w:rPr>
                <w:rFonts w:ascii="Times New Roman" w:hAnsi="Times New Roman"/>
                <w:b/>
                <w:color w:val="000000"/>
                <w:sz w:val="22"/>
                <w:szCs w:val="24"/>
                <w:lang w:val="bg-BG"/>
              </w:rPr>
              <w:t>г.</w:t>
            </w:r>
          </w:p>
        </w:tc>
      </w:tr>
      <w:tr w:rsidR="00AD6203" w:rsidRPr="00AD6203" w14:paraId="5CDCBA97" w14:textId="77777777" w:rsidTr="00AD6203">
        <w:trPr>
          <w:trHeight w:val="288"/>
          <w:jc w:val="center"/>
        </w:trPr>
        <w:tc>
          <w:tcPr>
            <w:tcW w:w="2416" w:type="pct"/>
            <w:vMerge/>
            <w:tcBorders>
              <w:top w:val="single" w:sz="8" w:space="0" w:color="auto"/>
              <w:left w:val="single" w:sz="8" w:space="0" w:color="auto"/>
              <w:bottom w:val="single" w:sz="4" w:space="0" w:color="000000"/>
              <w:right w:val="single" w:sz="4" w:space="0" w:color="auto"/>
            </w:tcBorders>
            <w:shd w:val="clear" w:color="auto" w:fill="C5E0B3"/>
            <w:vAlign w:val="center"/>
            <w:hideMark/>
          </w:tcPr>
          <w:p w14:paraId="5D35FE4F"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p>
        </w:tc>
        <w:tc>
          <w:tcPr>
            <w:tcW w:w="703" w:type="pct"/>
            <w:tcBorders>
              <w:top w:val="nil"/>
              <w:left w:val="nil"/>
              <w:bottom w:val="single" w:sz="4" w:space="0" w:color="auto"/>
              <w:right w:val="single" w:sz="4" w:space="0" w:color="auto"/>
            </w:tcBorders>
            <w:shd w:val="clear" w:color="auto" w:fill="C5E0B3"/>
            <w:noWrap/>
            <w:vAlign w:val="center"/>
            <w:hideMark/>
          </w:tcPr>
          <w:p w14:paraId="7B6A005A" w14:textId="77777777" w:rsidR="00AD6203" w:rsidRPr="00AD6203" w:rsidRDefault="00AD6203" w:rsidP="00AD6203">
            <w:pPr>
              <w:spacing w:before="60" w:after="60" w:line="24" w:lineRule="atLeast"/>
              <w:ind w:left="-50"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Варна</w:t>
            </w:r>
          </w:p>
        </w:tc>
        <w:tc>
          <w:tcPr>
            <w:tcW w:w="669" w:type="pct"/>
            <w:tcBorders>
              <w:top w:val="nil"/>
              <w:left w:val="nil"/>
              <w:bottom w:val="single" w:sz="4" w:space="0" w:color="auto"/>
              <w:right w:val="single" w:sz="4" w:space="0" w:color="auto"/>
            </w:tcBorders>
            <w:shd w:val="clear" w:color="auto" w:fill="C5E0B3"/>
            <w:noWrap/>
            <w:vAlign w:val="center"/>
            <w:hideMark/>
          </w:tcPr>
          <w:p w14:paraId="2C9C6CDD"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Бургас</w:t>
            </w:r>
          </w:p>
        </w:tc>
        <w:tc>
          <w:tcPr>
            <w:tcW w:w="609" w:type="pct"/>
            <w:tcBorders>
              <w:top w:val="nil"/>
              <w:left w:val="nil"/>
              <w:bottom w:val="single" w:sz="4" w:space="0" w:color="auto"/>
              <w:right w:val="single" w:sz="4" w:space="0" w:color="auto"/>
            </w:tcBorders>
            <w:shd w:val="clear" w:color="auto" w:fill="C5E0B3"/>
            <w:noWrap/>
            <w:vAlign w:val="center"/>
            <w:hideMark/>
          </w:tcPr>
          <w:p w14:paraId="080930FB"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Русе</w:t>
            </w:r>
          </w:p>
        </w:tc>
        <w:tc>
          <w:tcPr>
            <w:tcW w:w="603" w:type="pct"/>
            <w:tcBorders>
              <w:top w:val="nil"/>
              <w:left w:val="nil"/>
              <w:bottom w:val="single" w:sz="4" w:space="0" w:color="auto"/>
              <w:right w:val="single" w:sz="4" w:space="0" w:color="auto"/>
            </w:tcBorders>
            <w:shd w:val="clear" w:color="auto" w:fill="C5E0B3"/>
            <w:noWrap/>
            <w:vAlign w:val="center"/>
            <w:hideMark/>
          </w:tcPr>
          <w:p w14:paraId="63A8C6BA"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Лом</w:t>
            </w:r>
          </w:p>
        </w:tc>
      </w:tr>
      <w:tr w:rsidR="00AD6203" w:rsidRPr="00AD6203" w14:paraId="3FB1D90A" w14:textId="77777777" w:rsidTr="00AD6203">
        <w:trPr>
          <w:trHeight w:val="333"/>
          <w:jc w:val="center"/>
        </w:trPr>
        <w:tc>
          <w:tcPr>
            <w:tcW w:w="2416" w:type="pct"/>
            <w:tcBorders>
              <w:top w:val="nil"/>
              <w:left w:val="single" w:sz="8" w:space="0" w:color="auto"/>
              <w:bottom w:val="single" w:sz="4" w:space="0" w:color="auto"/>
              <w:right w:val="single" w:sz="4" w:space="0" w:color="auto"/>
            </w:tcBorders>
            <w:shd w:val="clear" w:color="auto" w:fill="auto"/>
            <w:noWrap/>
            <w:vAlign w:val="center"/>
            <w:hideMark/>
          </w:tcPr>
          <w:p w14:paraId="1AEF17B6" w14:textId="77777777" w:rsidR="00AD6203" w:rsidRPr="00AD6203" w:rsidRDefault="00AD6203" w:rsidP="00AD6203">
            <w:pPr>
              <w:spacing w:after="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Извършена работа в тона</w:t>
            </w:r>
          </w:p>
        </w:tc>
        <w:tc>
          <w:tcPr>
            <w:tcW w:w="703"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16D6753" w14:textId="77777777" w:rsidR="00AD6203" w:rsidRPr="00AD6203" w:rsidRDefault="00AD6203" w:rsidP="00AD6203">
            <w:pPr>
              <w:spacing w:after="0" w:line="24" w:lineRule="atLeast"/>
              <w:ind w:left="-50"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16 801 283</w:t>
            </w:r>
          </w:p>
        </w:tc>
        <w:tc>
          <w:tcPr>
            <w:tcW w:w="6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21BC8F" w14:textId="77777777" w:rsidR="00AD6203" w:rsidRPr="00AD6203" w:rsidRDefault="00AD6203" w:rsidP="00AD6203">
            <w:pPr>
              <w:spacing w:after="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8 729 295</w:t>
            </w:r>
          </w:p>
        </w:tc>
        <w:tc>
          <w:tcPr>
            <w:tcW w:w="609"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24B98E2" w14:textId="77777777" w:rsidR="00AD6203" w:rsidRPr="00AD6203" w:rsidRDefault="00AD6203" w:rsidP="00AD6203">
            <w:pPr>
              <w:spacing w:after="0" w:line="24" w:lineRule="atLeast"/>
              <w:ind w:hanging="104"/>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1 191 733</w:t>
            </w:r>
          </w:p>
        </w:tc>
        <w:tc>
          <w:tcPr>
            <w:tcW w:w="603" w:type="pct"/>
            <w:tcBorders>
              <w:top w:val="single" w:sz="4" w:space="0" w:color="auto"/>
              <w:left w:val="nil"/>
              <w:bottom w:val="single" w:sz="4" w:space="0" w:color="auto"/>
              <w:right w:val="single" w:sz="8" w:space="0" w:color="auto"/>
            </w:tcBorders>
            <w:shd w:val="clear" w:color="auto" w:fill="auto"/>
            <w:noWrap/>
            <w:vAlign w:val="bottom"/>
            <w:hideMark/>
          </w:tcPr>
          <w:p w14:paraId="3934F543" w14:textId="77777777" w:rsidR="00AD6203" w:rsidRPr="00AD6203" w:rsidRDefault="00AD6203" w:rsidP="00AD6203">
            <w:pPr>
              <w:spacing w:after="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860</w:t>
            </w:r>
            <w:r w:rsidRPr="00AD6203">
              <w:rPr>
                <w:rFonts w:ascii="Times New Roman" w:hAnsi="Times New Roman"/>
                <w:color w:val="000000"/>
                <w:sz w:val="24"/>
                <w:szCs w:val="24"/>
                <w:lang w:val="en-US"/>
              </w:rPr>
              <w:t xml:space="preserve"> </w:t>
            </w:r>
            <w:r w:rsidRPr="00AD6203">
              <w:rPr>
                <w:rFonts w:ascii="Times New Roman" w:hAnsi="Times New Roman"/>
                <w:color w:val="000000"/>
                <w:sz w:val="24"/>
                <w:szCs w:val="24"/>
                <w:lang w:val="bg-BG"/>
              </w:rPr>
              <w:t>086</w:t>
            </w:r>
          </w:p>
        </w:tc>
      </w:tr>
      <w:tr w:rsidR="00AD6203" w:rsidRPr="00AD6203" w14:paraId="442C30B7" w14:textId="77777777" w:rsidTr="00AD6203">
        <w:trPr>
          <w:trHeight w:val="300"/>
          <w:jc w:val="center"/>
        </w:trPr>
        <w:tc>
          <w:tcPr>
            <w:tcW w:w="2416" w:type="pct"/>
            <w:tcBorders>
              <w:top w:val="nil"/>
              <w:left w:val="single" w:sz="8" w:space="0" w:color="auto"/>
              <w:bottom w:val="single" w:sz="8" w:space="0" w:color="auto"/>
              <w:right w:val="single" w:sz="4" w:space="0" w:color="auto"/>
            </w:tcBorders>
            <w:shd w:val="clear" w:color="auto" w:fill="auto"/>
            <w:noWrap/>
            <w:vAlign w:val="center"/>
            <w:hideMark/>
          </w:tcPr>
          <w:p w14:paraId="24E03C56"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Брой корабни посещения - товарни кораби</w:t>
            </w:r>
          </w:p>
        </w:tc>
        <w:tc>
          <w:tcPr>
            <w:tcW w:w="703" w:type="pct"/>
            <w:tcBorders>
              <w:top w:val="nil"/>
              <w:left w:val="single" w:sz="4" w:space="0" w:color="auto"/>
              <w:bottom w:val="single" w:sz="8" w:space="0" w:color="auto"/>
              <w:right w:val="single" w:sz="4" w:space="0" w:color="auto"/>
            </w:tcBorders>
            <w:shd w:val="clear" w:color="000000" w:fill="FFFFFF"/>
            <w:noWrap/>
            <w:vAlign w:val="bottom"/>
            <w:hideMark/>
          </w:tcPr>
          <w:p w14:paraId="497771B4"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1 662</w:t>
            </w:r>
          </w:p>
        </w:tc>
        <w:tc>
          <w:tcPr>
            <w:tcW w:w="669" w:type="pct"/>
            <w:tcBorders>
              <w:top w:val="nil"/>
              <w:left w:val="single" w:sz="4" w:space="0" w:color="auto"/>
              <w:bottom w:val="single" w:sz="8" w:space="0" w:color="auto"/>
              <w:right w:val="single" w:sz="4" w:space="0" w:color="auto"/>
            </w:tcBorders>
            <w:shd w:val="clear" w:color="auto" w:fill="auto"/>
            <w:noWrap/>
            <w:vAlign w:val="bottom"/>
            <w:hideMark/>
          </w:tcPr>
          <w:p w14:paraId="0651E4A7"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 xml:space="preserve"> 1 635</w:t>
            </w:r>
          </w:p>
        </w:tc>
        <w:tc>
          <w:tcPr>
            <w:tcW w:w="609" w:type="pct"/>
            <w:tcBorders>
              <w:top w:val="nil"/>
              <w:left w:val="single" w:sz="4" w:space="0" w:color="auto"/>
              <w:bottom w:val="single" w:sz="8" w:space="0" w:color="auto"/>
              <w:right w:val="single" w:sz="4" w:space="0" w:color="auto"/>
            </w:tcBorders>
            <w:shd w:val="clear" w:color="000000" w:fill="FFFFFF"/>
            <w:noWrap/>
            <w:vAlign w:val="bottom"/>
            <w:hideMark/>
          </w:tcPr>
          <w:p w14:paraId="0EBDA17B"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1 341</w:t>
            </w:r>
          </w:p>
        </w:tc>
        <w:tc>
          <w:tcPr>
            <w:tcW w:w="603" w:type="pct"/>
            <w:tcBorders>
              <w:top w:val="nil"/>
              <w:left w:val="nil"/>
              <w:bottom w:val="single" w:sz="8" w:space="0" w:color="auto"/>
              <w:right w:val="single" w:sz="8" w:space="0" w:color="auto"/>
            </w:tcBorders>
            <w:shd w:val="clear" w:color="000000" w:fill="FFFFFF"/>
            <w:noWrap/>
            <w:vAlign w:val="bottom"/>
            <w:hideMark/>
          </w:tcPr>
          <w:p w14:paraId="1BE891C0"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1 319</w:t>
            </w:r>
          </w:p>
        </w:tc>
      </w:tr>
      <w:tr w:rsidR="00AD6203" w:rsidRPr="00AD6203" w14:paraId="30712732" w14:textId="77777777" w:rsidTr="00AD6203">
        <w:trPr>
          <w:trHeight w:val="288"/>
          <w:jc w:val="center"/>
        </w:trPr>
        <w:tc>
          <w:tcPr>
            <w:tcW w:w="2416" w:type="pct"/>
            <w:vMerge w:val="restart"/>
            <w:tcBorders>
              <w:top w:val="single" w:sz="8" w:space="0" w:color="auto"/>
              <w:left w:val="single" w:sz="8" w:space="0" w:color="auto"/>
              <w:bottom w:val="single" w:sz="4" w:space="0" w:color="000000"/>
              <w:right w:val="single" w:sz="4" w:space="0" w:color="auto"/>
            </w:tcBorders>
            <w:shd w:val="clear" w:color="auto" w:fill="C5E0B3"/>
            <w:noWrap/>
            <w:vAlign w:val="center"/>
            <w:hideMark/>
          </w:tcPr>
          <w:p w14:paraId="6E55BEA2"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Показатели за извършена работа</w:t>
            </w:r>
          </w:p>
        </w:tc>
        <w:tc>
          <w:tcPr>
            <w:tcW w:w="2584" w:type="pct"/>
            <w:gridSpan w:val="4"/>
            <w:tcBorders>
              <w:top w:val="single" w:sz="8" w:space="0" w:color="auto"/>
              <w:left w:val="nil"/>
              <w:bottom w:val="single" w:sz="4" w:space="0" w:color="auto"/>
              <w:right w:val="single" w:sz="4" w:space="0" w:color="auto"/>
            </w:tcBorders>
            <w:shd w:val="clear" w:color="auto" w:fill="C5E0B3"/>
            <w:noWrap/>
            <w:vAlign w:val="center"/>
            <w:hideMark/>
          </w:tcPr>
          <w:p w14:paraId="6A7F4B1A" w14:textId="77777777" w:rsidR="00AD6203" w:rsidRPr="00AD6203" w:rsidRDefault="00AD6203" w:rsidP="00AD6203">
            <w:pPr>
              <w:spacing w:before="60" w:after="60" w:line="24" w:lineRule="atLeast"/>
              <w:ind w:left="-50" w:firstLine="49"/>
              <w:jc w:val="center"/>
              <w:rPr>
                <w:rFonts w:ascii="Times New Roman" w:hAnsi="Times New Roman"/>
                <w:b/>
                <w:color w:val="000000"/>
                <w:sz w:val="22"/>
                <w:szCs w:val="24"/>
                <w:lang w:val="bg-BG"/>
              </w:rPr>
            </w:pPr>
            <w:r w:rsidRPr="00AD6203">
              <w:rPr>
                <w:rFonts w:ascii="Times New Roman" w:hAnsi="Times New Roman"/>
                <w:b/>
                <w:color w:val="000000"/>
                <w:sz w:val="22"/>
                <w:szCs w:val="24"/>
                <w:lang w:val="bg-BG"/>
              </w:rPr>
              <w:t>2022</w:t>
            </w:r>
            <w:r w:rsidRPr="00AD6203">
              <w:rPr>
                <w:rFonts w:ascii="Times New Roman" w:hAnsi="Times New Roman"/>
                <w:b/>
                <w:color w:val="000000"/>
                <w:sz w:val="22"/>
                <w:szCs w:val="24"/>
                <w:lang w:val="en-US"/>
              </w:rPr>
              <w:t xml:space="preserve"> </w:t>
            </w:r>
            <w:r w:rsidRPr="00AD6203">
              <w:rPr>
                <w:rFonts w:ascii="Times New Roman" w:hAnsi="Times New Roman"/>
                <w:b/>
                <w:color w:val="000000"/>
                <w:sz w:val="22"/>
                <w:szCs w:val="24"/>
                <w:lang w:val="bg-BG"/>
              </w:rPr>
              <w:t>г.</w:t>
            </w:r>
          </w:p>
        </w:tc>
      </w:tr>
      <w:tr w:rsidR="00AD6203" w:rsidRPr="00AD6203" w14:paraId="02F251EA" w14:textId="77777777" w:rsidTr="00AD6203">
        <w:trPr>
          <w:trHeight w:val="288"/>
          <w:jc w:val="center"/>
        </w:trPr>
        <w:tc>
          <w:tcPr>
            <w:tcW w:w="2416" w:type="pct"/>
            <w:vMerge/>
            <w:tcBorders>
              <w:top w:val="single" w:sz="8" w:space="0" w:color="auto"/>
              <w:left w:val="single" w:sz="8" w:space="0" w:color="auto"/>
              <w:bottom w:val="single" w:sz="4" w:space="0" w:color="000000"/>
              <w:right w:val="single" w:sz="4" w:space="0" w:color="auto"/>
            </w:tcBorders>
            <w:shd w:val="clear" w:color="auto" w:fill="C5E0B3"/>
            <w:vAlign w:val="center"/>
            <w:hideMark/>
          </w:tcPr>
          <w:p w14:paraId="7FF98193" w14:textId="77777777" w:rsidR="00AD6203" w:rsidRPr="00AD6203" w:rsidRDefault="00AD6203" w:rsidP="00AD6203">
            <w:pPr>
              <w:spacing w:before="60" w:after="60" w:line="24" w:lineRule="atLeast"/>
              <w:ind w:left="-118" w:right="-85"/>
              <w:jc w:val="center"/>
              <w:rPr>
                <w:rFonts w:ascii="Times New Roman" w:hAnsi="Times New Roman"/>
                <w:b/>
                <w:bCs/>
                <w:color w:val="000000"/>
                <w:sz w:val="22"/>
                <w:szCs w:val="24"/>
                <w:lang w:val="bg-BG"/>
              </w:rPr>
            </w:pPr>
          </w:p>
        </w:tc>
        <w:tc>
          <w:tcPr>
            <w:tcW w:w="703" w:type="pct"/>
            <w:tcBorders>
              <w:top w:val="nil"/>
              <w:left w:val="nil"/>
              <w:bottom w:val="single" w:sz="4" w:space="0" w:color="auto"/>
              <w:right w:val="single" w:sz="4" w:space="0" w:color="auto"/>
            </w:tcBorders>
            <w:shd w:val="clear" w:color="auto" w:fill="C5E0B3"/>
            <w:noWrap/>
            <w:vAlign w:val="center"/>
            <w:hideMark/>
          </w:tcPr>
          <w:p w14:paraId="21ECF17F" w14:textId="77777777" w:rsidR="00AD6203" w:rsidRPr="00AD6203" w:rsidRDefault="00AD6203" w:rsidP="00AD6203">
            <w:pPr>
              <w:spacing w:before="60" w:after="60" w:line="24" w:lineRule="atLeast"/>
              <w:ind w:left="-50"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Варна</w:t>
            </w:r>
          </w:p>
        </w:tc>
        <w:tc>
          <w:tcPr>
            <w:tcW w:w="669" w:type="pct"/>
            <w:tcBorders>
              <w:top w:val="nil"/>
              <w:left w:val="nil"/>
              <w:bottom w:val="single" w:sz="4" w:space="0" w:color="auto"/>
              <w:right w:val="single" w:sz="4" w:space="0" w:color="auto"/>
            </w:tcBorders>
            <w:shd w:val="clear" w:color="auto" w:fill="C5E0B3"/>
            <w:noWrap/>
            <w:vAlign w:val="center"/>
            <w:hideMark/>
          </w:tcPr>
          <w:p w14:paraId="19F949D0"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Бургас</w:t>
            </w:r>
          </w:p>
        </w:tc>
        <w:tc>
          <w:tcPr>
            <w:tcW w:w="609" w:type="pct"/>
            <w:tcBorders>
              <w:top w:val="nil"/>
              <w:left w:val="nil"/>
              <w:bottom w:val="single" w:sz="4" w:space="0" w:color="auto"/>
              <w:right w:val="single" w:sz="4" w:space="0" w:color="auto"/>
            </w:tcBorders>
            <w:shd w:val="clear" w:color="auto" w:fill="C5E0B3"/>
            <w:noWrap/>
            <w:vAlign w:val="center"/>
            <w:hideMark/>
          </w:tcPr>
          <w:p w14:paraId="0B917EA4"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Русе</w:t>
            </w:r>
          </w:p>
        </w:tc>
        <w:tc>
          <w:tcPr>
            <w:tcW w:w="603" w:type="pct"/>
            <w:tcBorders>
              <w:top w:val="nil"/>
              <w:left w:val="nil"/>
              <w:bottom w:val="single" w:sz="4" w:space="0" w:color="auto"/>
              <w:right w:val="single" w:sz="4" w:space="0" w:color="auto"/>
            </w:tcBorders>
            <w:shd w:val="clear" w:color="auto" w:fill="C5E0B3"/>
            <w:noWrap/>
            <w:vAlign w:val="center"/>
            <w:hideMark/>
          </w:tcPr>
          <w:p w14:paraId="67B41764" w14:textId="77777777" w:rsidR="00AD6203" w:rsidRPr="00AD6203" w:rsidRDefault="00AD6203" w:rsidP="00AD6203">
            <w:pPr>
              <w:spacing w:before="60" w:after="60" w:line="24" w:lineRule="atLeast"/>
              <w:ind w:firstLine="49"/>
              <w:jc w:val="center"/>
              <w:rPr>
                <w:rFonts w:ascii="Times New Roman" w:hAnsi="Times New Roman"/>
                <w:b/>
                <w:bCs/>
                <w:color w:val="000000"/>
                <w:sz w:val="22"/>
                <w:szCs w:val="24"/>
                <w:lang w:val="bg-BG"/>
              </w:rPr>
            </w:pPr>
            <w:r w:rsidRPr="00AD6203">
              <w:rPr>
                <w:rFonts w:ascii="Times New Roman" w:hAnsi="Times New Roman"/>
                <w:b/>
                <w:bCs/>
                <w:color w:val="000000"/>
                <w:sz w:val="22"/>
                <w:szCs w:val="24"/>
                <w:lang w:val="bg-BG"/>
              </w:rPr>
              <w:t>Лом</w:t>
            </w:r>
          </w:p>
        </w:tc>
      </w:tr>
      <w:tr w:rsidR="00AD6203" w:rsidRPr="00AD6203" w14:paraId="1BB3F732" w14:textId="77777777" w:rsidTr="00AD6203">
        <w:trPr>
          <w:trHeight w:val="333"/>
          <w:jc w:val="center"/>
        </w:trPr>
        <w:tc>
          <w:tcPr>
            <w:tcW w:w="2416" w:type="pct"/>
            <w:tcBorders>
              <w:top w:val="nil"/>
              <w:left w:val="single" w:sz="8" w:space="0" w:color="auto"/>
              <w:bottom w:val="single" w:sz="4" w:space="0" w:color="auto"/>
              <w:right w:val="single" w:sz="4" w:space="0" w:color="auto"/>
            </w:tcBorders>
            <w:shd w:val="clear" w:color="auto" w:fill="auto"/>
            <w:noWrap/>
            <w:vAlign w:val="center"/>
            <w:hideMark/>
          </w:tcPr>
          <w:p w14:paraId="253D37C8" w14:textId="77777777" w:rsidR="00AD6203" w:rsidRPr="00AD6203" w:rsidRDefault="00AD6203" w:rsidP="00AD6203">
            <w:pPr>
              <w:spacing w:after="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Извършена работа в тона</w:t>
            </w:r>
          </w:p>
        </w:tc>
        <w:tc>
          <w:tcPr>
            <w:tcW w:w="703" w:type="pct"/>
            <w:tcBorders>
              <w:top w:val="nil"/>
              <w:left w:val="nil"/>
              <w:bottom w:val="single" w:sz="8" w:space="0" w:color="auto"/>
              <w:right w:val="single" w:sz="8" w:space="0" w:color="auto"/>
            </w:tcBorders>
            <w:shd w:val="clear" w:color="auto" w:fill="auto"/>
            <w:noWrap/>
            <w:vAlign w:val="center"/>
            <w:hideMark/>
          </w:tcPr>
          <w:p w14:paraId="3891A8DC" w14:textId="77777777" w:rsidR="00AD6203" w:rsidRPr="00AD6203" w:rsidRDefault="00AD6203" w:rsidP="00AD6203">
            <w:pPr>
              <w:spacing w:after="0" w:line="24" w:lineRule="atLeast"/>
              <w:ind w:left="-50"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8 692 585</w:t>
            </w:r>
          </w:p>
        </w:tc>
        <w:tc>
          <w:tcPr>
            <w:tcW w:w="669" w:type="pct"/>
            <w:tcBorders>
              <w:top w:val="nil"/>
              <w:left w:val="nil"/>
              <w:bottom w:val="single" w:sz="8" w:space="0" w:color="auto"/>
              <w:right w:val="single" w:sz="8" w:space="0" w:color="auto"/>
            </w:tcBorders>
            <w:shd w:val="clear" w:color="auto" w:fill="auto"/>
            <w:noWrap/>
            <w:vAlign w:val="center"/>
            <w:hideMark/>
          </w:tcPr>
          <w:p w14:paraId="4707C90D" w14:textId="77777777" w:rsidR="00AD6203" w:rsidRPr="00AD6203" w:rsidRDefault="00AD6203" w:rsidP="00AD6203">
            <w:pPr>
              <w:spacing w:after="0" w:line="24" w:lineRule="atLeast"/>
              <w:ind w:hanging="71"/>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20 643 538</w:t>
            </w:r>
          </w:p>
        </w:tc>
        <w:tc>
          <w:tcPr>
            <w:tcW w:w="609" w:type="pct"/>
            <w:tcBorders>
              <w:top w:val="nil"/>
              <w:left w:val="nil"/>
              <w:bottom w:val="single" w:sz="8" w:space="0" w:color="auto"/>
              <w:right w:val="single" w:sz="8" w:space="0" w:color="auto"/>
            </w:tcBorders>
            <w:shd w:val="clear" w:color="auto" w:fill="auto"/>
            <w:noWrap/>
            <w:vAlign w:val="center"/>
            <w:hideMark/>
          </w:tcPr>
          <w:p w14:paraId="10B8DC5B" w14:textId="77777777" w:rsidR="00AD6203" w:rsidRPr="00AD6203" w:rsidRDefault="00AD6203" w:rsidP="00AD6203">
            <w:pPr>
              <w:spacing w:after="0" w:line="24" w:lineRule="atLeast"/>
              <w:ind w:hanging="84"/>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1 225 784</w:t>
            </w:r>
          </w:p>
        </w:tc>
        <w:tc>
          <w:tcPr>
            <w:tcW w:w="603" w:type="pct"/>
            <w:tcBorders>
              <w:top w:val="nil"/>
              <w:left w:val="nil"/>
              <w:bottom w:val="single" w:sz="8" w:space="0" w:color="auto"/>
              <w:right w:val="single" w:sz="8" w:space="0" w:color="auto"/>
            </w:tcBorders>
            <w:shd w:val="clear" w:color="auto" w:fill="auto"/>
            <w:noWrap/>
            <w:vAlign w:val="center"/>
            <w:hideMark/>
          </w:tcPr>
          <w:p w14:paraId="1EEA405D" w14:textId="77777777" w:rsidR="00AD6203" w:rsidRPr="00AD6203" w:rsidRDefault="00AD6203" w:rsidP="00AD6203">
            <w:pPr>
              <w:spacing w:after="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545 050</w:t>
            </w:r>
          </w:p>
        </w:tc>
      </w:tr>
      <w:tr w:rsidR="00AD6203" w:rsidRPr="00AD6203" w14:paraId="626952DF" w14:textId="77777777" w:rsidTr="00AD6203">
        <w:trPr>
          <w:trHeight w:val="300"/>
          <w:jc w:val="center"/>
        </w:trPr>
        <w:tc>
          <w:tcPr>
            <w:tcW w:w="2416" w:type="pct"/>
            <w:tcBorders>
              <w:top w:val="nil"/>
              <w:left w:val="single" w:sz="8" w:space="0" w:color="auto"/>
              <w:bottom w:val="single" w:sz="8" w:space="0" w:color="auto"/>
              <w:right w:val="single" w:sz="4" w:space="0" w:color="auto"/>
            </w:tcBorders>
            <w:shd w:val="clear" w:color="auto" w:fill="auto"/>
            <w:noWrap/>
            <w:vAlign w:val="center"/>
            <w:hideMark/>
          </w:tcPr>
          <w:p w14:paraId="621EF09C" w14:textId="77777777" w:rsidR="00AD6203" w:rsidRPr="00AD6203" w:rsidRDefault="00AD6203" w:rsidP="00AD6203">
            <w:pPr>
              <w:spacing w:before="60" w:after="60" w:line="24" w:lineRule="atLeast"/>
              <w:ind w:left="-118" w:right="-85"/>
              <w:jc w:val="center"/>
              <w:rPr>
                <w:rFonts w:ascii="Times New Roman" w:hAnsi="Times New Roman"/>
                <w:color w:val="000000"/>
                <w:sz w:val="24"/>
                <w:szCs w:val="24"/>
                <w:lang w:val="bg-BG"/>
              </w:rPr>
            </w:pPr>
            <w:r w:rsidRPr="00AD6203">
              <w:rPr>
                <w:rFonts w:ascii="Times New Roman" w:hAnsi="Times New Roman"/>
                <w:color w:val="000000"/>
                <w:sz w:val="24"/>
                <w:szCs w:val="24"/>
                <w:lang w:val="bg-BG"/>
              </w:rPr>
              <w:t>Брой корабни посещения - товарни кораби</w:t>
            </w:r>
          </w:p>
        </w:tc>
        <w:tc>
          <w:tcPr>
            <w:tcW w:w="703" w:type="pct"/>
            <w:tcBorders>
              <w:top w:val="nil"/>
              <w:left w:val="nil"/>
              <w:bottom w:val="single" w:sz="8" w:space="0" w:color="auto"/>
              <w:right w:val="single" w:sz="8" w:space="0" w:color="auto"/>
            </w:tcBorders>
            <w:shd w:val="clear" w:color="auto" w:fill="auto"/>
            <w:noWrap/>
            <w:vAlign w:val="center"/>
            <w:hideMark/>
          </w:tcPr>
          <w:p w14:paraId="58017A65"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1 306</w:t>
            </w:r>
          </w:p>
        </w:tc>
        <w:tc>
          <w:tcPr>
            <w:tcW w:w="669" w:type="pct"/>
            <w:tcBorders>
              <w:top w:val="nil"/>
              <w:left w:val="nil"/>
              <w:bottom w:val="single" w:sz="8" w:space="0" w:color="auto"/>
              <w:right w:val="single" w:sz="8" w:space="0" w:color="auto"/>
            </w:tcBorders>
            <w:shd w:val="clear" w:color="auto" w:fill="auto"/>
            <w:noWrap/>
            <w:vAlign w:val="center"/>
            <w:hideMark/>
          </w:tcPr>
          <w:p w14:paraId="4BC159D8"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1 597</w:t>
            </w:r>
          </w:p>
        </w:tc>
        <w:tc>
          <w:tcPr>
            <w:tcW w:w="609" w:type="pct"/>
            <w:tcBorders>
              <w:top w:val="nil"/>
              <w:left w:val="nil"/>
              <w:bottom w:val="single" w:sz="8" w:space="0" w:color="auto"/>
              <w:right w:val="single" w:sz="8" w:space="0" w:color="auto"/>
            </w:tcBorders>
            <w:shd w:val="clear" w:color="auto" w:fill="auto"/>
            <w:noWrap/>
            <w:vAlign w:val="center"/>
            <w:hideMark/>
          </w:tcPr>
          <w:p w14:paraId="53A0958D"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2 921</w:t>
            </w:r>
          </w:p>
        </w:tc>
        <w:tc>
          <w:tcPr>
            <w:tcW w:w="603" w:type="pct"/>
            <w:tcBorders>
              <w:top w:val="nil"/>
              <w:left w:val="nil"/>
              <w:bottom w:val="single" w:sz="8" w:space="0" w:color="auto"/>
              <w:right w:val="single" w:sz="8" w:space="0" w:color="auto"/>
            </w:tcBorders>
            <w:shd w:val="clear" w:color="auto" w:fill="auto"/>
            <w:noWrap/>
            <w:vAlign w:val="center"/>
            <w:hideMark/>
          </w:tcPr>
          <w:p w14:paraId="52961325" w14:textId="77777777" w:rsidR="00AD6203" w:rsidRPr="00AD6203" w:rsidRDefault="00AD6203" w:rsidP="00AD6203">
            <w:pPr>
              <w:spacing w:before="60" w:after="60" w:line="24" w:lineRule="atLeast"/>
              <w:ind w:firstLine="49"/>
              <w:jc w:val="right"/>
              <w:rPr>
                <w:rFonts w:ascii="Times New Roman" w:hAnsi="Times New Roman"/>
                <w:color w:val="000000"/>
                <w:sz w:val="24"/>
                <w:szCs w:val="24"/>
                <w:lang w:val="bg-BG"/>
              </w:rPr>
            </w:pPr>
            <w:r w:rsidRPr="00AD6203">
              <w:rPr>
                <w:rFonts w:ascii="Times New Roman" w:hAnsi="Times New Roman"/>
                <w:color w:val="000000"/>
                <w:sz w:val="24"/>
                <w:szCs w:val="24"/>
                <w:lang w:val="bg-BG"/>
              </w:rPr>
              <w:t>1 082</w:t>
            </w:r>
          </w:p>
        </w:tc>
      </w:tr>
    </w:tbl>
    <w:p w14:paraId="0AA4B758" w14:textId="77777777" w:rsidR="003A05A1" w:rsidRDefault="003A05A1" w:rsidP="003A05A1">
      <w:pPr>
        <w:spacing w:after="0" w:line="360" w:lineRule="auto"/>
        <w:ind w:firstLine="720"/>
        <w:rPr>
          <w:rFonts w:ascii="Times New Roman" w:hAnsi="Times New Roman"/>
          <w:sz w:val="22"/>
          <w:lang w:val="bg-BG"/>
        </w:rPr>
      </w:pPr>
    </w:p>
    <w:p w14:paraId="7D9D2C72"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На база тези данни за последните пет години са направени обобщения за извършената работа в обработени тонове по видове пристанища, необходима за прогнозата.</w:t>
      </w:r>
    </w:p>
    <w:p w14:paraId="67678AEC" w14:textId="15B91391" w:rsidR="00AD6203" w:rsidRPr="00AD6203" w:rsidRDefault="00D86E60" w:rsidP="004822D7">
      <w:pPr>
        <w:spacing w:after="120" w:line="24" w:lineRule="atLeast"/>
        <w:ind w:firstLine="720"/>
        <w:jc w:val="center"/>
        <w:rPr>
          <w:rFonts w:ascii="Times New Roman" w:eastAsia="Times New Roman" w:hAnsi="Times New Roman"/>
          <w:sz w:val="24"/>
          <w:szCs w:val="24"/>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15</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bookmarkStart w:id="115" w:name="_Toc115547629"/>
      <w:r w:rsidR="00AD6203" w:rsidRPr="00D86E60">
        <w:rPr>
          <w:rFonts w:ascii="Times New Roman" w:hAnsi="Times New Roman" w:cs="Arial"/>
          <w:i/>
          <w:color w:val="000000"/>
          <w:sz w:val="22"/>
          <w:lang w:val="bg-BG"/>
        </w:rPr>
        <w:t>Определяне на средния товар за един кораб</w:t>
      </w:r>
    </w:p>
    <w:tbl>
      <w:tblPr>
        <w:tblW w:w="92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2"/>
        <w:gridCol w:w="1095"/>
        <w:gridCol w:w="1079"/>
        <w:gridCol w:w="1063"/>
        <w:gridCol w:w="1041"/>
        <w:gridCol w:w="1000"/>
      </w:tblGrid>
      <w:tr w:rsidR="00AD6203" w:rsidRPr="00AD6203" w14:paraId="34B231D5" w14:textId="77777777" w:rsidTr="00AD6203">
        <w:trPr>
          <w:trHeight w:val="300"/>
        </w:trPr>
        <w:tc>
          <w:tcPr>
            <w:tcW w:w="3922" w:type="dxa"/>
            <w:shd w:val="clear" w:color="auto" w:fill="C5E0B3"/>
            <w:noWrap/>
            <w:vAlign w:val="center"/>
            <w:hideMark/>
          </w:tcPr>
          <w:bookmarkEnd w:id="115"/>
          <w:p w14:paraId="0A4975D3" w14:textId="77777777" w:rsidR="00AD6203" w:rsidRPr="00AD6203" w:rsidRDefault="00AD6203" w:rsidP="00AD6203">
            <w:pPr>
              <w:spacing w:after="0" w:line="240" w:lineRule="auto"/>
              <w:jc w:val="center"/>
              <w:rPr>
                <w:rFonts w:ascii="Times New Roman" w:eastAsia="Times New Roman" w:hAnsi="Times New Roman"/>
                <w:sz w:val="20"/>
                <w:szCs w:val="24"/>
                <w:lang w:val="en-US"/>
              </w:rPr>
            </w:pPr>
            <w:r w:rsidRPr="00AD6203">
              <w:rPr>
                <w:rFonts w:ascii="Times New Roman" w:eastAsia="Times New Roman" w:hAnsi="Times New Roman"/>
                <w:b/>
                <w:sz w:val="24"/>
                <w:szCs w:val="24"/>
                <w:lang w:val="bg-BG"/>
              </w:rPr>
              <w:t>Показатели</w:t>
            </w:r>
          </w:p>
        </w:tc>
        <w:tc>
          <w:tcPr>
            <w:tcW w:w="1095" w:type="dxa"/>
            <w:shd w:val="clear" w:color="auto" w:fill="C5E0B3"/>
            <w:noWrap/>
            <w:vAlign w:val="center"/>
            <w:hideMark/>
          </w:tcPr>
          <w:p w14:paraId="3F39DD52" w14:textId="77777777" w:rsidR="00AD6203" w:rsidRPr="00AD6203" w:rsidRDefault="00AD6203" w:rsidP="00AD6203">
            <w:pPr>
              <w:spacing w:after="0" w:line="240" w:lineRule="auto"/>
              <w:ind w:firstLine="113"/>
              <w:jc w:val="center"/>
              <w:rPr>
                <w:rFonts w:ascii="Times New Roman" w:eastAsia="Times New Roman" w:hAnsi="Times New Roman"/>
                <w:color w:val="000000"/>
                <w:sz w:val="22"/>
                <w:szCs w:val="24"/>
                <w:lang w:val="en-US"/>
              </w:rPr>
            </w:pPr>
            <w:r w:rsidRPr="00AD6203">
              <w:rPr>
                <w:rFonts w:ascii="Times New Roman" w:eastAsia="Times New Roman" w:hAnsi="Times New Roman"/>
                <w:b/>
                <w:color w:val="000000"/>
                <w:sz w:val="24"/>
                <w:szCs w:val="24"/>
                <w:lang w:val="bg-BG"/>
              </w:rPr>
              <w:t>2018 г.</w:t>
            </w:r>
          </w:p>
        </w:tc>
        <w:tc>
          <w:tcPr>
            <w:tcW w:w="1079" w:type="dxa"/>
            <w:shd w:val="clear" w:color="auto" w:fill="C5E0B3"/>
            <w:noWrap/>
            <w:vAlign w:val="center"/>
            <w:hideMark/>
          </w:tcPr>
          <w:p w14:paraId="29EC5913" w14:textId="77777777" w:rsidR="00AD6203" w:rsidRPr="00AD6203" w:rsidRDefault="00AD6203" w:rsidP="00AD6203">
            <w:pPr>
              <w:spacing w:after="0" w:line="240" w:lineRule="auto"/>
              <w:ind w:firstLine="113"/>
              <w:jc w:val="center"/>
              <w:rPr>
                <w:rFonts w:ascii="Times New Roman" w:eastAsia="Times New Roman" w:hAnsi="Times New Roman"/>
                <w:color w:val="000000"/>
                <w:sz w:val="22"/>
                <w:szCs w:val="24"/>
                <w:lang w:val="en-US"/>
              </w:rPr>
            </w:pPr>
            <w:r w:rsidRPr="00AD6203">
              <w:rPr>
                <w:rFonts w:ascii="Times New Roman" w:eastAsia="Times New Roman" w:hAnsi="Times New Roman"/>
                <w:b/>
                <w:color w:val="000000"/>
                <w:sz w:val="24"/>
                <w:szCs w:val="24"/>
                <w:lang w:val="bg-BG"/>
              </w:rPr>
              <w:t>2019 г.</w:t>
            </w:r>
          </w:p>
        </w:tc>
        <w:tc>
          <w:tcPr>
            <w:tcW w:w="1063" w:type="dxa"/>
            <w:shd w:val="clear" w:color="auto" w:fill="C5E0B3"/>
            <w:noWrap/>
            <w:vAlign w:val="center"/>
            <w:hideMark/>
          </w:tcPr>
          <w:p w14:paraId="6B21EFE9" w14:textId="77777777" w:rsidR="00AD6203" w:rsidRPr="00AD6203" w:rsidRDefault="00AD6203" w:rsidP="00AD6203">
            <w:pPr>
              <w:spacing w:after="0" w:line="240" w:lineRule="auto"/>
              <w:ind w:firstLine="113"/>
              <w:jc w:val="center"/>
              <w:rPr>
                <w:rFonts w:ascii="Times New Roman" w:eastAsia="Times New Roman" w:hAnsi="Times New Roman"/>
                <w:color w:val="000000"/>
                <w:sz w:val="22"/>
                <w:szCs w:val="24"/>
                <w:lang w:val="en-US"/>
              </w:rPr>
            </w:pPr>
            <w:r w:rsidRPr="00AD6203">
              <w:rPr>
                <w:rFonts w:ascii="Times New Roman" w:eastAsia="Times New Roman" w:hAnsi="Times New Roman"/>
                <w:b/>
                <w:color w:val="000000"/>
                <w:sz w:val="24"/>
                <w:szCs w:val="24"/>
                <w:lang w:val="bg-BG"/>
              </w:rPr>
              <w:t>2020 г.</w:t>
            </w:r>
          </w:p>
        </w:tc>
        <w:tc>
          <w:tcPr>
            <w:tcW w:w="1041" w:type="dxa"/>
            <w:shd w:val="clear" w:color="auto" w:fill="C5E0B3"/>
            <w:noWrap/>
            <w:vAlign w:val="center"/>
            <w:hideMark/>
          </w:tcPr>
          <w:p w14:paraId="0FFDBED3" w14:textId="77777777" w:rsidR="00AD6203" w:rsidRPr="00AD6203" w:rsidRDefault="00AD6203" w:rsidP="00AD6203">
            <w:pPr>
              <w:spacing w:after="0" w:line="240" w:lineRule="auto"/>
              <w:ind w:hanging="57"/>
              <w:jc w:val="center"/>
              <w:rPr>
                <w:rFonts w:ascii="Times New Roman" w:eastAsia="Times New Roman" w:hAnsi="Times New Roman"/>
                <w:color w:val="000000"/>
                <w:sz w:val="22"/>
                <w:szCs w:val="24"/>
                <w:lang w:val="en-US"/>
              </w:rPr>
            </w:pPr>
            <w:r w:rsidRPr="00AD6203">
              <w:rPr>
                <w:rFonts w:ascii="Times New Roman" w:eastAsia="Times New Roman" w:hAnsi="Times New Roman"/>
                <w:b/>
                <w:color w:val="000000"/>
                <w:sz w:val="24"/>
                <w:szCs w:val="24"/>
                <w:lang w:val="bg-BG"/>
              </w:rPr>
              <w:t>2021 г.</w:t>
            </w:r>
          </w:p>
        </w:tc>
        <w:tc>
          <w:tcPr>
            <w:tcW w:w="1000" w:type="dxa"/>
            <w:shd w:val="clear" w:color="auto" w:fill="C5E0B3"/>
          </w:tcPr>
          <w:p w14:paraId="148E5DD3" w14:textId="77777777" w:rsidR="00AD6203" w:rsidRPr="00AD6203" w:rsidRDefault="00AD6203" w:rsidP="00AD6203">
            <w:pPr>
              <w:spacing w:after="0" w:line="240" w:lineRule="auto"/>
              <w:ind w:hanging="8"/>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2022 г.</w:t>
            </w:r>
          </w:p>
        </w:tc>
      </w:tr>
      <w:tr w:rsidR="00AD6203" w:rsidRPr="00AD6203" w14:paraId="53F941D0" w14:textId="77777777" w:rsidTr="00AD6203">
        <w:trPr>
          <w:trHeight w:val="288"/>
        </w:trPr>
        <w:tc>
          <w:tcPr>
            <w:tcW w:w="3922" w:type="dxa"/>
            <w:shd w:val="clear" w:color="auto" w:fill="auto"/>
            <w:noWrap/>
            <w:vAlign w:val="bottom"/>
            <w:hideMark/>
          </w:tcPr>
          <w:p w14:paraId="332E8B7A" w14:textId="77777777" w:rsidR="00AD6203" w:rsidRPr="004822D7" w:rsidRDefault="00AD6203" w:rsidP="00AD6203">
            <w:pPr>
              <w:spacing w:after="0" w:line="240" w:lineRule="auto"/>
              <w:rPr>
                <w:rFonts w:ascii="Times New Roman" w:eastAsia="Times New Roman" w:hAnsi="Times New Roman"/>
                <w:color w:val="000000"/>
                <w:sz w:val="22"/>
                <w:szCs w:val="24"/>
                <w:lang w:val="bg-BG"/>
              </w:rPr>
            </w:pPr>
            <w:r w:rsidRPr="004822D7">
              <w:rPr>
                <w:rFonts w:ascii="Times New Roman" w:eastAsia="Times New Roman" w:hAnsi="Times New Roman"/>
                <w:color w:val="000000"/>
                <w:sz w:val="22"/>
                <w:szCs w:val="24"/>
                <w:lang w:val="bg-BG"/>
              </w:rPr>
              <w:t>Извършена работа общо морски</w:t>
            </w:r>
          </w:p>
        </w:tc>
        <w:tc>
          <w:tcPr>
            <w:tcW w:w="1095" w:type="dxa"/>
            <w:shd w:val="clear" w:color="auto" w:fill="auto"/>
            <w:noWrap/>
            <w:vAlign w:val="bottom"/>
            <w:hideMark/>
          </w:tcPr>
          <w:p w14:paraId="1BA98BA8"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26837629</w:t>
            </w:r>
          </w:p>
        </w:tc>
        <w:tc>
          <w:tcPr>
            <w:tcW w:w="1079" w:type="dxa"/>
            <w:shd w:val="clear" w:color="auto" w:fill="auto"/>
            <w:noWrap/>
            <w:vAlign w:val="bottom"/>
            <w:hideMark/>
          </w:tcPr>
          <w:p w14:paraId="525F78AF"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26846593</w:t>
            </w:r>
          </w:p>
        </w:tc>
        <w:tc>
          <w:tcPr>
            <w:tcW w:w="1063" w:type="dxa"/>
            <w:shd w:val="clear" w:color="auto" w:fill="auto"/>
            <w:noWrap/>
            <w:vAlign w:val="bottom"/>
            <w:hideMark/>
          </w:tcPr>
          <w:p w14:paraId="33A5A472"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22843624</w:t>
            </w:r>
          </w:p>
        </w:tc>
        <w:tc>
          <w:tcPr>
            <w:tcW w:w="1041" w:type="dxa"/>
            <w:shd w:val="clear" w:color="auto" w:fill="auto"/>
            <w:noWrap/>
            <w:vAlign w:val="bottom"/>
            <w:hideMark/>
          </w:tcPr>
          <w:p w14:paraId="74A27F34"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25530578</w:t>
            </w:r>
          </w:p>
        </w:tc>
        <w:tc>
          <w:tcPr>
            <w:tcW w:w="1000" w:type="dxa"/>
            <w:shd w:val="clear" w:color="auto" w:fill="auto"/>
            <w:vAlign w:val="bottom"/>
          </w:tcPr>
          <w:p w14:paraId="18F6ED45" w14:textId="77777777" w:rsidR="00AD6203" w:rsidRPr="00AD6203" w:rsidRDefault="00AD6203" w:rsidP="00AD6203">
            <w:pPr>
              <w:spacing w:after="0" w:line="240" w:lineRule="auto"/>
              <w:ind w:hanging="98"/>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29336123</w:t>
            </w:r>
          </w:p>
        </w:tc>
      </w:tr>
      <w:tr w:rsidR="00AD6203" w:rsidRPr="00AD6203" w14:paraId="1C94E1BF" w14:textId="77777777" w:rsidTr="00AD6203">
        <w:trPr>
          <w:trHeight w:val="288"/>
        </w:trPr>
        <w:tc>
          <w:tcPr>
            <w:tcW w:w="3922" w:type="dxa"/>
            <w:shd w:val="clear" w:color="auto" w:fill="auto"/>
            <w:noWrap/>
            <w:vAlign w:val="bottom"/>
            <w:hideMark/>
          </w:tcPr>
          <w:p w14:paraId="1C5EA8EC" w14:textId="6DC79A09" w:rsidR="00AD6203" w:rsidRPr="004822D7" w:rsidRDefault="00420C39" w:rsidP="00AD6203">
            <w:pPr>
              <w:spacing w:after="0" w:line="240" w:lineRule="auto"/>
              <w:rPr>
                <w:rFonts w:ascii="Times New Roman" w:eastAsia="Times New Roman" w:hAnsi="Times New Roman"/>
                <w:color w:val="000000"/>
                <w:sz w:val="22"/>
                <w:szCs w:val="24"/>
                <w:lang w:val="bg-BG"/>
              </w:rPr>
            </w:pPr>
            <w:r>
              <w:rPr>
                <w:rFonts w:ascii="Times New Roman" w:eastAsia="Times New Roman" w:hAnsi="Times New Roman"/>
                <w:color w:val="000000"/>
                <w:sz w:val="22"/>
                <w:szCs w:val="24"/>
                <w:lang w:val="bg-BG"/>
              </w:rPr>
              <w:t xml:space="preserve">брой корабни </w:t>
            </w:r>
            <w:r w:rsidR="00AD6203" w:rsidRPr="004822D7">
              <w:rPr>
                <w:rFonts w:ascii="Times New Roman" w:eastAsia="Times New Roman" w:hAnsi="Times New Roman"/>
                <w:color w:val="000000"/>
                <w:sz w:val="22"/>
                <w:szCs w:val="24"/>
                <w:lang w:val="bg-BG"/>
              </w:rPr>
              <w:t>посещения общо морски</w:t>
            </w:r>
          </w:p>
        </w:tc>
        <w:tc>
          <w:tcPr>
            <w:tcW w:w="1095" w:type="dxa"/>
            <w:shd w:val="clear" w:color="auto" w:fill="auto"/>
            <w:noWrap/>
            <w:vAlign w:val="bottom"/>
            <w:hideMark/>
          </w:tcPr>
          <w:p w14:paraId="76832FD6"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3417</w:t>
            </w:r>
          </w:p>
        </w:tc>
        <w:tc>
          <w:tcPr>
            <w:tcW w:w="1079" w:type="dxa"/>
            <w:shd w:val="clear" w:color="auto" w:fill="auto"/>
            <w:noWrap/>
            <w:vAlign w:val="bottom"/>
            <w:hideMark/>
          </w:tcPr>
          <w:p w14:paraId="21CF173C"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3773</w:t>
            </w:r>
          </w:p>
        </w:tc>
        <w:tc>
          <w:tcPr>
            <w:tcW w:w="1063" w:type="dxa"/>
            <w:shd w:val="clear" w:color="auto" w:fill="auto"/>
            <w:noWrap/>
            <w:vAlign w:val="bottom"/>
            <w:hideMark/>
          </w:tcPr>
          <w:p w14:paraId="20BB2141"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3411</w:t>
            </w:r>
          </w:p>
        </w:tc>
        <w:tc>
          <w:tcPr>
            <w:tcW w:w="1041" w:type="dxa"/>
            <w:shd w:val="clear" w:color="auto" w:fill="auto"/>
            <w:noWrap/>
            <w:vAlign w:val="bottom"/>
            <w:hideMark/>
          </w:tcPr>
          <w:p w14:paraId="45F786E4"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3297</w:t>
            </w:r>
          </w:p>
        </w:tc>
        <w:tc>
          <w:tcPr>
            <w:tcW w:w="1000" w:type="dxa"/>
            <w:shd w:val="clear" w:color="auto" w:fill="auto"/>
            <w:vAlign w:val="bottom"/>
          </w:tcPr>
          <w:p w14:paraId="43FEAF38"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2903</w:t>
            </w:r>
          </w:p>
        </w:tc>
      </w:tr>
      <w:tr w:rsidR="00AD6203" w:rsidRPr="00AD6203" w14:paraId="09BB1F45" w14:textId="77777777" w:rsidTr="00AD6203">
        <w:trPr>
          <w:trHeight w:val="288"/>
        </w:trPr>
        <w:tc>
          <w:tcPr>
            <w:tcW w:w="3922" w:type="dxa"/>
            <w:shd w:val="clear" w:color="auto" w:fill="auto"/>
            <w:noWrap/>
            <w:vAlign w:val="bottom"/>
            <w:hideMark/>
          </w:tcPr>
          <w:p w14:paraId="16A50D2B" w14:textId="77777777" w:rsidR="00AD6203" w:rsidRPr="004822D7" w:rsidRDefault="00AD6203" w:rsidP="00AD6203">
            <w:pPr>
              <w:spacing w:after="0" w:line="240" w:lineRule="auto"/>
              <w:rPr>
                <w:rFonts w:ascii="Times New Roman" w:eastAsia="Times New Roman" w:hAnsi="Times New Roman"/>
                <w:color w:val="000000"/>
                <w:sz w:val="22"/>
                <w:szCs w:val="24"/>
                <w:lang w:val="bg-BG"/>
              </w:rPr>
            </w:pPr>
            <w:r w:rsidRPr="004822D7">
              <w:rPr>
                <w:rFonts w:ascii="Times New Roman" w:eastAsia="Times New Roman" w:hAnsi="Times New Roman"/>
                <w:color w:val="000000"/>
                <w:sz w:val="22"/>
                <w:szCs w:val="24"/>
                <w:lang w:val="bg-BG"/>
              </w:rPr>
              <w:t>среден товар на 1 кораб морски</w:t>
            </w:r>
          </w:p>
        </w:tc>
        <w:tc>
          <w:tcPr>
            <w:tcW w:w="1095" w:type="dxa"/>
            <w:shd w:val="clear" w:color="auto" w:fill="auto"/>
            <w:noWrap/>
            <w:vAlign w:val="bottom"/>
            <w:hideMark/>
          </w:tcPr>
          <w:p w14:paraId="54F6E79D"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7854,1495</w:t>
            </w:r>
          </w:p>
        </w:tc>
        <w:tc>
          <w:tcPr>
            <w:tcW w:w="1079" w:type="dxa"/>
            <w:shd w:val="clear" w:color="auto" w:fill="auto"/>
            <w:noWrap/>
            <w:vAlign w:val="bottom"/>
            <w:hideMark/>
          </w:tcPr>
          <w:p w14:paraId="1F204655"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7115,45</w:t>
            </w:r>
          </w:p>
        </w:tc>
        <w:tc>
          <w:tcPr>
            <w:tcW w:w="1063" w:type="dxa"/>
            <w:shd w:val="clear" w:color="auto" w:fill="auto"/>
            <w:noWrap/>
            <w:vAlign w:val="bottom"/>
            <w:hideMark/>
          </w:tcPr>
          <w:p w14:paraId="3436EB9E"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6697,05</w:t>
            </w:r>
          </w:p>
        </w:tc>
        <w:tc>
          <w:tcPr>
            <w:tcW w:w="1041" w:type="dxa"/>
            <w:shd w:val="clear" w:color="auto" w:fill="auto"/>
            <w:noWrap/>
            <w:vAlign w:val="bottom"/>
            <w:hideMark/>
          </w:tcPr>
          <w:p w14:paraId="39F9E3D7"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7743,58</w:t>
            </w:r>
          </w:p>
        </w:tc>
        <w:tc>
          <w:tcPr>
            <w:tcW w:w="1000" w:type="dxa"/>
            <w:shd w:val="clear" w:color="auto" w:fill="auto"/>
            <w:vAlign w:val="bottom"/>
          </w:tcPr>
          <w:p w14:paraId="42A687F8"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10105,45</w:t>
            </w:r>
          </w:p>
        </w:tc>
      </w:tr>
      <w:tr w:rsidR="00AD6203" w:rsidRPr="00AD6203" w14:paraId="7803D323" w14:textId="77777777" w:rsidTr="00AD6203">
        <w:trPr>
          <w:trHeight w:val="288"/>
        </w:trPr>
        <w:tc>
          <w:tcPr>
            <w:tcW w:w="3922" w:type="dxa"/>
            <w:shd w:val="clear" w:color="auto" w:fill="auto"/>
            <w:noWrap/>
            <w:vAlign w:val="bottom"/>
            <w:hideMark/>
          </w:tcPr>
          <w:p w14:paraId="6AAB5C4D" w14:textId="77777777" w:rsidR="00AD6203" w:rsidRPr="004822D7" w:rsidRDefault="00AD6203" w:rsidP="00AD6203">
            <w:pPr>
              <w:spacing w:after="0" w:line="240" w:lineRule="auto"/>
              <w:rPr>
                <w:rFonts w:ascii="Times New Roman" w:eastAsia="Times New Roman" w:hAnsi="Times New Roman"/>
                <w:color w:val="000000"/>
                <w:sz w:val="22"/>
                <w:szCs w:val="24"/>
                <w:lang w:val="bg-BG"/>
              </w:rPr>
            </w:pPr>
            <w:r w:rsidRPr="004822D7">
              <w:rPr>
                <w:rFonts w:ascii="Times New Roman" w:eastAsia="Times New Roman" w:hAnsi="Times New Roman"/>
                <w:color w:val="000000"/>
                <w:sz w:val="22"/>
                <w:szCs w:val="24"/>
                <w:lang w:val="bg-BG"/>
              </w:rPr>
              <w:t>Извършена работа общо речни</w:t>
            </w:r>
          </w:p>
        </w:tc>
        <w:tc>
          <w:tcPr>
            <w:tcW w:w="1095" w:type="dxa"/>
            <w:shd w:val="clear" w:color="auto" w:fill="auto"/>
            <w:noWrap/>
            <w:vAlign w:val="bottom"/>
            <w:hideMark/>
          </w:tcPr>
          <w:p w14:paraId="4B00E5B1"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1879091</w:t>
            </w:r>
          </w:p>
        </w:tc>
        <w:tc>
          <w:tcPr>
            <w:tcW w:w="1079" w:type="dxa"/>
            <w:shd w:val="clear" w:color="auto" w:fill="auto"/>
            <w:noWrap/>
            <w:vAlign w:val="bottom"/>
            <w:hideMark/>
          </w:tcPr>
          <w:p w14:paraId="7C788A78"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1944977</w:t>
            </w:r>
          </w:p>
        </w:tc>
        <w:tc>
          <w:tcPr>
            <w:tcW w:w="1063" w:type="dxa"/>
            <w:shd w:val="clear" w:color="auto" w:fill="auto"/>
            <w:noWrap/>
            <w:vAlign w:val="bottom"/>
            <w:hideMark/>
          </w:tcPr>
          <w:p w14:paraId="37650F43"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1954191</w:t>
            </w:r>
          </w:p>
        </w:tc>
        <w:tc>
          <w:tcPr>
            <w:tcW w:w="1041" w:type="dxa"/>
            <w:shd w:val="clear" w:color="auto" w:fill="auto"/>
            <w:noWrap/>
            <w:vAlign w:val="bottom"/>
            <w:hideMark/>
          </w:tcPr>
          <w:p w14:paraId="3B0745F2"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2051819</w:t>
            </w:r>
          </w:p>
        </w:tc>
        <w:tc>
          <w:tcPr>
            <w:tcW w:w="1000" w:type="dxa"/>
            <w:shd w:val="clear" w:color="auto" w:fill="auto"/>
            <w:vAlign w:val="bottom"/>
          </w:tcPr>
          <w:p w14:paraId="21132F21"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1770834</w:t>
            </w:r>
          </w:p>
        </w:tc>
      </w:tr>
      <w:tr w:rsidR="00AD6203" w:rsidRPr="00AD6203" w14:paraId="1544069C" w14:textId="77777777" w:rsidTr="00AD6203">
        <w:trPr>
          <w:trHeight w:val="288"/>
        </w:trPr>
        <w:tc>
          <w:tcPr>
            <w:tcW w:w="3922" w:type="dxa"/>
            <w:shd w:val="clear" w:color="auto" w:fill="auto"/>
            <w:noWrap/>
            <w:vAlign w:val="bottom"/>
            <w:hideMark/>
          </w:tcPr>
          <w:p w14:paraId="45C7D0DD" w14:textId="00A5645E" w:rsidR="00AD6203" w:rsidRPr="004822D7" w:rsidRDefault="00420C39" w:rsidP="00AD6203">
            <w:pPr>
              <w:spacing w:after="0" w:line="240" w:lineRule="auto"/>
              <w:rPr>
                <w:rFonts w:ascii="Times New Roman" w:eastAsia="Times New Roman" w:hAnsi="Times New Roman"/>
                <w:color w:val="000000"/>
                <w:sz w:val="22"/>
                <w:szCs w:val="24"/>
                <w:lang w:val="bg-BG"/>
              </w:rPr>
            </w:pPr>
            <w:r>
              <w:rPr>
                <w:rFonts w:ascii="Times New Roman" w:eastAsia="Times New Roman" w:hAnsi="Times New Roman"/>
                <w:color w:val="000000"/>
                <w:sz w:val="22"/>
                <w:szCs w:val="24"/>
                <w:lang w:val="bg-BG"/>
              </w:rPr>
              <w:t>брой корабни</w:t>
            </w:r>
            <w:r w:rsidR="00AD6203" w:rsidRPr="004822D7">
              <w:rPr>
                <w:rFonts w:ascii="Times New Roman" w:eastAsia="Times New Roman" w:hAnsi="Times New Roman"/>
                <w:color w:val="000000"/>
                <w:sz w:val="22"/>
                <w:szCs w:val="24"/>
                <w:lang w:val="bg-BG"/>
              </w:rPr>
              <w:t xml:space="preserve"> посещения общо речни</w:t>
            </w:r>
          </w:p>
        </w:tc>
        <w:tc>
          <w:tcPr>
            <w:tcW w:w="1095" w:type="dxa"/>
            <w:shd w:val="clear" w:color="auto" w:fill="auto"/>
            <w:noWrap/>
            <w:vAlign w:val="bottom"/>
            <w:hideMark/>
          </w:tcPr>
          <w:p w14:paraId="1DA47E89"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2617</w:t>
            </w:r>
          </w:p>
        </w:tc>
        <w:tc>
          <w:tcPr>
            <w:tcW w:w="1079" w:type="dxa"/>
            <w:shd w:val="clear" w:color="auto" w:fill="auto"/>
            <w:noWrap/>
            <w:vAlign w:val="bottom"/>
            <w:hideMark/>
          </w:tcPr>
          <w:p w14:paraId="4A9715DA"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2840</w:t>
            </w:r>
          </w:p>
        </w:tc>
        <w:tc>
          <w:tcPr>
            <w:tcW w:w="1063" w:type="dxa"/>
            <w:shd w:val="clear" w:color="auto" w:fill="auto"/>
            <w:noWrap/>
            <w:vAlign w:val="bottom"/>
            <w:hideMark/>
          </w:tcPr>
          <w:p w14:paraId="212E1BFF"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2395</w:t>
            </w:r>
          </w:p>
        </w:tc>
        <w:tc>
          <w:tcPr>
            <w:tcW w:w="1041" w:type="dxa"/>
            <w:shd w:val="clear" w:color="auto" w:fill="auto"/>
            <w:noWrap/>
            <w:vAlign w:val="bottom"/>
            <w:hideMark/>
          </w:tcPr>
          <w:p w14:paraId="00F4CA46"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2660</w:t>
            </w:r>
          </w:p>
        </w:tc>
        <w:tc>
          <w:tcPr>
            <w:tcW w:w="1000" w:type="dxa"/>
            <w:shd w:val="clear" w:color="auto" w:fill="auto"/>
            <w:vAlign w:val="bottom"/>
          </w:tcPr>
          <w:p w14:paraId="4A00A197"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4003</w:t>
            </w:r>
          </w:p>
        </w:tc>
      </w:tr>
      <w:tr w:rsidR="00AD6203" w:rsidRPr="00AD6203" w14:paraId="5C2D6793" w14:textId="77777777" w:rsidTr="00AD6203">
        <w:trPr>
          <w:trHeight w:val="100"/>
        </w:trPr>
        <w:tc>
          <w:tcPr>
            <w:tcW w:w="3922" w:type="dxa"/>
            <w:shd w:val="clear" w:color="auto" w:fill="auto"/>
            <w:noWrap/>
            <w:vAlign w:val="bottom"/>
            <w:hideMark/>
          </w:tcPr>
          <w:p w14:paraId="6DBE4B10" w14:textId="77777777" w:rsidR="00AD6203" w:rsidRPr="004822D7" w:rsidRDefault="00AD6203" w:rsidP="00AD6203">
            <w:pPr>
              <w:spacing w:after="0" w:line="240" w:lineRule="auto"/>
              <w:rPr>
                <w:rFonts w:ascii="Times New Roman" w:eastAsia="Times New Roman" w:hAnsi="Times New Roman"/>
                <w:color w:val="000000"/>
                <w:sz w:val="22"/>
                <w:szCs w:val="24"/>
                <w:lang w:val="bg-BG"/>
              </w:rPr>
            </w:pPr>
            <w:r w:rsidRPr="004822D7">
              <w:rPr>
                <w:rFonts w:ascii="Times New Roman" w:eastAsia="Times New Roman" w:hAnsi="Times New Roman"/>
                <w:color w:val="000000"/>
                <w:sz w:val="22"/>
                <w:szCs w:val="24"/>
                <w:lang w:val="bg-BG"/>
              </w:rPr>
              <w:t>среден товар на 1 кораб речни</w:t>
            </w:r>
          </w:p>
        </w:tc>
        <w:tc>
          <w:tcPr>
            <w:tcW w:w="1095" w:type="dxa"/>
            <w:shd w:val="clear" w:color="auto" w:fill="auto"/>
            <w:noWrap/>
            <w:vAlign w:val="bottom"/>
            <w:hideMark/>
          </w:tcPr>
          <w:p w14:paraId="38528E16"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718,03</w:t>
            </w:r>
          </w:p>
        </w:tc>
        <w:tc>
          <w:tcPr>
            <w:tcW w:w="1079" w:type="dxa"/>
            <w:shd w:val="clear" w:color="auto" w:fill="auto"/>
            <w:noWrap/>
            <w:vAlign w:val="bottom"/>
            <w:hideMark/>
          </w:tcPr>
          <w:p w14:paraId="5221C3C6"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684,85</w:t>
            </w:r>
          </w:p>
        </w:tc>
        <w:tc>
          <w:tcPr>
            <w:tcW w:w="1063" w:type="dxa"/>
            <w:shd w:val="clear" w:color="auto" w:fill="auto"/>
            <w:noWrap/>
            <w:vAlign w:val="bottom"/>
            <w:hideMark/>
          </w:tcPr>
          <w:p w14:paraId="74605E57"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815,95</w:t>
            </w:r>
          </w:p>
        </w:tc>
        <w:tc>
          <w:tcPr>
            <w:tcW w:w="1041" w:type="dxa"/>
            <w:shd w:val="clear" w:color="auto" w:fill="auto"/>
            <w:noWrap/>
            <w:vAlign w:val="bottom"/>
            <w:hideMark/>
          </w:tcPr>
          <w:p w14:paraId="30102086"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771,361</w:t>
            </w:r>
          </w:p>
        </w:tc>
        <w:tc>
          <w:tcPr>
            <w:tcW w:w="1000" w:type="dxa"/>
            <w:shd w:val="clear" w:color="auto" w:fill="auto"/>
            <w:vAlign w:val="bottom"/>
          </w:tcPr>
          <w:p w14:paraId="75BC8453" w14:textId="77777777" w:rsidR="00AD6203" w:rsidRPr="00AD6203" w:rsidRDefault="00AD6203" w:rsidP="00AD6203">
            <w:pPr>
              <w:spacing w:after="0" w:line="240" w:lineRule="auto"/>
              <w:jc w:val="right"/>
              <w:rPr>
                <w:rFonts w:ascii="Times New Roman" w:eastAsia="Times New Roman" w:hAnsi="Times New Roman"/>
                <w:color w:val="000000"/>
                <w:sz w:val="20"/>
                <w:szCs w:val="20"/>
                <w:lang w:val="en-US"/>
              </w:rPr>
            </w:pPr>
            <w:r w:rsidRPr="00AD6203">
              <w:rPr>
                <w:rFonts w:ascii="Times New Roman" w:hAnsi="Times New Roman"/>
                <w:color w:val="000000"/>
                <w:sz w:val="20"/>
                <w:szCs w:val="20"/>
                <w:lang w:val="bg-BG"/>
              </w:rPr>
              <w:t>842,333</w:t>
            </w:r>
          </w:p>
        </w:tc>
      </w:tr>
    </w:tbl>
    <w:p w14:paraId="54EB6351"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lastRenderedPageBreak/>
        <w:t>На база анализа на трендовете по видове пристанища и пътнически и товарни превози, за нуждите на прогнозата в сценария „Без проект“ са направени следните допускания:</w:t>
      </w:r>
    </w:p>
    <w:p w14:paraId="654E105C" w14:textId="77777777" w:rsidR="00AD6203" w:rsidRPr="003A05A1" w:rsidRDefault="00AD6203" w:rsidP="0021547C">
      <w:pPr>
        <w:numPr>
          <w:ilvl w:val="0"/>
          <w:numId w:val="80"/>
        </w:numPr>
        <w:spacing w:after="0" w:line="360" w:lineRule="auto"/>
        <w:contextualSpacing/>
        <w:rPr>
          <w:rFonts w:ascii="Times New Roman" w:hAnsi="Times New Roman"/>
          <w:sz w:val="22"/>
          <w:lang w:val="bg-BG"/>
        </w:rPr>
      </w:pPr>
      <w:r w:rsidRPr="003A05A1">
        <w:rPr>
          <w:rFonts w:ascii="Times New Roman" w:hAnsi="Times New Roman"/>
          <w:sz w:val="22"/>
          <w:lang w:val="bg-BG"/>
        </w:rPr>
        <w:t>За морския товарен транспорт е прогнозиран ръст, чрез който до 2030 г. се достига нивото от 2019 г., като се покриват последиците от COVID -19 в периода 2020-2022 г., а след този период се запазва установения тренд за последните 10 години от 2,89% ръст годишно, базирано на политиката на ЕС за преминаване към екологични видове транспорт;</w:t>
      </w:r>
    </w:p>
    <w:p w14:paraId="7ED695E0" w14:textId="77777777" w:rsidR="00AD6203" w:rsidRPr="003A05A1" w:rsidRDefault="00AD6203" w:rsidP="0021547C">
      <w:pPr>
        <w:numPr>
          <w:ilvl w:val="0"/>
          <w:numId w:val="80"/>
        </w:numPr>
        <w:spacing w:after="0" w:line="360" w:lineRule="auto"/>
        <w:contextualSpacing/>
        <w:rPr>
          <w:rFonts w:ascii="Times New Roman" w:hAnsi="Times New Roman"/>
          <w:sz w:val="22"/>
          <w:lang w:val="bg-BG"/>
        </w:rPr>
      </w:pPr>
      <w:r w:rsidRPr="003A05A1">
        <w:rPr>
          <w:rFonts w:ascii="Times New Roman" w:hAnsi="Times New Roman"/>
          <w:sz w:val="22"/>
          <w:lang w:val="bg-BG"/>
        </w:rPr>
        <w:t>За речния товарен транспорт е направено същото допускане, че до 2030 г. ще се достигнат резултатите от преди COVID-19 пандемията през 2019 г., а след този период се запазва установения тренд за последните 10 години от 0,04% ръст годишно, базирано на политиката на ЕС за преминаване към екологични видове транспорт.</w:t>
      </w:r>
    </w:p>
    <w:p w14:paraId="0940A744"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Установените трендове за ръст на товарните превози по видове пристанища и определените средни стойности в горната таблица са основата за направените прогнози, показани в следващата таблица:</w:t>
      </w:r>
    </w:p>
    <w:p w14:paraId="105D9CF8" w14:textId="53A9C27C" w:rsidR="00AD6203" w:rsidRPr="00D86E60" w:rsidRDefault="00D86E60" w:rsidP="004822D7">
      <w:pPr>
        <w:spacing w:after="120" w:line="24" w:lineRule="atLeast"/>
        <w:jc w:val="center"/>
        <w:rPr>
          <w:rFonts w:ascii="Times New Roman" w:eastAsia="Times New Roman" w:hAnsi="Times New Roman"/>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16</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00AD6203" w:rsidRPr="00D86E60">
        <w:rPr>
          <w:rFonts w:ascii="Times New Roman" w:hAnsi="Times New Roman" w:cs="Arial"/>
          <w:i/>
          <w:color w:val="000000"/>
          <w:sz w:val="22"/>
          <w:lang w:val="bg-BG"/>
        </w:rPr>
        <w:t>Прогноза за извършена работа за товарни превози по пристанища (Без проект)</w:t>
      </w:r>
    </w:p>
    <w:tbl>
      <w:tblPr>
        <w:tblW w:w="5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6"/>
        <w:gridCol w:w="874"/>
        <w:gridCol w:w="874"/>
        <w:gridCol w:w="930"/>
        <w:gridCol w:w="930"/>
        <w:gridCol w:w="942"/>
        <w:gridCol w:w="854"/>
      </w:tblGrid>
      <w:tr w:rsidR="00AD6203" w:rsidRPr="00AD6203" w14:paraId="4DDA0E0F" w14:textId="77777777" w:rsidTr="00AD6203">
        <w:trPr>
          <w:trHeight w:val="288"/>
          <w:jc w:val="center"/>
        </w:trPr>
        <w:tc>
          <w:tcPr>
            <w:tcW w:w="2281" w:type="pct"/>
            <w:shd w:val="clear" w:color="auto" w:fill="C5E0B3"/>
            <w:noWrap/>
            <w:vAlign w:val="center"/>
            <w:hideMark/>
          </w:tcPr>
          <w:p w14:paraId="725B9196" w14:textId="77777777" w:rsidR="00AD6203" w:rsidRPr="00AD6203" w:rsidRDefault="00AD6203" w:rsidP="00AD6203">
            <w:pPr>
              <w:spacing w:before="60" w:after="60" w:line="24" w:lineRule="atLeast"/>
              <w:ind w:firstLine="32"/>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Прогноза за трафика товарен Без проект</w:t>
            </w:r>
          </w:p>
        </w:tc>
        <w:tc>
          <w:tcPr>
            <w:tcW w:w="442" w:type="pct"/>
            <w:shd w:val="clear" w:color="auto" w:fill="C5E0B3"/>
            <w:noWrap/>
            <w:vAlign w:val="center"/>
            <w:hideMark/>
          </w:tcPr>
          <w:p w14:paraId="3DED09E0" w14:textId="77777777" w:rsidR="00AD6203" w:rsidRPr="00AD6203" w:rsidRDefault="00AD6203" w:rsidP="00AD6203">
            <w:pPr>
              <w:spacing w:before="60" w:after="60" w:line="24" w:lineRule="atLeast"/>
              <w:ind w:firstLine="32"/>
              <w:rPr>
                <w:rFonts w:ascii="Times New Roman" w:hAnsi="Times New Roman"/>
                <w:b/>
                <w:sz w:val="20"/>
                <w:szCs w:val="20"/>
                <w:lang w:val="bg-BG"/>
              </w:rPr>
            </w:pPr>
            <w:r w:rsidRPr="00AD6203">
              <w:rPr>
                <w:rFonts w:ascii="Times New Roman" w:hAnsi="Times New Roman"/>
                <w:b/>
                <w:sz w:val="20"/>
                <w:szCs w:val="20"/>
                <w:lang w:val="bg-BG"/>
              </w:rPr>
              <w:t>2023 г.</w:t>
            </w:r>
          </w:p>
        </w:tc>
        <w:tc>
          <w:tcPr>
            <w:tcW w:w="442" w:type="pct"/>
            <w:shd w:val="clear" w:color="auto" w:fill="C5E0B3"/>
            <w:noWrap/>
            <w:vAlign w:val="center"/>
            <w:hideMark/>
          </w:tcPr>
          <w:p w14:paraId="49A09CE2" w14:textId="77777777" w:rsidR="00AD6203" w:rsidRPr="00AD6203" w:rsidRDefault="00AD6203" w:rsidP="00AD6203">
            <w:pPr>
              <w:spacing w:before="60" w:after="60" w:line="24" w:lineRule="atLeast"/>
              <w:ind w:firstLine="32"/>
              <w:rPr>
                <w:rFonts w:ascii="Times New Roman" w:hAnsi="Times New Roman"/>
                <w:b/>
                <w:sz w:val="20"/>
                <w:szCs w:val="20"/>
                <w:lang w:val="bg-BG"/>
              </w:rPr>
            </w:pPr>
            <w:r w:rsidRPr="00AD6203">
              <w:rPr>
                <w:rFonts w:ascii="Times New Roman" w:hAnsi="Times New Roman"/>
                <w:b/>
                <w:sz w:val="20"/>
                <w:szCs w:val="20"/>
                <w:lang w:val="bg-BG"/>
              </w:rPr>
              <w:t>2028 г.</w:t>
            </w:r>
          </w:p>
        </w:tc>
        <w:tc>
          <w:tcPr>
            <w:tcW w:w="470" w:type="pct"/>
            <w:shd w:val="clear" w:color="auto" w:fill="C5E0B3"/>
            <w:noWrap/>
            <w:vAlign w:val="center"/>
            <w:hideMark/>
          </w:tcPr>
          <w:p w14:paraId="31AF6105" w14:textId="77777777" w:rsidR="00AD6203" w:rsidRPr="00AD6203" w:rsidRDefault="00AD6203" w:rsidP="00AD6203">
            <w:pPr>
              <w:spacing w:before="60" w:after="60" w:line="24" w:lineRule="atLeast"/>
              <w:ind w:hanging="14"/>
              <w:jc w:val="center"/>
              <w:rPr>
                <w:rFonts w:ascii="Times New Roman" w:hAnsi="Times New Roman"/>
                <w:b/>
                <w:sz w:val="20"/>
                <w:szCs w:val="20"/>
                <w:lang w:val="bg-BG"/>
              </w:rPr>
            </w:pPr>
            <w:r w:rsidRPr="00AD6203">
              <w:rPr>
                <w:rFonts w:ascii="Times New Roman" w:hAnsi="Times New Roman"/>
                <w:b/>
                <w:sz w:val="20"/>
                <w:szCs w:val="20"/>
                <w:lang w:val="bg-BG"/>
              </w:rPr>
              <w:t>2030 г.</w:t>
            </w:r>
          </w:p>
        </w:tc>
        <w:tc>
          <w:tcPr>
            <w:tcW w:w="470" w:type="pct"/>
            <w:shd w:val="clear" w:color="auto" w:fill="C5E0B3"/>
            <w:noWrap/>
            <w:vAlign w:val="center"/>
            <w:hideMark/>
          </w:tcPr>
          <w:p w14:paraId="3029CB45" w14:textId="77777777" w:rsidR="00AD6203" w:rsidRPr="00AD6203" w:rsidRDefault="00AD6203" w:rsidP="00AD6203">
            <w:pPr>
              <w:spacing w:before="60" w:after="60" w:line="24" w:lineRule="atLeast"/>
              <w:ind w:hanging="14"/>
              <w:jc w:val="center"/>
              <w:rPr>
                <w:rFonts w:ascii="Times New Roman" w:hAnsi="Times New Roman"/>
                <w:b/>
                <w:sz w:val="20"/>
                <w:szCs w:val="20"/>
                <w:lang w:val="bg-BG"/>
              </w:rPr>
            </w:pPr>
            <w:r w:rsidRPr="00AD6203">
              <w:rPr>
                <w:rFonts w:ascii="Times New Roman" w:hAnsi="Times New Roman"/>
                <w:b/>
                <w:sz w:val="20"/>
                <w:szCs w:val="20"/>
                <w:lang w:val="bg-BG"/>
              </w:rPr>
              <w:t>2035 г.</w:t>
            </w:r>
          </w:p>
        </w:tc>
        <w:tc>
          <w:tcPr>
            <w:tcW w:w="476" w:type="pct"/>
            <w:shd w:val="clear" w:color="auto" w:fill="C5E0B3"/>
            <w:noWrap/>
            <w:vAlign w:val="center"/>
            <w:hideMark/>
          </w:tcPr>
          <w:p w14:paraId="4E67D05C" w14:textId="77777777" w:rsidR="00AD6203" w:rsidRPr="00AD6203" w:rsidRDefault="00AD6203" w:rsidP="00AD6203">
            <w:pPr>
              <w:spacing w:before="60" w:after="60" w:line="24" w:lineRule="atLeast"/>
              <w:ind w:hanging="3"/>
              <w:jc w:val="center"/>
              <w:rPr>
                <w:rFonts w:ascii="Times New Roman" w:hAnsi="Times New Roman"/>
                <w:b/>
                <w:sz w:val="20"/>
                <w:szCs w:val="20"/>
                <w:lang w:val="bg-BG"/>
              </w:rPr>
            </w:pPr>
            <w:r w:rsidRPr="00AD6203">
              <w:rPr>
                <w:rFonts w:ascii="Times New Roman" w:hAnsi="Times New Roman"/>
                <w:b/>
                <w:sz w:val="20"/>
                <w:szCs w:val="20"/>
                <w:lang w:val="bg-BG"/>
              </w:rPr>
              <w:t>2040 г.</w:t>
            </w:r>
          </w:p>
        </w:tc>
        <w:tc>
          <w:tcPr>
            <w:tcW w:w="421" w:type="pct"/>
            <w:shd w:val="clear" w:color="auto" w:fill="C5E0B3"/>
            <w:noWrap/>
            <w:vAlign w:val="center"/>
            <w:hideMark/>
          </w:tcPr>
          <w:p w14:paraId="7FB13F65" w14:textId="77777777" w:rsidR="00AD6203" w:rsidRPr="00AD6203" w:rsidRDefault="00AD6203" w:rsidP="00AD6203">
            <w:pPr>
              <w:spacing w:before="60" w:after="60" w:line="24" w:lineRule="atLeast"/>
              <w:ind w:right="-143" w:hanging="135"/>
              <w:jc w:val="center"/>
              <w:rPr>
                <w:rFonts w:ascii="Times New Roman" w:hAnsi="Times New Roman"/>
                <w:b/>
                <w:sz w:val="20"/>
                <w:szCs w:val="20"/>
                <w:lang w:val="bg-BG"/>
              </w:rPr>
            </w:pPr>
            <w:r w:rsidRPr="00AD6203">
              <w:rPr>
                <w:rFonts w:ascii="Times New Roman" w:hAnsi="Times New Roman"/>
                <w:b/>
                <w:sz w:val="20"/>
                <w:szCs w:val="20"/>
                <w:lang w:val="bg-BG"/>
              </w:rPr>
              <w:t>2047 г.</w:t>
            </w:r>
          </w:p>
        </w:tc>
      </w:tr>
      <w:tr w:rsidR="00AD6203" w:rsidRPr="00AD6203" w14:paraId="004C8969" w14:textId="77777777" w:rsidTr="00AD6203">
        <w:trPr>
          <w:trHeight w:val="288"/>
          <w:jc w:val="center"/>
        </w:trPr>
        <w:tc>
          <w:tcPr>
            <w:tcW w:w="2281" w:type="pct"/>
            <w:shd w:val="clear" w:color="auto" w:fill="auto"/>
            <w:noWrap/>
            <w:vAlign w:val="center"/>
            <w:hideMark/>
          </w:tcPr>
          <w:p w14:paraId="415A45C4" w14:textId="77777777" w:rsidR="00AD6203" w:rsidRPr="00AD6203" w:rsidRDefault="00AD6203" w:rsidP="00AD6203">
            <w:pPr>
              <w:spacing w:after="0" w:line="24" w:lineRule="atLeast"/>
              <w:ind w:firstLine="32"/>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Брой кораби в морските пристанища</w:t>
            </w:r>
          </w:p>
        </w:tc>
        <w:tc>
          <w:tcPr>
            <w:tcW w:w="442" w:type="pct"/>
            <w:shd w:val="clear" w:color="000000" w:fill="FFFFFF"/>
            <w:noWrap/>
            <w:vAlign w:val="bottom"/>
            <w:hideMark/>
          </w:tcPr>
          <w:p w14:paraId="3F3354C2"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3 507</w:t>
            </w:r>
          </w:p>
        </w:tc>
        <w:tc>
          <w:tcPr>
            <w:tcW w:w="442" w:type="pct"/>
            <w:shd w:val="clear" w:color="000000" w:fill="FFFFFF"/>
            <w:noWrap/>
            <w:vAlign w:val="bottom"/>
            <w:hideMark/>
          </w:tcPr>
          <w:p w14:paraId="2F47672D"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3 905</w:t>
            </w:r>
          </w:p>
        </w:tc>
        <w:tc>
          <w:tcPr>
            <w:tcW w:w="470" w:type="pct"/>
            <w:shd w:val="clear" w:color="000000" w:fill="FFFFFF"/>
            <w:noWrap/>
            <w:vAlign w:val="bottom"/>
            <w:hideMark/>
          </w:tcPr>
          <w:p w14:paraId="614DF4E0"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4 014</w:t>
            </w:r>
          </w:p>
        </w:tc>
        <w:tc>
          <w:tcPr>
            <w:tcW w:w="470" w:type="pct"/>
            <w:shd w:val="clear" w:color="000000" w:fill="FFFFFF"/>
            <w:noWrap/>
            <w:vAlign w:val="bottom"/>
            <w:hideMark/>
          </w:tcPr>
          <w:p w14:paraId="06B812D0"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4 298</w:t>
            </w:r>
          </w:p>
        </w:tc>
        <w:tc>
          <w:tcPr>
            <w:tcW w:w="476" w:type="pct"/>
            <w:shd w:val="clear" w:color="000000" w:fill="FFFFFF"/>
            <w:noWrap/>
            <w:vAlign w:val="bottom"/>
            <w:hideMark/>
          </w:tcPr>
          <w:p w14:paraId="5EB67C71"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4 603</w:t>
            </w:r>
          </w:p>
        </w:tc>
        <w:tc>
          <w:tcPr>
            <w:tcW w:w="421" w:type="pct"/>
            <w:shd w:val="clear" w:color="000000" w:fill="FFFFFF"/>
            <w:noWrap/>
            <w:vAlign w:val="bottom"/>
            <w:hideMark/>
          </w:tcPr>
          <w:p w14:paraId="19D0F4D0"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5 066</w:t>
            </w:r>
          </w:p>
        </w:tc>
      </w:tr>
      <w:tr w:rsidR="00AD6203" w:rsidRPr="00AD6203" w14:paraId="444CBDAE" w14:textId="77777777" w:rsidTr="00AD6203">
        <w:trPr>
          <w:trHeight w:val="288"/>
          <w:jc w:val="center"/>
        </w:trPr>
        <w:tc>
          <w:tcPr>
            <w:tcW w:w="2281" w:type="pct"/>
            <w:shd w:val="clear" w:color="auto" w:fill="auto"/>
            <w:noWrap/>
            <w:vAlign w:val="center"/>
            <w:hideMark/>
          </w:tcPr>
          <w:p w14:paraId="13403D51" w14:textId="77777777" w:rsidR="00AD6203" w:rsidRPr="00AD6203" w:rsidRDefault="00AD6203" w:rsidP="00AD6203">
            <w:pPr>
              <w:spacing w:after="0" w:line="24" w:lineRule="atLeast"/>
              <w:ind w:firstLine="32"/>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Брой кораби в речните пристанища</w:t>
            </w:r>
          </w:p>
        </w:tc>
        <w:tc>
          <w:tcPr>
            <w:tcW w:w="442" w:type="pct"/>
            <w:shd w:val="clear" w:color="000000" w:fill="FFFFFF"/>
            <w:noWrap/>
            <w:vAlign w:val="bottom"/>
            <w:hideMark/>
          </w:tcPr>
          <w:p w14:paraId="227CFA6F"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2 715</w:t>
            </w:r>
          </w:p>
        </w:tc>
        <w:tc>
          <w:tcPr>
            <w:tcW w:w="442" w:type="pct"/>
            <w:shd w:val="clear" w:color="000000" w:fill="FFFFFF"/>
            <w:noWrap/>
            <w:vAlign w:val="bottom"/>
            <w:hideMark/>
          </w:tcPr>
          <w:p w14:paraId="2FA04A66"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2 916</w:t>
            </w:r>
          </w:p>
        </w:tc>
        <w:tc>
          <w:tcPr>
            <w:tcW w:w="470" w:type="pct"/>
            <w:shd w:val="clear" w:color="000000" w:fill="FFFFFF"/>
            <w:noWrap/>
            <w:vAlign w:val="bottom"/>
            <w:hideMark/>
          </w:tcPr>
          <w:p w14:paraId="33530173"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2 977</w:t>
            </w:r>
          </w:p>
        </w:tc>
        <w:tc>
          <w:tcPr>
            <w:tcW w:w="470" w:type="pct"/>
            <w:shd w:val="clear" w:color="000000" w:fill="FFFFFF"/>
            <w:noWrap/>
            <w:vAlign w:val="bottom"/>
            <w:hideMark/>
          </w:tcPr>
          <w:p w14:paraId="126B5CD1"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2 982</w:t>
            </w:r>
          </w:p>
        </w:tc>
        <w:tc>
          <w:tcPr>
            <w:tcW w:w="476" w:type="pct"/>
            <w:shd w:val="clear" w:color="000000" w:fill="FFFFFF"/>
            <w:noWrap/>
            <w:vAlign w:val="bottom"/>
            <w:hideMark/>
          </w:tcPr>
          <w:p w14:paraId="3BD46EB4"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2 988</w:t>
            </w:r>
          </w:p>
        </w:tc>
        <w:tc>
          <w:tcPr>
            <w:tcW w:w="421" w:type="pct"/>
            <w:shd w:val="clear" w:color="000000" w:fill="FFFFFF"/>
            <w:noWrap/>
            <w:vAlign w:val="bottom"/>
            <w:hideMark/>
          </w:tcPr>
          <w:p w14:paraId="5FA7D2BE" w14:textId="77777777"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2 996</w:t>
            </w:r>
          </w:p>
        </w:tc>
      </w:tr>
      <w:tr w:rsidR="00AD6203" w:rsidRPr="00AD6203" w14:paraId="015CEEBD" w14:textId="77777777" w:rsidTr="00AD6203">
        <w:trPr>
          <w:trHeight w:val="288"/>
          <w:jc w:val="center"/>
        </w:trPr>
        <w:tc>
          <w:tcPr>
            <w:tcW w:w="2281" w:type="pct"/>
            <w:shd w:val="clear" w:color="auto" w:fill="auto"/>
            <w:noWrap/>
            <w:vAlign w:val="center"/>
            <w:hideMark/>
          </w:tcPr>
          <w:p w14:paraId="4F15A350" w14:textId="77777777" w:rsidR="00AD6203" w:rsidRPr="00AD6203" w:rsidRDefault="00AD6203" w:rsidP="00AD6203">
            <w:pPr>
              <w:spacing w:after="0" w:line="24" w:lineRule="atLeast"/>
              <w:ind w:firstLine="32"/>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Извършена работа в х. тона морски</w:t>
            </w:r>
          </w:p>
        </w:tc>
        <w:tc>
          <w:tcPr>
            <w:tcW w:w="442" w:type="pct"/>
            <w:shd w:val="clear" w:color="auto" w:fill="auto"/>
            <w:noWrap/>
            <w:vAlign w:val="bottom"/>
            <w:hideMark/>
          </w:tcPr>
          <w:p w14:paraId="0C270B82" w14:textId="3C38BA32"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27</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715</w:t>
            </w:r>
          </w:p>
        </w:tc>
        <w:tc>
          <w:tcPr>
            <w:tcW w:w="442" w:type="pct"/>
            <w:shd w:val="clear" w:color="auto" w:fill="auto"/>
            <w:noWrap/>
            <w:vAlign w:val="bottom"/>
            <w:hideMark/>
          </w:tcPr>
          <w:p w14:paraId="50F12CBA" w14:textId="6382DAE2"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30</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863</w:t>
            </w:r>
          </w:p>
        </w:tc>
        <w:tc>
          <w:tcPr>
            <w:tcW w:w="470" w:type="pct"/>
            <w:shd w:val="clear" w:color="000000" w:fill="FFFFFF"/>
            <w:noWrap/>
            <w:vAlign w:val="bottom"/>
            <w:hideMark/>
          </w:tcPr>
          <w:p w14:paraId="4F4DC5BE" w14:textId="4E95021E"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31</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720</w:t>
            </w:r>
          </w:p>
        </w:tc>
        <w:tc>
          <w:tcPr>
            <w:tcW w:w="470" w:type="pct"/>
            <w:shd w:val="clear" w:color="000000" w:fill="FFFFFF"/>
            <w:noWrap/>
            <w:vAlign w:val="bottom"/>
            <w:hideMark/>
          </w:tcPr>
          <w:p w14:paraId="75A7F29F" w14:textId="36B3F1B2"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33</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969</w:t>
            </w:r>
          </w:p>
        </w:tc>
        <w:tc>
          <w:tcPr>
            <w:tcW w:w="476" w:type="pct"/>
            <w:shd w:val="clear" w:color="000000" w:fill="FFFFFF"/>
            <w:noWrap/>
            <w:vAlign w:val="bottom"/>
            <w:hideMark/>
          </w:tcPr>
          <w:p w14:paraId="4713AD7B" w14:textId="70531C04"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36</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378</w:t>
            </w:r>
          </w:p>
        </w:tc>
        <w:tc>
          <w:tcPr>
            <w:tcW w:w="421" w:type="pct"/>
            <w:shd w:val="clear" w:color="000000" w:fill="FFFFFF"/>
            <w:noWrap/>
            <w:vAlign w:val="bottom"/>
            <w:hideMark/>
          </w:tcPr>
          <w:p w14:paraId="58F31AED" w14:textId="64D64E7C"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40</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039</w:t>
            </w:r>
          </w:p>
        </w:tc>
      </w:tr>
      <w:tr w:rsidR="00AD6203" w:rsidRPr="00AD6203" w14:paraId="558EF5F4" w14:textId="77777777" w:rsidTr="00AD6203">
        <w:trPr>
          <w:trHeight w:val="288"/>
          <w:jc w:val="center"/>
        </w:trPr>
        <w:tc>
          <w:tcPr>
            <w:tcW w:w="2281" w:type="pct"/>
            <w:shd w:val="clear" w:color="auto" w:fill="auto"/>
            <w:noWrap/>
            <w:vAlign w:val="center"/>
            <w:hideMark/>
          </w:tcPr>
          <w:p w14:paraId="653F66B4" w14:textId="77777777" w:rsidR="00AD6203" w:rsidRPr="00AD6203" w:rsidRDefault="00AD6203" w:rsidP="00AD6203">
            <w:pPr>
              <w:spacing w:after="0" w:line="24" w:lineRule="atLeast"/>
              <w:ind w:firstLine="32"/>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Извършена работа в х. тона речен</w:t>
            </w:r>
          </w:p>
        </w:tc>
        <w:tc>
          <w:tcPr>
            <w:tcW w:w="442" w:type="pct"/>
            <w:shd w:val="clear" w:color="auto" w:fill="auto"/>
            <w:noWrap/>
            <w:vAlign w:val="bottom"/>
            <w:hideMark/>
          </w:tcPr>
          <w:p w14:paraId="4C540160" w14:textId="674BD6F8" w:rsidR="00AD6203" w:rsidRPr="00AD6203" w:rsidRDefault="00AD6203" w:rsidP="00AD6203">
            <w:pPr>
              <w:spacing w:after="0" w:line="24" w:lineRule="atLeast"/>
              <w:ind w:firstLine="32"/>
              <w:jc w:val="center"/>
              <w:rPr>
                <w:rFonts w:ascii="Times New Roman" w:hAnsi="Times New Roman"/>
                <w:sz w:val="22"/>
                <w:szCs w:val="24"/>
                <w:lang w:val="en-US"/>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199</w:t>
            </w:r>
          </w:p>
        </w:tc>
        <w:tc>
          <w:tcPr>
            <w:tcW w:w="442" w:type="pct"/>
            <w:shd w:val="clear" w:color="auto" w:fill="auto"/>
            <w:noWrap/>
            <w:vAlign w:val="bottom"/>
            <w:hideMark/>
          </w:tcPr>
          <w:p w14:paraId="4DC59A17" w14:textId="2E13F46F"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361</w:t>
            </w:r>
          </w:p>
        </w:tc>
        <w:tc>
          <w:tcPr>
            <w:tcW w:w="470" w:type="pct"/>
            <w:shd w:val="clear" w:color="000000" w:fill="FFFFFF"/>
            <w:noWrap/>
            <w:vAlign w:val="bottom"/>
            <w:hideMark/>
          </w:tcPr>
          <w:p w14:paraId="30B53282" w14:textId="457F10CA"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411</w:t>
            </w:r>
          </w:p>
        </w:tc>
        <w:tc>
          <w:tcPr>
            <w:tcW w:w="470" w:type="pct"/>
            <w:shd w:val="clear" w:color="000000" w:fill="FFFFFF"/>
            <w:noWrap/>
            <w:vAlign w:val="bottom"/>
            <w:hideMark/>
          </w:tcPr>
          <w:p w14:paraId="325F6A03" w14:textId="304C0B1D"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415</w:t>
            </w:r>
          </w:p>
        </w:tc>
        <w:tc>
          <w:tcPr>
            <w:tcW w:w="476" w:type="pct"/>
            <w:shd w:val="clear" w:color="000000" w:fill="FFFFFF"/>
            <w:noWrap/>
            <w:vAlign w:val="bottom"/>
            <w:hideMark/>
          </w:tcPr>
          <w:p w14:paraId="1172C531" w14:textId="3F66C668"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420</w:t>
            </w:r>
          </w:p>
        </w:tc>
        <w:tc>
          <w:tcPr>
            <w:tcW w:w="421" w:type="pct"/>
            <w:shd w:val="clear" w:color="000000" w:fill="FFFFFF"/>
            <w:noWrap/>
            <w:vAlign w:val="bottom"/>
            <w:hideMark/>
          </w:tcPr>
          <w:p w14:paraId="7B03A2F1" w14:textId="0C8DC890" w:rsidR="00AD6203" w:rsidRPr="00AD6203" w:rsidRDefault="00AD6203" w:rsidP="00AD6203">
            <w:pPr>
              <w:spacing w:after="0" w:line="24" w:lineRule="atLeast"/>
              <w:ind w:firstLine="32"/>
              <w:jc w:val="center"/>
              <w:rPr>
                <w:rFonts w:ascii="Times New Roman" w:hAnsi="Times New Roman"/>
                <w:sz w:val="22"/>
                <w:szCs w:val="24"/>
                <w:lang w:val="bg-BG"/>
              </w:rPr>
            </w:pPr>
            <w:r w:rsidRPr="00AD6203">
              <w:rPr>
                <w:rFonts w:ascii="Times New Roman" w:hAnsi="Times New Roman"/>
                <w:color w:val="000000"/>
                <w:sz w:val="22"/>
                <w:szCs w:val="24"/>
                <w:lang w:val="bg-BG"/>
              </w:rPr>
              <w:t>2</w:t>
            </w:r>
            <w:r w:rsidR="00902F47">
              <w:rPr>
                <w:rFonts w:ascii="Times New Roman" w:hAnsi="Times New Roman"/>
                <w:color w:val="000000"/>
                <w:sz w:val="22"/>
                <w:szCs w:val="24"/>
                <w:lang w:val="bg-BG"/>
              </w:rPr>
              <w:t xml:space="preserve"> </w:t>
            </w:r>
            <w:r w:rsidRPr="00AD6203">
              <w:rPr>
                <w:rFonts w:ascii="Times New Roman" w:hAnsi="Times New Roman"/>
                <w:color w:val="000000"/>
                <w:sz w:val="22"/>
                <w:szCs w:val="24"/>
                <w:lang w:val="bg-BG"/>
              </w:rPr>
              <w:t>426</w:t>
            </w:r>
          </w:p>
        </w:tc>
      </w:tr>
    </w:tbl>
    <w:p w14:paraId="470A958F" w14:textId="77777777" w:rsidR="004822D7" w:rsidRDefault="004822D7" w:rsidP="003A05A1">
      <w:pPr>
        <w:spacing w:after="0" w:line="360" w:lineRule="auto"/>
        <w:ind w:firstLine="720"/>
        <w:rPr>
          <w:rFonts w:ascii="Times New Roman" w:hAnsi="Times New Roman"/>
          <w:sz w:val="22"/>
          <w:lang w:val="bg-BG"/>
        </w:rPr>
      </w:pPr>
    </w:p>
    <w:p w14:paraId="687E7BF6" w14:textId="01EB9D9F"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Общо прогнозирания ръст спрямо 2019 г. за периода на прогнозата е 34,42% за броя на корабите в морските пристанища и около 49% на извършената работа в тона. По-високият ръст на прогнозата за извършената работа в тона се дължи на повишения среден товар на един кораб в периода 2020-2022 г., спрямо 2019</w:t>
      </w:r>
      <w:r w:rsidRPr="003A05A1">
        <w:rPr>
          <w:rFonts w:ascii="Times New Roman" w:hAnsi="Times New Roman"/>
          <w:sz w:val="22"/>
          <w:lang w:val="en-US"/>
        </w:rPr>
        <w:t xml:space="preserve"> </w:t>
      </w:r>
      <w:r w:rsidRPr="003A05A1">
        <w:rPr>
          <w:rFonts w:ascii="Times New Roman" w:hAnsi="Times New Roman"/>
          <w:sz w:val="22"/>
          <w:lang w:val="bg-BG"/>
        </w:rPr>
        <w:t xml:space="preserve">г. За нуждите на прогнозата е взет среден товар за последните 5 години, който е с </w:t>
      </w:r>
      <w:r w:rsidRPr="003A05A1">
        <w:rPr>
          <w:rFonts w:ascii="Times New Roman" w:hAnsi="Times New Roman"/>
          <w:sz w:val="22"/>
          <w:lang w:val="en-US"/>
        </w:rPr>
        <w:t xml:space="preserve">16% </w:t>
      </w:r>
      <w:r w:rsidRPr="003A05A1">
        <w:rPr>
          <w:rFonts w:ascii="Times New Roman" w:hAnsi="Times New Roman"/>
          <w:sz w:val="22"/>
          <w:lang w:val="bg-BG"/>
        </w:rPr>
        <w:t>по-висок от този през 2019 г.</w:t>
      </w:r>
    </w:p>
    <w:p w14:paraId="576682E7"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Общо прогнозирания ръст в речните пристанища спрямо 2019 г. е </w:t>
      </w:r>
      <w:r w:rsidRPr="003A05A1">
        <w:rPr>
          <w:rFonts w:ascii="Times New Roman" w:hAnsi="Times New Roman"/>
          <w:sz w:val="22"/>
          <w:lang w:val="en-US"/>
        </w:rPr>
        <w:t>5</w:t>
      </w:r>
      <w:r w:rsidRPr="003A05A1">
        <w:rPr>
          <w:rFonts w:ascii="Times New Roman" w:hAnsi="Times New Roman"/>
          <w:sz w:val="22"/>
          <w:lang w:val="bg-BG"/>
        </w:rPr>
        <w:t>,</w:t>
      </w:r>
      <w:r w:rsidRPr="003A05A1">
        <w:rPr>
          <w:rFonts w:ascii="Times New Roman" w:hAnsi="Times New Roman"/>
          <w:sz w:val="22"/>
          <w:lang w:val="en-US"/>
        </w:rPr>
        <w:t>4</w:t>
      </w:r>
      <w:r w:rsidRPr="003A05A1">
        <w:rPr>
          <w:rFonts w:ascii="Times New Roman" w:hAnsi="Times New Roman"/>
          <w:sz w:val="22"/>
          <w:lang w:val="bg-BG"/>
        </w:rPr>
        <w:t>% за броя на корабите и 24,</w:t>
      </w:r>
      <w:r w:rsidRPr="003A05A1">
        <w:rPr>
          <w:rFonts w:ascii="Times New Roman" w:hAnsi="Times New Roman"/>
          <w:sz w:val="22"/>
          <w:lang w:val="en-US"/>
        </w:rPr>
        <w:t>7</w:t>
      </w:r>
      <w:r w:rsidRPr="003A05A1">
        <w:rPr>
          <w:rFonts w:ascii="Times New Roman" w:hAnsi="Times New Roman"/>
          <w:sz w:val="22"/>
          <w:lang w:val="bg-BG"/>
        </w:rPr>
        <w:t>3% за извършената работа в тона, което напълно съответства на установения тренд през последните 5 години. През 2021</w:t>
      </w:r>
      <w:r w:rsidRPr="003A05A1">
        <w:rPr>
          <w:rFonts w:ascii="Times New Roman" w:hAnsi="Times New Roman"/>
          <w:sz w:val="22"/>
          <w:lang w:val="en-US"/>
        </w:rPr>
        <w:t xml:space="preserve"> </w:t>
      </w:r>
      <w:r w:rsidRPr="003A05A1">
        <w:rPr>
          <w:rFonts w:ascii="Times New Roman" w:hAnsi="Times New Roman"/>
          <w:sz w:val="22"/>
          <w:lang w:val="bg-BG"/>
        </w:rPr>
        <w:t>г. средната корабна патрида намалява спрямо 2020</w:t>
      </w:r>
      <w:r w:rsidRPr="003A05A1">
        <w:rPr>
          <w:rFonts w:ascii="Times New Roman" w:hAnsi="Times New Roman"/>
          <w:sz w:val="22"/>
          <w:lang w:val="en-US"/>
        </w:rPr>
        <w:t xml:space="preserve"> </w:t>
      </w:r>
      <w:r w:rsidRPr="003A05A1">
        <w:rPr>
          <w:rFonts w:ascii="Times New Roman" w:hAnsi="Times New Roman"/>
          <w:sz w:val="22"/>
          <w:lang w:val="bg-BG"/>
        </w:rPr>
        <w:t>г., което вероятно се дължи на периодите с критично ниски нива на р. Дунав, водещи до по-малък обем натоварен на един плавателен съд.</w:t>
      </w:r>
      <w:r w:rsidRPr="003A05A1">
        <w:rPr>
          <w:rFonts w:ascii="Times New Roman" w:hAnsi="Times New Roman"/>
          <w:sz w:val="22"/>
          <w:lang w:val="en-US"/>
        </w:rPr>
        <w:t xml:space="preserve"> </w:t>
      </w:r>
      <w:r w:rsidRPr="003A05A1">
        <w:rPr>
          <w:rFonts w:ascii="Times New Roman" w:hAnsi="Times New Roman"/>
          <w:sz w:val="22"/>
          <w:lang w:val="bg-BG"/>
        </w:rPr>
        <w:t>През 2022 г. отново се вдига и в прогнозата се работи със средната стойност за последните 5 години, която е с 25% по-висока от тази през 2019 г. На тази разлика се дължи изпреварващия ръст на извършената работа, спрямо този на броя товарни кораби.</w:t>
      </w:r>
    </w:p>
    <w:p w14:paraId="12B8BF66"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lastRenderedPageBreak/>
        <w:t>Разделянето на прогнозата по видове пристанища е важна от гледна точка на приходите и разходите, които са различни за морските и речните пристанища.</w:t>
      </w:r>
    </w:p>
    <w:p w14:paraId="7D57697C" w14:textId="032A27CD" w:rsidR="00902F47" w:rsidRDefault="00AD6203" w:rsidP="003A05A1">
      <w:pPr>
        <w:spacing w:after="0" w:line="360" w:lineRule="auto"/>
        <w:ind w:firstLine="720"/>
        <w:rPr>
          <w:rFonts w:ascii="Times New Roman" w:hAnsi="Times New Roman"/>
          <w:sz w:val="24"/>
          <w:szCs w:val="24"/>
          <w:lang w:val="bg-BG"/>
        </w:rPr>
      </w:pPr>
      <w:r w:rsidRPr="00AD6203">
        <w:rPr>
          <w:rFonts w:ascii="Times New Roman" w:hAnsi="Times New Roman"/>
          <w:sz w:val="24"/>
          <w:szCs w:val="24"/>
          <w:lang w:val="bg-BG"/>
        </w:rPr>
        <w:t>За всички речни пристанища прогнозата в сценария „С проект“ се запазва същата, както в сценария „Без проект“. За морските пристанища се увеличава броя на корабите, в резултат от реализацията на проекта, за което са направени следните допускания:</w:t>
      </w:r>
      <w:bookmarkStart w:id="116" w:name="_Toc115547631"/>
    </w:p>
    <w:p w14:paraId="33E1A04C" w14:textId="00AC29D8" w:rsidR="00AD6203" w:rsidRPr="00D86E60" w:rsidRDefault="00D86E60" w:rsidP="004822D7">
      <w:pPr>
        <w:spacing w:after="120" w:line="24" w:lineRule="atLeast"/>
        <w:ind w:firstLine="540"/>
        <w:jc w:val="center"/>
        <w:rPr>
          <w:rFonts w:ascii="Times New Roman" w:eastAsia="Times New Roman" w:hAnsi="Times New Roman"/>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17</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00AD6203" w:rsidRPr="00D86E60">
        <w:rPr>
          <w:rFonts w:ascii="Times New Roman" w:hAnsi="Times New Roman" w:cs="Arial"/>
          <w:i/>
          <w:color w:val="000000"/>
          <w:sz w:val="22"/>
          <w:lang w:val="bg-BG"/>
        </w:rPr>
        <w:t>Допускания за прогнозиране на извършената работа в сценарий „С проект“</w:t>
      </w:r>
    </w:p>
    <w:tbl>
      <w:tblPr>
        <w:tblW w:w="44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6"/>
        <w:gridCol w:w="1555"/>
      </w:tblGrid>
      <w:tr w:rsidR="00AD6203" w:rsidRPr="00AD6203" w14:paraId="61728EA7" w14:textId="77777777" w:rsidTr="00902F47">
        <w:trPr>
          <w:trHeight w:val="280"/>
          <w:jc w:val="center"/>
        </w:trPr>
        <w:tc>
          <w:tcPr>
            <w:tcW w:w="4097" w:type="pct"/>
            <w:shd w:val="clear" w:color="auto" w:fill="C5E0B3"/>
            <w:noWrap/>
            <w:vAlign w:val="center"/>
            <w:hideMark/>
          </w:tcPr>
          <w:bookmarkEnd w:id="116"/>
          <w:p w14:paraId="71CF494A" w14:textId="77777777" w:rsidR="00AD6203" w:rsidRPr="00AD6203" w:rsidRDefault="00AD6203" w:rsidP="00AD6203">
            <w:pPr>
              <w:spacing w:after="0" w:line="24" w:lineRule="atLeast"/>
              <w:ind w:hanging="23"/>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Показатели</w:t>
            </w:r>
          </w:p>
        </w:tc>
        <w:tc>
          <w:tcPr>
            <w:tcW w:w="903" w:type="pct"/>
            <w:shd w:val="clear" w:color="auto" w:fill="C5E0B3"/>
            <w:noWrap/>
            <w:vAlign w:val="center"/>
            <w:hideMark/>
          </w:tcPr>
          <w:p w14:paraId="383B993D" w14:textId="77777777" w:rsidR="00AD6203" w:rsidRPr="00AD6203" w:rsidRDefault="00AD6203" w:rsidP="00AD6203">
            <w:pPr>
              <w:spacing w:after="0" w:line="24" w:lineRule="atLeast"/>
              <w:jc w:val="center"/>
              <w:rPr>
                <w:rFonts w:ascii="Times New Roman" w:eastAsia="Times New Roman" w:hAnsi="Times New Roman"/>
                <w:b/>
                <w:color w:val="000000"/>
                <w:sz w:val="24"/>
                <w:szCs w:val="24"/>
                <w:lang w:val="bg-BG"/>
              </w:rPr>
            </w:pPr>
            <w:r w:rsidRPr="00AD6203">
              <w:rPr>
                <w:rFonts w:ascii="Times New Roman" w:eastAsia="Times New Roman" w:hAnsi="Times New Roman"/>
                <w:b/>
                <w:color w:val="000000"/>
                <w:sz w:val="24"/>
                <w:szCs w:val="24"/>
                <w:lang w:val="bg-BG"/>
              </w:rPr>
              <w:t>Стойност</w:t>
            </w:r>
          </w:p>
        </w:tc>
      </w:tr>
      <w:tr w:rsidR="00902F47" w:rsidRPr="00AD6203" w14:paraId="29F7EED8" w14:textId="77777777" w:rsidTr="00902F47">
        <w:trPr>
          <w:trHeight w:val="288"/>
          <w:jc w:val="center"/>
        </w:trPr>
        <w:tc>
          <w:tcPr>
            <w:tcW w:w="4097" w:type="pct"/>
            <w:tcBorders>
              <w:top w:val="single" w:sz="4" w:space="0" w:color="auto"/>
              <w:left w:val="single" w:sz="4" w:space="0" w:color="auto"/>
              <w:bottom w:val="single" w:sz="4" w:space="0" w:color="auto"/>
              <w:right w:val="single" w:sz="4" w:space="0" w:color="auto"/>
            </w:tcBorders>
            <w:shd w:val="clear" w:color="auto" w:fill="auto"/>
            <w:noWrap/>
            <w:hideMark/>
          </w:tcPr>
          <w:p w14:paraId="02D7802D" w14:textId="3C843387" w:rsidR="00902F47" w:rsidRPr="004822D7" w:rsidRDefault="00902F47" w:rsidP="00902F47">
            <w:pPr>
              <w:spacing w:after="0" w:line="276" w:lineRule="auto"/>
              <w:ind w:hanging="23"/>
              <w:rPr>
                <w:rFonts w:ascii="Times New Roman" w:hAnsi="Times New Roman"/>
                <w:color w:val="000000"/>
                <w:sz w:val="22"/>
                <w:lang w:val="bg-BG"/>
              </w:rPr>
            </w:pPr>
            <w:r w:rsidRPr="004822D7">
              <w:rPr>
                <w:rFonts w:ascii="Times New Roman" w:hAnsi="Times New Roman"/>
                <w:sz w:val="22"/>
                <w:lang w:val="bg-BG"/>
              </w:rPr>
              <w:t>Ръст на посещенията БП в морски пристанища</w:t>
            </w:r>
          </w:p>
        </w:tc>
        <w:tc>
          <w:tcPr>
            <w:tcW w:w="9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CFA38" w14:textId="7CF59181" w:rsidR="00902F47" w:rsidRPr="00902F47" w:rsidRDefault="00902F47" w:rsidP="00902F47">
            <w:pPr>
              <w:spacing w:after="0" w:line="276" w:lineRule="auto"/>
              <w:ind w:firstLine="720"/>
              <w:jc w:val="right"/>
              <w:rPr>
                <w:rFonts w:ascii="Times New Roman" w:hAnsi="Times New Roman"/>
                <w:color w:val="000000"/>
                <w:sz w:val="22"/>
                <w:highlight w:val="yellow"/>
                <w:lang w:val="bg-BG"/>
              </w:rPr>
            </w:pPr>
            <w:r w:rsidRPr="00902F47">
              <w:rPr>
                <w:rFonts w:ascii="Times New Roman" w:hAnsi="Times New Roman"/>
                <w:sz w:val="22"/>
              </w:rPr>
              <w:t>2.89%</w:t>
            </w:r>
          </w:p>
        </w:tc>
      </w:tr>
      <w:tr w:rsidR="00902F47" w:rsidRPr="00AD6203" w14:paraId="0230D6BA" w14:textId="77777777" w:rsidTr="00902F47">
        <w:trPr>
          <w:trHeight w:val="288"/>
          <w:jc w:val="center"/>
        </w:trPr>
        <w:tc>
          <w:tcPr>
            <w:tcW w:w="4097" w:type="pct"/>
            <w:tcBorders>
              <w:top w:val="nil"/>
              <w:left w:val="single" w:sz="4" w:space="0" w:color="auto"/>
              <w:bottom w:val="single" w:sz="4" w:space="0" w:color="auto"/>
              <w:right w:val="single" w:sz="4" w:space="0" w:color="auto"/>
            </w:tcBorders>
            <w:shd w:val="clear" w:color="auto" w:fill="auto"/>
            <w:noWrap/>
            <w:hideMark/>
          </w:tcPr>
          <w:p w14:paraId="27929D4D" w14:textId="1067BF42" w:rsidR="00902F47" w:rsidRPr="004822D7" w:rsidRDefault="00902F47" w:rsidP="00902F47">
            <w:pPr>
              <w:spacing w:after="0" w:line="276" w:lineRule="auto"/>
              <w:ind w:hanging="23"/>
              <w:rPr>
                <w:rFonts w:ascii="Times New Roman" w:hAnsi="Times New Roman"/>
                <w:color w:val="000000"/>
                <w:sz w:val="22"/>
                <w:lang w:val="bg-BG"/>
              </w:rPr>
            </w:pPr>
            <w:r w:rsidRPr="004822D7">
              <w:rPr>
                <w:rFonts w:ascii="Times New Roman" w:hAnsi="Times New Roman"/>
                <w:sz w:val="22"/>
                <w:lang w:val="bg-BG"/>
              </w:rPr>
              <w:t>Брой корабни посещения БП в морски пристанища</w:t>
            </w:r>
          </w:p>
        </w:tc>
        <w:tc>
          <w:tcPr>
            <w:tcW w:w="903" w:type="pct"/>
            <w:tcBorders>
              <w:top w:val="nil"/>
              <w:left w:val="single" w:sz="4" w:space="0" w:color="auto"/>
              <w:bottom w:val="single" w:sz="4" w:space="0" w:color="auto"/>
              <w:right w:val="single" w:sz="4" w:space="0" w:color="auto"/>
            </w:tcBorders>
            <w:shd w:val="clear" w:color="auto" w:fill="auto"/>
            <w:noWrap/>
            <w:vAlign w:val="center"/>
            <w:hideMark/>
          </w:tcPr>
          <w:p w14:paraId="3EA95BBA" w14:textId="2DB07A79" w:rsidR="00902F47" w:rsidRPr="00902F47" w:rsidRDefault="00902F47" w:rsidP="00902F47">
            <w:pPr>
              <w:spacing w:after="0" w:line="276" w:lineRule="auto"/>
              <w:ind w:firstLine="720"/>
              <w:jc w:val="right"/>
              <w:rPr>
                <w:rFonts w:ascii="Times New Roman" w:hAnsi="Times New Roman"/>
                <w:color w:val="000000"/>
                <w:sz w:val="22"/>
                <w:highlight w:val="yellow"/>
                <w:lang w:val="bg-BG"/>
              </w:rPr>
            </w:pPr>
            <w:r>
              <w:rPr>
                <w:rFonts w:ascii="Times New Roman" w:hAnsi="Times New Roman"/>
                <w:sz w:val="22"/>
              </w:rPr>
              <w:t xml:space="preserve">3 </w:t>
            </w:r>
            <w:r w:rsidRPr="00902F47">
              <w:rPr>
                <w:rFonts w:ascii="Times New Roman" w:hAnsi="Times New Roman"/>
                <w:sz w:val="22"/>
              </w:rPr>
              <w:t>905</w:t>
            </w:r>
          </w:p>
        </w:tc>
      </w:tr>
      <w:tr w:rsidR="00902F47" w:rsidRPr="00AD6203" w14:paraId="0E2E1B63" w14:textId="77777777" w:rsidTr="00902F47">
        <w:trPr>
          <w:trHeight w:val="288"/>
          <w:jc w:val="center"/>
        </w:trPr>
        <w:tc>
          <w:tcPr>
            <w:tcW w:w="4097" w:type="pct"/>
            <w:tcBorders>
              <w:top w:val="nil"/>
              <w:left w:val="single" w:sz="4" w:space="0" w:color="auto"/>
              <w:bottom w:val="single" w:sz="4" w:space="0" w:color="auto"/>
              <w:right w:val="single" w:sz="4" w:space="0" w:color="auto"/>
            </w:tcBorders>
            <w:shd w:val="clear" w:color="auto" w:fill="auto"/>
            <w:noWrap/>
            <w:hideMark/>
          </w:tcPr>
          <w:p w14:paraId="26AA3D1E" w14:textId="49710C14" w:rsidR="00902F47" w:rsidRPr="004822D7" w:rsidRDefault="00902F47" w:rsidP="00902F47">
            <w:pPr>
              <w:spacing w:after="0" w:line="276" w:lineRule="auto"/>
              <w:ind w:hanging="23"/>
              <w:rPr>
                <w:rFonts w:ascii="Times New Roman" w:hAnsi="Times New Roman"/>
                <w:color w:val="000000"/>
                <w:sz w:val="22"/>
                <w:lang w:val="bg-BG"/>
              </w:rPr>
            </w:pPr>
            <w:r w:rsidRPr="004822D7">
              <w:rPr>
                <w:rFonts w:ascii="Times New Roman" w:hAnsi="Times New Roman"/>
                <w:sz w:val="22"/>
                <w:lang w:val="bg-BG"/>
              </w:rPr>
              <w:t>ръст на посещенията СП в морски пристанища</w:t>
            </w:r>
          </w:p>
        </w:tc>
        <w:tc>
          <w:tcPr>
            <w:tcW w:w="903" w:type="pct"/>
            <w:tcBorders>
              <w:top w:val="nil"/>
              <w:left w:val="single" w:sz="4" w:space="0" w:color="auto"/>
              <w:bottom w:val="single" w:sz="4" w:space="0" w:color="auto"/>
              <w:right w:val="single" w:sz="4" w:space="0" w:color="auto"/>
            </w:tcBorders>
            <w:shd w:val="clear" w:color="auto" w:fill="auto"/>
            <w:noWrap/>
            <w:vAlign w:val="center"/>
            <w:hideMark/>
          </w:tcPr>
          <w:p w14:paraId="6BF76D6F" w14:textId="29E9088D" w:rsidR="00902F47" w:rsidRPr="00902F47" w:rsidRDefault="00902F47" w:rsidP="00902F47">
            <w:pPr>
              <w:spacing w:after="0" w:line="276" w:lineRule="auto"/>
              <w:ind w:firstLine="720"/>
              <w:jc w:val="right"/>
              <w:rPr>
                <w:rFonts w:ascii="Times New Roman" w:hAnsi="Times New Roman"/>
                <w:color w:val="000000"/>
                <w:sz w:val="22"/>
                <w:highlight w:val="yellow"/>
                <w:lang w:val="bg-BG"/>
              </w:rPr>
            </w:pPr>
            <w:r w:rsidRPr="00902F47">
              <w:rPr>
                <w:rFonts w:ascii="Times New Roman" w:hAnsi="Times New Roman"/>
                <w:sz w:val="22"/>
              </w:rPr>
              <w:t>0.11%</w:t>
            </w:r>
          </w:p>
        </w:tc>
      </w:tr>
      <w:tr w:rsidR="00902F47" w:rsidRPr="00AD6203" w14:paraId="75854A07" w14:textId="77777777" w:rsidTr="00902F47">
        <w:trPr>
          <w:trHeight w:val="288"/>
          <w:jc w:val="center"/>
        </w:trPr>
        <w:tc>
          <w:tcPr>
            <w:tcW w:w="4097" w:type="pct"/>
            <w:tcBorders>
              <w:top w:val="nil"/>
              <w:left w:val="single" w:sz="4" w:space="0" w:color="auto"/>
              <w:bottom w:val="single" w:sz="4" w:space="0" w:color="auto"/>
              <w:right w:val="single" w:sz="4" w:space="0" w:color="auto"/>
            </w:tcBorders>
            <w:shd w:val="clear" w:color="auto" w:fill="auto"/>
            <w:noWrap/>
            <w:hideMark/>
          </w:tcPr>
          <w:p w14:paraId="19DD5359" w14:textId="5B6DF816" w:rsidR="00902F47" w:rsidRPr="004822D7" w:rsidRDefault="00902F47" w:rsidP="00902F47">
            <w:pPr>
              <w:spacing w:after="0" w:line="276" w:lineRule="auto"/>
              <w:ind w:hanging="23"/>
              <w:rPr>
                <w:rFonts w:ascii="Times New Roman" w:hAnsi="Times New Roman"/>
                <w:color w:val="000000"/>
                <w:sz w:val="22"/>
                <w:lang w:val="bg-BG"/>
              </w:rPr>
            </w:pPr>
            <w:r w:rsidRPr="004822D7">
              <w:rPr>
                <w:rFonts w:ascii="Times New Roman" w:hAnsi="Times New Roman"/>
                <w:sz w:val="22"/>
                <w:lang w:val="bg-BG"/>
              </w:rPr>
              <w:t>Брой корабни посещения СП в морски пристанища</w:t>
            </w:r>
          </w:p>
        </w:tc>
        <w:tc>
          <w:tcPr>
            <w:tcW w:w="903" w:type="pct"/>
            <w:tcBorders>
              <w:top w:val="nil"/>
              <w:left w:val="single" w:sz="4" w:space="0" w:color="auto"/>
              <w:bottom w:val="single" w:sz="4" w:space="0" w:color="auto"/>
              <w:right w:val="single" w:sz="4" w:space="0" w:color="auto"/>
            </w:tcBorders>
            <w:shd w:val="clear" w:color="auto" w:fill="auto"/>
            <w:noWrap/>
            <w:vAlign w:val="center"/>
            <w:hideMark/>
          </w:tcPr>
          <w:p w14:paraId="5AD34184" w14:textId="66573452" w:rsidR="00902F47" w:rsidRPr="00902F47" w:rsidRDefault="00902F47" w:rsidP="00902F47">
            <w:pPr>
              <w:spacing w:after="0" w:line="276" w:lineRule="auto"/>
              <w:ind w:firstLine="720"/>
              <w:jc w:val="right"/>
              <w:rPr>
                <w:rFonts w:ascii="Times New Roman" w:hAnsi="Times New Roman"/>
                <w:color w:val="000000"/>
                <w:sz w:val="22"/>
                <w:highlight w:val="yellow"/>
                <w:lang w:val="bg-BG"/>
              </w:rPr>
            </w:pPr>
            <w:r w:rsidRPr="00902F47">
              <w:rPr>
                <w:rFonts w:ascii="Times New Roman" w:hAnsi="Times New Roman"/>
                <w:sz w:val="22"/>
              </w:rPr>
              <w:t>4</w:t>
            </w:r>
            <w:r>
              <w:rPr>
                <w:rFonts w:ascii="Times New Roman" w:hAnsi="Times New Roman"/>
                <w:sz w:val="22"/>
                <w:lang w:val="bg-BG"/>
              </w:rPr>
              <w:t xml:space="preserve"> </w:t>
            </w:r>
            <w:r w:rsidRPr="00902F47">
              <w:rPr>
                <w:rFonts w:ascii="Times New Roman" w:hAnsi="Times New Roman"/>
                <w:sz w:val="22"/>
              </w:rPr>
              <w:t>022</w:t>
            </w:r>
          </w:p>
        </w:tc>
      </w:tr>
      <w:tr w:rsidR="00902F47" w:rsidRPr="00AD6203" w14:paraId="6EDE0BFA" w14:textId="77777777" w:rsidTr="00902F47">
        <w:trPr>
          <w:trHeight w:val="288"/>
          <w:jc w:val="center"/>
        </w:trPr>
        <w:tc>
          <w:tcPr>
            <w:tcW w:w="4097" w:type="pct"/>
            <w:tcBorders>
              <w:top w:val="nil"/>
              <w:left w:val="single" w:sz="4" w:space="0" w:color="auto"/>
              <w:bottom w:val="single" w:sz="4" w:space="0" w:color="auto"/>
              <w:right w:val="single" w:sz="4" w:space="0" w:color="auto"/>
            </w:tcBorders>
            <w:shd w:val="clear" w:color="auto" w:fill="auto"/>
            <w:noWrap/>
            <w:hideMark/>
          </w:tcPr>
          <w:p w14:paraId="1575F006" w14:textId="587354FB" w:rsidR="00902F47" w:rsidRPr="004822D7" w:rsidRDefault="00902F47" w:rsidP="00902F47">
            <w:pPr>
              <w:spacing w:after="0" w:line="276" w:lineRule="auto"/>
              <w:ind w:hanging="23"/>
              <w:rPr>
                <w:rFonts w:ascii="Times New Roman" w:hAnsi="Times New Roman"/>
                <w:color w:val="000000"/>
                <w:sz w:val="22"/>
                <w:lang w:val="bg-BG"/>
              </w:rPr>
            </w:pPr>
            <w:r w:rsidRPr="004822D7">
              <w:rPr>
                <w:rFonts w:ascii="Times New Roman" w:hAnsi="Times New Roman"/>
                <w:sz w:val="22"/>
                <w:lang w:val="bg-BG"/>
              </w:rPr>
              <w:t>Брой посещения в повече в резултат от проекта в морските пристанища</w:t>
            </w:r>
          </w:p>
        </w:tc>
        <w:tc>
          <w:tcPr>
            <w:tcW w:w="903" w:type="pct"/>
            <w:tcBorders>
              <w:top w:val="nil"/>
              <w:left w:val="single" w:sz="4" w:space="0" w:color="auto"/>
              <w:bottom w:val="single" w:sz="4" w:space="0" w:color="auto"/>
              <w:right w:val="single" w:sz="4" w:space="0" w:color="auto"/>
            </w:tcBorders>
            <w:shd w:val="clear" w:color="auto" w:fill="auto"/>
            <w:noWrap/>
            <w:vAlign w:val="center"/>
            <w:hideMark/>
          </w:tcPr>
          <w:p w14:paraId="6885C4DC" w14:textId="5A6307C7" w:rsidR="00902F47" w:rsidRPr="00902F47" w:rsidRDefault="00902F47" w:rsidP="00902F47">
            <w:pPr>
              <w:spacing w:after="0" w:line="276" w:lineRule="auto"/>
              <w:ind w:firstLine="720"/>
              <w:jc w:val="right"/>
              <w:rPr>
                <w:rFonts w:ascii="Times New Roman" w:hAnsi="Times New Roman"/>
                <w:color w:val="000000"/>
                <w:sz w:val="22"/>
                <w:highlight w:val="yellow"/>
                <w:lang w:val="bg-BG"/>
              </w:rPr>
            </w:pPr>
            <w:r w:rsidRPr="00902F47">
              <w:rPr>
                <w:rFonts w:ascii="Times New Roman" w:hAnsi="Times New Roman"/>
                <w:sz w:val="22"/>
              </w:rPr>
              <w:t>117</w:t>
            </w:r>
          </w:p>
        </w:tc>
      </w:tr>
    </w:tbl>
    <w:p w14:paraId="73D56728" w14:textId="77777777" w:rsidR="003A05A1" w:rsidRDefault="003A05A1" w:rsidP="003A05A1">
      <w:pPr>
        <w:spacing w:after="0" w:line="360" w:lineRule="auto"/>
        <w:ind w:firstLine="720"/>
        <w:rPr>
          <w:rFonts w:ascii="Times New Roman" w:hAnsi="Times New Roman"/>
          <w:sz w:val="22"/>
          <w:lang w:val="bg-BG"/>
        </w:rPr>
      </w:pPr>
    </w:p>
    <w:p w14:paraId="577E70C7" w14:textId="61AD6FF9"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 xml:space="preserve">Така определения брой допълнителни кораби в </w:t>
      </w:r>
      <w:r w:rsidR="004822D7" w:rsidRPr="003A05A1">
        <w:rPr>
          <w:rFonts w:ascii="Times New Roman" w:hAnsi="Times New Roman"/>
          <w:sz w:val="22"/>
          <w:lang w:val="bg-BG"/>
        </w:rPr>
        <w:t>пристанище</w:t>
      </w:r>
      <w:r w:rsidRPr="003A05A1">
        <w:rPr>
          <w:rFonts w:ascii="Times New Roman" w:hAnsi="Times New Roman"/>
          <w:sz w:val="22"/>
          <w:lang w:val="bg-BG"/>
        </w:rPr>
        <w:t xml:space="preserve"> Бургас е добавен към прогнозирания брой кораби за морски пристанища в прогнозата на сценария „Без проект“, за да се получи прогнозата в сценария „С проект“. Тя е резюмирана в следващата таблица:</w:t>
      </w:r>
      <w:bookmarkStart w:id="117" w:name="_Toc115547632"/>
    </w:p>
    <w:p w14:paraId="28B95EFB" w14:textId="0F88C96D" w:rsidR="00AD6203" w:rsidRPr="00D86E60" w:rsidRDefault="00D86E60" w:rsidP="004822D7">
      <w:pPr>
        <w:spacing w:after="120" w:line="24" w:lineRule="atLeast"/>
        <w:ind w:firstLine="720"/>
        <w:jc w:val="center"/>
        <w:rPr>
          <w:rFonts w:ascii="Times New Roman" w:eastAsia="Times New Roman" w:hAnsi="Times New Roman"/>
          <w:sz w:val="22"/>
          <w:lang w:val="bg-BG"/>
        </w:rPr>
      </w:pPr>
      <w:r w:rsidRPr="00805152">
        <w:rPr>
          <w:rFonts w:ascii="Times New Roman" w:eastAsia="Times New Roman" w:hAnsi="Times New Roman"/>
          <w:i/>
          <w:iCs/>
          <w:sz w:val="22"/>
          <w:lang w:val="bg-BG"/>
        </w:rPr>
        <w:t xml:space="preserve">Таблица </w:t>
      </w:r>
      <w:r w:rsidRPr="00805152">
        <w:rPr>
          <w:rFonts w:ascii="Times New Roman" w:eastAsia="Times New Roman" w:hAnsi="Times New Roman"/>
          <w:i/>
          <w:iCs/>
          <w:sz w:val="22"/>
          <w:lang w:val="bg-BG"/>
        </w:rPr>
        <w:fldChar w:fldCharType="begin"/>
      </w:r>
      <w:r w:rsidRPr="00805152">
        <w:rPr>
          <w:rFonts w:ascii="Times New Roman" w:eastAsia="Times New Roman" w:hAnsi="Times New Roman"/>
          <w:i/>
          <w:iCs/>
          <w:sz w:val="22"/>
          <w:lang w:val="bg-BG"/>
        </w:rPr>
        <w:instrText>SEQ Таблица_ \* ARABIC</w:instrText>
      </w:r>
      <w:r w:rsidRPr="00805152">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18</w:t>
      </w:r>
      <w:r w:rsidRPr="00805152">
        <w:rPr>
          <w:rFonts w:ascii="Times New Roman" w:eastAsia="Times New Roman" w:hAnsi="Times New Roman"/>
          <w:i/>
          <w:iCs/>
          <w:sz w:val="22"/>
          <w:lang w:val="bg-BG"/>
        </w:rPr>
        <w:fldChar w:fldCharType="end"/>
      </w:r>
      <w:r w:rsidRPr="00805152">
        <w:rPr>
          <w:rFonts w:ascii="Times New Roman" w:eastAsia="Times New Roman" w:hAnsi="Times New Roman"/>
          <w:i/>
          <w:iCs/>
          <w:sz w:val="22"/>
          <w:lang w:val="bg-BG"/>
        </w:rPr>
        <w:t xml:space="preserve">: </w:t>
      </w:r>
      <w:r w:rsidR="00AD6203" w:rsidRPr="00D86E60">
        <w:rPr>
          <w:rFonts w:ascii="Times New Roman" w:hAnsi="Times New Roman" w:cs="Arial"/>
          <w:i/>
          <w:color w:val="000000"/>
          <w:sz w:val="22"/>
          <w:lang w:val="bg-BG"/>
        </w:rPr>
        <w:t>Прогноза за извършена работа за товарни превози по пристанища „С проект“</w:t>
      </w:r>
    </w:p>
    <w:tbl>
      <w:tblPr>
        <w:tblW w:w="50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5"/>
        <w:gridCol w:w="1016"/>
        <w:gridCol w:w="1024"/>
        <w:gridCol w:w="1022"/>
        <w:gridCol w:w="1020"/>
        <w:gridCol w:w="1008"/>
        <w:gridCol w:w="1018"/>
      </w:tblGrid>
      <w:tr w:rsidR="00AD6203" w:rsidRPr="00AD6203" w14:paraId="44848111" w14:textId="77777777" w:rsidTr="00902F47">
        <w:trPr>
          <w:trHeight w:val="391"/>
        </w:trPr>
        <w:tc>
          <w:tcPr>
            <w:tcW w:w="1916" w:type="pct"/>
            <w:shd w:val="clear" w:color="auto" w:fill="C5E0B3"/>
            <w:noWrap/>
            <w:vAlign w:val="center"/>
            <w:hideMark/>
          </w:tcPr>
          <w:bookmarkEnd w:id="117"/>
          <w:p w14:paraId="6A7D911B" w14:textId="77777777" w:rsidR="00AD6203" w:rsidRPr="00AD6203" w:rsidRDefault="00AD6203" w:rsidP="00AD6203">
            <w:pPr>
              <w:spacing w:after="0" w:line="24" w:lineRule="atLeast"/>
              <w:ind w:hanging="23"/>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Прогноза за трафика товарен СП</w:t>
            </w:r>
          </w:p>
        </w:tc>
        <w:tc>
          <w:tcPr>
            <w:tcW w:w="513" w:type="pct"/>
            <w:shd w:val="clear" w:color="auto" w:fill="C5E0B3"/>
            <w:noWrap/>
            <w:vAlign w:val="center"/>
            <w:hideMark/>
          </w:tcPr>
          <w:p w14:paraId="6E34B569"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2023 г.</w:t>
            </w:r>
          </w:p>
        </w:tc>
        <w:tc>
          <w:tcPr>
            <w:tcW w:w="517" w:type="pct"/>
            <w:shd w:val="clear" w:color="auto" w:fill="C5E0B3"/>
            <w:noWrap/>
            <w:vAlign w:val="center"/>
            <w:hideMark/>
          </w:tcPr>
          <w:p w14:paraId="77207FF7"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2028 г.</w:t>
            </w:r>
          </w:p>
        </w:tc>
        <w:tc>
          <w:tcPr>
            <w:tcW w:w="516" w:type="pct"/>
            <w:shd w:val="clear" w:color="auto" w:fill="C5E0B3"/>
            <w:noWrap/>
            <w:vAlign w:val="center"/>
            <w:hideMark/>
          </w:tcPr>
          <w:p w14:paraId="34DA2CA1"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2030 г.</w:t>
            </w:r>
          </w:p>
        </w:tc>
        <w:tc>
          <w:tcPr>
            <w:tcW w:w="515" w:type="pct"/>
            <w:shd w:val="clear" w:color="auto" w:fill="C5E0B3"/>
            <w:noWrap/>
            <w:vAlign w:val="center"/>
            <w:hideMark/>
          </w:tcPr>
          <w:p w14:paraId="30EEE6BE"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2035 г.</w:t>
            </w:r>
          </w:p>
        </w:tc>
        <w:tc>
          <w:tcPr>
            <w:tcW w:w="509" w:type="pct"/>
            <w:shd w:val="clear" w:color="auto" w:fill="C5E0B3"/>
            <w:noWrap/>
            <w:vAlign w:val="center"/>
            <w:hideMark/>
          </w:tcPr>
          <w:p w14:paraId="5816E116"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2040 г.</w:t>
            </w:r>
          </w:p>
        </w:tc>
        <w:tc>
          <w:tcPr>
            <w:tcW w:w="514" w:type="pct"/>
            <w:shd w:val="clear" w:color="auto" w:fill="C5E0B3"/>
            <w:noWrap/>
            <w:vAlign w:val="center"/>
            <w:hideMark/>
          </w:tcPr>
          <w:p w14:paraId="00C5EF93" w14:textId="77777777" w:rsidR="00AD6203" w:rsidRPr="00AD6203" w:rsidRDefault="00AD6203" w:rsidP="00AD6203">
            <w:pPr>
              <w:spacing w:after="0" w:line="24" w:lineRule="atLeast"/>
              <w:jc w:val="center"/>
              <w:rPr>
                <w:rFonts w:ascii="Times New Roman" w:eastAsia="Times New Roman" w:hAnsi="Times New Roman"/>
                <w:b/>
                <w:bCs/>
                <w:color w:val="000000"/>
                <w:sz w:val="22"/>
                <w:szCs w:val="24"/>
                <w:lang w:val="bg-BG"/>
              </w:rPr>
            </w:pPr>
            <w:r w:rsidRPr="00AD6203">
              <w:rPr>
                <w:rFonts w:ascii="Times New Roman" w:eastAsia="Times New Roman" w:hAnsi="Times New Roman"/>
                <w:b/>
                <w:bCs/>
                <w:color w:val="000000"/>
                <w:sz w:val="22"/>
                <w:szCs w:val="24"/>
                <w:lang w:val="bg-BG"/>
              </w:rPr>
              <w:t>2047 г.</w:t>
            </w:r>
          </w:p>
        </w:tc>
      </w:tr>
      <w:tr w:rsidR="00902F47" w:rsidRPr="00AD6203" w14:paraId="38B02F22" w14:textId="77777777" w:rsidTr="00902F47">
        <w:trPr>
          <w:trHeight w:val="288"/>
        </w:trPr>
        <w:tc>
          <w:tcPr>
            <w:tcW w:w="1916" w:type="pct"/>
            <w:shd w:val="clear" w:color="000000" w:fill="FFFFFF"/>
            <w:noWrap/>
            <w:vAlign w:val="center"/>
            <w:hideMark/>
          </w:tcPr>
          <w:p w14:paraId="2A583887" w14:textId="77777777" w:rsidR="00902F47" w:rsidRPr="00AD6203" w:rsidRDefault="00902F47" w:rsidP="00902F47">
            <w:pPr>
              <w:spacing w:after="0" w:line="24" w:lineRule="atLeast"/>
              <w:ind w:hanging="23"/>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Брой кораби в морските пристанища</w:t>
            </w:r>
          </w:p>
        </w:tc>
        <w:tc>
          <w:tcPr>
            <w:tcW w:w="513" w:type="pct"/>
            <w:shd w:val="clear" w:color="000000" w:fill="FFFFFF"/>
            <w:noWrap/>
            <w:hideMark/>
          </w:tcPr>
          <w:p w14:paraId="157D5FB3" w14:textId="4B56FEBF"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3 </w:t>
            </w:r>
            <w:r w:rsidRPr="00902F47">
              <w:rPr>
                <w:rFonts w:ascii="Times New Roman" w:hAnsi="Times New Roman"/>
                <w:color w:val="000000"/>
                <w:sz w:val="22"/>
                <w:szCs w:val="24"/>
                <w:lang w:val="bg-BG"/>
              </w:rPr>
              <w:t>507</w:t>
            </w:r>
          </w:p>
        </w:tc>
        <w:tc>
          <w:tcPr>
            <w:tcW w:w="517" w:type="pct"/>
            <w:tcBorders>
              <w:top w:val="single" w:sz="8" w:space="0" w:color="auto"/>
              <w:left w:val="single" w:sz="4" w:space="0" w:color="auto"/>
              <w:bottom w:val="single" w:sz="4" w:space="0" w:color="auto"/>
              <w:right w:val="single" w:sz="4" w:space="0" w:color="auto"/>
            </w:tcBorders>
            <w:shd w:val="clear" w:color="auto" w:fill="auto"/>
            <w:noWrap/>
            <w:hideMark/>
          </w:tcPr>
          <w:p w14:paraId="05CD028A" w14:textId="0B061B48"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4 </w:t>
            </w:r>
            <w:r w:rsidRPr="00902F47">
              <w:rPr>
                <w:rFonts w:ascii="Times New Roman" w:hAnsi="Times New Roman"/>
                <w:color w:val="000000"/>
                <w:sz w:val="22"/>
                <w:szCs w:val="24"/>
                <w:lang w:val="bg-BG"/>
              </w:rPr>
              <w:t>022</w:t>
            </w:r>
          </w:p>
        </w:tc>
        <w:tc>
          <w:tcPr>
            <w:tcW w:w="516" w:type="pct"/>
            <w:tcBorders>
              <w:top w:val="single" w:sz="8" w:space="0" w:color="auto"/>
              <w:left w:val="single" w:sz="4" w:space="0" w:color="auto"/>
              <w:bottom w:val="single" w:sz="4" w:space="0" w:color="auto"/>
              <w:right w:val="single" w:sz="4" w:space="0" w:color="auto"/>
            </w:tcBorders>
            <w:shd w:val="clear" w:color="000000" w:fill="FFFFFF"/>
            <w:noWrap/>
            <w:hideMark/>
          </w:tcPr>
          <w:p w14:paraId="24E71790" w14:textId="7F403B49"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4 </w:t>
            </w:r>
            <w:r w:rsidRPr="00902F47">
              <w:rPr>
                <w:rFonts w:ascii="Times New Roman" w:hAnsi="Times New Roman"/>
                <w:color w:val="000000"/>
                <w:sz w:val="22"/>
                <w:szCs w:val="24"/>
                <w:lang w:val="bg-BG"/>
              </w:rPr>
              <w:t>134</w:t>
            </w:r>
          </w:p>
        </w:tc>
        <w:tc>
          <w:tcPr>
            <w:tcW w:w="515" w:type="pct"/>
            <w:tcBorders>
              <w:top w:val="single" w:sz="8" w:space="0" w:color="auto"/>
              <w:left w:val="nil"/>
              <w:bottom w:val="single" w:sz="4" w:space="0" w:color="auto"/>
              <w:right w:val="single" w:sz="4" w:space="0" w:color="auto"/>
            </w:tcBorders>
            <w:shd w:val="clear" w:color="000000" w:fill="FFFFFF"/>
            <w:noWrap/>
            <w:hideMark/>
          </w:tcPr>
          <w:p w14:paraId="507FC854" w14:textId="3B3733DE"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4 </w:t>
            </w:r>
            <w:r w:rsidRPr="00902F47">
              <w:rPr>
                <w:rFonts w:ascii="Times New Roman" w:hAnsi="Times New Roman"/>
                <w:color w:val="000000"/>
                <w:sz w:val="22"/>
                <w:szCs w:val="24"/>
                <w:lang w:val="bg-BG"/>
              </w:rPr>
              <w:t>427</w:t>
            </w:r>
          </w:p>
        </w:tc>
        <w:tc>
          <w:tcPr>
            <w:tcW w:w="509" w:type="pct"/>
            <w:tcBorders>
              <w:top w:val="single" w:sz="8" w:space="0" w:color="auto"/>
              <w:left w:val="nil"/>
              <w:bottom w:val="single" w:sz="4" w:space="0" w:color="auto"/>
              <w:right w:val="single" w:sz="4" w:space="0" w:color="auto"/>
            </w:tcBorders>
            <w:shd w:val="clear" w:color="000000" w:fill="FFFFFF"/>
            <w:noWrap/>
            <w:hideMark/>
          </w:tcPr>
          <w:p w14:paraId="51351043" w14:textId="1FC0E6CA"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4 </w:t>
            </w:r>
            <w:r w:rsidRPr="00902F47">
              <w:rPr>
                <w:rFonts w:ascii="Times New Roman" w:hAnsi="Times New Roman"/>
                <w:color w:val="000000"/>
                <w:sz w:val="22"/>
                <w:szCs w:val="24"/>
                <w:lang w:val="bg-BG"/>
              </w:rPr>
              <w:t>741</w:t>
            </w:r>
          </w:p>
        </w:tc>
        <w:tc>
          <w:tcPr>
            <w:tcW w:w="514" w:type="pct"/>
            <w:tcBorders>
              <w:top w:val="single" w:sz="8" w:space="0" w:color="auto"/>
              <w:left w:val="nil"/>
              <w:bottom w:val="single" w:sz="4" w:space="0" w:color="auto"/>
              <w:right w:val="single" w:sz="4" w:space="0" w:color="auto"/>
            </w:tcBorders>
            <w:shd w:val="clear" w:color="000000" w:fill="FFFFFF"/>
            <w:noWrap/>
            <w:hideMark/>
          </w:tcPr>
          <w:p w14:paraId="7BBDBAB2" w14:textId="5D06A98F"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5 </w:t>
            </w:r>
            <w:r w:rsidRPr="00902F47">
              <w:rPr>
                <w:rFonts w:ascii="Times New Roman" w:hAnsi="Times New Roman"/>
                <w:color w:val="000000"/>
                <w:sz w:val="22"/>
                <w:szCs w:val="24"/>
                <w:lang w:val="bg-BG"/>
              </w:rPr>
              <w:t>218</w:t>
            </w:r>
          </w:p>
        </w:tc>
      </w:tr>
      <w:tr w:rsidR="00902F47" w:rsidRPr="00AD6203" w14:paraId="443D4A50" w14:textId="77777777" w:rsidTr="00902F47">
        <w:trPr>
          <w:trHeight w:val="288"/>
        </w:trPr>
        <w:tc>
          <w:tcPr>
            <w:tcW w:w="1916" w:type="pct"/>
            <w:shd w:val="clear" w:color="000000" w:fill="FFFFFF"/>
            <w:noWrap/>
            <w:vAlign w:val="center"/>
            <w:hideMark/>
          </w:tcPr>
          <w:p w14:paraId="5A0CF78D" w14:textId="77777777" w:rsidR="00902F47" w:rsidRPr="00AD6203" w:rsidRDefault="00902F47" w:rsidP="00902F47">
            <w:pPr>
              <w:spacing w:after="0" w:line="24" w:lineRule="atLeast"/>
              <w:ind w:hanging="23"/>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Брой кораби в речните пристанища</w:t>
            </w:r>
          </w:p>
        </w:tc>
        <w:tc>
          <w:tcPr>
            <w:tcW w:w="513" w:type="pct"/>
            <w:shd w:val="clear" w:color="000000" w:fill="FFFFFF"/>
            <w:noWrap/>
            <w:hideMark/>
          </w:tcPr>
          <w:p w14:paraId="3E81D203" w14:textId="04F29A1B"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2 </w:t>
            </w:r>
            <w:r w:rsidRPr="00902F47">
              <w:rPr>
                <w:rFonts w:ascii="Times New Roman" w:hAnsi="Times New Roman"/>
                <w:color w:val="000000"/>
                <w:sz w:val="22"/>
                <w:szCs w:val="24"/>
                <w:lang w:val="bg-BG"/>
              </w:rPr>
              <w:t>715</w:t>
            </w:r>
          </w:p>
        </w:tc>
        <w:tc>
          <w:tcPr>
            <w:tcW w:w="517" w:type="pct"/>
            <w:tcBorders>
              <w:top w:val="nil"/>
              <w:left w:val="single" w:sz="4" w:space="0" w:color="auto"/>
              <w:bottom w:val="single" w:sz="4" w:space="0" w:color="auto"/>
              <w:right w:val="single" w:sz="4" w:space="0" w:color="auto"/>
            </w:tcBorders>
            <w:shd w:val="clear" w:color="auto" w:fill="auto"/>
            <w:noWrap/>
            <w:hideMark/>
          </w:tcPr>
          <w:p w14:paraId="15628540" w14:textId="41488E3E"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2 </w:t>
            </w:r>
            <w:r w:rsidRPr="00902F47">
              <w:rPr>
                <w:rFonts w:ascii="Times New Roman" w:hAnsi="Times New Roman"/>
                <w:color w:val="000000"/>
                <w:sz w:val="22"/>
                <w:szCs w:val="24"/>
                <w:lang w:val="bg-BG"/>
              </w:rPr>
              <w:t>916</w:t>
            </w:r>
          </w:p>
        </w:tc>
        <w:tc>
          <w:tcPr>
            <w:tcW w:w="516" w:type="pct"/>
            <w:tcBorders>
              <w:top w:val="nil"/>
              <w:left w:val="single" w:sz="4" w:space="0" w:color="auto"/>
              <w:bottom w:val="single" w:sz="4" w:space="0" w:color="auto"/>
              <w:right w:val="single" w:sz="4" w:space="0" w:color="auto"/>
            </w:tcBorders>
            <w:shd w:val="clear" w:color="000000" w:fill="FFFFFF"/>
            <w:noWrap/>
            <w:hideMark/>
          </w:tcPr>
          <w:p w14:paraId="7F9E98A6" w14:textId="5A1AA231"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2 </w:t>
            </w:r>
            <w:r w:rsidRPr="00902F47">
              <w:rPr>
                <w:rFonts w:ascii="Times New Roman" w:hAnsi="Times New Roman"/>
                <w:color w:val="000000"/>
                <w:sz w:val="22"/>
                <w:szCs w:val="24"/>
                <w:lang w:val="bg-BG"/>
              </w:rPr>
              <w:t>977</w:t>
            </w:r>
          </w:p>
        </w:tc>
        <w:tc>
          <w:tcPr>
            <w:tcW w:w="515" w:type="pct"/>
            <w:tcBorders>
              <w:top w:val="nil"/>
              <w:left w:val="nil"/>
              <w:bottom w:val="single" w:sz="4" w:space="0" w:color="auto"/>
              <w:right w:val="single" w:sz="4" w:space="0" w:color="auto"/>
            </w:tcBorders>
            <w:shd w:val="clear" w:color="000000" w:fill="FFFFFF"/>
            <w:noWrap/>
            <w:hideMark/>
          </w:tcPr>
          <w:p w14:paraId="0253258C" w14:textId="20FECAD1"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2 </w:t>
            </w:r>
            <w:r w:rsidRPr="00902F47">
              <w:rPr>
                <w:rFonts w:ascii="Times New Roman" w:hAnsi="Times New Roman"/>
                <w:color w:val="000000"/>
                <w:sz w:val="22"/>
                <w:szCs w:val="24"/>
                <w:lang w:val="bg-BG"/>
              </w:rPr>
              <w:t>982</w:t>
            </w:r>
          </w:p>
        </w:tc>
        <w:tc>
          <w:tcPr>
            <w:tcW w:w="509" w:type="pct"/>
            <w:tcBorders>
              <w:top w:val="nil"/>
              <w:left w:val="nil"/>
              <w:bottom w:val="single" w:sz="4" w:space="0" w:color="auto"/>
              <w:right w:val="single" w:sz="4" w:space="0" w:color="auto"/>
            </w:tcBorders>
            <w:shd w:val="clear" w:color="000000" w:fill="FFFFFF"/>
            <w:noWrap/>
            <w:hideMark/>
          </w:tcPr>
          <w:p w14:paraId="4AD42E78" w14:textId="4F7FF934"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2 </w:t>
            </w:r>
            <w:r w:rsidRPr="00902F47">
              <w:rPr>
                <w:rFonts w:ascii="Times New Roman" w:hAnsi="Times New Roman"/>
                <w:color w:val="000000"/>
                <w:sz w:val="22"/>
                <w:szCs w:val="24"/>
                <w:lang w:val="bg-BG"/>
              </w:rPr>
              <w:t>988</w:t>
            </w:r>
          </w:p>
        </w:tc>
        <w:tc>
          <w:tcPr>
            <w:tcW w:w="514" w:type="pct"/>
            <w:tcBorders>
              <w:top w:val="nil"/>
              <w:left w:val="nil"/>
              <w:bottom w:val="single" w:sz="4" w:space="0" w:color="auto"/>
              <w:right w:val="single" w:sz="4" w:space="0" w:color="auto"/>
            </w:tcBorders>
            <w:shd w:val="clear" w:color="000000" w:fill="FFFFFF"/>
            <w:noWrap/>
            <w:hideMark/>
          </w:tcPr>
          <w:p w14:paraId="49079DCB" w14:textId="1C532E96" w:rsidR="00902F47" w:rsidRPr="00902F47" w:rsidRDefault="00902F47" w:rsidP="00902F47">
            <w:pPr>
              <w:spacing w:after="0" w:line="24" w:lineRule="atLeast"/>
              <w:ind w:firstLine="32"/>
              <w:jc w:val="center"/>
              <w:rPr>
                <w:rFonts w:ascii="Times New Roman" w:hAnsi="Times New Roman"/>
                <w:color w:val="000000"/>
                <w:sz w:val="22"/>
                <w:szCs w:val="24"/>
                <w:lang w:val="bg-BG"/>
              </w:rPr>
            </w:pPr>
            <w:r>
              <w:rPr>
                <w:rFonts w:ascii="Times New Roman" w:hAnsi="Times New Roman"/>
                <w:color w:val="000000"/>
                <w:sz w:val="22"/>
                <w:szCs w:val="24"/>
                <w:lang w:val="bg-BG"/>
              </w:rPr>
              <w:t xml:space="preserve">2 </w:t>
            </w:r>
            <w:r w:rsidRPr="00902F47">
              <w:rPr>
                <w:rFonts w:ascii="Times New Roman" w:hAnsi="Times New Roman"/>
                <w:color w:val="000000"/>
                <w:sz w:val="22"/>
                <w:szCs w:val="24"/>
                <w:lang w:val="bg-BG"/>
              </w:rPr>
              <w:t>996</w:t>
            </w:r>
          </w:p>
        </w:tc>
      </w:tr>
      <w:tr w:rsidR="00902F47" w:rsidRPr="00AD6203" w14:paraId="225E9649" w14:textId="77777777" w:rsidTr="00902F47">
        <w:trPr>
          <w:trHeight w:val="288"/>
        </w:trPr>
        <w:tc>
          <w:tcPr>
            <w:tcW w:w="1916" w:type="pct"/>
            <w:shd w:val="clear" w:color="auto" w:fill="auto"/>
            <w:noWrap/>
            <w:vAlign w:val="center"/>
            <w:hideMark/>
          </w:tcPr>
          <w:p w14:paraId="7E58C988" w14:textId="77777777" w:rsidR="00902F47" w:rsidRPr="00AD6203" w:rsidRDefault="00902F47" w:rsidP="00902F47">
            <w:pPr>
              <w:spacing w:after="0" w:line="24" w:lineRule="atLeast"/>
              <w:ind w:hanging="23"/>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Извършена работа в х. тона морски</w:t>
            </w:r>
          </w:p>
        </w:tc>
        <w:tc>
          <w:tcPr>
            <w:tcW w:w="513" w:type="pct"/>
            <w:shd w:val="clear" w:color="000000" w:fill="FFFFFF"/>
            <w:noWrap/>
            <w:hideMark/>
          </w:tcPr>
          <w:p w14:paraId="2F386AE1" w14:textId="6A0EBD92"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27</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715</w:t>
            </w:r>
          </w:p>
        </w:tc>
        <w:tc>
          <w:tcPr>
            <w:tcW w:w="517" w:type="pct"/>
            <w:tcBorders>
              <w:top w:val="nil"/>
              <w:left w:val="single" w:sz="4" w:space="0" w:color="auto"/>
              <w:bottom w:val="single" w:sz="4" w:space="0" w:color="auto"/>
              <w:right w:val="single" w:sz="4" w:space="0" w:color="auto"/>
            </w:tcBorders>
            <w:shd w:val="clear" w:color="auto" w:fill="auto"/>
            <w:noWrap/>
            <w:hideMark/>
          </w:tcPr>
          <w:p w14:paraId="226918F9" w14:textId="1785C1B5"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31</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788</w:t>
            </w:r>
          </w:p>
        </w:tc>
        <w:tc>
          <w:tcPr>
            <w:tcW w:w="516" w:type="pct"/>
            <w:tcBorders>
              <w:top w:val="nil"/>
              <w:left w:val="single" w:sz="4" w:space="0" w:color="auto"/>
              <w:bottom w:val="single" w:sz="4" w:space="0" w:color="auto"/>
              <w:right w:val="single" w:sz="4" w:space="0" w:color="auto"/>
            </w:tcBorders>
            <w:shd w:val="clear" w:color="auto" w:fill="auto"/>
            <w:noWrap/>
            <w:hideMark/>
          </w:tcPr>
          <w:p w14:paraId="34EFDD21" w14:textId="4ACD287D"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32</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671</w:t>
            </w:r>
          </w:p>
        </w:tc>
        <w:tc>
          <w:tcPr>
            <w:tcW w:w="515" w:type="pct"/>
            <w:tcBorders>
              <w:top w:val="nil"/>
              <w:left w:val="nil"/>
              <w:bottom w:val="single" w:sz="4" w:space="0" w:color="auto"/>
              <w:right w:val="single" w:sz="4" w:space="0" w:color="auto"/>
            </w:tcBorders>
            <w:shd w:val="clear" w:color="auto" w:fill="auto"/>
            <w:noWrap/>
            <w:hideMark/>
          </w:tcPr>
          <w:p w14:paraId="7102F834" w14:textId="69B766BA"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34</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987</w:t>
            </w:r>
          </w:p>
        </w:tc>
        <w:tc>
          <w:tcPr>
            <w:tcW w:w="509" w:type="pct"/>
            <w:tcBorders>
              <w:top w:val="nil"/>
              <w:left w:val="nil"/>
              <w:bottom w:val="single" w:sz="4" w:space="0" w:color="auto"/>
              <w:right w:val="single" w:sz="4" w:space="0" w:color="auto"/>
            </w:tcBorders>
            <w:shd w:val="clear" w:color="auto" w:fill="auto"/>
            <w:noWrap/>
            <w:hideMark/>
          </w:tcPr>
          <w:p w14:paraId="19F8CC18" w14:textId="7B880FE9"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37</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468</w:t>
            </w:r>
          </w:p>
        </w:tc>
        <w:tc>
          <w:tcPr>
            <w:tcW w:w="514" w:type="pct"/>
            <w:tcBorders>
              <w:top w:val="nil"/>
              <w:left w:val="nil"/>
              <w:bottom w:val="single" w:sz="4" w:space="0" w:color="auto"/>
              <w:right w:val="single" w:sz="4" w:space="0" w:color="auto"/>
            </w:tcBorders>
            <w:shd w:val="clear" w:color="auto" w:fill="auto"/>
            <w:noWrap/>
            <w:hideMark/>
          </w:tcPr>
          <w:p w14:paraId="78BA6917" w14:textId="3E2EFEA5"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41</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239</w:t>
            </w:r>
          </w:p>
        </w:tc>
      </w:tr>
      <w:tr w:rsidR="00902F47" w:rsidRPr="00AD6203" w14:paraId="435A3EAF" w14:textId="77777777" w:rsidTr="00902F47">
        <w:trPr>
          <w:trHeight w:val="288"/>
        </w:trPr>
        <w:tc>
          <w:tcPr>
            <w:tcW w:w="1916" w:type="pct"/>
            <w:shd w:val="clear" w:color="auto" w:fill="auto"/>
            <w:noWrap/>
            <w:vAlign w:val="center"/>
            <w:hideMark/>
          </w:tcPr>
          <w:p w14:paraId="21B83CF9" w14:textId="77777777" w:rsidR="00902F47" w:rsidRPr="00AD6203" w:rsidRDefault="00902F47" w:rsidP="00902F47">
            <w:pPr>
              <w:spacing w:after="0" w:line="24" w:lineRule="atLeast"/>
              <w:ind w:hanging="23"/>
              <w:rPr>
                <w:rFonts w:ascii="Times New Roman" w:eastAsia="Times New Roman" w:hAnsi="Times New Roman"/>
                <w:color w:val="000000"/>
                <w:sz w:val="22"/>
                <w:szCs w:val="24"/>
                <w:lang w:val="bg-BG"/>
              </w:rPr>
            </w:pPr>
            <w:r w:rsidRPr="00AD6203">
              <w:rPr>
                <w:rFonts w:ascii="Times New Roman" w:eastAsia="Times New Roman" w:hAnsi="Times New Roman"/>
                <w:color w:val="000000"/>
                <w:sz w:val="22"/>
                <w:szCs w:val="24"/>
                <w:lang w:val="bg-BG"/>
              </w:rPr>
              <w:t>Извършена работа в х. тона речен</w:t>
            </w:r>
          </w:p>
        </w:tc>
        <w:tc>
          <w:tcPr>
            <w:tcW w:w="513" w:type="pct"/>
            <w:shd w:val="clear" w:color="000000" w:fill="FFFFFF"/>
            <w:noWrap/>
            <w:hideMark/>
          </w:tcPr>
          <w:p w14:paraId="3407D6C1" w14:textId="528B79FB"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2</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199</w:t>
            </w:r>
          </w:p>
        </w:tc>
        <w:tc>
          <w:tcPr>
            <w:tcW w:w="517" w:type="pct"/>
            <w:tcBorders>
              <w:top w:val="nil"/>
              <w:left w:val="single" w:sz="4" w:space="0" w:color="auto"/>
              <w:bottom w:val="single" w:sz="4" w:space="0" w:color="auto"/>
              <w:right w:val="single" w:sz="4" w:space="0" w:color="auto"/>
            </w:tcBorders>
            <w:shd w:val="clear" w:color="auto" w:fill="auto"/>
            <w:noWrap/>
            <w:hideMark/>
          </w:tcPr>
          <w:p w14:paraId="2BC669BB" w14:textId="016506CA"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2</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361</w:t>
            </w:r>
          </w:p>
        </w:tc>
        <w:tc>
          <w:tcPr>
            <w:tcW w:w="516" w:type="pct"/>
            <w:tcBorders>
              <w:top w:val="nil"/>
              <w:left w:val="single" w:sz="4" w:space="0" w:color="auto"/>
              <w:bottom w:val="single" w:sz="4" w:space="0" w:color="auto"/>
              <w:right w:val="single" w:sz="4" w:space="0" w:color="auto"/>
            </w:tcBorders>
            <w:shd w:val="clear" w:color="000000" w:fill="FFFFFF"/>
            <w:noWrap/>
            <w:hideMark/>
          </w:tcPr>
          <w:p w14:paraId="75D2E693" w14:textId="3B971276"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2</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411</w:t>
            </w:r>
          </w:p>
        </w:tc>
        <w:tc>
          <w:tcPr>
            <w:tcW w:w="515" w:type="pct"/>
            <w:tcBorders>
              <w:top w:val="nil"/>
              <w:left w:val="nil"/>
              <w:bottom w:val="single" w:sz="4" w:space="0" w:color="auto"/>
              <w:right w:val="single" w:sz="4" w:space="0" w:color="auto"/>
            </w:tcBorders>
            <w:shd w:val="clear" w:color="000000" w:fill="FFFFFF"/>
            <w:noWrap/>
            <w:hideMark/>
          </w:tcPr>
          <w:p w14:paraId="36E485B9" w14:textId="3BECCD41"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2</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415</w:t>
            </w:r>
          </w:p>
        </w:tc>
        <w:tc>
          <w:tcPr>
            <w:tcW w:w="509" w:type="pct"/>
            <w:tcBorders>
              <w:top w:val="nil"/>
              <w:left w:val="nil"/>
              <w:bottom w:val="single" w:sz="4" w:space="0" w:color="auto"/>
              <w:right w:val="single" w:sz="4" w:space="0" w:color="auto"/>
            </w:tcBorders>
            <w:shd w:val="clear" w:color="000000" w:fill="FFFFFF"/>
            <w:noWrap/>
            <w:hideMark/>
          </w:tcPr>
          <w:p w14:paraId="77EAC878" w14:textId="2DD75D8C"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2</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420</w:t>
            </w:r>
          </w:p>
        </w:tc>
        <w:tc>
          <w:tcPr>
            <w:tcW w:w="514" w:type="pct"/>
            <w:tcBorders>
              <w:top w:val="nil"/>
              <w:left w:val="nil"/>
              <w:bottom w:val="single" w:sz="4" w:space="0" w:color="auto"/>
              <w:right w:val="single" w:sz="4" w:space="0" w:color="auto"/>
            </w:tcBorders>
            <w:shd w:val="clear" w:color="000000" w:fill="FFFFFF"/>
            <w:noWrap/>
            <w:hideMark/>
          </w:tcPr>
          <w:p w14:paraId="0519A1A1" w14:textId="2BEBC4BA" w:rsidR="00902F47" w:rsidRPr="00902F47" w:rsidRDefault="00902F47" w:rsidP="00902F47">
            <w:pPr>
              <w:spacing w:after="0" w:line="24" w:lineRule="atLeast"/>
              <w:ind w:firstLine="32"/>
              <w:jc w:val="center"/>
              <w:rPr>
                <w:rFonts w:ascii="Times New Roman" w:hAnsi="Times New Roman"/>
                <w:color w:val="000000"/>
                <w:sz w:val="22"/>
                <w:szCs w:val="24"/>
                <w:lang w:val="bg-BG"/>
              </w:rPr>
            </w:pPr>
            <w:r w:rsidRPr="00902F47">
              <w:rPr>
                <w:rFonts w:ascii="Times New Roman" w:hAnsi="Times New Roman"/>
                <w:color w:val="000000"/>
                <w:sz w:val="22"/>
                <w:szCs w:val="24"/>
                <w:lang w:val="bg-BG"/>
              </w:rPr>
              <w:t>2</w:t>
            </w:r>
            <w:r>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426</w:t>
            </w:r>
          </w:p>
        </w:tc>
      </w:tr>
    </w:tbl>
    <w:p w14:paraId="2A50EFAC" w14:textId="77777777" w:rsidR="00DE19E4" w:rsidRDefault="00DE19E4" w:rsidP="003A05A1">
      <w:pPr>
        <w:spacing w:after="0" w:line="360" w:lineRule="auto"/>
        <w:ind w:firstLine="720"/>
        <w:rPr>
          <w:rFonts w:ascii="Times New Roman" w:hAnsi="Times New Roman"/>
          <w:sz w:val="22"/>
          <w:lang w:val="bg-BG"/>
        </w:rPr>
      </w:pPr>
    </w:p>
    <w:p w14:paraId="782384F4" w14:textId="77777777" w:rsidR="00AD6203" w:rsidRPr="003A05A1" w:rsidRDefault="00AD6203" w:rsidP="003A05A1">
      <w:pPr>
        <w:spacing w:after="0" w:line="360" w:lineRule="auto"/>
        <w:ind w:firstLine="720"/>
        <w:rPr>
          <w:rFonts w:ascii="Times New Roman" w:hAnsi="Times New Roman"/>
          <w:sz w:val="22"/>
          <w:lang w:val="bg-BG"/>
        </w:rPr>
      </w:pPr>
      <w:r w:rsidRPr="003A05A1">
        <w:rPr>
          <w:rFonts w:ascii="Times New Roman" w:hAnsi="Times New Roman"/>
          <w:sz w:val="22"/>
          <w:lang w:val="bg-BG"/>
        </w:rPr>
        <w:t>Въпреки, че проектът не касае пътническите превози, е направена прогноза и за тяхното развитие, което е еднакво и в двата сценария и е необходимо при определяне на финансовата стабилност на проекта и Бенефициента.</w:t>
      </w:r>
    </w:p>
    <w:p w14:paraId="05B08C7D" w14:textId="66506EFF" w:rsidR="00AD6203" w:rsidRPr="00D86E60" w:rsidRDefault="00D86E60" w:rsidP="004822D7">
      <w:pPr>
        <w:spacing w:after="120" w:line="24" w:lineRule="atLeast"/>
        <w:ind w:firstLine="720"/>
        <w:jc w:val="center"/>
        <w:rPr>
          <w:rFonts w:ascii="Times New Roman" w:eastAsia="Times New Roman" w:hAnsi="Times New Roman"/>
          <w:sz w:val="22"/>
          <w:lang w:val="bg-BG"/>
        </w:rPr>
      </w:pPr>
      <w:r w:rsidRPr="00D86E60">
        <w:rPr>
          <w:rFonts w:ascii="Times New Roman" w:eastAsia="Times New Roman" w:hAnsi="Times New Roman"/>
          <w:i/>
          <w:iCs/>
          <w:sz w:val="22"/>
          <w:lang w:val="bg-BG"/>
        </w:rPr>
        <w:t xml:space="preserve">Таблица </w:t>
      </w:r>
      <w:r w:rsidRPr="00D86E60">
        <w:rPr>
          <w:rFonts w:ascii="Times New Roman" w:eastAsia="Times New Roman" w:hAnsi="Times New Roman"/>
          <w:i/>
          <w:iCs/>
          <w:sz w:val="22"/>
          <w:lang w:val="bg-BG"/>
        </w:rPr>
        <w:fldChar w:fldCharType="begin"/>
      </w:r>
      <w:r w:rsidRPr="00D86E60">
        <w:rPr>
          <w:rFonts w:ascii="Times New Roman" w:eastAsia="Times New Roman" w:hAnsi="Times New Roman"/>
          <w:i/>
          <w:iCs/>
          <w:sz w:val="22"/>
          <w:lang w:val="bg-BG"/>
        </w:rPr>
        <w:instrText>SEQ Таблица_ \* ARABIC</w:instrText>
      </w:r>
      <w:r w:rsidRPr="00D86E60">
        <w:rPr>
          <w:rFonts w:ascii="Times New Roman" w:eastAsia="Times New Roman" w:hAnsi="Times New Roman"/>
          <w:i/>
          <w:iCs/>
          <w:sz w:val="22"/>
          <w:lang w:val="bg-BG"/>
        </w:rPr>
        <w:fldChar w:fldCharType="separate"/>
      </w:r>
      <w:r w:rsidR="00490063">
        <w:rPr>
          <w:rFonts w:ascii="Times New Roman" w:eastAsia="Times New Roman" w:hAnsi="Times New Roman"/>
          <w:i/>
          <w:iCs/>
          <w:noProof/>
          <w:sz w:val="22"/>
          <w:lang w:val="bg-BG"/>
        </w:rPr>
        <w:t>19</w:t>
      </w:r>
      <w:r w:rsidRPr="00D86E60">
        <w:rPr>
          <w:rFonts w:ascii="Times New Roman" w:eastAsia="Times New Roman" w:hAnsi="Times New Roman"/>
          <w:i/>
          <w:iCs/>
          <w:sz w:val="22"/>
          <w:lang w:val="bg-BG"/>
        </w:rPr>
        <w:fldChar w:fldCharType="end"/>
      </w:r>
      <w:r w:rsidRPr="00D86E60">
        <w:rPr>
          <w:rFonts w:ascii="Times New Roman" w:eastAsia="Times New Roman" w:hAnsi="Times New Roman"/>
          <w:i/>
          <w:iCs/>
          <w:sz w:val="22"/>
          <w:lang w:val="bg-BG"/>
        </w:rPr>
        <w:t xml:space="preserve">: </w:t>
      </w:r>
      <w:r w:rsidR="00AD6203" w:rsidRPr="00D86E60">
        <w:rPr>
          <w:rFonts w:ascii="Times New Roman" w:hAnsi="Times New Roman" w:cs="Arial"/>
          <w:i/>
          <w:color w:val="000000"/>
          <w:sz w:val="22"/>
          <w:lang w:val="bg-BG"/>
        </w:rPr>
        <w:t>Прогноза за извършена работа за пътнически превози по пристанища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8"/>
        <w:gridCol w:w="947"/>
        <w:gridCol w:w="1013"/>
        <w:gridCol w:w="1013"/>
        <w:gridCol w:w="1013"/>
        <w:gridCol w:w="1013"/>
        <w:gridCol w:w="1013"/>
      </w:tblGrid>
      <w:tr w:rsidR="00AD6203" w:rsidRPr="00AD6203" w14:paraId="494FCC92" w14:textId="77777777" w:rsidTr="00AD6203">
        <w:trPr>
          <w:trHeight w:val="436"/>
        </w:trPr>
        <w:tc>
          <w:tcPr>
            <w:tcW w:w="1959" w:type="pct"/>
            <w:shd w:val="clear" w:color="auto" w:fill="C5E0B3"/>
            <w:noWrap/>
            <w:vAlign w:val="center"/>
            <w:hideMark/>
          </w:tcPr>
          <w:p w14:paraId="610A5706" w14:textId="77777777" w:rsidR="00AD6203" w:rsidRPr="00AD6203" w:rsidRDefault="00AD6203" w:rsidP="00AD6203">
            <w:pPr>
              <w:spacing w:after="0" w:line="240" w:lineRule="auto"/>
              <w:ind w:hanging="29"/>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Прогноза за  трафика пътнически</w:t>
            </w:r>
          </w:p>
        </w:tc>
        <w:tc>
          <w:tcPr>
            <w:tcW w:w="503" w:type="pct"/>
            <w:shd w:val="clear" w:color="auto" w:fill="C5E0B3"/>
            <w:noWrap/>
            <w:vAlign w:val="center"/>
            <w:hideMark/>
          </w:tcPr>
          <w:p w14:paraId="64B9632F" w14:textId="77777777" w:rsidR="00AD6203" w:rsidRPr="00AD6203" w:rsidRDefault="00AD6203" w:rsidP="00AD6203">
            <w:pPr>
              <w:spacing w:after="0" w:line="240" w:lineRule="auto"/>
              <w:ind w:hanging="29"/>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2023 г.</w:t>
            </w:r>
          </w:p>
        </w:tc>
        <w:tc>
          <w:tcPr>
            <w:tcW w:w="508" w:type="pct"/>
            <w:shd w:val="clear" w:color="auto" w:fill="C5E0B3"/>
            <w:noWrap/>
            <w:vAlign w:val="center"/>
            <w:hideMark/>
          </w:tcPr>
          <w:p w14:paraId="371EF265" w14:textId="77777777" w:rsidR="00AD6203" w:rsidRPr="00AD6203" w:rsidRDefault="00AD6203" w:rsidP="00AD6203">
            <w:pPr>
              <w:spacing w:after="0" w:line="240" w:lineRule="auto"/>
              <w:ind w:hanging="29"/>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2028 г.</w:t>
            </w:r>
          </w:p>
        </w:tc>
        <w:tc>
          <w:tcPr>
            <w:tcW w:w="508" w:type="pct"/>
            <w:shd w:val="clear" w:color="auto" w:fill="C5E0B3"/>
            <w:noWrap/>
            <w:vAlign w:val="center"/>
            <w:hideMark/>
          </w:tcPr>
          <w:p w14:paraId="3945CAE2" w14:textId="77777777" w:rsidR="00AD6203" w:rsidRPr="00AD6203" w:rsidRDefault="00AD6203" w:rsidP="00AD6203">
            <w:pPr>
              <w:spacing w:after="0" w:line="240" w:lineRule="auto"/>
              <w:ind w:hanging="29"/>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2030 г.</w:t>
            </w:r>
          </w:p>
        </w:tc>
        <w:tc>
          <w:tcPr>
            <w:tcW w:w="508" w:type="pct"/>
            <w:shd w:val="clear" w:color="auto" w:fill="C5E0B3"/>
            <w:noWrap/>
            <w:vAlign w:val="center"/>
            <w:hideMark/>
          </w:tcPr>
          <w:p w14:paraId="458510CD" w14:textId="77777777" w:rsidR="00AD6203" w:rsidRPr="00AD6203" w:rsidRDefault="00AD6203" w:rsidP="00AD6203">
            <w:pPr>
              <w:spacing w:after="0" w:line="240" w:lineRule="auto"/>
              <w:ind w:hanging="29"/>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2035 г.</w:t>
            </w:r>
          </w:p>
        </w:tc>
        <w:tc>
          <w:tcPr>
            <w:tcW w:w="508" w:type="pct"/>
            <w:shd w:val="clear" w:color="auto" w:fill="C5E0B3"/>
            <w:noWrap/>
            <w:vAlign w:val="center"/>
            <w:hideMark/>
          </w:tcPr>
          <w:p w14:paraId="1CE25401" w14:textId="77777777" w:rsidR="00AD6203" w:rsidRPr="00AD6203" w:rsidRDefault="00AD6203" w:rsidP="00AD6203">
            <w:pPr>
              <w:spacing w:after="0" w:line="240" w:lineRule="auto"/>
              <w:ind w:hanging="29"/>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2040 г.</w:t>
            </w:r>
          </w:p>
        </w:tc>
        <w:tc>
          <w:tcPr>
            <w:tcW w:w="508" w:type="pct"/>
            <w:shd w:val="clear" w:color="auto" w:fill="C5E0B3"/>
            <w:noWrap/>
            <w:vAlign w:val="center"/>
            <w:hideMark/>
          </w:tcPr>
          <w:p w14:paraId="31BD6170" w14:textId="77777777" w:rsidR="00AD6203" w:rsidRPr="00AD6203" w:rsidRDefault="00AD6203" w:rsidP="00AD6203">
            <w:pPr>
              <w:spacing w:after="0" w:line="240" w:lineRule="auto"/>
              <w:ind w:hanging="29"/>
              <w:jc w:val="center"/>
              <w:rPr>
                <w:rFonts w:ascii="Times New Roman" w:eastAsia="Times New Roman" w:hAnsi="Times New Roman"/>
                <w:b/>
                <w:color w:val="000000"/>
                <w:sz w:val="22"/>
                <w:szCs w:val="24"/>
                <w:lang w:val="bg-BG"/>
              </w:rPr>
            </w:pPr>
            <w:r w:rsidRPr="00AD6203">
              <w:rPr>
                <w:rFonts w:ascii="Times New Roman" w:eastAsia="Times New Roman" w:hAnsi="Times New Roman"/>
                <w:b/>
                <w:color w:val="000000"/>
                <w:sz w:val="22"/>
                <w:szCs w:val="24"/>
                <w:lang w:val="bg-BG"/>
              </w:rPr>
              <w:t>2047 г.</w:t>
            </w:r>
          </w:p>
        </w:tc>
      </w:tr>
      <w:tr w:rsidR="00AD6203" w:rsidRPr="00AD6203" w14:paraId="5DDF2FC5" w14:textId="77777777" w:rsidTr="00AD6203">
        <w:trPr>
          <w:trHeight w:val="300"/>
        </w:trPr>
        <w:tc>
          <w:tcPr>
            <w:tcW w:w="1959" w:type="pct"/>
            <w:shd w:val="clear" w:color="auto" w:fill="auto"/>
            <w:noWrap/>
            <w:vAlign w:val="center"/>
            <w:hideMark/>
          </w:tcPr>
          <w:p w14:paraId="1567D070" w14:textId="77777777" w:rsidR="00AD6203" w:rsidRPr="00AD6203" w:rsidRDefault="00AD6203" w:rsidP="00AD6203">
            <w:pPr>
              <w:spacing w:after="0" w:line="240" w:lineRule="auto"/>
              <w:ind w:hanging="29"/>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Брой пътници</w:t>
            </w:r>
          </w:p>
        </w:tc>
        <w:tc>
          <w:tcPr>
            <w:tcW w:w="503" w:type="pct"/>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4AB41288" w14:textId="0EE6E3AC"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98</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262</w:t>
            </w:r>
          </w:p>
        </w:tc>
        <w:tc>
          <w:tcPr>
            <w:tcW w:w="508" w:type="pct"/>
            <w:tcBorders>
              <w:top w:val="single" w:sz="8" w:space="0" w:color="auto"/>
              <w:left w:val="nil"/>
              <w:bottom w:val="single" w:sz="4" w:space="0" w:color="auto"/>
              <w:right w:val="single" w:sz="4" w:space="0" w:color="auto"/>
            </w:tcBorders>
            <w:shd w:val="clear" w:color="auto" w:fill="auto"/>
            <w:noWrap/>
            <w:vAlign w:val="bottom"/>
          </w:tcPr>
          <w:p w14:paraId="7937CDEF" w14:textId="3500B388"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123</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347</w:t>
            </w:r>
          </w:p>
        </w:tc>
        <w:tc>
          <w:tcPr>
            <w:tcW w:w="508" w:type="pct"/>
            <w:tcBorders>
              <w:top w:val="single" w:sz="8" w:space="0" w:color="auto"/>
              <w:left w:val="single" w:sz="4" w:space="0" w:color="auto"/>
              <w:bottom w:val="single" w:sz="4" w:space="0" w:color="auto"/>
              <w:right w:val="single" w:sz="4" w:space="0" w:color="auto"/>
            </w:tcBorders>
            <w:shd w:val="clear" w:color="auto" w:fill="auto"/>
            <w:noWrap/>
            <w:vAlign w:val="bottom"/>
          </w:tcPr>
          <w:p w14:paraId="6CE4448E" w14:textId="10540274"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129</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069</w:t>
            </w:r>
          </w:p>
        </w:tc>
        <w:tc>
          <w:tcPr>
            <w:tcW w:w="508" w:type="pct"/>
            <w:tcBorders>
              <w:top w:val="single" w:sz="8" w:space="0" w:color="auto"/>
              <w:left w:val="nil"/>
              <w:bottom w:val="single" w:sz="4" w:space="0" w:color="auto"/>
              <w:right w:val="single" w:sz="4" w:space="0" w:color="auto"/>
            </w:tcBorders>
            <w:shd w:val="clear" w:color="auto" w:fill="auto"/>
            <w:noWrap/>
            <w:vAlign w:val="bottom"/>
          </w:tcPr>
          <w:p w14:paraId="0C26E9CF" w14:textId="444BD34A"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144</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563</w:t>
            </w:r>
          </w:p>
        </w:tc>
        <w:tc>
          <w:tcPr>
            <w:tcW w:w="508" w:type="pct"/>
            <w:tcBorders>
              <w:top w:val="single" w:sz="8" w:space="0" w:color="auto"/>
              <w:left w:val="nil"/>
              <w:bottom w:val="single" w:sz="4" w:space="0" w:color="auto"/>
              <w:right w:val="single" w:sz="4" w:space="0" w:color="auto"/>
            </w:tcBorders>
            <w:shd w:val="clear" w:color="auto" w:fill="auto"/>
            <w:noWrap/>
            <w:vAlign w:val="bottom"/>
          </w:tcPr>
          <w:p w14:paraId="4BE4652B" w14:textId="0A3760F3"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161</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917</w:t>
            </w:r>
          </w:p>
        </w:tc>
        <w:tc>
          <w:tcPr>
            <w:tcW w:w="508" w:type="pct"/>
            <w:tcBorders>
              <w:top w:val="single" w:sz="8" w:space="0" w:color="auto"/>
              <w:left w:val="nil"/>
              <w:bottom w:val="single" w:sz="4" w:space="0" w:color="auto"/>
              <w:right w:val="single" w:sz="4" w:space="0" w:color="auto"/>
            </w:tcBorders>
            <w:shd w:val="clear" w:color="000000" w:fill="FFFFFF"/>
            <w:noWrap/>
            <w:vAlign w:val="bottom"/>
          </w:tcPr>
          <w:p w14:paraId="1409FA97" w14:textId="50D16272"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189</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767</w:t>
            </w:r>
          </w:p>
        </w:tc>
      </w:tr>
      <w:tr w:rsidR="00AD6203" w:rsidRPr="00AD6203" w14:paraId="5BFFB268" w14:textId="77777777" w:rsidTr="00AD6203">
        <w:trPr>
          <w:trHeight w:val="300"/>
        </w:trPr>
        <w:tc>
          <w:tcPr>
            <w:tcW w:w="1959" w:type="pct"/>
            <w:shd w:val="clear" w:color="auto" w:fill="auto"/>
            <w:noWrap/>
            <w:vAlign w:val="center"/>
            <w:hideMark/>
          </w:tcPr>
          <w:p w14:paraId="56388C41" w14:textId="77777777" w:rsidR="00AD6203" w:rsidRPr="00AD6203" w:rsidRDefault="00AD6203" w:rsidP="00AD6203">
            <w:pPr>
              <w:spacing w:after="0" w:line="240" w:lineRule="auto"/>
              <w:ind w:hanging="29"/>
              <w:jc w:val="center"/>
              <w:rPr>
                <w:rFonts w:ascii="Times New Roman" w:eastAsia="Times New Roman" w:hAnsi="Times New Roman"/>
                <w:color w:val="000000"/>
                <w:sz w:val="24"/>
                <w:szCs w:val="24"/>
                <w:lang w:val="bg-BG"/>
              </w:rPr>
            </w:pPr>
            <w:r w:rsidRPr="00AD6203">
              <w:rPr>
                <w:rFonts w:ascii="Times New Roman" w:eastAsia="Times New Roman" w:hAnsi="Times New Roman"/>
                <w:color w:val="000000"/>
                <w:sz w:val="24"/>
                <w:szCs w:val="24"/>
                <w:lang w:val="bg-BG"/>
              </w:rPr>
              <w:t>Извършена работа в х. пткм</w:t>
            </w:r>
          </w:p>
        </w:tc>
        <w:tc>
          <w:tcPr>
            <w:tcW w:w="503" w:type="pct"/>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526984D6" w14:textId="4AB8F7A1"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7</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506</w:t>
            </w:r>
          </w:p>
        </w:tc>
        <w:tc>
          <w:tcPr>
            <w:tcW w:w="508" w:type="pct"/>
            <w:tcBorders>
              <w:top w:val="single" w:sz="8" w:space="0" w:color="auto"/>
              <w:left w:val="nil"/>
              <w:bottom w:val="single" w:sz="4" w:space="0" w:color="auto"/>
              <w:right w:val="single" w:sz="4" w:space="0" w:color="auto"/>
            </w:tcBorders>
            <w:shd w:val="clear" w:color="auto" w:fill="auto"/>
            <w:noWrap/>
            <w:vAlign w:val="bottom"/>
          </w:tcPr>
          <w:p w14:paraId="3519DCCF" w14:textId="76F42C4A"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9</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422</w:t>
            </w:r>
          </w:p>
        </w:tc>
        <w:tc>
          <w:tcPr>
            <w:tcW w:w="508" w:type="pct"/>
            <w:tcBorders>
              <w:top w:val="single" w:sz="8" w:space="0" w:color="auto"/>
              <w:left w:val="single" w:sz="4" w:space="0" w:color="auto"/>
              <w:bottom w:val="single" w:sz="4" w:space="0" w:color="auto"/>
              <w:right w:val="single" w:sz="4" w:space="0" w:color="auto"/>
            </w:tcBorders>
            <w:shd w:val="clear" w:color="auto" w:fill="auto"/>
            <w:noWrap/>
            <w:vAlign w:val="bottom"/>
          </w:tcPr>
          <w:p w14:paraId="3C38CD96" w14:textId="01EEE174"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9</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859</w:t>
            </w:r>
          </w:p>
        </w:tc>
        <w:tc>
          <w:tcPr>
            <w:tcW w:w="508" w:type="pct"/>
            <w:tcBorders>
              <w:top w:val="single" w:sz="8" w:space="0" w:color="auto"/>
              <w:left w:val="nil"/>
              <w:bottom w:val="single" w:sz="4" w:space="0" w:color="auto"/>
              <w:right w:val="single" w:sz="4" w:space="0" w:color="auto"/>
            </w:tcBorders>
            <w:shd w:val="clear" w:color="auto" w:fill="auto"/>
            <w:noWrap/>
            <w:vAlign w:val="bottom"/>
          </w:tcPr>
          <w:p w14:paraId="6A33CBE8" w14:textId="2BF5A7E9"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11</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042</w:t>
            </w:r>
          </w:p>
        </w:tc>
        <w:tc>
          <w:tcPr>
            <w:tcW w:w="508" w:type="pct"/>
            <w:tcBorders>
              <w:top w:val="single" w:sz="8" w:space="0" w:color="auto"/>
              <w:left w:val="nil"/>
              <w:bottom w:val="single" w:sz="4" w:space="0" w:color="auto"/>
              <w:right w:val="single" w:sz="4" w:space="0" w:color="auto"/>
            </w:tcBorders>
            <w:shd w:val="clear" w:color="auto" w:fill="auto"/>
            <w:noWrap/>
            <w:vAlign w:val="bottom"/>
          </w:tcPr>
          <w:p w14:paraId="60226A02" w14:textId="098F12D0"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12</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368</w:t>
            </w:r>
          </w:p>
        </w:tc>
        <w:tc>
          <w:tcPr>
            <w:tcW w:w="508" w:type="pct"/>
            <w:tcBorders>
              <w:top w:val="single" w:sz="8" w:space="0" w:color="auto"/>
              <w:left w:val="nil"/>
              <w:bottom w:val="single" w:sz="4" w:space="0" w:color="auto"/>
              <w:right w:val="single" w:sz="4" w:space="0" w:color="auto"/>
            </w:tcBorders>
            <w:shd w:val="clear" w:color="000000" w:fill="FFFFFF"/>
            <w:noWrap/>
            <w:vAlign w:val="bottom"/>
          </w:tcPr>
          <w:p w14:paraId="2349A9B1" w14:textId="0BBA81B0" w:rsidR="00AD6203" w:rsidRPr="00902F47" w:rsidRDefault="00AD6203" w:rsidP="00AD6203">
            <w:pPr>
              <w:spacing w:after="0" w:line="240" w:lineRule="auto"/>
              <w:ind w:hanging="29"/>
              <w:jc w:val="center"/>
              <w:rPr>
                <w:rFonts w:ascii="Times New Roman" w:eastAsia="Times New Roman" w:hAnsi="Times New Roman"/>
                <w:color w:val="000000"/>
                <w:sz w:val="22"/>
                <w:szCs w:val="24"/>
                <w:lang w:val="bg-BG"/>
              </w:rPr>
            </w:pPr>
            <w:r w:rsidRPr="00902F47">
              <w:rPr>
                <w:rFonts w:ascii="Times New Roman" w:hAnsi="Times New Roman"/>
                <w:color w:val="000000"/>
                <w:sz w:val="22"/>
                <w:szCs w:val="24"/>
                <w:lang w:val="bg-BG"/>
              </w:rPr>
              <w:t>14</w:t>
            </w:r>
            <w:r w:rsidR="00902F47">
              <w:rPr>
                <w:rFonts w:ascii="Times New Roman" w:hAnsi="Times New Roman"/>
                <w:color w:val="000000"/>
                <w:sz w:val="22"/>
                <w:szCs w:val="24"/>
                <w:lang w:val="bg-BG"/>
              </w:rPr>
              <w:t xml:space="preserve"> </w:t>
            </w:r>
            <w:r w:rsidRPr="00902F47">
              <w:rPr>
                <w:rFonts w:ascii="Times New Roman" w:hAnsi="Times New Roman"/>
                <w:color w:val="000000"/>
                <w:sz w:val="22"/>
                <w:szCs w:val="24"/>
                <w:lang w:val="bg-BG"/>
              </w:rPr>
              <w:t>495</w:t>
            </w:r>
          </w:p>
        </w:tc>
      </w:tr>
    </w:tbl>
    <w:p w14:paraId="105C774A" w14:textId="77777777" w:rsidR="00DE19E4" w:rsidRDefault="00DE19E4" w:rsidP="00DE19E4">
      <w:pPr>
        <w:spacing w:after="0" w:line="360" w:lineRule="auto"/>
        <w:ind w:firstLine="720"/>
        <w:rPr>
          <w:rFonts w:ascii="Times New Roman" w:hAnsi="Times New Roman"/>
          <w:sz w:val="22"/>
          <w:lang w:val="bg-BG"/>
        </w:rPr>
      </w:pPr>
    </w:p>
    <w:p w14:paraId="0C1CB192" w14:textId="330FA039" w:rsidR="003B1C13" w:rsidRPr="004822D7" w:rsidRDefault="00AD6203" w:rsidP="004822D7">
      <w:pPr>
        <w:spacing w:after="0" w:line="360" w:lineRule="auto"/>
        <w:ind w:firstLine="720"/>
        <w:rPr>
          <w:rFonts w:ascii="Times New Roman" w:hAnsi="Times New Roman"/>
          <w:sz w:val="22"/>
          <w:lang w:val="bg-BG"/>
        </w:rPr>
      </w:pPr>
      <w:r w:rsidRPr="00DE19E4">
        <w:rPr>
          <w:rFonts w:ascii="Times New Roman" w:hAnsi="Times New Roman"/>
          <w:sz w:val="22"/>
          <w:lang w:val="bg-BG"/>
        </w:rPr>
        <w:t>Анализът на търсенето и произтичащите от него прогнози са от важно значение за определяне икономическата целесъобразност на проекта. Те са свързани също така с изготвяне на финансовия анализ и определяне размера на необходимата безвъзмездна финансова помощ по проекта</w:t>
      </w:r>
    </w:p>
    <w:p w14:paraId="4D5ABEBD" w14:textId="115F3263" w:rsidR="00D60412" w:rsidRPr="00805152" w:rsidRDefault="002F02AD" w:rsidP="00A127A2">
      <w:pPr>
        <w:pStyle w:val="Heading1"/>
        <w:rPr>
          <w:rFonts w:ascii="Times New Roman" w:hAnsi="Times New Roman"/>
          <w:sz w:val="22"/>
          <w:lang w:val="bg-BG"/>
        </w:rPr>
      </w:pPr>
      <w:bookmarkStart w:id="118" w:name="_Toc136961120"/>
      <w:r w:rsidRPr="00805152">
        <w:rPr>
          <w:rFonts w:ascii="Times New Roman" w:hAnsi="Times New Roman"/>
          <w:lang w:val="bg-BG"/>
        </w:rPr>
        <w:lastRenderedPageBreak/>
        <w:t>О</w:t>
      </w:r>
      <w:r w:rsidR="00844832" w:rsidRPr="00805152">
        <w:rPr>
          <w:rFonts w:ascii="Times New Roman" w:hAnsi="Times New Roman"/>
          <w:lang w:val="bg-BG"/>
        </w:rPr>
        <w:t>пределяне на разходите</w:t>
      </w:r>
      <w:bookmarkEnd w:id="118"/>
    </w:p>
    <w:p w14:paraId="190DA250" w14:textId="0B1300BA" w:rsidR="0065634C" w:rsidRPr="00805152" w:rsidRDefault="0065634C" w:rsidP="00A127A2">
      <w:pPr>
        <w:pStyle w:val="Heading2"/>
        <w:rPr>
          <w:rFonts w:ascii="Times New Roman" w:hAnsi="Times New Roman"/>
          <w:lang w:val="bg-BG"/>
        </w:rPr>
      </w:pPr>
      <w:bookmarkStart w:id="119" w:name="_Toc95837680"/>
      <w:bookmarkStart w:id="120" w:name="_Toc136961121"/>
      <w:r w:rsidRPr="00805152">
        <w:rPr>
          <w:rFonts w:ascii="Times New Roman" w:hAnsi="Times New Roman"/>
          <w:lang w:val="bg-BG"/>
        </w:rPr>
        <w:t>Инвестиционни разходи</w:t>
      </w:r>
      <w:bookmarkEnd w:id="119"/>
      <w:bookmarkEnd w:id="120"/>
      <w:r w:rsidRPr="00805152">
        <w:rPr>
          <w:rFonts w:ascii="Times New Roman" w:hAnsi="Times New Roman"/>
          <w:lang w:val="bg-BG"/>
        </w:rPr>
        <w:t xml:space="preserve"> </w:t>
      </w:r>
    </w:p>
    <w:p w14:paraId="3B188C30" w14:textId="13E9EEFE" w:rsidR="0065634C" w:rsidRPr="00805152" w:rsidRDefault="0065634C" w:rsidP="00DE19E4">
      <w:pPr>
        <w:spacing w:after="0" w:line="360" w:lineRule="auto"/>
        <w:ind w:firstLine="360"/>
        <w:rPr>
          <w:rFonts w:ascii="Times New Roman" w:eastAsia="Times New Roman" w:hAnsi="Times New Roman"/>
          <w:sz w:val="22"/>
          <w:lang w:val="bg-BG"/>
        </w:rPr>
      </w:pPr>
      <w:r w:rsidRPr="00805152">
        <w:rPr>
          <w:rFonts w:ascii="Times New Roman" w:eastAsia="Times New Roman" w:hAnsi="Times New Roman"/>
          <w:sz w:val="22"/>
          <w:lang w:val="bg-BG"/>
        </w:rPr>
        <w:t>Общата стойност на инвестициите за реализиране на обекта са определени на база изготвените разходи за СМР по подробни количествено-стойностни сметки, а именно:</w:t>
      </w:r>
    </w:p>
    <w:p w14:paraId="5C369970" w14:textId="4AA336B4" w:rsidR="00830EAC" w:rsidRPr="00805152" w:rsidRDefault="00830EAC" w:rsidP="0021547C">
      <w:pPr>
        <w:numPr>
          <w:ilvl w:val="0"/>
          <w:numId w:val="34"/>
        </w:numPr>
        <w:spacing w:after="0" w:line="360" w:lineRule="auto"/>
        <w:rPr>
          <w:rFonts w:ascii="Times New Roman" w:eastAsia="Times New Roman" w:hAnsi="Times New Roman"/>
          <w:sz w:val="22"/>
          <w:lang w:val="bg-BG"/>
        </w:rPr>
      </w:pPr>
      <w:r w:rsidRPr="00805152">
        <w:rPr>
          <w:rFonts w:ascii="Times New Roman" w:eastAsia="Times New Roman" w:hAnsi="Times New Roman"/>
          <w:b/>
          <w:bCs/>
          <w:sz w:val="22"/>
          <w:u w:val="single"/>
          <w:lang w:val="bg-BG"/>
        </w:rPr>
        <w:t>Вариант 1:</w:t>
      </w:r>
      <w:r w:rsidRPr="00805152">
        <w:rPr>
          <w:rFonts w:ascii="Times New Roman" w:eastAsia="Times New Roman" w:hAnsi="Times New Roman"/>
          <w:sz w:val="22"/>
          <w:lang w:val="bg-BG"/>
        </w:rPr>
        <w:t xml:space="preserve"> Вълнолом със защита от тетраподи с наклон 1/1.33 </w:t>
      </w:r>
    </w:p>
    <w:p w14:paraId="35A93B6C" w14:textId="7EC23E89" w:rsidR="00830EAC" w:rsidRPr="00805152" w:rsidRDefault="00830EAC" w:rsidP="0021547C">
      <w:pPr>
        <w:numPr>
          <w:ilvl w:val="0"/>
          <w:numId w:val="34"/>
        </w:numPr>
        <w:spacing w:after="0" w:line="360" w:lineRule="auto"/>
        <w:rPr>
          <w:rFonts w:ascii="Times New Roman" w:eastAsia="Times New Roman" w:hAnsi="Times New Roman"/>
          <w:sz w:val="22"/>
          <w:lang w:val="bg-BG"/>
        </w:rPr>
      </w:pPr>
      <w:r w:rsidRPr="00805152">
        <w:rPr>
          <w:rFonts w:ascii="Times New Roman" w:eastAsia="Times New Roman" w:hAnsi="Times New Roman"/>
          <w:b/>
          <w:bCs/>
          <w:sz w:val="22"/>
          <w:u w:val="single"/>
          <w:lang w:val="bg-BG"/>
        </w:rPr>
        <w:t>Вариант 2:</w:t>
      </w:r>
      <w:r w:rsidRPr="00805152">
        <w:rPr>
          <w:rFonts w:ascii="Times New Roman" w:eastAsia="Times New Roman" w:hAnsi="Times New Roman"/>
          <w:sz w:val="22"/>
          <w:lang w:val="bg-BG"/>
        </w:rPr>
        <w:t xml:space="preserve"> Вълнолом с защита от тетраподи с наклон 1/1.5</w:t>
      </w:r>
    </w:p>
    <w:p w14:paraId="385980FE" w14:textId="6B2E9DDE" w:rsidR="00830EAC" w:rsidRPr="00805152" w:rsidRDefault="00830EAC" w:rsidP="0021547C">
      <w:pPr>
        <w:numPr>
          <w:ilvl w:val="0"/>
          <w:numId w:val="34"/>
        </w:numPr>
        <w:spacing w:after="0" w:line="360" w:lineRule="auto"/>
        <w:rPr>
          <w:rFonts w:ascii="Times New Roman" w:eastAsia="Times New Roman" w:hAnsi="Times New Roman"/>
          <w:b/>
          <w:bCs/>
          <w:sz w:val="22"/>
          <w:lang w:val="bg-BG"/>
        </w:rPr>
      </w:pPr>
      <w:r w:rsidRPr="00805152">
        <w:rPr>
          <w:rFonts w:ascii="Times New Roman" w:eastAsia="Times New Roman" w:hAnsi="Times New Roman"/>
          <w:b/>
          <w:bCs/>
          <w:sz w:val="22"/>
          <w:u w:val="single"/>
          <w:lang w:val="bg-BG"/>
        </w:rPr>
        <w:t>Вариант 3</w:t>
      </w:r>
      <w:r w:rsidR="00156F94">
        <w:rPr>
          <w:rFonts w:ascii="Times New Roman" w:eastAsia="Times New Roman" w:hAnsi="Times New Roman"/>
          <w:b/>
          <w:bCs/>
          <w:sz w:val="22"/>
          <w:u w:val="single"/>
          <w:lang w:val="bg-BG"/>
        </w:rPr>
        <w:t>:</w:t>
      </w:r>
      <w:r w:rsidRPr="00805152">
        <w:rPr>
          <w:rFonts w:ascii="Times New Roman" w:eastAsia="Times New Roman" w:hAnsi="Times New Roman"/>
          <w:b/>
          <w:bCs/>
          <w:sz w:val="22"/>
          <w:lang w:val="bg-BG"/>
        </w:rPr>
        <w:t xml:space="preserve"> </w:t>
      </w:r>
      <w:r w:rsidR="00156F94">
        <w:rPr>
          <w:rFonts w:ascii="Times New Roman" w:eastAsia="Times New Roman" w:hAnsi="Times New Roman"/>
          <w:sz w:val="22"/>
          <w:lang w:val="bg-BG"/>
        </w:rPr>
        <w:t xml:space="preserve"> К</w:t>
      </w:r>
      <w:r w:rsidRPr="00805152">
        <w:rPr>
          <w:rFonts w:ascii="Times New Roman" w:eastAsia="Times New Roman" w:hAnsi="Times New Roman"/>
          <w:sz w:val="22"/>
          <w:lang w:val="bg-BG"/>
        </w:rPr>
        <w:t>омбинация от вълнолом с</w:t>
      </w:r>
      <w:r w:rsidR="00156F94">
        <w:rPr>
          <w:rFonts w:ascii="Times New Roman" w:eastAsia="Times New Roman" w:hAnsi="Times New Roman"/>
          <w:sz w:val="22"/>
          <w:lang w:val="bg-BG"/>
        </w:rPr>
        <w:t>ъс</w:t>
      </w:r>
      <w:r w:rsidRPr="00805152">
        <w:rPr>
          <w:rFonts w:ascii="Times New Roman" w:eastAsia="Times New Roman" w:hAnsi="Times New Roman"/>
          <w:sz w:val="22"/>
          <w:lang w:val="bg-BG"/>
        </w:rPr>
        <w:t xml:space="preserve"> защита от тетраподи с наклон 1/1.5 и Зона/ Етап III от 265м със защита от каменни блокове от 1500 до 4000</w:t>
      </w:r>
      <w:r w:rsidR="00156F94">
        <w:rPr>
          <w:rFonts w:ascii="Times New Roman" w:eastAsia="Times New Roman" w:hAnsi="Times New Roman"/>
          <w:sz w:val="22"/>
          <w:lang w:val="bg-BG"/>
        </w:rPr>
        <w:t xml:space="preserve"> </w:t>
      </w:r>
      <w:r w:rsidRPr="00805152">
        <w:rPr>
          <w:rFonts w:ascii="Times New Roman" w:eastAsia="Times New Roman" w:hAnsi="Times New Roman"/>
          <w:sz w:val="22"/>
          <w:lang w:val="bg-BG"/>
        </w:rPr>
        <w:t>кг, с наклон 1:3</w:t>
      </w:r>
    </w:p>
    <w:p w14:paraId="4E7A078D" w14:textId="77777777" w:rsidR="00151812" w:rsidRPr="009B4D53" w:rsidRDefault="00151812" w:rsidP="00DE19E4">
      <w:pPr>
        <w:spacing w:after="0" w:line="360" w:lineRule="auto"/>
        <w:ind w:firstLine="360"/>
        <w:rPr>
          <w:rFonts w:ascii="Times New Roman" w:eastAsia="Times New Roman" w:hAnsi="Times New Roman"/>
          <w:sz w:val="22"/>
          <w:lang w:val="en-US"/>
        </w:rPr>
      </w:pPr>
    </w:p>
    <w:p w14:paraId="3FCA9757" w14:textId="766B42C2" w:rsidR="00EA7FF7" w:rsidRDefault="0008631D" w:rsidP="00DE19E4">
      <w:pPr>
        <w:spacing w:after="0" w:line="360" w:lineRule="auto"/>
        <w:ind w:firstLine="360"/>
        <w:rPr>
          <w:rFonts w:ascii="Times New Roman" w:eastAsia="Times New Roman" w:hAnsi="Times New Roman"/>
          <w:sz w:val="22"/>
          <w:lang w:val="bg-BG"/>
        </w:rPr>
      </w:pPr>
      <w:r w:rsidRPr="00805152">
        <w:rPr>
          <w:rFonts w:ascii="Times New Roman" w:eastAsia="Times New Roman" w:hAnsi="Times New Roman"/>
          <w:sz w:val="22"/>
          <w:lang w:val="bg-BG"/>
        </w:rPr>
        <w:t>Окрупнените с</w:t>
      </w:r>
      <w:r w:rsidR="0065634C" w:rsidRPr="00805152">
        <w:rPr>
          <w:rFonts w:ascii="Times New Roman" w:eastAsia="Times New Roman" w:hAnsi="Times New Roman"/>
          <w:sz w:val="22"/>
          <w:lang w:val="bg-BG"/>
        </w:rPr>
        <w:t xml:space="preserve">тойности </w:t>
      </w:r>
      <w:r w:rsidRPr="00805152">
        <w:rPr>
          <w:rFonts w:ascii="Times New Roman" w:eastAsia="Times New Roman" w:hAnsi="Times New Roman"/>
          <w:sz w:val="22"/>
          <w:lang w:val="bg-BG"/>
        </w:rPr>
        <w:t xml:space="preserve">за реализиране на </w:t>
      </w:r>
      <w:r w:rsidR="0065634C" w:rsidRPr="00805152">
        <w:rPr>
          <w:rFonts w:ascii="Times New Roman" w:eastAsia="Times New Roman" w:hAnsi="Times New Roman"/>
          <w:sz w:val="22"/>
          <w:lang w:val="bg-BG"/>
        </w:rPr>
        <w:t>Вариант 1, Вариант 2 и Вариант 3 са направени в настоящи пазарни цени и са показани в следващите таблици</w:t>
      </w:r>
      <w:r w:rsidRPr="00805152">
        <w:rPr>
          <w:rFonts w:ascii="Times New Roman" w:eastAsia="Times New Roman" w:hAnsi="Times New Roman"/>
          <w:sz w:val="22"/>
          <w:lang w:val="bg-BG"/>
        </w:rPr>
        <w:t xml:space="preserve">. </w:t>
      </w:r>
    </w:p>
    <w:p w14:paraId="17B9D81D" w14:textId="6C0BFEAC" w:rsidR="0008631D" w:rsidRPr="00805152" w:rsidRDefault="0008631D" w:rsidP="00151812">
      <w:pPr>
        <w:spacing w:after="0"/>
        <w:jc w:val="center"/>
        <w:rPr>
          <w:rFonts w:ascii="Times New Roman" w:eastAsia="Times New Roman" w:hAnsi="Times New Roman"/>
          <w:bCs/>
          <w:i/>
          <w:sz w:val="22"/>
          <w:lang w:val="bg-BG"/>
        </w:rPr>
      </w:pPr>
      <w:r w:rsidRPr="003B1C13">
        <w:rPr>
          <w:rFonts w:ascii="Times New Roman" w:hAnsi="Times New Roman"/>
          <w:i/>
          <w:sz w:val="22"/>
          <w:lang w:val="bg-BG"/>
        </w:rPr>
        <w:t xml:space="preserve">Таблица </w:t>
      </w:r>
      <w:r w:rsidRPr="003B1C13">
        <w:rPr>
          <w:rFonts w:ascii="Times New Roman" w:hAnsi="Times New Roman"/>
          <w:i/>
          <w:sz w:val="22"/>
          <w:lang w:val="bg-BG"/>
        </w:rPr>
        <w:fldChar w:fldCharType="begin"/>
      </w:r>
      <w:r w:rsidRPr="003B1C13">
        <w:rPr>
          <w:rFonts w:ascii="Times New Roman" w:hAnsi="Times New Roman"/>
          <w:i/>
          <w:sz w:val="22"/>
          <w:lang w:val="bg-BG"/>
        </w:rPr>
        <w:instrText>SEQ Таблица_ \* ARABIC</w:instrText>
      </w:r>
      <w:r w:rsidRPr="003B1C13">
        <w:rPr>
          <w:rFonts w:ascii="Times New Roman" w:hAnsi="Times New Roman"/>
          <w:i/>
          <w:sz w:val="22"/>
          <w:lang w:val="bg-BG"/>
        </w:rPr>
        <w:fldChar w:fldCharType="separate"/>
      </w:r>
      <w:r w:rsidR="00490063">
        <w:rPr>
          <w:rFonts w:ascii="Times New Roman" w:hAnsi="Times New Roman"/>
          <w:i/>
          <w:noProof/>
          <w:sz w:val="22"/>
          <w:lang w:val="bg-BG"/>
        </w:rPr>
        <w:t>20</w:t>
      </w:r>
      <w:r w:rsidRPr="003B1C13">
        <w:rPr>
          <w:rFonts w:ascii="Times New Roman" w:hAnsi="Times New Roman"/>
          <w:i/>
          <w:sz w:val="22"/>
          <w:lang w:val="bg-BG"/>
        </w:rPr>
        <w:fldChar w:fldCharType="end"/>
      </w:r>
      <w:r w:rsidRPr="003B1C13">
        <w:rPr>
          <w:rFonts w:ascii="Times New Roman" w:hAnsi="Times New Roman"/>
          <w:i/>
          <w:sz w:val="22"/>
          <w:lang w:val="bg-BG"/>
        </w:rPr>
        <w:t>:</w:t>
      </w:r>
      <w:r w:rsidRPr="003B1C13">
        <w:rPr>
          <w:rFonts w:ascii="Times New Roman" w:eastAsia="Times New Roman" w:hAnsi="Times New Roman"/>
          <w:bCs/>
          <w:i/>
          <w:sz w:val="22"/>
          <w:lang w:val="bg-BG"/>
        </w:rPr>
        <w:t xml:space="preserve"> Количествено-Стойностна Сметка на Вариантите за СМР - Рекапитулация</w:t>
      </w:r>
    </w:p>
    <w:tbl>
      <w:tblPr>
        <w:tblW w:w="9351" w:type="dxa"/>
        <w:jc w:val="center"/>
        <w:tblCellMar>
          <w:left w:w="70" w:type="dxa"/>
          <w:right w:w="70" w:type="dxa"/>
        </w:tblCellMar>
        <w:tblLook w:val="04A0" w:firstRow="1" w:lastRow="0" w:firstColumn="1" w:lastColumn="0" w:noHBand="0" w:noVBand="1"/>
      </w:tblPr>
      <w:tblGrid>
        <w:gridCol w:w="453"/>
        <w:gridCol w:w="2834"/>
        <w:gridCol w:w="2021"/>
        <w:gridCol w:w="2021"/>
        <w:gridCol w:w="2022"/>
      </w:tblGrid>
      <w:tr w:rsidR="0008631D" w:rsidRPr="00805152" w14:paraId="17C2D9D6" w14:textId="77777777" w:rsidTr="00F962CC">
        <w:trPr>
          <w:trHeight w:val="346"/>
          <w:jc w:val="center"/>
        </w:trPr>
        <w:tc>
          <w:tcPr>
            <w:tcW w:w="9351" w:type="dxa"/>
            <w:gridSpan w:val="5"/>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14:paraId="3B43167F" w14:textId="335B58D7" w:rsidR="0008631D" w:rsidRPr="00805152" w:rsidRDefault="0064302E"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Количествено-Стойностна Сметка за СМР - Рекапитулация</w:t>
            </w:r>
          </w:p>
        </w:tc>
      </w:tr>
      <w:tr w:rsidR="0008631D" w:rsidRPr="00805152" w14:paraId="7C127AFE" w14:textId="77777777" w:rsidTr="00156F94">
        <w:trPr>
          <w:trHeight w:val="346"/>
          <w:jc w:val="center"/>
        </w:trPr>
        <w:tc>
          <w:tcPr>
            <w:tcW w:w="453"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292B9619" w14:textId="77777777" w:rsidR="0008631D" w:rsidRPr="00805152" w:rsidRDefault="0008631D"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w:t>
            </w:r>
          </w:p>
        </w:tc>
        <w:tc>
          <w:tcPr>
            <w:tcW w:w="2834" w:type="dxa"/>
            <w:tcBorders>
              <w:top w:val="nil"/>
              <w:left w:val="nil"/>
              <w:bottom w:val="single" w:sz="4" w:space="0" w:color="auto"/>
              <w:right w:val="single" w:sz="4" w:space="0" w:color="auto"/>
            </w:tcBorders>
            <w:shd w:val="clear" w:color="auto" w:fill="C6D9F1" w:themeFill="text2" w:themeFillTint="33"/>
            <w:noWrap/>
            <w:vAlign w:val="center"/>
            <w:hideMark/>
          </w:tcPr>
          <w:p w14:paraId="082A0F22" w14:textId="77777777" w:rsidR="0008631D" w:rsidRPr="00805152" w:rsidRDefault="0008631D"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Етап</w:t>
            </w:r>
          </w:p>
        </w:tc>
        <w:tc>
          <w:tcPr>
            <w:tcW w:w="2021" w:type="dxa"/>
            <w:tcBorders>
              <w:top w:val="nil"/>
              <w:left w:val="nil"/>
              <w:bottom w:val="single" w:sz="4" w:space="0" w:color="auto"/>
              <w:right w:val="single" w:sz="4" w:space="0" w:color="auto"/>
            </w:tcBorders>
            <w:shd w:val="clear" w:color="auto" w:fill="C6D9F1" w:themeFill="text2" w:themeFillTint="33"/>
            <w:vAlign w:val="center"/>
            <w:hideMark/>
          </w:tcPr>
          <w:p w14:paraId="50933ADB" w14:textId="77777777" w:rsidR="0008631D" w:rsidRPr="00805152" w:rsidRDefault="0008631D"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1</w:t>
            </w:r>
          </w:p>
        </w:tc>
        <w:tc>
          <w:tcPr>
            <w:tcW w:w="2021" w:type="dxa"/>
            <w:tcBorders>
              <w:top w:val="nil"/>
              <w:left w:val="nil"/>
              <w:bottom w:val="single" w:sz="4" w:space="0" w:color="auto"/>
              <w:right w:val="single" w:sz="4" w:space="0" w:color="auto"/>
            </w:tcBorders>
            <w:shd w:val="clear" w:color="auto" w:fill="C6D9F1" w:themeFill="text2" w:themeFillTint="33"/>
            <w:vAlign w:val="center"/>
            <w:hideMark/>
          </w:tcPr>
          <w:p w14:paraId="3B45C38B" w14:textId="77777777" w:rsidR="0008631D" w:rsidRPr="00805152" w:rsidRDefault="0008631D"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2</w:t>
            </w:r>
          </w:p>
        </w:tc>
        <w:tc>
          <w:tcPr>
            <w:tcW w:w="2022" w:type="dxa"/>
            <w:tcBorders>
              <w:top w:val="nil"/>
              <w:left w:val="nil"/>
              <w:bottom w:val="single" w:sz="4" w:space="0" w:color="auto"/>
              <w:right w:val="single" w:sz="4" w:space="0" w:color="auto"/>
            </w:tcBorders>
            <w:shd w:val="clear" w:color="auto" w:fill="C6D9F1" w:themeFill="text2" w:themeFillTint="33"/>
            <w:vAlign w:val="center"/>
            <w:hideMark/>
          </w:tcPr>
          <w:p w14:paraId="7E6B791E" w14:textId="77777777" w:rsidR="0008631D" w:rsidRPr="00805152" w:rsidRDefault="0008631D" w:rsidP="0008631D">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3</w:t>
            </w:r>
          </w:p>
        </w:tc>
      </w:tr>
      <w:tr w:rsidR="00671CF4" w:rsidRPr="00805152" w14:paraId="5F3FF779" w14:textId="77777777" w:rsidTr="00671CF4">
        <w:trPr>
          <w:trHeight w:val="346"/>
          <w:jc w:val="center"/>
        </w:trPr>
        <w:tc>
          <w:tcPr>
            <w:tcW w:w="453" w:type="dxa"/>
            <w:tcBorders>
              <w:top w:val="nil"/>
              <w:left w:val="single" w:sz="4" w:space="0" w:color="auto"/>
              <w:bottom w:val="single" w:sz="4" w:space="0" w:color="auto"/>
              <w:right w:val="single" w:sz="4" w:space="0" w:color="auto"/>
            </w:tcBorders>
            <w:shd w:val="clear" w:color="auto" w:fill="auto"/>
            <w:noWrap/>
            <w:vAlign w:val="center"/>
            <w:hideMark/>
          </w:tcPr>
          <w:p w14:paraId="6C054F4B" w14:textId="77777777" w:rsidR="00671CF4" w:rsidRPr="00805152" w:rsidRDefault="00671CF4" w:rsidP="00671CF4">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1</w:t>
            </w:r>
          </w:p>
        </w:tc>
        <w:tc>
          <w:tcPr>
            <w:tcW w:w="28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FD52D" w14:textId="2371C896" w:rsidR="00671CF4" w:rsidRPr="00805152" w:rsidRDefault="00671CF4" w:rsidP="00671CF4">
            <w:pPr>
              <w:spacing w:after="0" w:line="240" w:lineRule="auto"/>
              <w:jc w:val="left"/>
              <w:rPr>
                <w:rFonts w:ascii="Times New Roman" w:eastAsia="Times New Roman" w:hAnsi="Times New Roman"/>
                <w:b/>
                <w:bCs/>
                <w:color w:val="000000"/>
                <w:sz w:val="22"/>
                <w:lang w:val="bg-BG" w:eastAsia="nl-NL"/>
              </w:rPr>
            </w:pPr>
            <w:r>
              <w:rPr>
                <w:rFonts w:ascii="Times New Roman" w:eastAsia="Times New Roman" w:hAnsi="Times New Roman"/>
                <w:b/>
                <w:bCs/>
                <w:color w:val="000000"/>
                <w:sz w:val="22"/>
                <w:lang w:val="bg-BG" w:eastAsia="nl-NL"/>
              </w:rPr>
              <w:t xml:space="preserve">   </w:t>
            </w:r>
            <w:r w:rsidRPr="00805152">
              <w:rPr>
                <w:rFonts w:ascii="Times New Roman" w:eastAsia="Times New Roman" w:hAnsi="Times New Roman"/>
                <w:b/>
                <w:bCs/>
                <w:color w:val="000000"/>
                <w:sz w:val="22"/>
                <w:lang w:val="bg-BG" w:eastAsia="nl-NL"/>
              </w:rPr>
              <w:t>I-ви ЕТАП</w:t>
            </w:r>
          </w:p>
        </w:tc>
        <w:tc>
          <w:tcPr>
            <w:tcW w:w="20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1EC9A" w14:textId="3E7F20D8"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17,765,757.80</w:t>
            </w:r>
            <w:r>
              <w:rPr>
                <w:rFonts w:ascii="Arial" w:hAnsi="Arial" w:cs="Arial"/>
                <w:color w:val="000000"/>
                <w:sz w:val="20"/>
                <w:szCs w:val="20"/>
                <w:lang w:val="bg-BG"/>
              </w:rPr>
              <w:t xml:space="preserve"> </w:t>
            </w:r>
            <w:r>
              <w:rPr>
                <w:rFonts w:ascii="Arial" w:hAnsi="Arial" w:cs="Arial"/>
                <w:color w:val="000000"/>
                <w:sz w:val="20"/>
                <w:szCs w:val="20"/>
              </w:rPr>
              <w:t>лв</w:t>
            </w:r>
            <w:r>
              <w:rPr>
                <w:rFonts w:ascii="Arial" w:hAnsi="Arial" w:cs="Arial"/>
                <w:color w:val="000000"/>
                <w:sz w:val="20"/>
                <w:szCs w:val="20"/>
                <w:lang w:val="bg-BG"/>
              </w:rPr>
              <w:t>.</w:t>
            </w:r>
          </w:p>
        </w:tc>
        <w:tc>
          <w:tcPr>
            <w:tcW w:w="20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E8DD6" w14:textId="0E9E0ECD"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18,603,427.65</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c>
          <w:tcPr>
            <w:tcW w:w="20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5425EE" w14:textId="1211D6AC"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18,603,427.65</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r>
      <w:tr w:rsidR="00671CF4" w:rsidRPr="00805152" w14:paraId="30530D88" w14:textId="77777777" w:rsidTr="00671CF4">
        <w:trPr>
          <w:trHeight w:val="346"/>
          <w:jc w:val="center"/>
        </w:trPr>
        <w:tc>
          <w:tcPr>
            <w:tcW w:w="453" w:type="dxa"/>
            <w:tcBorders>
              <w:top w:val="nil"/>
              <w:left w:val="single" w:sz="4" w:space="0" w:color="auto"/>
              <w:bottom w:val="single" w:sz="4" w:space="0" w:color="auto"/>
              <w:right w:val="single" w:sz="4" w:space="0" w:color="auto"/>
            </w:tcBorders>
            <w:shd w:val="clear" w:color="auto" w:fill="auto"/>
            <w:noWrap/>
            <w:vAlign w:val="center"/>
            <w:hideMark/>
          </w:tcPr>
          <w:p w14:paraId="6328A6A4" w14:textId="77777777" w:rsidR="00671CF4" w:rsidRPr="00805152" w:rsidRDefault="00671CF4" w:rsidP="00671CF4">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2</w:t>
            </w:r>
          </w:p>
        </w:tc>
        <w:tc>
          <w:tcPr>
            <w:tcW w:w="2834" w:type="dxa"/>
            <w:tcBorders>
              <w:top w:val="nil"/>
              <w:left w:val="single" w:sz="4" w:space="0" w:color="auto"/>
              <w:bottom w:val="single" w:sz="4" w:space="0" w:color="auto"/>
              <w:right w:val="single" w:sz="4" w:space="0" w:color="auto"/>
            </w:tcBorders>
            <w:shd w:val="clear" w:color="auto" w:fill="auto"/>
            <w:vAlign w:val="center"/>
            <w:hideMark/>
          </w:tcPr>
          <w:p w14:paraId="298DC9BB" w14:textId="4A75C5AE" w:rsidR="00671CF4" w:rsidRPr="00805152" w:rsidRDefault="00671CF4" w:rsidP="00671CF4">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xml:space="preserve">   II-ри ЕТАП</w:t>
            </w:r>
          </w:p>
        </w:tc>
        <w:tc>
          <w:tcPr>
            <w:tcW w:w="2021" w:type="dxa"/>
            <w:tcBorders>
              <w:top w:val="nil"/>
              <w:left w:val="single" w:sz="4" w:space="0" w:color="auto"/>
              <w:bottom w:val="single" w:sz="4" w:space="0" w:color="auto"/>
              <w:right w:val="single" w:sz="4" w:space="0" w:color="auto"/>
            </w:tcBorders>
            <w:shd w:val="clear" w:color="auto" w:fill="auto"/>
            <w:noWrap/>
            <w:vAlign w:val="center"/>
          </w:tcPr>
          <w:p w14:paraId="3F80D0D8" w14:textId="4D543C4D"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10,601,052.56</w:t>
            </w:r>
            <w:r>
              <w:rPr>
                <w:rFonts w:ascii="Arial" w:hAnsi="Arial" w:cs="Arial"/>
                <w:color w:val="000000"/>
                <w:sz w:val="20"/>
                <w:szCs w:val="20"/>
                <w:lang w:val="bg-BG"/>
              </w:rPr>
              <w:t xml:space="preserve"> </w:t>
            </w:r>
            <w:r>
              <w:rPr>
                <w:rFonts w:ascii="Arial" w:hAnsi="Arial" w:cs="Arial"/>
                <w:color w:val="000000"/>
                <w:sz w:val="20"/>
                <w:szCs w:val="20"/>
              </w:rPr>
              <w:t>лв</w:t>
            </w:r>
            <w:r>
              <w:rPr>
                <w:rFonts w:ascii="Arial" w:hAnsi="Arial" w:cs="Arial"/>
                <w:color w:val="000000"/>
                <w:sz w:val="20"/>
                <w:szCs w:val="20"/>
                <w:lang w:val="bg-BG"/>
              </w:rPr>
              <w:t>.</w:t>
            </w:r>
          </w:p>
        </w:tc>
        <w:tc>
          <w:tcPr>
            <w:tcW w:w="2021" w:type="dxa"/>
            <w:tcBorders>
              <w:top w:val="nil"/>
              <w:left w:val="single" w:sz="4" w:space="0" w:color="auto"/>
              <w:bottom w:val="single" w:sz="4" w:space="0" w:color="auto"/>
              <w:right w:val="single" w:sz="4" w:space="0" w:color="auto"/>
            </w:tcBorders>
            <w:shd w:val="clear" w:color="auto" w:fill="auto"/>
            <w:noWrap/>
            <w:vAlign w:val="center"/>
          </w:tcPr>
          <w:p w14:paraId="4BD8B400" w14:textId="4EEBFA7F"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11,029,096.57</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c>
          <w:tcPr>
            <w:tcW w:w="2022" w:type="dxa"/>
            <w:tcBorders>
              <w:top w:val="nil"/>
              <w:left w:val="single" w:sz="4" w:space="0" w:color="auto"/>
              <w:bottom w:val="single" w:sz="4" w:space="0" w:color="auto"/>
              <w:right w:val="single" w:sz="4" w:space="0" w:color="auto"/>
            </w:tcBorders>
            <w:shd w:val="clear" w:color="auto" w:fill="auto"/>
            <w:noWrap/>
            <w:vAlign w:val="center"/>
            <w:hideMark/>
          </w:tcPr>
          <w:p w14:paraId="537E536B" w14:textId="1272564D"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11,029,096.57</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r>
      <w:tr w:rsidR="00671CF4" w:rsidRPr="00805152" w14:paraId="21433FBC" w14:textId="77777777" w:rsidTr="00671CF4">
        <w:trPr>
          <w:trHeight w:val="346"/>
          <w:jc w:val="center"/>
        </w:trPr>
        <w:tc>
          <w:tcPr>
            <w:tcW w:w="453" w:type="dxa"/>
            <w:tcBorders>
              <w:top w:val="nil"/>
              <w:left w:val="single" w:sz="4" w:space="0" w:color="auto"/>
              <w:bottom w:val="single" w:sz="4" w:space="0" w:color="auto"/>
              <w:right w:val="single" w:sz="4" w:space="0" w:color="auto"/>
            </w:tcBorders>
            <w:shd w:val="clear" w:color="auto" w:fill="auto"/>
            <w:noWrap/>
            <w:vAlign w:val="center"/>
            <w:hideMark/>
          </w:tcPr>
          <w:p w14:paraId="65E17648" w14:textId="77777777" w:rsidR="00671CF4" w:rsidRPr="00805152" w:rsidRDefault="00671CF4" w:rsidP="00671CF4">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3</w:t>
            </w:r>
          </w:p>
        </w:tc>
        <w:tc>
          <w:tcPr>
            <w:tcW w:w="2834" w:type="dxa"/>
            <w:tcBorders>
              <w:top w:val="nil"/>
              <w:left w:val="single" w:sz="4" w:space="0" w:color="auto"/>
              <w:bottom w:val="single" w:sz="4" w:space="0" w:color="auto"/>
              <w:right w:val="single" w:sz="4" w:space="0" w:color="auto"/>
            </w:tcBorders>
            <w:shd w:val="clear" w:color="auto" w:fill="auto"/>
            <w:vAlign w:val="center"/>
            <w:hideMark/>
          </w:tcPr>
          <w:p w14:paraId="1583A178" w14:textId="232D7F1A" w:rsidR="00671CF4" w:rsidRPr="00805152" w:rsidRDefault="00671CF4" w:rsidP="00671CF4">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xml:space="preserve">   III-ти ЕТАП</w:t>
            </w:r>
          </w:p>
        </w:tc>
        <w:tc>
          <w:tcPr>
            <w:tcW w:w="2021" w:type="dxa"/>
            <w:tcBorders>
              <w:top w:val="nil"/>
              <w:left w:val="single" w:sz="4" w:space="0" w:color="auto"/>
              <w:bottom w:val="single" w:sz="4" w:space="0" w:color="auto"/>
              <w:right w:val="single" w:sz="4" w:space="0" w:color="auto"/>
            </w:tcBorders>
            <w:shd w:val="clear" w:color="auto" w:fill="auto"/>
            <w:noWrap/>
            <w:vAlign w:val="center"/>
          </w:tcPr>
          <w:p w14:paraId="75D62EFD" w14:textId="57B1CF11" w:rsidR="00671CF4" w:rsidRPr="003B1C13"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11,570,587.56</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eastAsia="Times New Roman" w:hAnsi="Times New Roman"/>
                <w:b/>
                <w:bCs/>
                <w:color w:val="000000"/>
                <w:sz w:val="22"/>
                <w:lang w:val="bg-BG" w:eastAsia="nl-NL"/>
              </w:rPr>
              <w:t>.</w:t>
            </w:r>
          </w:p>
        </w:tc>
        <w:tc>
          <w:tcPr>
            <w:tcW w:w="2021" w:type="dxa"/>
            <w:tcBorders>
              <w:top w:val="nil"/>
              <w:left w:val="single" w:sz="4" w:space="0" w:color="auto"/>
              <w:bottom w:val="single" w:sz="4" w:space="0" w:color="auto"/>
              <w:right w:val="single" w:sz="4" w:space="0" w:color="auto"/>
            </w:tcBorders>
            <w:shd w:val="clear" w:color="auto" w:fill="auto"/>
            <w:noWrap/>
            <w:vAlign w:val="center"/>
          </w:tcPr>
          <w:p w14:paraId="34D59B2B" w14:textId="4C644B41"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12,121,224.42</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c>
          <w:tcPr>
            <w:tcW w:w="2022" w:type="dxa"/>
            <w:tcBorders>
              <w:top w:val="nil"/>
              <w:left w:val="single" w:sz="4" w:space="0" w:color="auto"/>
              <w:bottom w:val="single" w:sz="4" w:space="0" w:color="auto"/>
              <w:right w:val="single" w:sz="4" w:space="0" w:color="auto"/>
            </w:tcBorders>
            <w:shd w:val="clear" w:color="auto" w:fill="auto"/>
            <w:noWrap/>
            <w:vAlign w:val="center"/>
            <w:hideMark/>
          </w:tcPr>
          <w:p w14:paraId="01AE92D2" w14:textId="049CDC76" w:rsidR="00671CF4" w:rsidRPr="00671CF4"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10,620,521.53</w:t>
            </w:r>
            <w:r>
              <w:rPr>
                <w:rFonts w:ascii="Arial" w:hAnsi="Arial" w:cs="Arial"/>
                <w:color w:val="000000"/>
                <w:sz w:val="20"/>
                <w:szCs w:val="20"/>
                <w:lang w:val="bg-BG"/>
              </w:rPr>
              <w:t xml:space="preserve"> </w:t>
            </w:r>
            <w:r>
              <w:rPr>
                <w:rFonts w:ascii="Arial" w:hAnsi="Arial" w:cs="Arial"/>
                <w:color w:val="000000"/>
                <w:sz w:val="20"/>
                <w:szCs w:val="20"/>
              </w:rPr>
              <w:t>лв</w:t>
            </w:r>
            <w:r>
              <w:rPr>
                <w:rFonts w:ascii="Times New Roman" w:hAnsi="Times New Roman"/>
                <w:sz w:val="22"/>
                <w:lang w:val="bg-BG"/>
              </w:rPr>
              <w:t>.</w:t>
            </w:r>
          </w:p>
        </w:tc>
      </w:tr>
      <w:tr w:rsidR="00671CF4" w:rsidRPr="00805152" w14:paraId="629A1FA3" w14:textId="77777777" w:rsidTr="002E7DF3">
        <w:trPr>
          <w:trHeight w:val="346"/>
          <w:jc w:val="center"/>
        </w:trPr>
        <w:tc>
          <w:tcPr>
            <w:tcW w:w="3287" w:type="dxa"/>
            <w:gridSpan w:val="2"/>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69D7E546" w14:textId="77777777" w:rsidR="00671CF4" w:rsidRPr="00805152" w:rsidRDefault="00671CF4" w:rsidP="00671CF4">
            <w:pPr>
              <w:spacing w:after="0" w:line="240" w:lineRule="auto"/>
              <w:jc w:val="righ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СУМА - СМР</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1A839B01" w14:textId="20E07222" w:rsidR="00671CF4" w:rsidRPr="00671CF4"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39,937,397.93</w:t>
            </w:r>
            <w:r>
              <w:rPr>
                <w:rFonts w:ascii="Arial" w:hAnsi="Arial" w:cs="Arial"/>
                <w:b/>
                <w:bCs/>
                <w:color w:val="000000"/>
                <w:sz w:val="20"/>
                <w:szCs w:val="20"/>
                <w:lang w:val="bg-BG"/>
              </w:rPr>
              <w:t xml:space="preserve"> </w:t>
            </w:r>
            <w:r>
              <w:rPr>
                <w:rFonts w:ascii="Arial" w:hAnsi="Arial" w:cs="Arial"/>
                <w:b/>
                <w:bCs/>
                <w:color w:val="000000"/>
                <w:sz w:val="20"/>
                <w:szCs w:val="20"/>
              </w:rPr>
              <w:t>лв</w:t>
            </w:r>
            <w:r>
              <w:rPr>
                <w:rFonts w:ascii="Times New Roman" w:hAnsi="Times New Roman"/>
                <w:b/>
                <w:bCs/>
                <w:color w:val="000000"/>
                <w:sz w:val="22"/>
                <w:lang w:val="bg-BG"/>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45DE3068" w14:textId="73EC8E62" w:rsidR="00671CF4" w:rsidRPr="00671CF4"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41,753,748.65</w:t>
            </w:r>
            <w:r>
              <w:rPr>
                <w:rFonts w:ascii="Arial" w:hAnsi="Arial" w:cs="Arial"/>
                <w:b/>
                <w:bCs/>
                <w:color w:val="000000"/>
                <w:sz w:val="20"/>
                <w:szCs w:val="20"/>
                <w:lang w:val="bg-BG"/>
              </w:rPr>
              <w:t xml:space="preserve"> </w:t>
            </w:r>
            <w:r>
              <w:rPr>
                <w:rFonts w:ascii="Arial" w:hAnsi="Arial" w:cs="Arial"/>
                <w:b/>
                <w:bCs/>
                <w:color w:val="000000"/>
                <w:sz w:val="20"/>
                <w:szCs w:val="20"/>
              </w:rPr>
              <w:t>лв</w:t>
            </w:r>
            <w:r>
              <w:rPr>
                <w:rFonts w:ascii="Times New Roman" w:hAnsi="Times New Roman"/>
                <w:b/>
                <w:bCs/>
                <w:color w:val="000000"/>
                <w:sz w:val="22"/>
                <w:lang w:val="bg-BG"/>
              </w:rPr>
              <w:t>.</w:t>
            </w:r>
          </w:p>
        </w:tc>
        <w:tc>
          <w:tcPr>
            <w:tcW w:w="2022" w:type="dxa"/>
            <w:tcBorders>
              <w:top w:val="nil"/>
              <w:left w:val="single" w:sz="4" w:space="0" w:color="auto"/>
              <w:bottom w:val="single" w:sz="4" w:space="0" w:color="auto"/>
              <w:right w:val="single" w:sz="4" w:space="0" w:color="auto"/>
            </w:tcBorders>
            <w:shd w:val="clear" w:color="000000" w:fill="E2EFDA"/>
            <w:noWrap/>
            <w:vAlign w:val="center"/>
            <w:hideMark/>
          </w:tcPr>
          <w:p w14:paraId="77F3E4B6" w14:textId="0268C354" w:rsidR="00671CF4" w:rsidRPr="00671CF4"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40,253,045.75</w:t>
            </w:r>
            <w:r>
              <w:rPr>
                <w:rFonts w:ascii="Arial" w:hAnsi="Arial" w:cs="Arial"/>
                <w:b/>
                <w:bCs/>
                <w:color w:val="000000"/>
                <w:sz w:val="20"/>
                <w:szCs w:val="20"/>
                <w:lang w:val="bg-BG"/>
              </w:rPr>
              <w:t xml:space="preserve"> </w:t>
            </w:r>
            <w:r>
              <w:rPr>
                <w:rFonts w:ascii="Arial" w:hAnsi="Arial" w:cs="Arial"/>
                <w:b/>
                <w:bCs/>
                <w:color w:val="000000"/>
                <w:sz w:val="20"/>
                <w:szCs w:val="20"/>
              </w:rPr>
              <w:t>лв</w:t>
            </w:r>
            <w:r>
              <w:rPr>
                <w:rFonts w:ascii="Times New Roman" w:hAnsi="Times New Roman"/>
                <w:b/>
                <w:bCs/>
                <w:color w:val="000000"/>
                <w:sz w:val="22"/>
                <w:lang w:val="bg-BG"/>
              </w:rPr>
              <w:t>.</w:t>
            </w:r>
          </w:p>
        </w:tc>
      </w:tr>
      <w:tr w:rsidR="00671CF4" w:rsidRPr="00805152" w14:paraId="28B4C804" w14:textId="77777777" w:rsidTr="002E7DF3">
        <w:trPr>
          <w:trHeight w:val="346"/>
          <w:jc w:val="center"/>
        </w:trPr>
        <w:tc>
          <w:tcPr>
            <w:tcW w:w="3287" w:type="dxa"/>
            <w:gridSpan w:val="2"/>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4DBCA46E" w14:textId="25EE77FC" w:rsidR="00671CF4" w:rsidRPr="00805152" w:rsidRDefault="00F962CC" w:rsidP="00671CF4">
            <w:pPr>
              <w:spacing w:after="0" w:line="240" w:lineRule="auto"/>
              <w:jc w:val="right"/>
              <w:rPr>
                <w:rFonts w:ascii="Times New Roman" w:eastAsia="Times New Roman" w:hAnsi="Times New Roman"/>
                <w:b/>
                <w:bCs/>
                <w:color w:val="000000"/>
                <w:sz w:val="22"/>
                <w:lang w:val="bg-BG" w:eastAsia="nl-NL"/>
              </w:rPr>
            </w:pPr>
            <w:r>
              <w:rPr>
                <w:rFonts w:ascii="Times New Roman" w:eastAsia="Times New Roman" w:hAnsi="Times New Roman"/>
                <w:b/>
                <w:bCs/>
                <w:color w:val="000000"/>
                <w:sz w:val="22"/>
                <w:lang w:val="bg-BG" w:eastAsia="nl-NL"/>
              </w:rPr>
              <w:t xml:space="preserve">НЕПРЕДВИДЕНИ  5 </w:t>
            </w:r>
            <w:r w:rsidR="00671CF4" w:rsidRPr="00805152">
              <w:rPr>
                <w:rFonts w:ascii="Times New Roman" w:eastAsia="Times New Roman" w:hAnsi="Times New Roman"/>
                <w:b/>
                <w:bCs/>
                <w:color w:val="000000"/>
                <w:sz w:val="22"/>
                <w:lang w:val="bg-BG" w:eastAsia="nl-NL"/>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58FCDF3C" w14:textId="1C428967"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1,996,869.90</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780CE160" w14:textId="5980BC40"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2,087,687.43</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c>
          <w:tcPr>
            <w:tcW w:w="2022" w:type="dxa"/>
            <w:tcBorders>
              <w:top w:val="nil"/>
              <w:left w:val="single" w:sz="4" w:space="0" w:color="auto"/>
              <w:bottom w:val="single" w:sz="4" w:space="0" w:color="auto"/>
              <w:right w:val="single" w:sz="4" w:space="0" w:color="auto"/>
            </w:tcBorders>
            <w:shd w:val="clear" w:color="000000" w:fill="E2EFDA"/>
            <w:noWrap/>
            <w:vAlign w:val="center"/>
            <w:hideMark/>
          </w:tcPr>
          <w:p w14:paraId="212F2540" w14:textId="3ED6E2BB"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2,012,652.29</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r>
      <w:tr w:rsidR="00671CF4" w:rsidRPr="00805152" w14:paraId="7A7934DA" w14:textId="77777777" w:rsidTr="002E7DF3">
        <w:trPr>
          <w:trHeight w:val="346"/>
          <w:jc w:val="center"/>
        </w:trPr>
        <w:tc>
          <w:tcPr>
            <w:tcW w:w="3287" w:type="dxa"/>
            <w:gridSpan w:val="2"/>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3A6A0B09" w14:textId="77777777" w:rsidR="00671CF4" w:rsidRPr="00805152" w:rsidRDefault="00671CF4" w:rsidP="00671CF4">
            <w:pPr>
              <w:spacing w:after="0" w:line="240" w:lineRule="auto"/>
              <w:jc w:val="righ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ОБЩО СУМА - СМР</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113619FC" w14:textId="2ABE8C5F"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41,934,267.82</w:t>
            </w:r>
            <w:r w:rsidR="00F962CC">
              <w:rPr>
                <w:rFonts w:ascii="Arial" w:hAnsi="Arial" w:cs="Arial"/>
                <w:b/>
                <w:bCs/>
                <w:color w:val="000000"/>
                <w:sz w:val="20"/>
                <w:szCs w:val="20"/>
                <w:lang w:val="bg-BG"/>
              </w:rPr>
              <w:t>.</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638F977C" w14:textId="434F6FCC"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43,841,436.08</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2022" w:type="dxa"/>
            <w:tcBorders>
              <w:top w:val="nil"/>
              <w:left w:val="single" w:sz="4" w:space="0" w:color="auto"/>
              <w:bottom w:val="single" w:sz="4" w:space="0" w:color="auto"/>
              <w:right w:val="single" w:sz="4" w:space="0" w:color="auto"/>
            </w:tcBorders>
            <w:shd w:val="clear" w:color="000000" w:fill="E2EFDA"/>
            <w:noWrap/>
            <w:vAlign w:val="center"/>
            <w:hideMark/>
          </w:tcPr>
          <w:p w14:paraId="16B36011" w14:textId="30FEED00"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42,265,698.04</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r>
      <w:tr w:rsidR="00671CF4" w:rsidRPr="00805152" w14:paraId="29972D6A" w14:textId="77777777" w:rsidTr="002E7DF3">
        <w:trPr>
          <w:trHeight w:val="346"/>
          <w:jc w:val="center"/>
        </w:trPr>
        <w:tc>
          <w:tcPr>
            <w:tcW w:w="3287" w:type="dxa"/>
            <w:gridSpan w:val="2"/>
            <w:tcBorders>
              <w:top w:val="single" w:sz="4" w:space="0" w:color="auto"/>
              <w:left w:val="single" w:sz="4" w:space="0" w:color="auto"/>
              <w:bottom w:val="single" w:sz="4" w:space="0" w:color="auto"/>
              <w:right w:val="single" w:sz="4" w:space="0" w:color="000000"/>
            </w:tcBorders>
            <w:shd w:val="clear" w:color="000000" w:fill="E2EFDA"/>
            <w:noWrap/>
            <w:vAlign w:val="center"/>
            <w:hideMark/>
          </w:tcPr>
          <w:p w14:paraId="16ED96BE" w14:textId="77777777" w:rsidR="00671CF4" w:rsidRPr="00805152" w:rsidRDefault="00671CF4" w:rsidP="00671CF4">
            <w:pPr>
              <w:spacing w:after="0" w:line="240" w:lineRule="auto"/>
              <w:jc w:val="righ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ДДС 20%:</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33BCC121" w14:textId="2561CF97"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8,386,853.56</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6B49DB1D" w14:textId="4578B89E"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8,768,287.22</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c>
          <w:tcPr>
            <w:tcW w:w="2022" w:type="dxa"/>
            <w:tcBorders>
              <w:top w:val="nil"/>
              <w:left w:val="single" w:sz="4" w:space="0" w:color="auto"/>
              <w:bottom w:val="single" w:sz="4" w:space="0" w:color="auto"/>
              <w:right w:val="single" w:sz="4" w:space="0" w:color="auto"/>
            </w:tcBorders>
            <w:shd w:val="clear" w:color="000000" w:fill="E2EFDA"/>
            <w:noWrap/>
            <w:vAlign w:val="center"/>
            <w:hideMark/>
          </w:tcPr>
          <w:p w14:paraId="0B67D65C" w14:textId="0DE1F84A" w:rsidR="00671CF4" w:rsidRPr="00F962CC" w:rsidRDefault="00671CF4" w:rsidP="00671CF4">
            <w:pPr>
              <w:spacing w:after="0" w:line="240" w:lineRule="auto"/>
              <w:jc w:val="right"/>
              <w:rPr>
                <w:rFonts w:ascii="Times New Roman" w:eastAsia="Times New Roman" w:hAnsi="Times New Roman"/>
                <w:color w:val="000000"/>
                <w:sz w:val="22"/>
                <w:lang w:val="bg-BG" w:eastAsia="nl-NL"/>
              </w:rPr>
            </w:pPr>
            <w:r>
              <w:rPr>
                <w:rFonts w:ascii="Arial" w:hAnsi="Arial" w:cs="Arial"/>
                <w:color w:val="000000"/>
                <w:sz w:val="20"/>
                <w:szCs w:val="20"/>
              </w:rPr>
              <w:t>8,453,139.61</w:t>
            </w:r>
            <w:r w:rsidR="00F962CC">
              <w:rPr>
                <w:rFonts w:ascii="Arial" w:hAnsi="Arial" w:cs="Arial"/>
                <w:color w:val="000000"/>
                <w:sz w:val="20"/>
                <w:szCs w:val="20"/>
                <w:lang w:val="bg-BG"/>
              </w:rPr>
              <w:t xml:space="preserve"> </w:t>
            </w:r>
            <w:r>
              <w:rPr>
                <w:rFonts w:ascii="Arial" w:hAnsi="Arial" w:cs="Arial"/>
                <w:color w:val="000000"/>
                <w:sz w:val="20"/>
                <w:szCs w:val="20"/>
              </w:rPr>
              <w:t>лв</w:t>
            </w:r>
            <w:r w:rsidR="00F962CC">
              <w:rPr>
                <w:rFonts w:ascii="Arial" w:hAnsi="Arial" w:cs="Arial"/>
                <w:color w:val="000000"/>
                <w:sz w:val="20"/>
                <w:szCs w:val="20"/>
                <w:lang w:val="bg-BG"/>
              </w:rPr>
              <w:t>.</w:t>
            </w:r>
          </w:p>
        </w:tc>
      </w:tr>
      <w:tr w:rsidR="00671CF4" w:rsidRPr="00805152" w14:paraId="740B58C6" w14:textId="77777777" w:rsidTr="002E7DF3">
        <w:trPr>
          <w:trHeight w:val="346"/>
          <w:jc w:val="center"/>
        </w:trPr>
        <w:tc>
          <w:tcPr>
            <w:tcW w:w="3287" w:type="dxa"/>
            <w:gridSpan w:val="2"/>
            <w:tcBorders>
              <w:top w:val="single" w:sz="4" w:space="0" w:color="auto"/>
              <w:left w:val="single" w:sz="4" w:space="0" w:color="auto"/>
              <w:bottom w:val="single" w:sz="4" w:space="0" w:color="auto"/>
              <w:right w:val="single" w:sz="4" w:space="0" w:color="000000"/>
            </w:tcBorders>
            <w:shd w:val="clear" w:color="000000" w:fill="E2EFDA"/>
            <w:noWrap/>
            <w:vAlign w:val="center"/>
            <w:hideMark/>
          </w:tcPr>
          <w:p w14:paraId="27B5F282" w14:textId="77777777" w:rsidR="00671CF4" w:rsidRPr="00805152" w:rsidRDefault="00671CF4" w:rsidP="00671CF4">
            <w:pPr>
              <w:spacing w:after="0" w:line="240" w:lineRule="auto"/>
              <w:jc w:val="righ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КРАЙНА ЦЕНА:</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0A252525" w14:textId="3AF660A6"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50,321,121.39</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2021" w:type="dxa"/>
            <w:tcBorders>
              <w:top w:val="nil"/>
              <w:left w:val="single" w:sz="4" w:space="0" w:color="auto"/>
              <w:bottom w:val="single" w:sz="4" w:space="0" w:color="auto"/>
              <w:right w:val="single" w:sz="4" w:space="0" w:color="auto"/>
            </w:tcBorders>
            <w:shd w:val="clear" w:color="000000" w:fill="E2EFDA"/>
            <w:noWrap/>
            <w:vAlign w:val="center"/>
            <w:hideMark/>
          </w:tcPr>
          <w:p w14:paraId="4E0EAD98" w14:textId="5E859382"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52,609,723.29</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2022" w:type="dxa"/>
            <w:tcBorders>
              <w:top w:val="nil"/>
              <w:left w:val="single" w:sz="4" w:space="0" w:color="auto"/>
              <w:bottom w:val="single" w:sz="4" w:space="0" w:color="auto"/>
              <w:right w:val="single" w:sz="4" w:space="0" w:color="auto"/>
            </w:tcBorders>
            <w:shd w:val="clear" w:color="000000" w:fill="E2EFDA"/>
            <w:noWrap/>
            <w:vAlign w:val="center"/>
            <w:hideMark/>
          </w:tcPr>
          <w:p w14:paraId="2426800E" w14:textId="138FC76A" w:rsidR="00671CF4" w:rsidRPr="00F962CC" w:rsidRDefault="00671CF4" w:rsidP="00671CF4">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50,718,837.65</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r>
    </w:tbl>
    <w:p w14:paraId="04203FF7" w14:textId="77777777" w:rsidR="0064302E" w:rsidRPr="00805152" w:rsidRDefault="0064302E" w:rsidP="0064302E">
      <w:pPr>
        <w:spacing w:after="0"/>
        <w:ind w:firstLine="576"/>
        <w:rPr>
          <w:rFonts w:ascii="Times New Roman" w:eastAsia="Times New Roman" w:hAnsi="Times New Roman"/>
          <w:sz w:val="22"/>
          <w:lang w:val="bg-BG"/>
        </w:rPr>
      </w:pPr>
    </w:p>
    <w:p w14:paraId="3120F4ED" w14:textId="0245C775" w:rsidR="00EA7FF7" w:rsidRPr="00805152"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На база определените разходи за СМР, за определяне на общите </w:t>
      </w:r>
      <w:r w:rsidR="0064302E" w:rsidRPr="00805152">
        <w:rPr>
          <w:rFonts w:ascii="Times New Roman" w:eastAsia="Times New Roman" w:hAnsi="Times New Roman"/>
          <w:sz w:val="22"/>
          <w:lang w:val="bg-BG"/>
        </w:rPr>
        <w:t>инвестиционни</w:t>
      </w:r>
      <w:r w:rsidRPr="00805152">
        <w:rPr>
          <w:rFonts w:ascii="Times New Roman" w:eastAsia="Times New Roman" w:hAnsi="Times New Roman"/>
          <w:sz w:val="22"/>
          <w:lang w:val="bg-BG"/>
        </w:rPr>
        <w:t xml:space="preserve"> разходи</w:t>
      </w:r>
      <w:r w:rsidR="00151812">
        <w:rPr>
          <w:rFonts w:ascii="Times New Roman" w:eastAsia="Times New Roman" w:hAnsi="Times New Roman"/>
          <w:sz w:val="22"/>
          <w:lang w:val="bg-BG"/>
        </w:rPr>
        <w:t>,</w:t>
      </w:r>
      <w:r w:rsidRPr="00805152">
        <w:rPr>
          <w:rFonts w:ascii="Times New Roman" w:eastAsia="Times New Roman" w:hAnsi="Times New Roman"/>
          <w:sz w:val="22"/>
          <w:lang w:val="bg-BG"/>
        </w:rPr>
        <w:t xml:space="preserve"> са направени следните допускания:</w:t>
      </w:r>
    </w:p>
    <w:p w14:paraId="5860EBAF" w14:textId="54C4EF95"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 xml:space="preserve">Непредвидените разходи са </w:t>
      </w:r>
      <w:r w:rsidR="002E7DF3">
        <w:rPr>
          <w:rFonts w:ascii="Times New Roman" w:eastAsia="Times New Roman" w:hAnsi="Times New Roman"/>
          <w:lang w:val="bg-BG"/>
        </w:rPr>
        <w:t>5</w:t>
      </w:r>
      <w:r w:rsidRPr="00805152">
        <w:rPr>
          <w:rFonts w:ascii="Times New Roman" w:eastAsia="Times New Roman" w:hAnsi="Times New Roman"/>
          <w:lang w:val="bg-BG"/>
        </w:rPr>
        <w:t xml:space="preserve">% от стойността на определените разходи за СМР; </w:t>
      </w:r>
    </w:p>
    <w:p w14:paraId="193E6C46" w14:textId="77777777"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Разходите за строителен и авторски надзор са определени на 3% от стойността на СМР, базирайки се на данни за средна стойност за сектор Транспорт;</w:t>
      </w:r>
    </w:p>
    <w:p w14:paraId="0ACC68CA" w14:textId="77777777"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Разходите за техническа помощ включват управление на проекта, изготвяне на тръжни документи, технически и правни експертизи и други нужди и са определени в размер на 2% от стойността на СМР;</w:t>
      </w:r>
    </w:p>
    <w:p w14:paraId="5EDCB911" w14:textId="3B791C24" w:rsidR="00EA7FF7"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Разходите за публичност на проекта са определе</w:t>
      </w:r>
      <w:r w:rsidR="00DE19E4">
        <w:rPr>
          <w:rFonts w:ascii="Times New Roman" w:eastAsia="Times New Roman" w:hAnsi="Times New Roman"/>
          <w:lang w:val="bg-BG"/>
        </w:rPr>
        <w:t>ни на 0,2% от стойността на СМР.</w:t>
      </w:r>
    </w:p>
    <w:p w14:paraId="79F1288F" w14:textId="7F737FD7" w:rsidR="00027371" w:rsidRDefault="00F962CC" w:rsidP="0064302E">
      <w:pPr>
        <w:spacing w:after="0"/>
        <w:ind w:firstLine="576"/>
        <w:rPr>
          <w:rFonts w:ascii="Times New Roman" w:eastAsia="Times New Roman" w:hAnsi="Times New Roman"/>
          <w:sz w:val="22"/>
          <w:lang w:val="bg-BG"/>
        </w:rPr>
      </w:pPr>
      <w:r>
        <w:rPr>
          <w:rFonts w:ascii="Times New Roman" w:eastAsia="Times New Roman" w:hAnsi="Times New Roman"/>
          <w:sz w:val="22"/>
          <w:lang w:val="bg-BG"/>
        </w:rPr>
        <w:lastRenderedPageBreak/>
        <w:t>Количествено-</w:t>
      </w:r>
      <w:r w:rsidR="004B1D26">
        <w:rPr>
          <w:rFonts w:ascii="Times New Roman" w:eastAsia="Times New Roman" w:hAnsi="Times New Roman"/>
          <w:sz w:val="22"/>
          <w:lang w:val="bg-BG"/>
        </w:rPr>
        <w:t xml:space="preserve">стойностната сметка за всички варианти е базирана на </w:t>
      </w:r>
      <w:r w:rsidR="004B1D26" w:rsidRPr="004B1D26">
        <w:rPr>
          <w:rFonts w:ascii="Times New Roman" w:eastAsia="Times New Roman" w:hAnsi="Times New Roman"/>
          <w:sz w:val="22"/>
          <w:lang w:val="bg-BG"/>
        </w:rPr>
        <w:t>цените в КСС на техническия проект от Януари 2023 г.</w:t>
      </w:r>
      <w:r w:rsidR="004B1D26">
        <w:rPr>
          <w:rFonts w:ascii="Times New Roman" w:eastAsia="Times New Roman" w:hAnsi="Times New Roman"/>
          <w:sz w:val="22"/>
          <w:lang w:val="bg-BG"/>
        </w:rPr>
        <w:t xml:space="preserve"> Анализът на тази КСС </w:t>
      </w:r>
      <w:r w:rsidR="004B1D26" w:rsidRPr="004B1D26">
        <w:rPr>
          <w:rFonts w:ascii="Times New Roman" w:eastAsia="Times New Roman" w:hAnsi="Times New Roman"/>
          <w:sz w:val="22"/>
          <w:lang w:val="bg-BG"/>
        </w:rPr>
        <w:t>показва</w:t>
      </w:r>
      <w:r w:rsidR="00E54D2E">
        <w:rPr>
          <w:rFonts w:ascii="Times New Roman" w:eastAsia="Times New Roman" w:hAnsi="Times New Roman"/>
          <w:sz w:val="22"/>
          <w:lang w:val="bg-BG"/>
        </w:rPr>
        <w:t>, че</w:t>
      </w:r>
      <w:r w:rsidR="004B1D26" w:rsidRPr="004B1D26">
        <w:rPr>
          <w:rFonts w:ascii="Times New Roman" w:eastAsia="Times New Roman" w:hAnsi="Times New Roman"/>
          <w:sz w:val="22"/>
          <w:lang w:val="bg-BG"/>
        </w:rPr>
        <w:t xml:space="preserve"> </w:t>
      </w:r>
      <w:r w:rsidR="004B1D26">
        <w:rPr>
          <w:rFonts w:ascii="Times New Roman" w:eastAsia="Times New Roman" w:hAnsi="Times New Roman"/>
          <w:sz w:val="22"/>
          <w:lang w:val="bg-BG"/>
        </w:rPr>
        <w:t>използваните единични цени са от предходн</w:t>
      </w:r>
      <w:r w:rsidR="00AB09F4">
        <w:rPr>
          <w:rFonts w:ascii="Times New Roman" w:eastAsia="Times New Roman" w:hAnsi="Times New Roman"/>
          <w:sz w:val="22"/>
          <w:lang w:val="bg-BG"/>
        </w:rPr>
        <w:t xml:space="preserve">ата година тъй като към </w:t>
      </w:r>
      <w:r w:rsidRPr="004B1D26">
        <w:rPr>
          <w:rFonts w:ascii="Times New Roman" w:eastAsia="Times New Roman" w:hAnsi="Times New Roman"/>
          <w:sz w:val="22"/>
          <w:lang w:val="bg-BG"/>
        </w:rPr>
        <w:t>Януари 2023 г.</w:t>
      </w:r>
      <w:r>
        <w:rPr>
          <w:rFonts w:ascii="Times New Roman" w:eastAsia="Times New Roman" w:hAnsi="Times New Roman"/>
          <w:sz w:val="22"/>
          <w:lang w:val="bg-BG"/>
        </w:rPr>
        <w:t xml:space="preserve"> все още няма</w:t>
      </w:r>
      <w:r w:rsidR="00AB09F4">
        <w:rPr>
          <w:rFonts w:ascii="Times New Roman" w:eastAsia="Times New Roman" w:hAnsi="Times New Roman"/>
          <w:sz w:val="22"/>
          <w:lang w:val="bg-BG"/>
        </w:rPr>
        <w:t xml:space="preserve"> официални статистически данни за увеличение на цените и инфлацията. Поради динамиката на цени и инфлация в последните месеци към момента </w:t>
      </w:r>
      <w:r w:rsidR="004B1D26" w:rsidRPr="004B1D26">
        <w:rPr>
          <w:rFonts w:ascii="Times New Roman" w:eastAsia="Times New Roman" w:hAnsi="Times New Roman"/>
          <w:sz w:val="22"/>
          <w:lang w:val="bg-BG"/>
        </w:rPr>
        <w:t xml:space="preserve">цените </w:t>
      </w:r>
      <w:r w:rsidR="00AB09F4">
        <w:rPr>
          <w:rFonts w:ascii="Times New Roman" w:eastAsia="Times New Roman" w:hAnsi="Times New Roman"/>
          <w:sz w:val="22"/>
          <w:lang w:val="bg-BG"/>
        </w:rPr>
        <w:t xml:space="preserve">на </w:t>
      </w:r>
      <w:r w:rsidR="004B1D26" w:rsidRPr="004B1D26">
        <w:rPr>
          <w:rFonts w:ascii="Times New Roman" w:eastAsia="Times New Roman" w:hAnsi="Times New Roman"/>
          <w:sz w:val="22"/>
          <w:lang w:val="bg-BG"/>
        </w:rPr>
        <w:t xml:space="preserve">няколко елемента са по-високи и те </w:t>
      </w:r>
      <w:r w:rsidR="00AB09F4">
        <w:rPr>
          <w:rFonts w:ascii="Times New Roman" w:eastAsia="Times New Roman" w:hAnsi="Times New Roman"/>
          <w:sz w:val="22"/>
          <w:lang w:val="bg-BG"/>
        </w:rPr>
        <w:t xml:space="preserve">са </w:t>
      </w:r>
      <w:r w:rsidR="004B1D26" w:rsidRPr="004B1D26">
        <w:rPr>
          <w:rFonts w:ascii="Times New Roman" w:eastAsia="Times New Roman" w:hAnsi="Times New Roman"/>
          <w:sz w:val="22"/>
          <w:lang w:val="bg-BG"/>
        </w:rPr>
        <w:t>завиш</w:t>
      </w:r>
      <w:r w:rsidR="00AB09F4">
        <w:rPr>
          <w:rFonts w:ascii="Times New Roman" w:eastAsia="Times New Roman" w:hAnsi="Times New Roman"/>
          <w:sz w:val="22"/>
          <w:lang w:val="bg-BG"/>
        </w:rPr>
        <w:t>ени в настоящата КСС</w:t>
      </w:r>
      <w:r w:rsidR="00027371">
        <w:rPr>
          <w:rFonts w:ascii="Times New Roman" w:eastAsia="Times New Roman" w:hAnsi="Times New Roman"/>
          <w:sz w:val="22"/>
          <w:lang w:val="bg-BG"/>
        </w:rPr>
        <w:t xml:space="preserve">. </w:t>
      </w:r>
    </w:p>
    <w:p w14:paraId="50EA4376" w14:textId="0CFC53AB" w:rsidR="00151812" w:rsidRPr="00027371" w:rsidRDefault="00027371" w:rsidP="0064302E">
      <w:pPr>
        <w:spacing w:after="0"/>
        <w:ind w:firstLine="576"/>
        <w:rPr>
          <w:rFonts w:ascii="Times New Roman" w:eastAsia="Times New Roman" w:hAnsi="Times New Roman"/>
          <w:sz w:val="22"/>
          <w:lang w:val="bg-BG"/>
        </w:rPr>
      </w:pPr>
      <w:r>
        <w:rPr>
          <w:rFonts w:ascii="Times New Roman" w:eastAsia="Times New Roman" w:hAnsi="Times New Roman"/>
          <w:sz w:val="22"/>
          <w:lang w:val="bg-BG"/>
        </w:rPr>
        <w:t>Основното повишение на цените е на следните елементи: бетон и бетонни работи за тетраподи и др., скални блокове, работа с морска механизация за изземване, доставка</w:t>
      </w:r>
      <w:r w:rsidR="00F84924">
        <w:rPr>
          <w:rFonts w:ascii="Times New Roman" w:eastAsia="Times New Roman" w:hAnsi="Times New Roman"/>
          <w:sz w:val="22"/>
          <w:lang w:val="bg-BG"/>
        </w:rPr>
        <w:t xml:space="preserve"> </w:t>
      </w:r>
      <w:r>
        <w:rPr>
          <w:rFonts w:ascii="Times New Roman" w:eastAsia="Times New Roman" w:hAnsi="Times New Roman"/>
          <w:sz w:val="22"/>
          <w:lang w:val="bg-BG"/>
        </w:rPr>
        <w:t xml:space="preserve">и подреждане на тетраподи и скални блокове, разходи за труд, </w:t>
      </w:r>
      <w:r w:rsidR="004B1D26" w:rsidRPr="004B1D26">
        <w:rPr>
          <w:rFonts w:ascii="Times New Roman" w:eastAsia="Times New Roman" w:hAnsi="Times New Roman"/>
          <w:sz w:val="22"/>
          <w:lang w:val="bg-BG"/>
        </w:rPr>
        <w:t xml:space="preserve">транспорт, енергия и др.).   </w:t>
      </w:r>
    </w:p>
    <w:p w14:paraId="2F1360FB" w14:textId="77777777" w:rsidR="00EA7FF7" w:rsidRPr="00805152"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Към тези разходи, съгласно последните изискванията на DG REGIO CBA Economic Appraisal Vademecum (EAV) 2021</w:t>
      </w:r>
      <w:r w:rsidRPr="00805152">
        <w:rPr>
          <w:rFonts w:ascii="Times New Roman" w:eastAsia="Times New Roman" w:hAnsi="Times New Roman"/>
          <w:sz w:val="22"/>
          <w:lang w:val="bg-BG"/>
        </w:rPr>
        <w:footnoteReference w:id="28"/>
      </w:r>
      <w:r w:rsidRPr="00805152">
        <w:rPr>
          <w:rFonts w:ascii="Times New Roman" w:eastAsia="Times New Roman" w:hAnsi="Times New Roman"/>
          <w:sz w:val="22"/>
          <w:lang w:val="bg-BG"/>
        </w:rPr>
        <w:t xml:space="preserve"> са добавени към стойността на проекта, но като недопустими за финансиране, извършените преди базовата година разходи за проектиране, такси и такива разходи, които се финансират по други източници за подготовка на проекта.</w:t>
      </w:r>
    </w:p>
    <w:p w14:paraId="157C4AD0" w14:textId="7CF7F60E" w:rsidR="00EA7FF7" w:rsidRPr="00805152" w:rsidRDefault="00EA7FF7" w:rsidP="00DE19E4">
      <w:pPr>
        <w:spacing w:after="0" w:line="360" w:lineRule="auto"/>
        <w:ind w:firstLine="576"/>
        <w:rPr>
          <w:rFonts w:ascii="Times New Roman" w:eastAsia="Times New Roman" w:hAnsi="Times New Roman"/>
          <w:sz w:val="22"/>
          <w:lang w:val="bg-BG"/>
        </w:rPr>
      </w:pPr>
      <w:bookmarkStart w:id="121" w:name="_Hlk95402444"/>
      <w:r w:rsidRPr="00805152">
        <w:rPr>
          <w:rFonts w:ascii="Times New Roman" w:eastAsia="Times New Roman" w:hAnsi="Times New Roman"/>
          <w:sz w:val="22"/>
          <w:lang w:val="bg-BG"/>
        </w:rPr>
        <w:t>Общата инвестиционна стойност на проекта по варианти е показана в следващата таблица:</w:t>
      </w:r>
    </w:p>
    <w:p w14:paraId="7A26585A" w14:textId="7F5F5AE7" w:rsidR="0064302E" w:rsidRPr="00805152" w:rsidRDefault="0064302E" w:rsidP="00151812">
      <w:pPr>
        <w:spacing w:after="0"/>
        <w:jc w:val="center"/>
        <w:rPr>
          <w:rFonts w:ascii="Times New Roman" w:hAnsi="Times New Roman"/>
          <w:i/>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21</w:t>
      </w:r>
      <w:r w:rsidRPr="00805152">
        <w:rPr>
          <w:rFonts w:ascii="Times New Roman" w:hAnsi="Times New Roman"/>
          <w:i/>
          <w:sz w:val="22"/>
          <w:lang w:val="bg-BG"/>
        </w:rPr>
        <w:fldChar w:fldCharType="end"/>
      </w:r>
      <w:r w:rsidRPr="00805152">
        <w:rPr>
          <w:rFonts w:ascii="Times New Roman" w:hAnsi="Times New Roman"/>
          <w:i/>
          <w:sz w:val="22"/>
          <w:lang w:val="bg-BG"/>
        </w:rPr>
        <w:t xml:space="preserve">: Обобщени Инвестиционни </w:t>
      </w:r>
      <w:r w:rsidR="00543C2F">
        <w:rPr>
          <w:rFonts w:ascii="Times New Roman" w:hAnsi="Times New Roman"/>
          <w:i/>
          <w:sz w:val="22"/>
          <w:lang w:val="bg-BG"/>
        </w:rPr>
        <w:t>р</w:t>
      </w:r>
      <w:r w:rsidRPr="00805152">
        <w:rPr>
          <w:rFonts w:ascii="Times New Roman" w:hAnsi="Times New Roman"/>
          <w:i/>
          <w:sz w:val="22"/>
          <w:lang w:val="bg-BG"/>
        </w:rPr>
        <w:t xml:space="preserve">азходи за </w:t>
      </w:r>
      <w:r w:rsidR="00543C2F">
        <w:rPr>
          <w:rFonts w:ascii="Times New Roman" w:hAnsi="Times New Roman"/>
          <w:i/>
          <w:sz w:val="22"/>
          <w:lang w:val="bg-BG"/>
        </w:rPr>
        <w:t>реализация на проекта по в</w:t>
      </w:r>
      <w:r w:rsidRPr="00805152">
        <w:rPr>
          <w:rFonts w:ascii="Times New Roman" w:hAnsi="Times New Roman"/>
          <w:i/>
          <w:sz w:val="22"/>
          <w:lang w:val="bg-BG"/>
        </w:rPr>
        <w:t>арианти</w:t>
      </w:r>
    </w:p>
    <w:tbl>
      <w:tblPr>
        <w:tblW w:w="9452" w:type="dxa"/>
        <w:jc w:val="center"/>
        <w:tblCellMar>
          <w:left w:w="70" w:type="dxa"/>
          <w:right w:w="70" w:type="dxa"/>
        </w:tblCellMar>
        <w:tblLook w:val="04A0" w:firstRow="1" w:lastRow="0" w:firstColumn="1" w:lastColumn="0" w:noHBand="0" w:noVBand="1"/>
      </w:tblPr>
      <w:tblGrid>
        <w:gridCol w:w="2974"/>
        <w:gridCol w:w="891"/>
        <w:gridCol w:w="1881"/>
        <w:gridCol w:w="1853"/>
        <w:gridCol w:w="1853"/>
      </w:tblGrid>
      <w:tr w:rsidR="0064302E" w:rsidRPr="00805152" w14:paraId="3FE4FD57" w14:textId="77777777" w:rsidTr="00F962CC">
        <w:trPr>
          <w:trHeight w:val="313"/>
          <w:jc w:val="center"/>
        </w:trPr>
        <w:tc>
          <w:tcPr>
            <w:tcW w:w="9452"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186B9C" w14:textId="082F4BDA" w:rsidR="0064302E" w:rsidRPr="00805152" w:rsidRDefault="00543C2F" w:rsidP="00BE5603">
            <w:pPr>
              <w:spacing w:after="0" w:line="240" w:lineRule="auto"/>
              <w:jc w:val="center"/>
              <w:rPr>
                <w:rFonts w:ascii="Times New Roman" w:eastAsia="Times New Roman" w:hAnsi="Times New Roman"/>
                <w:b/>
                <w:bCs/>
                <w:color w:val="000000"/>
                <w:sz w:val="22"/>
                <w:lang w:val="bg-BG" w:eastAsia="nl-NL"/>
              </w:rPr>
            </w:pPr>
            <w:r>
              <w:rPr>
                <w:rFonts w:ascii="Times New Roman" w:eastAsia="Times New Roman" w:hAnsi="Times New Roman"/>
                <w:b/>
                <w:bCs/>
                <w:color w:val="000000"/>
                <w:sz w:val="22"/>
                <w:lang w:val="bg-BG" w:eastAsia="nl-NL"/>
              </w:rPr>
              <w:t>Обобщени Инвестиционни р</w:t>
            </w:r>
            <w:r w:rsidR="0064302E" w:rsidRPr="00805152">
              <w:rPr>
                <w:rFonts w:ascii="Times New Roman" w:eastAsia="Times New Roman" w:hAnsi="Times New Roman"/>
                <w:b/>
                <w:bCs/>
                <w:color w:val="000000"/>
                <w:sz w:val="22"/>
                <w:lang w:val="bg-BG" w:eastAsia="nl-NL"/>
              </w:rPr>
              <w:t>аз</w:t>
            </w:r>
            <w:r>
              <w:rPr>
                <w:rFonts w:ascii="Times New Roman" w:eastAsia="Times New Roman" w:hAnsi="Times New Roman"/>
                <w:b/>
                <w:bCs/>
                <w:color w:val="000000"/>
                <w:sz w:val="22"/>
                <w:lang w:val="bg-BG" w:eastAsia="nl-NL"/>
              </w:rPr>
              <w:t>ходи за реализация на проекта по варианти</w:t>
            </w:r>
          </w:p>
        </w:tc>
      </w:tr>
      <w:tr w:rsidR="0064302E" w:rsidRPr="00805152" w14:paraId="6C81BC1C" w14:textId="77777777" w:rsidTr="00F962CC">
        <w:trPr>
          <w:trHeight w:val="313"/>
          <w:jc w:val="center"/>
        </w:trPr>
        <w:tc>
          <w:tcPr>
            <w:tcW w:w="297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ED7B8E3" w14:textId="77777777" w:rsidR="0064302E" w:rsidRPr="00805152" w:rsidRDefault="0064302E" w:rsidP="00BE5603">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Наименование</w:t>
            </w:r>
          </w:p>
        </w:tc>
        <w:tc>
          <w:tcPr>
            <w:tcW w:w="89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4DCC4D7" w14:textId="77777777" w:rsidR="0064302E" w:rsidRPr="00805152" w:rsidRDefault="0064302E" w:rsidP="00BE5603">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w:t>
            </w:r>
          </w:p>
        </w:tc>
        <w:tc>
          <w:tcPr>
            <w:tcW w:w="188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47846EB" w14:textId="77777777" w:rsidR="0064302E" w:rsidRPr="00805152" w:rsidRDefault="0064302E" w:rsidP="00BE5603">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1</w:t>
            </w:r>
          </w:p>
        </w:tc>
        <w:tc>
          <w:tcPr>
            <w:tcW w:w="1853"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54584E7" w14:textId="77777777" w:rsidR="0064302E" w:rsidRPr="00805152" w:rsidRDefault="0064302E" w:rsidP="00BE5603">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2</w:t>
            </w:r>
          </w:p>
        </w:tc>
        <w:tc>
          <w:tcPr>
            <w:tcW w:w="1853"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7088277" w14:textId="77777777" w:rsidR="0064302E" w:rsidRPr="00805152" w:rsidRDefault="0064302E" w:rsidP="00BE5603">
            <w:pPr>
              <w:spacing w:after="0" w:line="240" w:lineRule="auto"/>
              <w:jc w:val="center"/>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Вариант 3</w:t>
            </w:r>
          </w:p>
        </w:tc>
      </w:tr>
      <w:tr w:rsidR="008C28D1" w:rsidRPr="00805152" w14:paraId="54DABD11"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000000" w:fill="00FF00"/>
            <w:noWrap/>
            <w:vAlign w:val="center"/>
            <w:hideMark/>
          </w:tcPr>
          <w:p w14:paraId="481A76CE" w14:textId="77777777" w:rsidR="008C28D1" w:rsidRPr="00805152" w:rsidRDefault="008C28D1" w:rsidP="008C28D1">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Общо Строителство (СМР)</w:t>
            </w:r>
          </w:p>
        </w:tc>
        <w:tc>
          <w:tcPr>
            <w:tcW w:w="891" w:type="dxa"/>
            <w:tcBorders>
              <w:top w:val="nil"/>
              <w:left w:val="nil"/>
              <w:bottom w:val="single" w:sz="4" w:space="0" w:color="auto"/>
              <w:right w:val="single" w:sz="4" w:space="0" w:color="auto"/>
            </w:tcBorders>
            <w:shd w:val="clear" w:color="000000" w:fill="00FF00"/>
            <w:noWrap/>
            <w:vAlign w:val="center"/>
            <w:hideMark/>
          </w:tcPr>
          <w:p w14:paraId="3A4CA7C2" w14:textId="77777777" w:rsidR="008C28D1" w:rsidRPr="00805152" w:rsidRDefault="008C28D1" w:rsidP="008C28D1">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w:t>
            </w:r>
          </w:p>
        </w:tc>
        <w:tc>
          <w:tcPr>
            <w:tcW w:w="1881"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29CC9F09" w14:textId="4A1D5F53" w:rsidR="008C28D1" w:rsidRPr="00F962CC" w:rsidRDefault="008C28D1" w:rsidP="008C28D1">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39,937,397.93</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1853"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29FDE2C7" w14:textId="7417CD34" w:rsidR="008C28D1" w:rsidRPr="00F962CC" w:rsidRDefault="008C28D1" w:rsidP="008C28D1">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41,753,748.65</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1853" w:type="dxa"/>
            <w:tcBorders>
              <w:top w:val="single" w:sz="4" w:space="0" w:color="auto"/>
              <w:left w:val="single" w:sz="4" w:space="0" w:color="auto"/>
              <w:bottom w:val="single" w:sz="4" w:space="0" w:color="auto"/>
              <w:right w:val="single" w:sz="4" w:space="0" w:color="auto"/>
            </w:tcBorders>
            <w:shd w:val="clear" w:color="000000" w:fill="00FF00"/>
            <w:noWrap/>
            <w:vAlign w:val="center"/>
            <w:hideMark/>
          </w:tcPr>
          <w:p w14:paraId="0BF1C337" w14:textId="31DAB4B6" w:rsidR="008C28D1" w:rsidRPr="00F962CC" w:rsidRDefault="008C28D1" w:rsidP="008C28D1">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40,253,045.75</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r>
      <w:tr w:rsidR="008C28D1" w:rsidRPr="00805152" w14:paraId="04869433"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669415D5" w14:textId="77777777" w:rsidR="008C28D1" w:rsidRPr="00805152" w:rsidRDefault="008C28D1" w:rsidP="008C28D1">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Планиране и проектиране</w:t>
            </w:r>
          </w:p>
        </w:tc>
        <w:tc>
          <w:tcPr>
            <w:tcW w:w="891" w:type="dxa"/>
            <w:tcBorders>
              <w:top w:val="nil"/>
              <w:left w:val="nil"/>
              <w:bottom w:val="single" w:sz="4" w:space="0" w:color="auto"/>
              <w:right w:val="single" w:sz="4" w:space="0" w:color="auto"/>
            </w:tcBorders>
            <w:shd w:val="clear" w:color="auto" w:fill="auto"/>
            <w:noWrap/>
            <w:vAlign w:val="bottom"/>
            <w:hideMark/>
          </w:tcPr>
          <w:p w14:paraId="5A16725B" w14:textId="6928BA99" w:rsidR="008C28D1" w:rsidRPr="00805152" w:rsidRDefault="008C28D1" w:rsidP="008C28D1">
            <w:pPr>
              <w:spacing w:after="0" w:line="240" w:lineRule="auto"/>
              <w:jc w:val="righ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3%</w:t>
            </w:r>
            <w:r>
              <w:rPr>
                <w:rFonts w:ascii="Times New Roman" w:eastAsia="Times New Roman" w:hAnsi="Times New Roman"/>
                <w:color w:val="000000"/>
                <w:sz w:val="22"/>
                <w:lang w:val="bg-BG" w:eastAsia="nl-NL"/>
              </w:rPr>
              <w:t xml:space="preserve"> (*1.5%)</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2A2DEF11" w14:textId="59660019"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599,060.97</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3F392921" w14:textId="07F06E3F"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1,252,612.46</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0EEBBB8C" w14:textId="43CEFD9B"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1,207,591.37</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r>
      <w:tr w:rsidR="008C28D1" w:rsidRPr="00805152" w14:paraId="1A98B2CE"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39F00DB1" w14:textId="77777777" w:rsidR="008C28D1" w:rsidRPr="00805152" w:rsidRDefault="008C28D1" w:rsidP="008C28D1">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Непредвидени</w:t>
            </w:r>
          </w:p>
        </w:tc>
        <w:tc>
          <w:tcPr>
            <w:tcW w:w="891" w:type="dxa"/>
            <w:tcBorders>
              <w:top w:val="nil"/>
              <w:left w:val="nil"/>
              <w:bottom w:val="single" w:sz="4" w:space="0" w:color="auto"/>
              <w:right w:val="single" w:sz="4" w:space="0" w:color="auto"/>
            </w:tcBorders>
            <w:shd w:val="clear" w:color="auto" w:fill="auto"/>
            <w:noWrap/>
            <w:vAlign w:val="bottom"/>
            <w:hideMark/>
          </w:tcPr>
          <w:p w14:paraId="494A1CBC" w14:textId="526C315A" w:rsidR="008C28D1" w:rsidRPr="00805152" w:rsidRDefault="008C28D1" w:rsidP="008C28D1">
            <w:pPr>
              <w:spacing w:after="0" w:line="240" w:lineRule="auto"/>
              <w:jc w:val="right"/>
              <w:rPr>
                <w:rFonts w:ascii="Times New Roman" w:eastAsia="Times New Roman" w:hAnsi="Times New Roman"/>
                <w:color w:val="000000"/>
                <w:sz w:val="22"/>
                <w:lang w:val="bg-BG" w:eastAsia="nl-NL"/>
              </w:rPr>
            </w:pPr>
            <w:r>
              <w:rPr>
                <w:rFonts w:ascii="Times New Roman" w:eastAsia="Times New Roman" w:hAnsi="Times New Roman"/>
                <w:color w:val="000000"/>
                <w:sz w:val="22"/>
                <w:lang w:val="bg-BG" w:eastAsia="nl-NL"/>
              </w:rPr>
              <w:t>5</w:t>
            </w:r>
            <w:r w:rsidRPr="00805152">
              <w:rPr>
                <w:rFonts w:ascii="Times New Roman" w:eastAsia="Times New Roman" w:hAnsi="Times New Roman"/>
                <w:color w:val="000000"/>
                <w:sz w:val="22"/>
                <w:lang w:val="bg-BG" w:eastAsia="nl-NL"/>
              </w:rPr>
              <w:t>%</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3B3D458B" w14:textId="391EA942"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1,996,869.90</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38A1B8E4" w14:textId="263986AD"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2,087,687.43</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2F3EE30A" w14:textId="45C2233F"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2,012,652.29</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r>
      <w:tr w:rsidR="008C28D1" w:rsidRPr="00805152" w14:paraId="4831C719"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6F1036D7" w14:textId="77777777" w:rsidR="008C28D1" w:rsidRPr="00805152" w:rsidRDefault="008C28D1" w:rsidP="008C28D1">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Техническа помощ</w:t>
            </w:r>
          </w:p>
        </w:tc>
        <w:tc>
          <w:tcPr>
            <w:tcW w:w="891" w:type="dxa"/>
            <w:tcBorders>
              <w:top w:val="nil"/>
              <w:left w:val="nil"/>
              <w:bottom w:val="single" w:sz="4" w:space="0" w:color="auto"/>
              <w:right w:val="single" w:sz="4" w:space="0" w:color="auto"/>
            </w:tcBorders>
            <w:shd w:val="clear" w:color="auto" w:fill="auto"/>
            <w:noWrap/>
            <w:vAlign w:val="bottom"/>
            <w:hideMark/>
          </w:tcPr>
          <w:p w14:paraId="5C14C42C" w14:textId="77777777" w:rsidR="008C28D1" w:rsidRPr="00805152" w:rsidRDefault="008C28D1" w:rsidP="008C28D1">
            <w:pPr>
              <w:spacing w:after="0" w:line="240" w:lineRule="auto"/>
              <w:jc w:val="righ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2%</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23B6C5BF" w14:textId="68500B36"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798,747.96</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35CCEA3B" w14:textId="35D0CC47"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835,074.97</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1142BBF8" w14:textId="071EDAF2"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805,060.92</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r>
      <w:tr w:rsidR="008C28D1" w:rsidRPr="00805152" w14:paraId="35D5D73B"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38AFF827" w14:textId="77777777" w:rsidR="008C28D1" w:rsidRPr="00805152" w:rsidRDefault="008C28D1" w:rsidP="008C28D1">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Публичност</w:t>
            </w:r>
          </w:p>
        </w:tc>
        <w:tc>
          <w:tcPr>
            <w:tcW w:w="891" w:type="dxa"/>
            <w:tcBorders>
              <w:top w:val="nil"/>
              <w:left w:val="nil"/>
              <w:bottom w:val="single" w:sz="4" w:space="0" w:color="auto"/>
              <w:right w:val="single" w:sz="4" w:space="0" w:color="auto"/>
            </w:tcBorders>
            <w:shd w:val="clear" w:color="auto" w:fill="auto"/>
            <w:noWrap/>
            <w:vAlign w:val="bottom"/>
            <w:hideMark/>
          </w:tcPr>
          <w:p w14:paraId="51CFC37D" w14:textId="77777777" w:rsidR="008C28D1" w:rsidRPr="00805152" w:rsidRDefault="008C28D1" w:rsidP="008C28D1">
            <w:pPr>
              <w:spacing w:after="0" w:line="240" w:lineRule="auto"/>
              <w:jc w:val="righ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0.2%</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2A8B6BA7" w14:textId="61CB0655"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79,874.80</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41ADA5F5" w14:textId="62AA2EC3"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83,507.50</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3DC47C00" w14:textId="1374E917"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80,506.09</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r>
      <w:tr w:rsidR="008C28D1" w:rsidRPr="00805152" w14:paraId="3459CC20"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67AEB3FE" w14:textId="77777777" w:rsidR="008C28D1" w:rsidRPr="00805152" w:rsidRDefault="008C28D1" w:rsidP="008C28D1">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Надзор, вкл. ОЕС и авторски</w:t>
            </w:r>
          </w:p>
        </w:tc>
        <w:tc>
          <w:tcPr>
            <w:tcW w:w="891" w:type="dxa"/>
            <w:tcBorders>
              <w:top w:val="nil"/>
              <w:left w:val="nil"/>
              <w:bottom w:val="single" w:sz="4" w:space="0" w:color="auto"/>
              <w:right w:val="single" w:sz="4" w:space="0" w:color="auto"/>
            </w:tcBorders>
            <w:shd w:val="clear" w:color="auto" w:fill="auto"/>
            <w:noWrap/>
            <w:vAlign w:val="bottom"/>
            <w:hideMark/>
          </w:tcPr>
          <w:p w14:paraId="343C1501" w14:textId="77777777" w:rsidR="008C28D1" w:rsidRPr="00805152" w:rsidRDefault="008C28D1" w:rsidP="008C28D1">
            <w:pPr>
              <w:spacing w:after="0" w:line="240" w:lineRule="auto"/>
              <w:jc w:val="righ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3%</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7FFE9942" w14:textId="44BEE46A"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1,198,121.94</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654A6745" w14:textId="1406C46C"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1,252,612.46</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7268AA4A" w14:textId="6533E8C0" w:rsidR="008C28D1" w:rsidRPr="00490063" w:rsidRDefault="008C28D1" w:rsidP="008C28D1">
            <w:pPr>
              <w:spacing w:after="0" w:line="240" w:lineRule="auto"/>
              <w:jc w:val="right"/>
              <w:rPr>
                <w:rFonts w:ascii="Arial" w:eastAsia="Times New Roman" w:hAnsi="Arial" w:cs="Arial"/>
                <w:color w:val="000000"/>
                <w:sz w:val="20"/>
                <w:szCs w:val="20"/>
                <w:lang w:val="bg-BG" w:eastAsia="nl-NL"/>
              </w:rPr>
            </w:pPr>
            <w:r w:rsidRPr="00490063">
              <w:rPr>
                <w:rFonts w:ascii="Arial" w:hAnsi="Arial" w:cs="Arial"/>
                <w:color w:val="000000"/>
                <w:sz w:val="20"/>
                <w:szCs w:val="20"/>
              </w:rPr>
              <w:t>1,207,591.37</w:t>
            </w:r>
            <w:r w:rsidR="00F962CC" w:rsidRPr="00490063">
              <w:rPr>
                <w:rFonts w:ascii="Arial" w:hAnsi="Arial" w:cs="Arial"/>
                <w:color w:val="000000"/>
                <w:sz w:val="20"/>
                <w:szCs w:val="20"/>
                <w:lang w:val="bg-BG"/>
              </w:rPr>
              <w:t xml:space="preserve"> </w:t>
            </w:r>
            <w:r w:rsidRPr="00490063">
              <w:rPr>
                <w:rFonts w:ascii="Arial" w:hAnsi="Arial" w:cs="Arial"/>
                <w:color w:val="000000"/>
                <w:sz w:val="20"/>
                <w:szCs w:val="20"/>
              </w:rPr>
              <w:t>лв</w:t>
            </w:r>
            <w:r w:rsidR="00F962CC" w:rsidRPr="00490063">
              <w:rPr>
                <w:rFonts w:ascii="Arial" w:hAnsi="Arial" w:cs="Arial"/>
                <w:color w:val="000000"/>
                <w:sz w:val="20"/>
                <w:szCs w:val="20"/>
                <w:lang w:val="bg-BG"/>
              </w:rPr>
              <w:t>.</w:t>
            </w:r>
          </w:p>
        </w:tc>
      </w:tr>
      <w:tr w:rsidR="008C28D1" w:rsidRPr="00805152" w14:paraId="03C866E5"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000000" w:fill="00FF00"/>
            <w:noWrap/>
            <w:vAlign w:val="center"/>
            <w:hideMark/>
          </w:tcPr>
          <w:p w14:paraId="73F8A92F" w14:textId="77777777" w:rsidR="008C28D1" w:rsidRPr="00805152" w:rsidRDefault="008C28D1" w:rsidP="008C28D1">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xml:space="preserve">Междинна сума </w:t>
            </w:r>
          </w:p>
        </w:tc>
        <w:tc>
          <w:tcPr>
            <w:tcW w:w="891" w:type="dxa"/>
            <w:tcBorders>
              <w:top w:val="nil"/>
              <w:left w:val="nil"/>
              <w:bottom w:val="single" w:sz="4" w:space="0" w:color="auto"/>
              <w:right w:val="single" w:sz="4" w:space="0" w:color="auto"/>
            </w:tcBorders>
            <w:shd w:val="clear" w:color="000000" w:fill="00FF00"/>
            <w:noWrap/>
            <w:vAlign w:val="center"/>
            <w:hideMark/>
          </w:tcPr>
          <w:p w14:paraId="257F6DCE" w14:textId="77777777" w:rsidR="008C28D1" w:rsidRPr="00805152" w:rsidRDefault="008C28D1" w:rsidP="008C28D1">
            <w:pPr>
              <w:spacing w:after="0" w:line="240" w:lineRule="auto"/>
              <w:jc w:val="lef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 </w:t>
            </w:r>
          </w:p>
        </w:tc>
        <w:tc>
          <w:tcPr>
            <w:tcW w:w="1881" w:type="dxa"/>
            <w:tcBorders>
              <w:top w:val="nil"/>
              <w:left w:val="single" w:sz="4" w:space="0" w:color="auto"/>
              <w:bottom w:val="single" w:sz="4" w:space="0" w:color="auto"/>
              <w:right w:val="single" w:sz="4" w:space="0" w:color="auto"/>
            </w:tcBorders>
            <w:shd w:val="clear" w:color="000000" w:fill="00FF00"/>
            <w:noWrap/>
            <w:vAlign w:val="center"/>
            <w:hideMark/>
          </w:tcPr>
          <w:p w14:paraId="24A449E2" w14:textId="6A4D81CF" w:rsidR="008C28D1" w:rsidRPr="00F962CC" w:rsidRDefault="008C28D1" w:rsidP="008C28D1">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44,610,073.48</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000000" w:fill="00FF00"/>
            <w:noWrap/>
            <w:vAlign w:val="center"/>
            <w:hideMark/>
          </w:tcPr>
          <w:p w14:paraId="4DB338F8" w14:textId="3F35F50D" w:rsidR="008C28D1" w:rsidRPr="00F962CC" w:rsidRDefault="008C28D1" w:rsidP="008C28D1">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47,265,243.47</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c>
          <w:tcPr>
            <w:tcW w:w="1853" w:type="dxa"/>
            <w:tcBorders>
              <w:top w:val="nil"/>
              <w:left w:val="single" w:sz="4" w:space="0" w:color="auto"/>
              <w:bottom w:val="single" w:sz="4" w:space="0" w:color="auto"/>
              <w:right w:val="single" w:sz="4" w:space="0" w:color="auto"/>
            </w:tcBorders>
            <w:shd w:val="clear" w:color="000000" w:fill="00FF00"/>
            <w:noWrap/>
            <w:vAlign w:val="center"/>
            <w:hideMark/>
          </w:tcPr>
          <w:p w14:paraId="6F9D6213" w14:textId="0D2BD26A" w:rsidR="008C28D1" w:rsidRPr="00F962CC" w:rsidRDefault="008C28D1" w:rsidP="008C28D1">
            <w:pPr>
              <w:spacing w:after="0" w:line="240" w:lineRule="auto"/>
              <w:jc w:val="right"/>
              <w:rPr>
                <w:rFonts w:ascii="Times New Roman" w:eastAsia="Times New Roman" w:hAnsi="Times New Roman"/>
                <w:b/>
                <w:bCs/>
                <w:color w:val="000000"/>
                <w:sz w:val="22"/>
                <w:lang w:val="bg-BG" w:eastAsia="nl-NL"/>
              </w:rPr>
            </w:pPr>
            <w:r>
              <w:rPr>
                <w:rFonts w:ascii="Arial" w:hAnsi="Arial" w:cs="Arial"/>
                <w:b/>
                <w:bCs/>
                <w:color w:val="000000"/>
                <w:sz w:val="20"/>
                <w:szCs w:val="20"/>
              </w:rPr>
              <w:t>45,566,447.79</w:t>
            </w:r>
            <w:r w:rsidR="00F962CC">
              <w:rPr>
                <w:rFonts w:ascii="Arial" w:hAnsi="Arial" w:cs="Arial"/>
                <w:b/>
                <w:bCs/>
                <w:color w:val="000000"/>
                <w:sz w:val="20"/>
                <w:szCs w:val="20"/>
                <w:lang w:val="bg-BG"/>
              </w:rPr>
              <w:t xml:space="preserve"> </w:t>
            </w:r>
            <w:r>
              <w:rPr>
                <w:rFonts w:ascii="Arial" w:hAnsi="Arial" w:cs="Arial"/>
                <w:b/>
                <w:bCs/>
                <w:color w:val="000000"/>
                <w:sz w:val="20"/>
                <w:szCs w:val="20"/>
              </w:rPr>
              <w:t>лв</w:t>
            </w:r>
            <w:r w:rsidR="00F962CC">
              <w:rPr>
                <w:rFonts w:ascii="Arial" w:hAnsi="Arial" w:cs="Arial"/>
                <w:b/>
                <w:bCs/>
                <w:color w:val="000000"/>
                <w:sz w:val="20"/>
                <w:szCs w:val="20"/>
                <w:lang w:val="bg-BG"/>
              </w:rPr>
              <w:t>.</w:t>
            </w:r>
          </w:p>
        </w:tc>
      </w:tr>
      <w:tr w:rsidR="00490063" w:rsidRPr="00805152" w14:paraId="49034699"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auto" w:fill="auto"/>
            <w:vAlign w:val="center"/>
            <w:hideMark/>
          </w:tcPr>
          <w:p w14:paraId="3A201990" w14:textId="77777777" w:rsidR="00490063" w:rsidRPr="00805152" w:rsidRDefault="00490063" w:rsidP="00490063">
            <w:pPr>
              <w:spacing w:after="0" w:line="240" w:lineRule="auto"/>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ДДС (20%)</w:t>
            </w:r>
          </w:p>
        </w:tc>
        <w:tc>
          <w:tcPr>
            <w:tcW w:w="891" w:type="dxa"/>
            <w:tcBorders>
              <w:top w:val="nil"/>
              <w:left w:val="nil"/>
              <w:bottom w:val="single" w:sz="4" w:space="0" w:color="auto"/>
              <w:right w:val="single" w:sz="4" w:space="0" w:color="auto"/>
            </w:tcBorders>
            <w:shd w:val="clear" w:color="auto" w:fill="auto"/>
            <w:noWrap/>
            <w:vAlign w:val="bottom"/>
            <w:hideMark/>
          </w:tcPr>
          <w:p w14:paraId="7C816FE4" w14:textId="77777777" w:rsidR="00490063" w:rsidRPr="00805152" w:rsidRDefault="00490063" w:rsidP="00490063">
            <w:pPr>
              <w:spacing w:after="0" w:line="240" w:lineRule="auto"/>
              <w:jc w:val="right"/>
              <w:rPr>
                <w:rFonts w:ascii="Times New Roman" w:eastAsia="Times New Roman" w:hAnsi="Times New Roman"/>
                <w:color w:val="000000"/>
                <w:sz w:val="22"/>
                <w:lang w:val="bg-BG" w:eastAsia="nl-NL"/>
              </w:rPr>
            </w:pPr>
            <w:r w:rsidRPr="00805152">
              <w:rPr>
                <w:rFonts w:ascii="Times New Roman" w:eastAsia="Times New Roman" w:hAnsi="Times New Roman"/>
                <w:color w:val="000000"/>
                <w:sz w:val="22"/>
                <w:lang w:val="bg-BG" w:eastAsia="nl-NL"/>
              </w:rPr>
              <w:t>20%</w:t>
            </w:r>
          </w:p>
        </w:tc>
        <w:tc>
          <w:tcPr>
            <w:tcW w:w="1881" w:type="dxa"/>
            <w:tcBorders>
              <w:top w:val="nil"/>
              <w:left w:val="single" w:sz="4" w:space="0" w:color="auto"/>
              <w:bottom w:val="single" w:sz="4" w:space="0" w:color="auto"/>
              <w:right w:val="single" w:sz="4" w:space="0" w:color="auto"/>
            </w:tcBorders>
            <w:shd w:val="clear" w:color="auto" w:fill="auto"/>
            <w:vAlign w:val="center"/>
            <w:hideMark/>
          </w:tcPr>
          <w:p w14:paraId="0CAE8214" w14:textId="5AC3B7F6" w:rsidR="00490063" w:rsidRPr="00490063" w:rsidRDefault="00490063" w:rsidP="00490063">
            <w:pPr>
              <w:spacing w:after="0" w:line="240" w:lineRule="auto"/>
              <w:jc w:val="right"/>
              <w:rPr>
                <w:rFonts w:ascii="Arial" w:hAnsi="Arial" w:cs="Arial"/>
                <w:color w:val="000000"/>
                <w:sz w:val="20"/>
                <w:szCs w:val="20"/>
                <w:lang w:val="bg-BG"/>
              </w:rPr>
            </w:pPr>
            <w:r w:rsidRPr="00490063">
              <w:rPr>
                <w:rFonts w:ascii="Arial" w:hAnsi="Arial" w:cs="Arial"/>
                <w:color w:val="000000"/>
                <w:sz w:val="20"/>
                <w:szCs w:val="20"/>
              </w:rPr>
              <w:t>8,794,215.02</w:t>
            </w:r>
            <w:r>
              <w:rPr>
                <w:rFonts w:ascii="Arial" w:hAnsi="Arial" w:cs="Arial"/>
                <w:color w:val="000000"/>
                <w:sz w:val="20"/>
                <w:szCs w:val="20"/>
                <w:lang w:val="bg-BG"/>
              </w:rPr>
              <w:t xml:space="preserve"> лв.</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1DC103AC" w14:textId="2C2C5B89" w:rsidR="00490063" w:rsidRPr="00490063" w:rsidRDefault="00490063" w:rsidP="00490063">
            <w:pPr>
              <w:spacing w:after="0" w:line="240" w:lineRule="auto"/>
              <w:jc w:val="right"/>
              <w:rPr>
                <w:rFonts w:ascii="Arial" w:hAnsi="Arial" w:cs="Arial"/>
                <w:color w:val="000000"/>
                <w:sz w:val="20"/>
                <w:szCs w:val="20"/>
                <w:lang w:val="bg-BG"/>
              </w:rPr>
            </w:pPr>
            <w:r w:rsidRPr="00490063">
              <w:rPr>
                <w:rFonts w:ascii="Arial" w:hAnsi="Arial" w:cs="Arial"/>
                <w:color w:val="000000"/>
                <w:sz w:val="20"/>
                <w:szCs w:val="20"/>
              </w:rPr>
              <w:t>9,319,436.70</w:t>
            </w:r>
            <w:r>
              <w:rPr>
                <w:rFonts w:ascii="Arial" w:hAnsi="Arial" w:cs="Arial"/>
                <w:color w:val="000000"/>
                <w:sz w:val="20"/>
                <w:szCs w:val="20"/>
                <w:lang w:val="bg-BG"/>
              </w:rPr>
              <w:t xml:space="preserve"> лв.</w:t>
            </w:r>
          </w:p>
        </w:tc>
        <w:tc>
          <w:tcPr>
            <w:tcW w:w="1853" w:type="dxa"/>
            <w:tcBorders>
              <w:top w:val="nil"/>
              <w:left w:val="single" w:sz="4" w:space="0" w:color="auto"/>
              <w:bottom w:val="single" w:sz="4" w:space="0" w:color="auto"/>
              <w:right w:val="single" w:sz="4" w:space="0" w:color="auto"/>
            </w:tcBorders>
            <w:shd w:val="clear" w:color="auto" w:fill="auto"/>
            <w:vAlign w:val="center"/>
            <w:hideMark/>
          </w:tcPr>
          <w:p w14:paraId="10B69F20" w14:textId="59573F7E" w:rsidR="00490063" w:rsidRPr="00490063" w:rsidRDefault="00490063" w:rsidP="00490063">
            <w:pPr>
              <w:spacing w:after="0" w:line="240" w:lineRule="auto"/>
              <w:jc w:val="right"/>
              <w:rPr>
                <w:rFonts w:ascii="Arial" w:hAnsi="Arial" w:cs="Arial"/>
                <w:color w:val="000000"/>
                <w:sz w:val="20"/>
                <w:szCs w:val="20"/>
                <w:lang w:val="bg-BG"/>
              </w:rPr>
            </w:pPr>
            <w:r w:rsidRPr="00490063">
              <w:rPr>
                <w:rFonts w:ascii="Arial" w:hAnsi="Arial" w:cs="Arial"/>
                <w:color w:val="000000"/>
                <w:sz w:val="20"/>
                <w:szCs w:val="20"/>
              </w:rPr>
              <w:t>8,984,479.81</w:t>
            </w:r>
            <w:r>
              <w:rPr>
                <w:rFonts w:ascii="Arial" w:hAnsi="Arial" w:cs="Arial"/>
                <w:color w:val="000000"/>
                <w:sz w:val="20"/>
                <w:szCs w:val="20"/>
                <w:lang w:val="bg-BG"/>
              </w:rPr>
              <w:t xml:space="preserve"> лв.</w:t>
            </w:r>
          </w:p>
        </w:tc>
      </w:tr>
      <w:tr w:rsidR="00490063" w:rsidRPr="00805152" w14:paraId="5B38A60D" w14:textId="77777777" w:rsidTr="00F962CC">
        <w:trPr>
          <w:trHeight w:val="313"/>
          <w:jc w:val="center"/>
        </w:trPr>
        <w:tc>
          <w:tcPr>
            <w:tcW w:w="2974" w:type="dxa"/>
            <w:tcBorders>
              <w:top w:val="nil"/>
              <w:left w:val="single" w:sz="4" w:space="0" w:color="auto"/>
              <w:bottom w:val="single" w:sz="4" w:space="0" w:color="auto"/>
              <w:right w:val="single" w:sz="4" w:space="0" w:color="auto"/>
            </w:tcBorders>
            <w:shd w:val="clear" w:color="000000" w:fill="00FF00"/>
            <w:noWrap/>
            <w:vAlign w:val="center"/>
            <w:hideMark/>
          </w:tcPr>
          <w:p w14:paraId="1DB8295C" w14:textId="77777777" w:rsidR="00490063" w:rsidRPr="00805152" w:rsidRDefault="00490063" w:rsidP="00490063">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ОБЩО:</w:t>
            </w:r>
          </w:p>
        </w:tc>
        <w:tc>
          <w:tcPr>
            <w:tcW w:w="891" w:type="dxa"/>
            <w:tcBorders>
              <w:top w:val="nil"/>
              <w:left w:val="nil"/>
              <w:bottom w:val="single" w:sz="4" w:space="0" w:color="auto"/>
              <w:right w:val="single" w:sz="4" w:space="0" w:color="auto"/>
            </w:tcBorders>
            <w:shd w:val="clear" w:color="000000" w:fill="00FF00"/>
            <w:noWrap/>
            <w:vAlign w:val="center"/>
            <w:hideMark/>
          </w:tcPr>
          <w:p w14:paraId="3D1776BA" w14:textId="77777777" w:rsidR="00490063" w:rsidRPr="00805152" w:rsidRDefault="00490063" w:rsidP="00490063">
            <w:pPr>
              <w:spacing w:after="0" w:line="240" w:lineRule="auto"/>
              <w:jc w:val="left"/>
              <w:rPr>
                <w:rFonts w:ascii="Times New Roman" w:eastAsia="Times New Roman" w:hAnsi="Times New Roman"/>
                <w:b/>
                <w:bCs/>
                <w:color w:val="000000"/>
                <w:sz w:val="22"/>
                <w:lang w:val="bg-BG" w:eastAsia="nl-NL"/>
              </w:rPr>
            </w:pPr>
            <w:r w:rsidRPr="00805152">
              <w:rPr>
                <w:rFonts w:ascii="Times New Roman" w:eastAsia="Times New Roman" w:hAnsi="Times New Roman"/>
                <w:b/>
                <w:bCs/>
                <w:color w:val="000000"/>
                <w:sz w:val="22"/>
                <w:lang w:val="bg-BG" w:eastAsia="nl-NL"/>
              </w:rPr>
              <w:t> </w:t>
            </w:r>
          </w:p>
        </w:tc>
        <w:tc>
          <w:tcPr>
            <w:tcW w:w="1881" w:type="dxa"/>
            <w:tcBorders>
              <w:top w:val="nil"/>
              <w:left w:val="single" w:sz="4" w:space="0" w:color="auto"/>
              <w:bottom w:val="single" w:sz="4" w:space="0" w:color="auto"/>
              <w:right w:val="single" w:sz="4" w:space="0" w:color="auto"/>
            </w:tcBorders>
            <w:shd w:val="clear" w:color="000000" w:fill="00FF00"/>
            <w:noWrap/>
            <w:vAlign w:val="center"/>
            <w:hideMark/>
          </w:tcPr>
          <w:p w14:paraId="4832A246" w14:textId="3BA61B11" w:rsidR="00490063" w:rsidRPr="00490063" w:rsidRDefault="00490063" w:rsidP="00490063">
            <w:pPr>
              <w:spacing w:after="0" w:line="240" w:lineRule="auto"/>
              <w:jc w:val="right"/>
              <w:rPr>
                <w:rFonts w:ascii="Arial" w:hAnsi="Arial" w:cs="Arial"/>
                <w:b/>
                <w:bCs/>
                <w:color w:val="000000"/>
                <w:sz w:val="20"/>
                <w:szCs w:val="20"/>
                <w:lang w:val="bg-BG"/>
              </w:rPr>
            </w:pPr>
            <w:r w:rsidRPr="00490063">
              <w:rPr>
                <w:rFonts w:ascii="Arial" w:hAnsi="Arial" w:cs="Arial"/>
                <w:b/>
                <w:bCs/>
                <w:color w:val="000000"/>
                <w:sz w:val="20"/>
                <w:szCs w:val="20"/>
              </w:rPr>
              <w:t>53,404,288.51</w:t>
            </w:r>
            <w:r>
              <w:rPr>
                <w:rFonts w:ascii="Arial" w:hAnsi="Arial" w:cs="Arial"/>
                <w:b/>
                <w:bCs/>
                <w:color w:val="000000"/>
                <w:sz w:val="20"/>
                <w:szCs w:val="20"/>
                <w:lang w:val="bg-BG"/>
              </w:rPr>
              <w:t xml:space="preserve"> лв.</w:t>
            </w:r>
          </w:p>
        </w:tc>
        <w:tc>
          <w:tcPr>
            <w:tcW w:w="1853" w:type="dxa"/>
            <w:tcBorders>
              <w:top w:val="nil"/>
              <w:left w:val="single" w:sz="4" w:space="0" w:color="auto"/>
              <w:bottom w:val="single" w:sz="4" w:space="0" w:color="auto"/>
              <w:right w:val="single" w:sz="4" w:space="0" w:color="auto"/>
            </w:tcBorders>
            <w:shd w:val="clear" w:color="000000" w:fill="00FF00"/>
            <w:noWrap/>
            <w:vAlign w:val="center"/>
            <w:hideMark/>
          </w:tcPr>
          <w:p w14:paraId="59883610" w14:textId="10DC5A22" w:rsidR="00490063" w:rsidRPr="00490063" w:rsidRDefault="00490063" w:rsidP="00490063">
            <w:pPr>
              <w:spacing w:after="0" w:line="240" w:lineRule="auto"/>
              <w:jc w:val="right"/>
              <w:rPr>
                <w:rFonts w:ascii="Arial" w:hAnsi="Arial" w:cs="Arial"/>
                <w:b/>
                <w:bCs/>
                <w:color w:val="000000"/>
                <w:sz w:val="20"/>
                <w:szCs w:val="20"/>
                <w:lang w:val="bg-BG"/>
              </w:rPr>
            </w:pPr>
            <w:r w:rsidRPr="00490063">
              <w:rPr>
                <w:rFonts w:ascii="Arial" w:hAnsi="Arial" w:cs="Arial"/>
                <w:b/>
                <w:bCs/>
                <w:color w:val="000000"/>
                <w:sz w:val="20"/>
                <w:szCs w:val="20"/>
              </w:rPr>
              <w:t>56,584,680.17</w:t>
            </w:r>
            <w:r>
              <w:rPr>
                <w:rFonts w:ascii="Arial" w:hAnsi="Arial" w:cs="Arial"/>
                <w:b/>
                <w:bCs/>
                <w:color w:val="000000"/>
                <w:sz w:val="20"/>
                <w:szCs w:val="20"/>
                <w:lang w:val="bg-BG"/>
              </w:rPr>
              <w:t xml:space="preserve"> лв.</w:t>
            </w:r>
          </w:p>
        </w:tc>
        <w:tc>
          <w:tcPr>
            <w:tcW w:w="1853" w:type="dxa"/>
            <w:tcBorders>
              <w:top w:val="nil"/>
              <w:left w:val="single" w:sz="4" w:space="0" w:color="auto"/>
              <w:bottom w:val="single" w:sz="4" w:space="0" w:color="auto"/>
              <w:right w:val="single" w:sz="4" w:space="0" w:color="auto"/>
            </w:tcBorders>
            <w:shd w:val="clear" w:color="000000" w:fill="00FF00"/>
            <w:noWrap/>
            <w:vAlign w:val="center"/>
            <w:hideMark/>
          </w:tcPr>
          <w:p w14:paraId="598EED76" w14:textId="5D0DB8F5" w:rsidR="00490063" w:rsidRPr="00490063" w:rsidRDefault="00490063" w:rsidP="00490063">
            <w:pPr>
              <w:spacing w:after="0" w:line="240" w:lineRule="auto"/>
              <w:jc w:val="right"/>
              <w:rPr>
                <w:rFonts w:ascii="Arial" w:hAnsi="Arial" w:cs="Arial"/>
                <w:b/>
                <w:bCs/>
                <w:color w:val="000000"/>
                <w:sz w:val="20"/>
                <w:szCs w:val="20"/>
                <w:lang w:val="bg-BG"/>
              </w:rPr>
            </w:pPr>
            <w:r w:rsidRPr="00490063">
              <w:rPr>
                <w:rFonts w:ascii="Arial" w:hAnsi="Arial" w:cs="Arial"/>
                <w:b/>
                <w:bCs/>
                <w:color w:val="000000"/>
                <w:sz w:val="20"/>
                <w:szCs w:val="20"/>
              </w:rPr>
              <w:t>54,550,927.60</w:t>
            </w:r>
            <w:r>
              <w:rPr>
                <w:rFonts w:ascii="Arial" w:hAnsi="Arial" w:cs="Arial"/>
                <w:b/>
                <w:bCs/>
                <w:color w:val="000000"/>
                <w:sz w:val="20"/>
                <w:szCs w:val="20"/>
                <w:lang w:val="bg-BG"/>
              </w:rPr>
              <w:t xml:space="preserve"> лв.</w:t>
            </w:r>
          </w:p>
        </w:tc>
      </w:tr>
    </w:tbl>
    <w:bookmarkEnd w:id="121"/>
    <w:p w14:paraId="2469DF70" w14:textId="248B4CE1" w:rsidR="00EA7FF7" w:rsidRPr="00805152" w:rsidRDefault="00EA7FF7" w:rsidP="0064302E">
      <w:pPr>
        <w:spacing w:after="0"/>
        <w:ind w:firstLine="576"/>
        <w:rPr>
          <w:rFonts w:ascii="Times New Roman" w:eastAsia="Times New Roman" w:hAnsi="Times New Roman"/>
          <w:sz w:val="22"/>
          <w:lang w:val="bg-BG"/>
        </w:rPr>
      </w:pPr>
      <w:r w:rsidRPr="00805152">
        <w:rPr>
          <w:rFonts w:ascii="Times New Roman" w:eastAsia="Times New Roman" w:hAnsi="Times New Roman"/>
          <w:sz w:val="22"/>
          <w:lang w:val="bg-BG"/>
        </w:rPr>
        <w:t>*Точността на ценообразуване за фаза идеен проект е ± 25%.</w:t>
      </w:r>
    </w:p>
    <w:p w14:paraId="6C33BAF2" w14:textId="12473FED" w:rsidR="002E7DF3" w:rsidRDefault="002E7DF3" w:rsidP="00837F25">
      <w:pPr>
        <w:spacing w:after="0" w:line="360" w:lineRule="auto"/>
        <w:ind w:firstLine="576"/>
        <w:rPr>
          <w:rFonts w:ascii="Times New Roman" w:eastAsia="Times New Roman" w:hAnsi="Times New Roman"/>
          <w:sz w:val="22"/>
          <w:lang w:val="bg-BG"/>
        </w:rPr>
      </w:pPr>
      <w:bookmarkStart w:id="122" w:name="_Hlk95402508"/>
      <w:r w:rsidRPr="002E7DF3">
        <w:rPr>
          <w:rFonts w:ascii="Times New Roman" w:eastAsia="Times New Roman" w:hAnsi="Times New Roman"/>
          <w:sz w:val="22"/>
          <w:lang w:val="bg-BG"/>
        </w:rPr>
        <w:t>*</w:t>
      </w:r>
      <w:r>
        <w:rPr>
          <w:rFonts w:ascii="Times New Roman" w:eastAsia="Times New Roman" w:hAnsi="Times New Roman"/>
          <w:sz w:val="22"/>
          <w:lang w:val="bg-BG"/>
        </w:rPr>
        <w:t>*</w:t>
      </w:r>
      <w:r w:rsidRPr="002E7DF3">
        <w:rPr>
          <w:rFonts w:ascii="Times New Roman" w:eastAsia="Times New Roman" w:hAnsi="Times New Roman"/>
          <w:sz w:val="22"/>
          <w:lang w:val="bg-BG"/>
        </w:rPr>
        <w:t xml:space="preserve"> За Вариант 1 се предвиждат само 1.5% за планиране, защото проекта е </w:t>
      </w:r>
      <w:r w:rsidR="00F962CC">
        <w:rPr>
          <w:rFonts w:ascii="Times New Roman" w:eastAsia="Times New Roman" w:hAnsi="Times New Roman"/>
          <w:sz w:val="22"/>
          <w:lang w:val="bg-BG"/>
        </w:rPr>
        <w:t>изготвен</w:t>
      </w:r>
    </w:p>
    <w:p w14:paraId="127CCB31" w14:textId="4BD9E7F8" w:rsidR="004B1D26" w:rsidRPr="00805152" w:rsidRDefault="00EA7FF7" w:rsidP="00837F25">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ДДС е недопустим разход, затова няма да участва в допустимите инвестиционни разходи, за които ще се кандидатства по проекта, както и извършените до края на 2023 г. разходи и тези за подготовката на настоящия проект.</w:t>
      </w:r>
      <w:bookmarkEnd w:id="122"/>
    </w:p>
    <w:p w14:paraId="4D59953A" w14:textId="6BB95ECB" w:rsidR="00EA7FF7" w:rsidRPr="003B1C13" w:rsidRDefault="00EA7FF7" w:rsidP="00A127A2">
      <w:pPr>
        <w:pStyle w:val="Heading2"/>
        <w:rPr>
          <w:rFonts w:ascii="Times New Roman" w:hAnsi="Times New Roman"/>
          <w:lang w:val="bg-BG"/>
        </w:rPr>
      </w:pPr>
      <w:bookmarkStart w:id="123" w:name="_Toc95837681"/>
      <w:bookmarkStart w:id="124" w:name="_Toc136961122"/>
      <w:r w:rsidRPr="003B1C13">
        <w:rPr>
          <w:rFonts w:ascii="Times New Roman" w:hAnsi="Times New Roman"/>
          <w:lang w:val="bg-BG"/>
        </w:rPr>
        <w:lastRenderedPageBreak/>
        <w:t>Разходи за експлоатация и поддръжка</w:t>
      </w:r>
      <w:bookmarkEnd w:id="123"/>
      <w:bookmarkEnd w:id="124"/>
    </w:p>
    <w:p w14:paraId="2EA1F223" w14:textId="49C932D6" w:rsidR="00EA7FF7" w:rsidRPr="00805152"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Разходите за експлоатация са тези, които са необходими за ежедневното обезпечаване на основните операции, извършвани  от предприятието, в случая ДППИ. В тези разходи, като например материали, заплати на персонала, консумативи за предлаганите административни услуги, разходи за командировки и др. При определяне на техния размер се взимат само чистите парични потоци и не влизат разходите за амортизация. Инвестициите в дълготрайни материални активи често налагат реинвестиции и/или завишени разходи за тяхната поддръжка, която зависи от естеството на актива</w:t>
      </w:r>
      <w:r w:rsidR="00514C55" w:rsidRPr="00805152">
        <w:rPr>
          <w:rFonts w:ascii="Times New Roman" w:eastAsia="Times New Roman" w:hAnsi="Times New Roman"/>
          <w:sz w:val="22"/>
          <w:lang w:val="bg-BG"/>
        </w:rPr>
        <w:t xml:space="preserve"> –</w:t>
      </w:r>
      <w:r w:rsidRPr="00805152">
        <w:rPr>
          <w:rFonts w:ascii="Times New Roman" w:eastAsia="Times New Roman" w:hAnsi="Times New Roman"/>
          <w:sz w:val="22"/>
          <w:lang w:val="bg-BG"/>
        </w:rPr>
        <w:t xml:space="preserve"> </w:t>
      </w:r>
      <w:r w:rsidR="00514C55" w:rsidRPr="00805152">
        <w:rPr>
          <w:rFonts w:ascii="Times New Roman" w:eastAsia="Times New Roman" w:hAnsi="Times New Roman"/>
          <w:sz w:val="22"/>
          <w:lang w:val="bg-BG"/>
        </w:rPr>
        <w:t xml:space="preserve">за мониторинг, </w:t>
      </w:r>
      <w:r w:rsidRPr="00805152">
        <w:rPr>
          <w:rFonts w:ascii="Times New Roman" w:eastAsia="Times New Roman" w:hAnsi="Times New Roman"/>
          <w:sz w:val="22"/>
          <w:lang w:val="bg-BG"/>
        </w:rPr>
        <w:t xml:space="preserve">периодични ремонти с подмяна на основни износващи компоненти, пълна подмяна на машини и оборудване и др. В конкретния случай имаме само разходи за </w:t>
      </w:r>
      <w:r w:rsidR="00514C55" w:rsidRPr="00805152">
        <w:rPr>
          <w:rFonts w:ascii="Times New Roman" w:eastAsia="Times New Roman" w:hAnsi="Times New Roman"/>
          <w:sz w:val="22"/>
          <w:lang w:val="bg-BG"/>
        </w:rPr>
        <w:t xml:space="preserve">мониторинг и </w:t>
      </w:r>
      <w:r w:rsidRPr="00805152">
        <w:rPr>
          <w:rFonts w:ascii="Times New Roman" w:eastAsia="Times New Roman" w:hAnsi="Times New Roman"/>
          <w:sz w:val="22"/>
          <w:lang w:val="bg-BG"/>
        </w:rPr>
        <w:t>поддръжка, защото нямаме инвестиции в активи с по-кратък жизнен цикъл от прогнозния период от 25 години.</w:t>
      </w:r>
    </w:p>
    <w:p w14:paraId="15D2EA0E" w14:textId="09E7759B" w:rsidR="00EA7FF7" w:rsidRPr="00805152"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Когато инвестицията е свързана с нематериални дълготрайни активи, това често налага нови разходи за външни услуги (поддръжка на системи, подновяване на софтуер и др.), заплащане на лицензионни такси и др. В този случай нямаме такива разходи, защото няма закупуване на софтуер или изграждане  на системи.</w:t>
      </w:r>
    </w:p>
    <w:p w14:paraId="02E7C5B8" w14:textId="42975A45" w:rsidR="00514C55" w:rsidRPr="00837F25" w:rsidRDefault="00EA7FF7" w:rsidP="00837F25">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За да определим базовото ниво на разходите в сценария Без проект е направен анализ на разходите за ЕиП на ДППИ за последните </w:t>
      </w:r>
      <w:r w:rsidR="003B1C13">
        <w:rPr>
          <w:rFonts w:ascii="Times New Roman" w:eastAsia="Times New Roman" w:hAnsi="Times New Roman"/>
          <w:sz w:val="22"/>
          <w:lang w:val="bg-BG"/>
        </w:rPr>
        <w:t>пет</w:t>
      </w:r>
      <w:r w:rsidRPr="00805152">
        <w:rPr>
          <w:rFonts w:ascii="Times New Roman" w:eastAsia="Times New Roman" w:hAnsi="Times New Roman"/>
          <w:sz w:val="22"/>
          <w:lang w:val="bg-BG"/>
        </w:rPr>
        <w:t xml:space="preserve"> години, като са определени техните средни стойности по видове разходи. </w:t>
      </w:r>
    </w:p>
    <w:p w14:paraId="7BC5816B" w14:textId="5B40429C" w:rsidR="00514C55" w:rsidRPr="00805152" w:rsidRDefault="00514C55" w:rsidP="00151812">
      <w:pPr>
        <w:spacing w:after="0"/>
        <w:jc w:val="center"/>
        <w:rPr>
          <w:rFonts w:ascii="Times New Roman" w:hAnsi="Times New Roman"/>
          <w:i/>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22</w:t>
      </w:r>
      <w:r w:rsidRPr="00805152">
        <w:rPr>
          <w:rFonts w:ascii="Times New Roman" w:hAnsi="Times New Roman"/>
          <w:i/>
          <w:sz w:val="22"/>
          <w:lang w:val="bg-BG"/>
        </w:rPr>
        <w:fldChar w:fldCharType="end"/>
      </w:r>
      <w:r w:rsidRPr="00805152">
        <w:rPr>
          <w:rFonts w:ascii="Times New Roman" w:hAnsi="Times New Roman"/>
          <w:i/>
          <w:sz w:val="22"/>
          <w:lang w:val="bg-BG"/>
        </w:rPr>
        <w:t>: Исторически разходи за експлоатация и поддръжка</w:t>
      </w:r>
    </w:p>
    <w:tbl>
      <w:tblPr>
        <w:tblW w:w="5000" w:type="pct"/>
        <w:tblLook w:val="04A0" w:firstRow="1" w:lastRow="0" w:firstColumn="1" w:lastColumn="0" w:noHBand="0" w:noVBand="1"/>
      </w:tblPr>
      <w:tblGrid>
        <w:gridCol w:w="5545"/>
        <w:gridCol w:w="2191"/>
        <w:gridCol w:w="2029"/>
      </w:tblGrid>
      <w:tr w:rsidR="00EA7FF7" w:rsidRPr="00805152" w14:paraId="2FA4363A" w14:textId="77777777" w:rsidTr="00420C39">
        <w:trPr>
          <w:trHeight w:val="407"/>
        </w:trPr>
        <w:tc>
          <w:tcPr>
            <w:tcW w:w="2839" w:type="pct"/>
            <w:vMerge w:val="restart"/>
            <w:tcBorders>
              <w:top w:val="single" w:sz="8" w:space="0" w:color="auto"/>
              <w:left w:val="single" w:sz="8" w:space="0" w:color="auto"/>
              <w:bottom w:val="single" w:sz="4" w:space="0" w:color="000000"/>
              <w:right w:val="single" w:sz="4" w:space="0" w:color="auto"/>
            </w:tcBorders>
            <w:shd w:val="clear" w:color="auto" w:fill="C6D9F1" w:themeFill="text2" w:themeFillTint="33"/>
            <w:noWrap/>
            <w:vAlign w:val="bottom"/>
            <w:hideMark/>
          </w:tcPr>
          <w:p w14:paraId="032E1429" w14:textId="77777777" w:rsidR="00EA7FF7" w:rsidRPr="00D86E60" w:rsidRDefault="00EA7FF7" w:rsidP="00420C39">
            <w:pPr>
              <w:spacing w:after="0" w:line="24" w:lineRule="atLeast"/>
              <w:jc w:val="center"/>
              <w:rPr>
                <w:rFonts w:ascii="Times New Roman" w:eastAsia="Times New Roman" w:hAnsi="Times New Roman"/>
                <w:b/>
                <w:color w:val="000000"/>
                <w:sz w:val="24"/>
                <w:szCs w:val="24"/>
                <w:lang w:val="bg-BG"/>
              </w:rPr>
            </w:pPr>
            <w:r w:rsidRPr="00D86E60">
              <w:rPr>
                <w:rFonts w:ascii="Times New Roman" w:eastAsia="Times New Roman" w:hAnsi="Times New Roman"/>
                <w:b/>
                <w:color w:val="000000"/>
                <w:sz w:val="24"/>
                <w:szCs w:val="24"/>
                <w:lang w:val="bg-BG"/>
              </w:rPr>
              <w:t>Разходи по групи</w:t>
            </w:r>
          </w:p>
          <w:p w14:paraId="19C81242" w14:textId="77777777" w:rsidR="00EA7FF7" w:rsidRPr="00D86E60" w:rsidRDefault="00EA7FF7" w:rsidP="00420C39">
            <w:pPr>
              <w:spacing w:after="0" w:line="24" w:lineRule="atLeast"/>
              <w:rPr>
                <w:rFonts w:ascii="Times New Roman" w:eastAsia="Times New Roman" w:hAnsi="Times New Roman"/>
                <w:b/>
                <w:color w:val="000000"/>
                <w:sz w:val="24"/>
                <w:szCs w:val="24"/>
                <w:lang w:val="bg-BG"/>
              </w:rPr>
            </w:pPr>
          </w:p>
        </w:tc>
        <w:tc>
          <w:tcPr>
            <w:tcW w:w="2161" w:type="pct"/>
            <w:gridSpan w:val="2"/>
            <w:tcBorders>
              <w:top w:val="single" w:sz="8" w:space="0" w:color="auto"/>
              <w:left w:val="nil"/>
              <w:bottom w:val="single" w:sz="4" w:space="0" w:color="auto"/>
              <w:right w:val="single" w:sz="4" w:space="0" w:color="auto"/>
            </w:tcBorders>
            <w:shd w:val="clear" w:color="auto" w:fill="C6D9F1" w:themeFill="text2" w:themeFillTint="33"/>
            <w:vAlign w:val="bottom"/>
            <w:hideMark/>
          </w:tcPr>
          <w:p w14:paraId="2B712BA5" w14:textId="28CF58FF" w:rsidR="00EA7FF7" w:rsidRPr="00D86E60" w:rsidRDefault="00EA7FF7" w:rsidP="00420C39">
            <w:pPr>
              <w:spacing w:after="0" w:line="24" w:lineRule="atLeast"/>
              <w:jc w:val="center"/>
              <w:rPr>
                <w:rFonts w:ascii="Times New Roman" w:eastAsia="Times New Roman" w:hAnsi="Times New Roman"/>
                <w:b/>
                <w:color w:val="000000"/>
                <w:sz w:val="24"/>
                <w:szCs w:val="24"/>
                <w:lang w:val="bg-BG"/>
              </w:rPr>
            </w:pPr>
            <w:r w:rsidRPr="00D86E60">
              <w:rPr>
                <w:rFonts w:ascii="Times New Roman" w:eastAsia="Times New Roman" w:hAnsi="Times New Roman"/>
                <w:b/>
                <w:color w:val="000000"/>
                <w:sz w:val="24"/>
                <w:szCs w:val="24"/>
                <w:lang w:val="bg-BG"/>
              </w:rPr>
              <w:t xml:space="preserve">Средни стойности за последните </w:t>
            </w:r>
            <w:r w:rsidR="00420C39">
              <w:rPr>
                <w:rFonts w:ascii="Times New Roman" w:eastAsia="Times New Roman" w:hAnsi="Times New Roman"/>
                <w:b/>
                <w:color w:val="000000"/>
                <w:sz w:val="24"/>
                <w:szCs w:val="24"/>
                <w:lang w:val="bg-BG"/>
              </w:rPr>
              <w:t>пет</w:t>
            </w:r>
            <w:r w:rsidRPr="00D86E60">
              <w:rPr>
                <w:rFonts w:ascii="Times New Roman" w:eastAsia="Times New Roman" w:hAnsi="Times New Roman"/>
                <w:b/>
                <w:color w:val="000000"/>
                <w:sz w:val="24"/>
                <w:szCs w:val="24"/>
                <w:lang w:val="bg-BG"/>
              </w:rPr>
              <w:t xml:space="preserve"> години</w:t>
            </w:r>
          </w:p>
        </w:tc>
      </w:tr>
      <w:tr w:rsidR="00EA7FF7" w:rsidRPr="00805152" w14:paraId="43B6EEF4" w14:textId="77777777" w:rsidTr="00D20212">
        <w:trPr>
          <w:trHeight w:val="261"/>
        </w:trPr>
        <w:tc>
          <w:tcPr>
            <w:tcW w:w="2839" w:type="pct"/>
            <w:vMerge/>
            <w:tcBorders>
              <w:top w:val="single" w:sz="8" w:space="0" w:color="auto"/>
              <w:left w:val="single" w:sz="8" w:space="0" w:color="auto"/>
              <w:bottom w:val="single" w:sz="4" w:space="0" w:color="000000"/>
              <w:right w:val="single" w:sz="4" w:space="0" w:color="auto"/>
            </w:tcBorders>
            <w:shd w:val="clear" w:color="auto" w:fill="C6D9F1" w:themeFill="text2" w:themeFillTint="33"/>
            <w:vAlign w:val="center"/>
            <w:hideMark/>
          </w:tcPr>
          <w:p w14:paraId="49C12E61" w14:textId="77777777" w:rsidR="00EA7FF7" w:rsidRPr="00D86E60" w:rsidRDefault="00EA7FF7" w:rsidP="00420C39">
            <w:pPr>
              <w:spacing w:after="0" w:line="24" w:lineRule="atLeast"/>
              <w:ind w:firstLine="720"/>
              <w:rPr>
                <w:rFonts w:ascii="Times New Roman" w:eastAsia="Times New Roman" w:hAnsi="Times New Roman"/>
                <w:b/>
                <w:color w:val="000000"/>
                <w:sz w:val="24"/>
                <w:szCs w:val="24"/>
                <w:lang w:val="bg-BG"/>
              </w:rPr>
            </w:pPr>
          </w:p>
        </w:tc>
        <w:tc>
          <w:tcPr>
            <w:tcW w:w="1122" w:type="pct"/>
            <w:tcBorders>
              <w:top w:val="nil"/>
              <w:left w:val="nil"/>
              <w:bottom w:val="single" w:sz="4" w:space="0" w:color="auto"/>
              <w:right w:val="single" w:sz="4" w:space="0" w:color="auto"/>
            </w:tcBorders>
            <w:shd w:val="clear" w:color="auto" w:fill="C6D9F1" w:themeFill="text2" w:themeFillTint="33"/>
            <w:noWrap/>
            <w:vAlign w:val="bottom"/>
            <w:hideMark/>
          </w:tcPr>
          <w:p w14:paraId="131D1AE1" w14:textId="77777777" w:rsidR="00EA7FF7" w:rsidRPr="00D86E60" w:rsidRDefault="00EA7FF7" w:rsidP="00420C39">
            <w:pPr>
              <w:spacing w:after="0" w:line="24" w:lineRule="atLeast"/>
              <w:jc w:val="center"/>
              <w:rPr>
                <w:rFonts w:ascii="Times New Roman" w:eastAsia="Times New Roman" w:hAnsi="Times New Roman"/>
                <w:b/>
                <w:color w:val="000000"/>
                <w:sz w:val="24"/>
                <w:szCs w:val="24"/>
                <w:lang w:val="bg-BG"/>
              </w:rPr>
            </w:pPr>
            <w:r w:rsidRPr="00D86E60">
              <w:rPr>
                <w:rFonts w:ascii="Times New Roman" w:eastAsia="Times New Roman" w:hAnsi="Times New Roman"/>
                <w:b/>
                <w:color w:val="000000"/>
                <w:sz w:val="24"/>
                <w:szCs w:val="24"/>
                <w:lang w:val="bg-BG"/>
              </w:rPr>
              <w:t>в хил. лв</w:t>
            </w:r>
          </w:p>
        </w:tc>
        <w:tc>
          <w:tcPr>
            <w:tcW w:w="1039" w:type="pct"/>
            <w:tcBorders>
              <w:top w:val="nil"/>
              <w:left w:val="nil"/>
              <w:bottom w:val="single" w:sz="4" w:space="0" w:color="auto"/>
              <w:right w:val="single" w:sz="4" w:space="0" w:color="auto"/>
            </w:tcBorders>
            <w:shd w:val="clear" w:color="auto" w:fill="C6D9F1" w:themeFill="text2" w:themeFillTint="33"/>
            <w:noWrap/>
            <w:vAlign w:val="bottom"/>
            <w:hideMark/>
          </w:tcPr>
          <w:p w14:paraId="5E9CE2D5" w14:textId="71AA0553" w:rsidR="00EA7FF7" w:rsidRPr="00D86E60" w:rsidRDefault="003B1C13" w:rsidP="00420C39">
            <w:pPr>
              <w:spacing w:after="0" w:line="24" w:lineRule="atLeast"/>
              <w:jc w:val="center"/>
              <w:rPr>
                <w:rFonts w:ascii="Times New Roman" w:eastAsia="Times New Roman" w:hAnsi="Times New Roman"/>
                <w:b/>
                <w:color w:val="000000"/>
                <w:sz w:val="24"/>
                <w:szCs w:val="24"/>
                <w:lang w:val="bg-BG"/>
              </w:rPr>
            </w:pPr>
            <w:r w:rsidRPr="00D86E60">
              <w:rPr>
                <w:rFonts w:ascii="Times New Roman" w:eastAsia="Times New Roman" w:hAnsi="Times New Roman"/>
                <w:b/>
                <w:color w:val="000000"/>
                <w:sz w:val="24"/>
                <w:szCs w:val="24"/>
                <w:lang w:val="bg-BG"/>
              </w:rPr>
              <w:t>в хил. е</w:t>
            </w:r>
            <w:r w:rsidR="00EA7FF7" w:rsidRPr="00D86E60">
              <w:rPr>
                <w:rFonts w:ascii="Times New Roman" w:eastAsia="Times New Roman" w:hAnsi="Times New Roman"/>
                <w:b/>
                <w:color w:val="000000"/>
                <w:sz w:val="24"/>
                <w:szCs w:val="24"/>
                <w:lang w:val="bg-BG"/>
              </w:rPr>
              <w:t>uro</w:t>
            </w:r>
          </w:p>
        </w:tc>
      </w:tr>
      <w:tr w:rsidR="003B1C13" w:rsidRPr="00805152" w14:paraId="2F60BEE8" w14:textId="77777777" w:rsidTr="003B1C13">
        <w:trPr>
          <w:trHeight w:val="261"/>
        </w:trPr>
        <w:tc>
          <w:tcPr>
            <w:tcW w:w="2839" w:type="pct"/>
            <w:tcBorders>
              <w:top w:val="nil"/>
              <w:left w:val="single" w:sz="8" w:space="0" w:color="auto"/>
              <w:bottom w:val="single" w:sz="4" w:space="0" w:color="auto"/>
              <w:right w:val="single" w:sz="4" w:space="0" w:color="auto"/>
            </w:tcBorders>
            <w:shd w:val="clear" w:color="auto" w:fill="auto"/>
            <w:noWrap/>
            <w:vAlign w:val="bottom"/>
            <w:hideMark/>
          </w:tcPr>
          <w:p w14:paraId="5BF9DDDB" w14:textId="77777777" w:rsidR="003B1C13" w:rsidRPr="00805152" w:rsidRDefault="003B1C13" w:rsidP="003B1C13">
            <w:pPr>
              <w:spacing w:after="120" w:line="24" w:lineRule="atLeast"/>
              <w:ind w:firstLine="720"/>
              <w:rPr>
                <w:rFonts w:ascii="Times New Roman" w:eastAsia="Times New Roman" w:hAnsi="Times New Roman"/>
                <w:color w:val="000000"/>
                <w:sz w:val="24"/>
                <w:szCs w:val="24"/>
                <w:lang w:val="bg-BG"/>
              </w:rPr>
            </w:pPr>
            <w:r w:rsidRPr="00805152">
              <w:rPr>
                <w:rFonts w:ascii="Times New Roman" w:eastAsia="Times New Roman" w:hAnsi="Times New Roman"/>
                <w:color w:val="000000"/>
                <w:sz w:val="24"/>
                <w:szCs w:val="24"/>
                <w:lang w:val="bg-BG"/>
              </w:rPr>
              <w:t>Материали</w:t>
            </w:r>
          </w:p>
        </w:tc>
        <w:tc>
          <w:tcPr>
            <w:tcW w:w="1122" w:type="pct"/>
            <w:tcBorders>
              <w:top w:val="nil"/>
              <w:left w:val="nil"/>
              <w:bottom w:val="single" w:sz="4" w:space="0" w:color="auto"/>
              <w:right w:val="single" w:sz="4" w:space="0" w:color="auto"/>
            </w:tcBorders>
            <w:shd w:val="clear" w:color="auto" w:fill="auto"/>
            <w:noWrap/>
            <w:vAlign w:val="center"/>
            <w:hideMark/>
          </w:tcPr>
          <w:p w14:paraId="1BC104E2" w14:textId="6E483952"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2084</w:t>
            </w:r>
          </w:p>
        </w:tc>
        <w:tc>
          <w:tcPr>
            <w:tcW w:w="1039" w:type="pct"/>
            <w:tcBorders>
              <w:top w:val="nil"/>
              <w:left w:val="nil"/>
              <w:bottom w:val="single" w:sz="4" w:space="0" w:color="auto"/>
              <w:right w:val="single" w:sz="4" w:space="0" w:color="auto"/>
            </w:tcBorders>
            <w:shd w:val="clear" w:color="auto" w:fill="auto"/>
            <w:noWrap/>
            <w:vAlign w:val="center"/>
            <w:hideMark/>
          </w:tcPr>
          <w:p w14:paraId="56E52246" w14:textId="243025F4"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1065</w:t>
            </w:r>
          </w:p>
        </w:tc>
      </w:tr>
      <w:tr w:rsidR="003B1C13" w:rsidRPr="00805152" w14:paraId="2F10E857" w14:textId="77777777" w:rsidTr="003B1C13">
        <w:trPr>
          <w:trHeight w:val="261"/>
        </w:trPr>
        <w:tc>
          <w:tcPr>
            <w:tcW w:w="2839" w:type="pct"/>
            <w:tcBorders>
              <w:top w:val="nil"/>
              <w:left w:val="single" w:sz="8" w:space="0" w:color="auto"/>
              <w:bottom w:val="single" w:sz="4" w:space="0" w:color="auto"/>
              <w:right w:val="single" w:sz="4" w:space="0" w:color="auto"/>
            </w:tcBorders>
            <w:shd w:val="clear" w:color="auto" w:fill="auto"/>
            <w:noWrap/>
            <w:vAlign w:val="bottom"/>
            <w:hideMark/>
          </w:tcPr>
          <w:p w14:paraId="2D889E34" w14:textId="77777777" w:rsidR="003B1C13" w:rsidRPr="00805152" w:rsidRDefault="003B1C13" w:rsidP="003B1C13">
            <w:pPr>
              <w:spacing w:after="120" w:line="24" w:lineRule="atLeast"/>
              <w:ind w:firstLine="720"/>
              <w:rPr>
                <w:rFonts w:ascii="Times New Roman" w:eastAsia="Times New Roman" w:hAnsi="Times New Roman"/>
                <w:color w:val="000000"/>
                <w:sz w:val="24"/>
                <w:szCs w:val="24"/>
                <w:lang w:val="bg-BG"/>
              </w:rPr>
            </w:pPr>
            <w:r w:rsidRPr="00805152">
              <w:rPr>
                <w:rFonts w:ascii="Times New Roman" w:eastAsia="Times New Roman" w:hAnsi="Times New Roman"/>
                <w:color w:val="000000"/>
                <w:sz w:val="24"/>
                <w:szCs w:val="24"/>
                <w:lang w:val="bg-BG"/>
              </w:rPr>
              <w:t>Труд, вкл. осигуровки</w:t>
            </w:r>
          </w:p>
        </w:tc>
        <w:tc>
          <w:tcPr>
            <w:tcW w:w="1122" w:type="pct"/>
            <w:tcBorders>
              <w:top w:val="nil"/>
              <w:left w:val="nil"/>
              <w:bottom w:val="single" w:sz="4" w:space="0" w:color="auto"/>
              <w:right w:val="single" w:sz="4" w:space="0" w:color="auto"/>
            </w:tcBorders>
            <w:shd w:val="clear" w:color="auto" w:fill="auto"/>
            <w:noWrap/>
            <w:vAlign w:val="center"/>
            <w:hideMark/>
          </w:tcPr>
          <w:p w14:paraId="6D29F526" w14:textId="5EC513B2"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14561</w:t>
            </w:r>
          </w:p>
        </w:tc>
        <w:tc>
          <w:tcPr>
            <w:tcW w:w="1039" w:type="pct"/>
            <w:tcBorders>
              <w:top w:val="nil"/>
              <w:left w:val="nil"/>
              <w:bottom w:val="single" w:sz="4" w:space="0" w:color="auto"/>
              <w:right w:val="single" w:sz="4" w:space="0" w:color="auto"/>
            </w:tcBorders>
            <w:shd w:val="clear" w:color="auto" w:fill="auto"/>
            <w:noWrap/>
            <w:vAlign w:val="center"/>
            <w:hideMark/>
          </w:tcPr>
          <w:p w14:paraId="7DAE9ED9" w14:textId="6C229406"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7445</w:t>
            </w:r>
          </w:p>
        </w:tc>
      </w:tr>
      <w:tr w:rsidR="003B1C13" w:rsidRPr="00805152" w14:paraId="2E02D6F7" w14:textId="77777777" w:rsidTr="003B1C13">
        <w:trPr>
          <w:trHeight w:val="261"/>
        </w:trPr>
        <w:tc>
          <w:tcPr>
            <w:tcW w:w="2839" w:type="pct"/>
            <w:tcBorders>
              <w:top w:val="nil"/>
              <w:left w:val="single" w:sz="8" w:space="0" w:color="auto"/>
              <w:bottom w:val="single" w:sz="4" w:space="0" w:color="auto"/>
              <w:right w:val="single" w:sz="4" w:space="0" w:color="auto"/>
            </w:tcBorders>
            <w:shd w:val="clear" w:color="auto" w:fill="auto"/>
            <w:noWrap/>
            <w:vAlign w:val="bottom"/>
            <w:hideMark/>
          </w:tcPr>
          <w:p w14:paraId="36AE0EAC" w14:textId="77777777" w:rsidR="003B1C13" w:rsidRPr="00805152" w:rsidRDefault="003B1C13" w:rsidP="003B1C13">
            <w:pPr>
              <w:spacing w:after="120" w:line="24" w:lineRule="atLeast"/>
              <w:ind w:firstLine="720"/>
              <w:rPr>
                <w:rFonts w:ascii="Times New Roman" w:eastAsia="Times New Roman" w:hAnsi="Times New Roman"/>
                <w:color w:val="000000"/>
                <w:sz w:val="24"/>
                <w:szCs w:val="24"/>
                <w:lang w:val="bg-BG"/>
              </w:rPr>
            </w:pPr>
            <w:r w:rsidRPr="00805152">
              <w:rPr>
                <w:rFonts w:ascii="Times New Roman" w:eastAsia="Times New Roman" w:hAnsi="Times New Roman"/>
                <w:color w:val="000000"/>
                <w:sz w:val="24"/>
                <w:szCs w:val="24"/>
                <w:lang w:val="bg-BG"/>
              </w:rPr>
              <w:t>Външни услуги</w:t>
            </w:r>
          </w:p>
        </w:tc>
        <w:tc>
          <w:tcPr>
            <w:tcW w:w="1122" w:type="pct"/>
            <w:tcBorders>
              <w:top w:val="nil"/>
              <w:left w:val="nil"/>
              <w:bottom w:val="single" w:sz="4" w:space="0" w:color="auto"/>
              <w:right w:val="single" w:sz="4" w:space="0" w:color="auto"/>
            </w:tcBorders>
            <w:shd w:val="clear" w:color="auto" w:fill="auto"/>
            <w:noWrap/>
            <w:vAlign w:val="center"/>
            <w:hideMark/>
          </w:tcPr>
          <w:p w14:paraId="4E75B7BF" w14:textId="566C0951"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9226</w:t>
            </w:r>
          </w:p>
        </w:tc>
        <w:tc>
          <w:tcPr>
            <w:tcW w:w="1039" w:type="pct"/>
            <w:tcBorders>
              <w:top w:val="nil"/>
              <w:left w:val="nil"/>
              <w:bottom w:val="single" w:sz="4" w:space="0" w:color="auto"/>
              <w:right w:val="single" w:sz="4" w:space="0" w:color="auto"/>
            </w:tcBorders>
            <w:shd w:val="clear" w:color="auto" w:fill="auto"/>
            <w:noWrap/>
            <w:vAlign w:val="center"/>
            <w:hideMark/>
          </w:tcPr>
          <w:p w14:paraId="1516FD5F" w14:textId="7C3127E2"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4717</w:t>
            </w:r>
          </w:p>
        </w:tc>
      </w:tr>
      <w:tr w:rsidR="003B1C13" w:rsidRPr="00805152" w14:paraId="791E8948" w14:textId="77777777" w:rsidTr="003B1C13">
        <w:trPr>
          <w:trHeight w:val="261"/>
        </w:trPr>
        <w:tc>
          <w:tcPr>
            <w:tcW w:w="2839" w:type="pct"/>
            <w:tcBorders>
              <w:top w:val="nil"/>
              <w:left w:val="single" w:sz="8" w:space="0" w:color="auto"/>
              <w:bottom w:val="single" w:sz="4" w:space="0" w:color="auto"/>
              <w:right w:val="single" w:sz="4" w:space="0" w:color="auto"/>
            </w:tcBorders>
            <w:shd w:val="clear" w:color="auto" w:fill="auto"/>
            <w:noWrap/>
            <w:vAlign w:val="bottom"/>
            <w:hideMark/>
          </w:tcPr>
          <w:p w14:paraId="3DFD9713" w14:textId="77777777" w:rsidR="003B1C13" w:rsidRPr="00805152" w:rsidRDefault="003B1C13" w:rsidP="003B1C13">
            <w:pPr>
              <w:spacing w:after="120" w:line="24" w:lineRule="atLeast"/>
              <w:ind w:firstLine="720"/>
              <w:rPr>
                <w:rFonts w:ascii="Times New Roman" w:eastAsia="Times New Roman" w:hAnsi="Times New Roman"/>
                <w:color w:val="000000"/>
                <w:sz w:val="24"/>
                <w:szCs w:val="24"/>
                <w:lang w:val="bg-BG"/>
              </w:rPr>
            </w:pPr>
            <w:r w:rsidRPr="00805152">
              <w:rPr>
                <w:rFonts w:ascii="Times New Roman" w:eastAsia="Times New Roman" w:hAnsi="Times New Roman"/>
                <w:color w:val="000000"/>
                <w:sz w:val="24"/>
                <w:szCs w:val="24"/>
                <w:lang w:val="bg-BG"/>
              </w:rPr>
              <w:t>Разходи за поддръжка</w:t>
            </w:r>
          </w:p>
        </w:tc>
        <w:tc>
          <w:tcPr>
            <w:tcW w:w="1122" w:type="pct"/>
            <w:tcBorders>
              <w:top w:val="nil"/>
              <w:left w:val="nil"/>
              <w:bottom w:val="single" w:sz="4" w:space="0" w:color="auto"/>
              <w:right w:val="single" w:sz="4" w:space="0" w:color="auto"/>
            </w:tcBorders>
            <w:shd w:val="clear" w:color="auto" w:fill="auto"/>
            <w:noWrap/>
            <w:vAlign w:val="center"/>
            <w:hideMark/>
          </w:tcPr>
          <w:p w14:paraId="44998978" w14:textId="52DDC4E2"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27758</w:t>
            </w:r>
          </w:p>
        </w:tc>
        <w:tc>
          <w:tcPr>
            <w:tcW w:w="1039" w:type="pct"/>
            <w:tcBorders>
              <w:top w:val="nil"/>
              <w:left w:val="nil"/>
              <w:bottom w:val="single" w:sz="4" w:space="0" w:color="auto"/>
              <w:right w:val="single" w:sz="4" w:space="0" w:color="auto"/>
            </w:tcBorders>
            <w:shd w:val="clear" w:color="auto" w:fill="auto"/>
            <w:noWrap/>
            <w:vAlign w:val="center"/>
            <w:hideMark/>
          </w:tcPr>
          <w:p w14:paraId="513BAB11" w14:textId="6F03FB48"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14192</w:t>
            </w:r>
          </w:p>
        </w:tc>
      </w:tr>
      <w:tr w:rsidR="003B1C13" w:rsidRPr="00805152" w14:paraId="3459E0E3" w14:textId="77777777" w:rsidTr="003B1C13">
        <w:trPr>
          <w:trHeight w:val="261"/>
        </w:trPr>
        <w:tc>
          <w:tcPr>
            <w:tcW w:w="2839" w:type="pct"/>
            <w:tcBorders>
              <w:top w:val="nil"/>
              <w:left w:val="single" w:sz="8" w:space="0" w:color="auto"/>
              <w:bottom w:val="single" w:sz="8" w:space="0" w:color="auto"/>
              <w:right w:val="single" w:sz="4" w:space="0" w:color="auto"/>
            </w:tcBorders>
            <w:shd w:val="clear" w:color="auto" w:fill="auto"/>
            <w:noWrap/>
            <w:vAlign w:val="bottom"/>
            <w:hideMark/>
          </w:tcPr>
          <w:p w14:paraId="238594C1" w14:textId="77777777" w:rsidR="003B1C13" w:rsidRPr="00805152" w:rsidRDefault="003B1C13" w:rsidP="003B1C13">
            <w:pPr>
              <w:spacing w:after="120" w:line="24" w:lineRule="atLeast"/>
              <w:ind w:firstLine="720"/>
              <w:rPr>
                <w:rFonts w:ascii="Times New Roman" w:eastAsia="Times New Roman" w:hAnsi="Times New Roman"/>
                <w:color w:val="000000"/>
                <w:sz w:val="24"/>
                <w:szCs w:val="24"/>
                <w:lang w:val="bg-BG"/>
              </w:rPr>
            </w:pPr>
            <w:r w:rsidRPr="00805152">
              <w:rPr>
                <w:rFonts w:ascii="Times New Roman" w:eastAsia="Times New Roman" w:hAnsi="Times New Roman"/>
                <w:color w:val="000000"/>
                <w:sz w:val="24"/>
                <w:szCs w:val="24"/>
                <w:lang w:val="bg-BG"/>
              </w:rPr>
              <w:t>Административни разходи</w:t>
            </w:r>
          </w:p>
        </w:tc>
        <w:tc>
          <w:tcPr>
            <w:tcW w:w="1122" w:type="pct"/>
            <w:tcBorders>
              <w:top w:val="nil"/>
              <w:left w:val="nil"/>
              <w:bottom w:val="single" w:sz="8" w:space="0" w:color="auto"/>
              <w:right w:val="single" w:sz="4" w:space="0" w:color="auto"/>
            </w:tcBorders>
            <w:shd w:val="clear" w:color="auto" w:fill="auto"/>
            <w:noWrap/>
            <w:vAlign w:val="center"/>
            <w:hideMark/>
          </w:tcPr>
          <w:p w14:paraId="56A884DB" w14:textId="593B7AD4"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2781</w:t>
            </w:r>
          </w:p>
        </w:tc>
        <w:tc>
          <w:tcPr>
            <w:tcW w:w="1039" w:type="pct"/>
            <w:tcBorders>
              <w:top w:val="nil"/>
              <w:left w:val="nil"/>
              <w:bottom w:val="single" w:sz="8" w:space="0" w:color="auto"/>
              <w:right w:val="single" w:sz="4" w:space="0" w:color="auto"/>
            </w:tcBorders>
            <w:shd w:val="clear" w:color="auto" w:fill="auto"/>
            <w:noWrap/>
            <w:vAlign w:val="center"/>
            <w:hideMark/>
          </w:tcPr>
          <w:p w14:paraId="19FDB01C" w14:textId="180EF992" w:rsidR="003B1C13" w:rsidRPr="003B1C13" w:rsidRDefault="003B1C13" w:rsidP="003B1C13">
            <w:pPr>
              <w:spacing w:after="0" w:line="240" w:lineRule="atLeast"/>
              <w:jc w:val="center"/>
              <w:rPr>
                <w:rFonts w:ascii="Times New Roman" w:eastAsia="Times New Roman" w:hAnsi="Times New Roman"/>
                <w:color w:val="000000"/>
                <w:sz w:val="24"/>
                <w:szCs w:val="24"/>
                <w:lang w:val="bg-BG"/>
              </w:rPr>
            </w:pPr>
            <w:r w:rsidRPr="003B1C13">
              <w:rPr>
                <w:rFonts w:ascii="Times New Roman" w:hAnsi="Times New Roman"/>
                <w:color w:val="000000"/>
                <w:sz w:val="22"/>
              </w:rPr>
              <w:t>1422</w:t>
            </w:r>
          </w:p>
        </w:tc>
      </w:tr>
    </w:tbl>
    <w:p w14:paraId="0534E5D0" w14:textId="77777777" w:rsidR="00EA7FF7" w:rsidRPr="00805152" w:rsidRDefault="00EA7FF7" w:rsidP="00514C55">
      <w:pPr>
        <w:spacing w:after="0"/>
        <w:ind w:firstLine="576"/>
        <w:rPr>
          <w:rFonts w:ascii="Times New Roman" w:eastAsia="Times New Roman" w:hAnsi="Times New Roman"/>
          <w:sz w:val="22"/>
          <w:lang w:val="bg-BG"/>
        </w:rPr>
      </w:pPr>
    </w:p>
    <w:p w14:paraId="59611655" w14:textId="77777777" w:rsidR="00EA7FF7" w:rsidRPr="00805152"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Част от тези разходи са постоянни и не зависят от извършената работа и като такива са определени разходите за поддръжка и разходите за труд, включително разходите за осигуровки на работниците и служителите. Отново трябва да отбележим, че разходите за подмяна на оборудване, софтуер, основни ремонти на съоръжения и др. влизат в разходите за експлоатация и поддръжка под формата на разходи за ре-инвестиции и това ни дава основание да приемем разходите за поддръжка, като постоянни разходи. </w:t>
      </w:r>
      <w:r w:rsidRPr="00805152">
        <w:rPr>
          <w:rFonts w:ascii="Times New Roman" w:eastAsia="Times New Roman" w:hAnsi="Times New Roman"/>
          <w:sz w:val="22"/>
          <w:lang w:val="bg-BG"/>
        </w:rPr>
        <w:lastRenderedPageBreak/>
        <w:t>В зависимост от разгледаните варианти, тази стойност може да бъде различна от базовата, ако конкретната инвестиция доказано води до ръст на разходите за поддръжка.</w:t>
      </w:r>
    </w:p>
    <w:p w14:paraId="7CA29670" w14:textId="5BCC109A" w:rsidR="00EA7FF7" w:rsidRDefault="00EA7FF7" w:rsidP="00DE19E4">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Към отчитаните разходи за поддръжка на ДППИ се </w:t>
      </w:r>
      <w:r w:rsidR="00D20212" w:rsidRPr="00805152">
        <w:rPr>
          <w:rFonts w:ascii="Times New Roman" w:eastAsia="Times New Roman" w:hAnsi="Times New Roman"/>
          <w:sz w:val="22"/>
          <w:lang w:val="bg-BG"/>
        </w:rPr>
        <w:t>доб</w:t>
      </w:r>
      <w:r w:rsidR="00151812">
        <w:rPr>
          <w:rFonts w:ascii="Times New Roman" w:eastAsia="Times New Roman" w:hAnsi="Times New Roman"/>
          <w:sz w:val="22"/>
          <w:lang w:val="bg-BG"/>
        </w:rPr>
        <w:t>а</w:t>
      </w:r>
      <w:r w:rsidR="00D20212" w:rsidRPr="00805152">
        <w:rPr>
          <w:rFonts w:ascii="Times New Roman" w:eastAsia="Times New Roman" w:hAnsi="Times New Roman"/>
          <w:sz w:val="22"/>
          <w:lang w:val="bg-BG"/>
        </w:rPr>
        <w:t>в</w:t>
      </w:r>
      <w:r w:rsidR="00151812">
        <w:rPr>
          <w:rFonts w:ascii="Times New Roman" w:eastAsia="Times New Roman" w:hAnsi="Times New Roman"/>
          <w:sz w:val="22"/>
          <w:lang w:val="bg-BG"/>
        </w:rPr>
        <w:t>я</w:t>
      </w:r>
      <w:r w:rsidR="00D20212" w:rsidRPr="00805152">
        <w:rPr>
          <w:rFonts w:ascii="Times New Roman" w:eastAsia="Times New Roman" w:hAnsi="Times New Roman"/>
          <w:sz w:val="22"/>
          <w:lang w:val="bg-BG"/>
        </w:rPr>
        <w:t>т</w:t>
      </w:r>
      <w:r w:rsidRPr="00805152">
        <w:rPr>
          <w:rFonts w:ascii="Times New Roman" w:eastAsia="Times New Roman" w:hAnsi="Times New Roman"/>
          <w:sz w:val="22"/>
          <w:lang w:val="bg-BG"/>
        </w:rPr>
        <w:t xml:space="preserve"> и разходите за ремонтиран</w:t>
      </w:r>
      <w:r w:rsidR="00D20212" w:rsidRPr="00805152">
        <w:rPr>
          <w:rFonts w:ascii="Times New Roman" w:eastAsia="Times New Roman" w:hAnsi="Times New Roman"/>
          <w:sz w:val="22"/>
          <w:lang w:val="bg-BG"/>
        </w:rPr>
        <w:t>ия вълнолом и</w:t>
      </w:r>
      <w:r w:rsidRPr="00805152">
        <w:rPr>
          <w:rFonts w:ascii="Times New Roman" w:eastAsia="Times New Roman" w:hAnsi="Times New Roman"/>
          <w:sz w:val="22"/>
          <w:lang w:val="bg-BG"/>
        </w:rPr>
        <w:t xml:space="preserve"> такива специфични, с цел гарантиране на експлоатационната годност и дълготрайност на изградените строителни конструкции, инженерни мрежи и съоръжения са свързани основно с периодично изпълнение на следните дейности:</w:t>
      </w:r>
    </w:p>
    <w:p w14:paraId="70E2ED6A" w14:textId="77777777" w:rsidR="00DE19E4" w:rsidRPr="00805152" w:rsidRDefault="00DE19E4" w:rsidP="00DE19E4">
      <w:pPr>
        <w:spacing w:after="0" w:line="360" w:lineRule="auto"/>
        <w:ind w:firstLine="576"/>
        <w:rPr>
          <w:rFonts w:ascii="Times New Roman" w:eastAsia="Times New Roman" w:hAnsi="Times New Roman"/>
          <w:sz w:val="22"/>
          <w:lang w:val="bg-BG"/>
        </w:rPr>
      </w:pPr>
    </w:p>
    <w:p w14:paraId="1EE4D68F" w14:textId="2BA2292D" w:rsidR="00D20212" w:rsidRPr="00805152" w:rsidRDefault="00D20212"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Периодичен ремонт на локални повреди на вълнолома;</w:t>
      </w:r>
    </w:p>
    <w:p w14:paraId="0472458C" w14:textId="4AE8ACF2"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Антикорозионна защита на металните конструкции;</w:t>
      </w:r>
    </w:p>
    <w:p w14:paraId="2EE2ACE7" w14:textId="77777777"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Ремонт на метални стълби;</w:t>
      </w:r>
    </w:p>
    <w:p w14:paraId="490FF7BA" w14:textId="77777777"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Почистване на комуникационните канали;</w:t>
      </w:r>
    </w:p>
    <w:p w14:paraId="049F844C" w14:textId="77777777" w:rsidR="00EA7FF7" w:rsidRPr="00805152" w:rsidRDefault="00EA7FF7" w:rsidP="0021547C">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Поддръжка на инженерните мрежи;</w:t>
      </w:r>
    </w:p>
    <w:p w14:paraId="38B378E7" w14:textId="4E5FF23F" w:rsidR="00151812" w:rsidRDefault="00EA7FF7" w:rsidP="00837F25">
      <w:pPr>
        <w:pStyle w:val="ListParagraph"/>
        <w:numPr>
          <w:ilvl w:val="0"/>
          <w:numId w:val="40"/>
        </w:numPr>
        <w:spacing w:after="0" w:line="360" w:lineRule="auto"/>
        <w:ind w:left="851" w:hanging="425"/>
        <w:rPr>
          <w:rFonts w:ascii="Times New Roman" w:eastAsia="Times New Roman" w:hAnsi="Times New Roman"/>
          <w:lang w:val="bg-BG"/>
        </w:rPr>
      </w:pPr>
      <w:r w:rsidRPr="00805152">
        <w:rPr>
          <w:rFonts w:ascii="Times New Roman" w:eastAsia="Times New Roman" w:hAnsi="Times New Roman"/>
          <w:lang w:val="bg-BG"/>
        </w:rPr>
        <w:t>Ремонт на пътни и площадкови настилки и др.</w:t>
      </w:r>
    </w:p>
    <w:p w14:paraId="28109B03" w14:textId="77777777" w:rsidR="00837F25" w:rsidRPr="00837F25" w:rsidRDefault="00837F25" w:rsidP="00837F25">
      <w:pPr>
        <w:pStyle w:val="ListParagraph"/>
        <w:spacing w:after="0" w:line="360" w:lineRule="auto"/>
        <w:ind w:left="851"/>
        <w:rPr>
          <w:rFonts w:ascii="Times New Roman" w:eastAsia="Times New Roman" w:hAnsi="Times New Roman"/>
          <w:lang w:val="bg-BG"/>
        </w:rPr>
      </w:pPr>
    </w:p>
    <w:p w14:paraId="48B9298D" w14:textId="20177E2F" w:rsidR="00D20212" w:rsidRPr="00837F25" w:rsidRDefault="00EA7FF7" w:rsidP="00837F25">
      <w:pPr>
        <w:spacing w:after="0" w:line="360" w:lineRule="auto"/>
        <w:ind w:firstLine="576"/>
        <w:rPr>
          <w:rFonts w:ascii="Times New Roman" w:eastAsia="Times New Roman" w:hAnsi="Times New Roman"/>
          <w:sz w:val="22"/>
          <w:lang w:val="bg-BG"/>
        </w:rPr>
      </w:pPr>
      <w:r w:rsidRPr="00805152">
        <w:rPr>
          <w:rFonts w:ascii="Times New Roman" w:eastAsia="Times New Roman" w:hAnsi="Times New Roman"/>
          <w:sz w:val="22"/>
          <w:lang w:val="bg-BG"/>
        </w:rPr>
        <w:t xml:space="preserve">Тъй като инвестиционната стойност по </w:t>
      </w:r>
      <w:r w:rsidR="00D20212" w:rsidRPr="00805152">
        <w:rPr>
          <w:rFonts w:ascii="Times New Roman" w:eastAsia="Times New Roman" w:hAnsi="Times New Roman"/>
          <w:sz w:val="22"/>
          <w:lang w:val="bg-BG"/>
        </w:rPr>
        <w:t xml:space="preserve">трите </w:t>
      </w:r>
      <w:r w:rsidRPr="00805152">
        <w:rPr>
          <w:rFonts w:ascii="Times New Roman" w:eastAsia="Times New Roman" w:hAnsi="Times New Roman"/>
          <w:sz w:val="22"/>
          <w:lang w:val="bg-BG"/>
        </w:rPr>
        <w:t>варианта е различна, разходите за поддръжка също са различни за всеки от вариантите.</w:t>
      </w:r>
    </w:p>
    <w:p w14:paraId="0E67FCAA" w14:textId="09A817C9" w:rsidR="00D20212" w:rsidRPr="00805152" w:rsidRDefault="00D20212" w:rsidP="00837F25">
      <w:pPr>
        <w:spacing w:after="0"/>
        <w:jc w:val="center"/>
        <w:rPr>
          <w:rFonts w:ascii="Times New Roman" w:hAnsi="Times New Roman"/>
          <w:i/>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23</w:t>
      </w:r>
      <w:r w:rsidRPr="00805152">
        <w:rPr>
          <w:rFonts w:ascii="Times New Roman" w:hAnsi="Times New Roman"/>
          <w:i/>
          <w:sz w:val="22"/>
          <w:lang w:val="bg-BG"/>
        </w:rPr>
        <w:fldChar w:fldCharType="end"/>
      </w:r>
      <w:r w:rsidRPr="00805152">
        <w:rPr>
          <w:rFonts w:ascii="Times New Roman" w:hAnsi="Times New Roman"/>
          <w:i/>
          <w:sz w:val="22"/>
          <w:lang w:val="bg-BG"/>
        </w:rPr>
        <w:t>: Постоянни разходи по варианти за експлоатация и поддръжка (лв./г.)</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4258"/>
        <w:gridCol w:w="1901"/>
        <w:gridCol w:w="1781"/>
        <w:gridCol w:w="1781"/>
      </w:tblGrid>
      <w:tr w:rsidR="00EA7FF7" w:rsidRPr="00805152" w14:paraId="4FBF1EBC" w14:textId="77777777" w:rsidTr="003B1C13">
        <w:trPr>
          <w:trHeight w:val="300"/>
          <w:jc w:val="center"/>
        </w:trPr>
        <w:tc>
          <w:tcPr>
            <w:tcW w:w="2190" w:type="pct"/>
            <w:tcBorders>
              <w:top w:val="single" w:sz="4" w:space="0" w:color="auto"/>
              <w:left w:val="single" w:sz="4" w:space="0" w:color="auto"/>
              <w:bottom w:val="single" w:sz="4" w:space="0" w:color="auto"/>
              <w:right w:val="single" w:sz="4" w:space="0" w:color="auto"/>
            </w:tcBorders>
            <w:shd w:val="clear" w:color="000000" w:fill="C5E0B3"/>
            <w:vAlign w:val="center"/>
            <w:hideMark/>
          </w:tcPr>
          <w:p w14:paraId="250D2C17" w14:textId="77777777" w:rsidR="00EA7FF7" w:rsidRPr="00805152" w:rsidRDefault="00EA7FF7" w:rsidP="003B1C13">
            <w:pPr>
              <w:spacing w:after="0" w:line="24" w:lineRule="atLeast"/>
              <w:jc w:val="center"/>
              <w:rPr>
                <w:rFonts w:ascii="Times New Roman" w:eastAsia="Times New Roman" w:hAnsi="Times New Roman"/>
                <w:b/>
                <w:bCs/>
                <w:color w:val="000000"/>
                <w:sz w:val="22"/>
                <w:lang w:val="bg-BG"/>
              </w:rPr>
            </w:pPr>
            <w:r w:rsidRPr="00805152">
              <w:rPr>
                <w:rFonts w:ascii="Times New Roman" w:hAnsi="Times New Roman"/>
                <w:b/>
                <w:bCs/>
                <w:color w:val="000000"/>
                <w:sz w:val="22"/>
                <w:lang w:val="bg-BG"/>
              </w:rPr>
              <w:t>Наименование</w:t>
            </w:r>
          </w:p>
        </w:tc>
        <w:tc>
          <w:tcPr>
            <w:tcW w:w="978" w:type="pct"/>
            <w:tcBorders>
              <w:top w:val="single" w:sz="4" w:space="0" w:color="auto"/>
              <w:left w:val="nil"/>
              <w:bottom w:val="single" w:sz="4" w:space="0" w:color="auto"/>
              <w:right w:val="single" w:sz="4" w:space="0" w:color="auto"/>
            </w:tcBorders>
            <w:shd w:val="clear" w:color="000000" w:fill="C5E0B3"/>
            <w:vAlign w:val="center"/>
            <w:hideMark/>
          </w:tcPr>
          <w:p w14:paraId="05612282" w14:textId="77777777" w:rsidR="00EA7FF7" w:rsidRPr="00805152" w:rsidRDefault="00EA7FF7" w:rsidP="003B1C13">
            <w:pPr>
              <w:spacing w:after="0" w:line="24" w:lineRule="atLeast"/>
              <w:jc w:val="center"/>
              <w:rPr>
                <w:rFonts w:ascii="Times New Roman" w:eastAsia="Times New Roman" w:hAnsi="Times New Roman"/>
                <w:b/>
                <w:bCs/>
                <w:color w:val="000000"/>
                <w:sz w:val="22"/>
                <w:lang w:val="bg-BG"/>
              </w:rPr>
            </w:pPr>
            <w:r w:rsidRPr="00805152">
              <w:rPr>
                <w:rFonts w:ascii="Times New Roman" w:hAnsi="Times New Roman"/>
                <w:b/>
                <w:bCs/>
                <w:color w:val="000000"/>
                <w:sz w:val="22"/>
                <w:lang w:val="bg-BG"/>
              </w:rPr>
              <w:t>Вариант 1</w:t>
            </w:r>
          </w:p>
        </w:tc>
        <w:tc>
          <w:tcPr>
            <w:tcW w:w="916" w:type="pct"/>
            <w:tcBorders>
              <w:top w:val="single" w:sz="4" w:space="0" w:color="auto"/>
              <w:left w:val="nil"/>
              <w:bottom w:val="single" w:sz="4" w:space="0" w:color="auto"/>
              <w:right w:val="single" w:sz="4" w:space="0" w:color="auto"/>
            </w:tcBorders>
            <w:shd w:val="clear" w:color="000000" w:fill="C5E0B3"/>
            <w:vAlign w:val="center"/>
            <w:hideMark/>
          </w:tcPr>
          <w:p w14:paraId="7A7598E2" w14:textId="77777777" w:rsidR="00EA7FF7" w:rsidRPr="00805152" w:rsidRDefault="00EA7FF7" w:rsidP="003B1C13">
            <w:pPr>
              <w:spacing w:after="0" w:line="24" w:lineRule="atLeast"/>
              <w:jc w:val="center"/>
              <w:rPr>
                <w:rFonts w:ascii="Times New Roman" w:eastAsia="Times New Roman" w:hAnsi="Times New Roman"/>
                <w:b/>
                <w:bCs/>
                <w:color w:val="000000"/>
                <w:sz w:val="22"/>
                <w:lang w:val="bg-BG"/>
              </w:rPr>
            </w:pPr>
            <w:r w:rsidRPr="00805152">
              <w:rPr>
                <w:rFonts w:ascii="Times New Roman" w:hAnsi="Times New Roman"/>
                <w:b/>
                <w:bCs/>
                <w:color w:val="000000"/>
                <w:sz w:val="22"/>
                <w:lang w:val="bg-BG"/>
              </w:rPr>
              <w:t>Вариант 2</w:t>
            </w:r>
          </w:p>
        </w:tc>
        <w:tc>
          <w:tcPr>
            <w:tcW w:w="916" w:type="pct"/>
            <w:tcBorders>
              <w:top w:val="single" w:sz="4" w:space="0" w:color="auto"/>
              <w:left w:val="nil"/>
              <w:bottom w:val="single" w:sz="4" w:space="0" w:color="auto"/>
              <w:right w:val="single" w:sz="4" w:space="0" w:color="auto"/>
            </w:tcBorders>
            <w:shd w:val="clear" w:color="000000" w:fill="C5E0B3"/>
            <w:vAlign w:val="center"/>
          </w:tcPr>
          <w:p w14:paraId="0C771722" w14:textId="77777777" w:rsidR="00EA7FF7" w:rsidRPr="00805152" w:rsidRDefault="00EA7FF7" w:rsidP="003B1C13">
            <w:pPr>
              <w:spacing w:after="0" w:line="24" w:lineRule="atLeast"/>
              <w:jc w:val="center"/>
              <w:rPr>
                <w:rFonts w:ascii="Times New Roman" w:hAnsi="Times New Roman"/>
                <w:b/>
                <w:bCs/>
                <w:color w:val="000000"/>
                <w:sz w:val="22"/>
                <w:lang w:val="bg-BG"/>
              </w:rPr>
            </w:pPr>
            <w:r w:rsidRPr="00805152">
              <w:rPr>
                <w:rFonts w:ascii="Times New Roman" w:hAnsi="Times New Roman"/>
                <w:b/>
                <w:bCs/>
                <w:color w:val="000000"/>
                <w:sz w:val="22"/>
                <w:lang w:val="bg-BG"/>
              </w:rPr>
              <w:t>Вариант 3</w:t>
            </w:r>
          </w:p>
        </w:tc>
      </w:tr>
      <w:tr w:rsidR="00F84924" w:rsidRPr="009A6780" w14:paraId="2D10C744" w14:textId="77777777" w:rsidTr="009A6780">
        <w:trPr>
          <w:trHeight w:val="300"/>
          <w:jc w:val="center"/>
        </w:trPr>
        <w:tc>
          <w:tcPr>
            <w:tcW w:w="2190" w:type="pct"/>
            <w:tcBorders>
              <w:top w:val="nil"/>
              <w:left w:val="single" w:sz="4" w:space="0" w:color="auto"/>
              <w:bottom w:val="single" w:sz="4" w:space="0" w:color="auto"/>
              <w:right w:val="single" w:sz="4" w:space="0" w:color="auto"/>
            </w:tcBorders>
            <w:shd w:val="clear" w:color="000000" w:fill="FFFFFF"/>
            <w:vAlign w:val="center"/>
            <w:hideMark/>
          </w:tcPr>
          <w:p w14:paraId="720AF2A7" w14:textId="77777777"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color w:val="000000"/>
                <w:sz w:val="24"/>
                <w:szCs w:val="24"/>
                <w:lang w:val="bg-BG"/>
              </w:rPr>
              <w:t>Разходи за поддръжка</w:t>
            </w:r>
          </w:p>
        </w:tc>
        <w:tc>
          <w:tcPr>
            <w:tcW w:w="97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90BE123" w14:textId="55C7F05B"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sz w:val="24"/>
                <w:szCs w:val="24"/>
              </w:rPr>
              <w:t>15,974.96</w:t>
            </w:r>
          </w:p>
        </w:tc>
        <w:tc>
          <w:tcPr>
            <w:tcW w:w="916" w:type="pct"/>
            <w:tcBorders>
              <w:top w:val="single" w:sz="4" w:space="0" w:color="auto"/>
              <w:left w:val="nil"/>
              <w:bottom w:val="single" w:sz="4" w:space="0" w:color="auto"/>
              <w:right w:val="single" w:sz="4" w:space="0" w:color="auto"/>
            </w:tcBorders>
            <w:shd w:val="clear" w:color="000000" w:fill="FFFFFF"/>
            <w:vAlign w:val="center"/>
            <w:hideMark/>
          </w:tcPr>
          <w:p w14:paraId="47C8C7EB" w14:textId="725CAC85"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sz w:val="24"/>
                <w:szCs w:val="24"/>
              </w:rPr>
              <w:t>16,701.50</w:t>
            </w:r>
          </w:p>
        </w:tc>
        <w:tc>
          <w:tcPr>
            <w:tcW w:w="916" w:type="pct"/>
            <w:tcBorders>
              <w:top w:val="single" w:sz="4" w:space="0" w:color="auto"/>
              <w:left w:val="single" w:sz="4" w:space="0" w:color="auto"/>
              <w:bottom w:val="single" w:sz="4" w:space="0" w:color="auto"/>
              <w:right w:val="single" w:sz="4" w:space="0" w:color="auto"/>
            </w:tcBorders>
            <w:shd w:val="clear" w:color="000000" w:fill="FFFFFF"/>
            <w:vAlign w:val="center"/>
          </w:tcPr>
          <w:p w14:paraId="7CAA51CB" w14:textId="685365DF" w:rsidR="00F84924" w:rsidRPr="009A6780" w:rsidRDefault="00F84924" w:rsidP="00F84924">
            <w:pPr>
              <w:spacing w:after="0" w:line="24" w:lineRule="atLeast"/>
              <w:jc w:val="center"/>
              <w:rPr>
                <w:rFonts w:ascii="Times New Roman" w:hAnsi="Times New Roman"/>
                <w:color w:val="000000"/>
                <w:sz w:val="24"/>
                <w:szCs w:val="24"/>
                <w:lang w:val="bg-BG"/>
              </w:rPr>
            </w:pPr>
            <w:r w:rsidRPr="009A6780">
              <w:rPr>
                <w:rFonts w:ascii="Times New Roman" w:hAnsi="Times New Roman"/>
                <w:color w:val="000000"/>
                <w:sz w:val="24"/>
                <w:szCs w:val="24"/>
              </w:rPr>
              <w:t>16,101.22</w:t>
            </w:r>
          </w:p>
        </w:tc>
      </w:tr>
      <w:tr w:rsidR="00F84924" w:rsidRPr="009A6780" w14:paraId="42593F5A" w14:textId="77777777" w:rsidTr="009A6780">
        <w:trPr>
          <w:trHeight w:val="300"/>
          <w:jc w:val="center"/>
        </w:trPr>
        <w:tc>
          <w:tcPr>
            <w:tcW w:w="2190" w:type="pct"/>
            <w:tcBorders>
              <w:top w:val="nil"/>
              <w:left w:val="single" w:sz="4" w:space="0" w:color="auto"/>
              <w:bottom w:val="single" w:sz="4" w:space="0" w:color="auto"/>
              <w:right w:val="single" w:sz="4" w:space="0" w:color="auto"/>
            </w:tcBorders>
            <w:shd w:val="clear" w:color="000000" w:fill="FFFFFF"/>
            <w:vAlign w:val="center"/>
            <w:hideMark/>
          </w:tcPr>
          <w:p w14:paraId="77B9528B" w14:textId="77777777"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color w:val="000000"/>
                <w:sz w:val="24"/>
                <w:szCs w:val="24"/>
                <w:lang w:val="bg-BG"/>
              </w:rPr>
              <w:t>Разходи за труд</w:t>
            </w:r>
          </w:p>
        </w:tc>
        <w:tc>
          <w:tcPr>
            <w:tcW w:w="978" w:type="pct"/>
            <w:tcBorders>
              <w:top w:val="nil"/>
              <w:left w:val="single" w:sz="4" w:space="0" w:color="auto"/>
              <w:bottom w:val="single" w:sz="4" w:space="0" w:color="auto"/>
              <w:right w:val="single" w:sz="4" w:space="0" w:color="auto"/>
            </w:tcBorders>
            <w:shd w:val="clear" w:color="000000" w:fill="FFFFFF"/>
            <w:vAlign w:val="center"/>
            <w:hideMark/>
          </w:tcPr>
          <w:p w14:paraId="1BA08C58" w14:textId="62780A14"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sz w:val="24"/>
                <w:szCs w:val="24"/>
              </w:rPr>
              <w:t>79,874.80</w:t>
            </w:r>
          </w:p>
        </w:tc>
        <w:tc>
          <w:tcPr>
            <w:tcW w:w="916" w:type="pct"/>
            <w:tcBorders>
              <w:top w:val="nil"/>
              <w:left w:val="nil"/>
              <w:bottom w:val="single" w:sz="4" w:space="0" w:color="auto"/>
              <w:right w:val="single" w:sz="4" w:space="0" w:color="auto"/>
            </w:tcBorders>
            <w:shd w:val="clear" w:color="000000" w:fill="FFFFFF"/>
            <w:vAlign w:val="center"/>
            <w:hideMark/>
          </w:tcPr>
          <w:p w14:paraId="7934CA88" w14:textId="32279AF3" w:rsidR="00F84924" w:rsidRPr="009A6780" w:rsidRDefault="00F84924" w:rsidP="00F84924">
            <w:pPr>
              <w:spacing w:after="0" w:line="24" w:lineRule="atLeast"/>
              <w:jc w:val="center"/>
              <w:rPr>
                <w:rFonts w:ascii="Times New Roman" w:eastAsia="Times New Roman" w:hAnsi="Times New Roman"/>
                <w:color w:val="000000"/>
                <w:sz w:val="24"/>
                <w:szCs w:val="24"/>
                <w:lang w:val="bg-BG"/>
              </w:rPr>
            </w:pPr>
            <w:r w:rsidRPr="009A6780">
              <w:rPr>
                <w:rFonts w:ascii="Times New Roman" w:hAnsi="Times New Roman"/>
                <w:sz w:val="24"/>
                <w:szCs w:val="24"/>
              </w:rPr>
              <w:t>83,507.50</w:t>
            </w:r>
          </w:p>
        </w:tc>
        <w:tc>
          <w:tcPr>
            <w:tcW w:w="916" w:type="pct"/>
            <w:tcBorders>
              <w:top w:val="nil"/>
              <w:left w:val="single" w:sz="4" w:space="0" w:color="auto"/>
              <w:bottom w:val="single" w:sz="4" w:space="0" w:color="auto"/>
              <w:right w:val="single" w:sz="4" w:space="0" w:color="auto"/>
            </w:tcBorders>
            <w:shd w:val="clear" w:color="000000" w:fill="FFFFFF"/>
            <w:vAlign w:val="center"/>
          </w:tcPr>
          <w:p w14:paraId="794AB6F1" w14:textId="34703585" w:rsidR="00F84924" w:rsidRPr="009A6780" w:rsidRDefault="00F84924" w:rsidP="00F84924">
            <w:pPr>
              <w:spacing w:after="0" w:line="24" w:lineRule="atLeast"/>
              <w:jc w:val="center"/>
              <w:rPr>
                <w:rFonts w:ascii="Times New Roman" w:hAnsi="Times New Roman"/>
                <w:color w:val="000000"/>
                <w:sz w:val="24"/>
                <w:szCs w:val="24"/>
                <w:lang w:val="bg-BG"/>
              </w:rPr>
            </w:pPr>
            <w:r w:rsidRPr="009A6780">
              <w:rPr>
                <w:rFonts w:ascii="Times New Roman" w:hAnsi="Times New Roman"/>
                <w:color w:val="000000"/>
                <w:sz w:val="24"/>
                <w:szCs w:val="24"/>
              </w:rPr>
              <w:t>80,506.09</w:t>
            </w:r>
          </w:p>
        </w:tc>
      </w:tr>
    </w:tbl>
    <w:p w14:paraId="5A468654" w14:textId="77777777" w:rsidR="003B1C13" w:rsidRDefault="003B1C13">
      <w:pPr>
        <w:spacing w:after="0" w:line="240" w:lineRule="auto"/>
        <w:jc w:val="left"/>
        <w:rPr>
          <w:rFonts w:ascii="Times New Roman" w:eastAsia="Times New Roman" w:hAnsi="Times New Roman"/>
          <w:b/>
          <w:bCs/>
          <w:kern w:val="32"/>
          <w:sz w:val="28"/>
          <w:szCs w:val="24"/>
          <w:u w:val="single"/>
          <w:lang w:val="bg-BG"/>
        </w:rPr>
      </w:pPr>
      <w:r>
        <w:rPr>
          <w:rFonts w:ascii="Times New Roman" w:hAnsi="Times New Roman"/>
          <w:lang w:val="bg-BG"/>
        </w:rPr>
        <w:br w:type="page"/>
      </w:r>
    </w:p>
    <w:p w14:paraId="020814C5" w14:textId="43D4EAF5" w:rsidR="009F321D" w:rsidRPr="00805152" w:rsidRDefault="009F321D" w:rsidP="009F321D">
      <w:pPr>
        <w:pStyle w:val="Heading1"/>
        <w:rPr>
          <w:rFonts w:ascii="Times New Roman" w:hAnsi="Times New Roman"/>
          <w:lang w:val="bg-BG"/>
        </w:rPr>
      </w:pPr>
      <w:bookmarkStart w:id="125" w:name="_Toc136961123"/>
      <w:r w:rsidRPr="00805152">
        <w:rPr>
          <w:rFonts w:ascii="Times New Roman" w:hAnsi="Times New Roman"/>
          <w:lang w:val="bg-BG"/>
        </w:rPr>
        <w:lastRenderedPageBreak/>
        <w:t>Анализ на алтернативите</w:t>
      </w:r>
      <w:bookmarkEnd w:id="125"/>
      <w:r w:rsidRPr="00805152">
        <w:rPr>
          <w:rFonts w:ascii="Times New Roman" w:hAnsi="Times New Roman"/>
          <w:lang w:val="bg-BG"/>
        </w:rPr>
        <w:t xml:space="preserve"> </w:t>
      </w:r>
    </w:p>
    <w:p w14:paraId="3AD399DF" w14:textId="1D07DE69" w:rsidR="009F321D" w:rsidRPr="00805152" w:rsidRDefault="009F321D" w:rsidP="009F321D">
      <w:pPr>
        <w:pStyle w:val="Heading2"/>
        <w:rPr>
          <w:rFonts w:ascii="Times New Roman" w:hAnsi="Times New Roman"/>
          <w:lang w:val="bg-BG"/>
        </w:rPr>
      </w:pPr>
      <w:bookmarkStart w:id="126" w:name="_Toc136961124"/>
      <w:r w:rsidRPr="00805152">
        <w:rPr>
          <w:rFonts w:ascii="Times New Roman" w:hAnsi="Times New Roman"/>
          <w:lang w:val="bg-BG"/>
        </w:rPr>
        <w:t>Описание на алтернативите</w:t>
      </w:r>
      <w:bookmarkEnd w:id="126"/>
    </w:p>
    <w:p w14:paraId="33C6781A" w14:textId="3D03C37C" w:rsidR="001E75F7" w:rsidRPr="008D157D" w:rsidRDefault="001E75F7" w:rsidP="008D157D">
      <w:pPr>
        <w:spacing w:after="0" w:line="360" w:lineRule="auto"/>
        <w:ind w:firstLine="709"/>
        <w:rPr>
          <w:rFonts w:ascii="Times New Roman" w:eastAsia="Times New Roman" w:hAnsi="Times New Roman"/>
          <w:sz w:val="22"/>
          <w:lang w:val="bg-BG"/>
        </w:rPr>
      </w:pPr>
      <w:r w:rsidRPr="008D157D">
        <w:rPr>
          <w:rFonts w:ascii="Times New Roman" w:eastAsia="Times New Roman" w:hAnsi="Times New Roman"/>
          <w:sz w:val="22"/>
          <w:lang w:val="bg-BG"/>
        </w:rPr>
        <w:t xml:space="preserve">Настоящият раздел представя възможните варианти </w:t>
      </w:r>
      <w:r w:rsidR="008D157D" w:rsidRPr="008D157D">
        <w:rPr>
          <w:rFonts w:ascii="Times New Roman" w:eastAsia="Times New Roman" w:hAnsi="Times New Roman"/>
          <w:sz w:val="22"/>
          <w:lang w:val="bg-BG"/>
        </w:rPr>
        <w:t>на проектни решения за рехабилитация на вълнолома</w:t>
      </w:r>
      <w:r w:rsidRPr="008D157D">
        <w:rPr>
          <w:rFonts w:ascii="Times New Roman" w:eastAsia="Times New Roman" w:hAnsi="Times New Roman"/>
          <w:sz w:val="22"/>
          <w:lang w:val="bg-BG"/>
        </w:rPr>
        <w:t>, както следва:</w:t>
      </w:r>
    </w:p>
    <w:p w14:paraId="0CC65873" w14:textId="3A98FCA2" w:rsidR="008D157D" w:rsidRPr="008D157D" w:rsidRDefault="008D157D" w:rsidP="0021547C">
      <w:pPr>
        <w:numPr>
          <w:ilvl w:val="0"/>
          <w:numId w:val="34"/>
        </w:numPr>
        <w:tabs>
          <w:tab w:val="left" w:pos="2790"/>
        </w:tabs>
        <w:spacing w:after="0" w:line="360" w:lineRule="auto"/>
        <w:rPr>
          <w:rFonts w:ascii="Times New Roman" w:eastAsia="Times New Roman" w:hAnsi="Times New Roman"/>
          <w:sz w:val="22"/>
          <w:lang w:val="bg-BG"/>
        </w:rPr>
      </w:pPr>
      <w:r w:rsidRPr="008D157D">
        <w:rPr>
          <w:rFonts w:ascii="Times New Roman" w:eastAsia="Times New Roman" w:hAnsi="Times New Roman"/>
          <w:b/>
          <w:bCs/>
          <w:sz w:val="22"/>
          <w:u w:val="single"/>
          <w:lang w:val="bg-BG"/>
        </w:rPr>
        <w:t>Вариант 1:</w:t>
      </w:r>
      <w:r w:rsidRPr="008D157D">
        <w:rPr>
          <w:rFonts w:ascii="Times New Roman" w:eastAsia="Times New Roman" w:hAnsi="Times New Roman"/>
          <w:sz w:val="22"/>
          <w:lang w:val="bg-BG"/>
        </w:rPr>
        <w:t xml:space="preserve"> </w:t>
      </w:r>
      <w:r w:rsidR="00782A65">
        <w:rPr>
          <w:rFonts w:ascii="Times New Roman" w:eastAsia="Times New Roman" w:hAnsi="Times New Roman"/>
          <w:sz w:val="22"/>
          <w:lang w:val="bg-BG"/>
        </w:rPr>
        <w:tab/>
      </w:r>
      <w:r w:rsidRPr="008D157D">
        <w:rPr>
          <w:rFonts w:ascii="Times New Roman" w:eastAsia="Times New Roman" w:hAnsi="Times New Roman"/>
          <w:sz w:val="22"/>
          <w:lang w:val="bg-BG"/>
        </w:rPr>
        <w:t>Вълнолом със защита от тетраподи с наклон 1/1.33 (по съществуващ технически проект);</w:t>
      </w:r>
    </w:p>
    <w:p w14:paraId="303BE7A1" w14:textId="7AAAB2B3" w:rsidR="008D157D" w:rsidRPr="008D157D" w:rsidRDefault="008D157D" w:rsidP="0021547C">
      <w:pPr>
        <w:numPr>
          <w:ilvl w:val="0"/>
          <w:numId w:val="34"/>
        </w:numPr>
        <w:tabs>
          <w:tab w:val="left" w:pos="2790"/>
        </w:tabs>
        <w:spacing w:after="0" w:line="360" w:lineRule="auto"/>
        <w:rPr>
          <w:rFonts w:ascii="Times New Roman" w:eastAsia="Times New Roman" w:hAnsi="Times New Roman"/>
          <w:sz w:val="22"/>
          <w:lang w:val="bg-BG"/>
        </w:rPr>
      </w:pPr>
      <w:r w:rsidRPr="008D157D">
        <w:rPr>
          <w:rFonts w:ascii="Times New Roman" w:eastAsia="Times New Roman" w:hAnsi="Times New Roman"/>
          <w:b/>
          <w:bCs/>
          <w:sz w:val="22"/>
          <w:lang w:val="bg-BG"/>
        </w:rPr>
        <w:t>Вариант 2:</w:t>
      </w:r>
      <w:r w:rsidRPr="008D157D">
        <w:rPr>
          <w:rFonts w:ascii="Times New Roman" w:eastAsia="Times New Roman" w:hAnsi="Times New Roman"/>
          <w:sz w:val="22"/>
          <w:lang w:val="bg-BG"/>
        </w:rPr>
        <w:t xml:space="preserve"> </w:t>
      </w:r>
      <w:r w:rsidR="00782A65">
        <w:rPr>
          <w:rFonts w:ascii="Times New Roman" w:eastAsia="Times New Roman" w:hAnsi="Times New Roman"/>
          <w:sz w:val="22"/>
          <w:lang w:val="bg-BG"/>
        </w:rPr>
        <w:tab/>
      </w:r>
      <w:r w:rsidRPr="008D157D">
        <w:rPr>
          <w:rFonts w:ascii="Times New Roman" w:eastAsia="Times New Roman" w:hAnsi="Times New Roman"/>
          <w:sz w:val="22"/>
          <w:lang w:val="bg-BG"/>
        </w:rPr>
        <w:t>Вълнолом с</w:t>
      </w:r>
      <w:r w:rsidR="00420C39">
        <w:rPr>
          <w:rFonts w:ascii="Times New Roman" w:eastAsia="Times New Roman" w:hAnsi="Times New Roman"/>
          <w:sz w:val="22"/>
          <w:lang w:val="bg-BG"/>
        </w:rPr>
        <w:t>ъс</w:t>
      </w:r>
      <w:r w:rsidRPr="008D157D">
        <w:rPr>
          <w:rFonts w:ascii="Times New Roman" w:eastAsia="Times New Roman" w:hAnsi="Times New Roman"/>
          <w:sz w:val="22"/>
          <w:lang w:val="bg-BG"/>
        </w:rPr>
        <w:t xml:space="preserve"> защита от тетраподи с наклон 1/1.5 (модернизиран съществуващ технически проект);</w:t>
      </w:r>
    </w:p>
    <w:p w14:paraId="0531D9A4" w14:textId="483D7958" w:rsidR="008D157D" w:rsidRPr="008D157D" w:rsidRDefault="008D157D" w:rsidP="0021547C">
      <w:pPr>
        <w:numPr>
          <w:ilvl w:val="0"/>
          <w:numId w:val="34"/>
        </w:numPr>
        <w:tabs>
          <w:tab w:val="left" w:pos="2790"/>
        </w:tabs>
        <w:spacing w:after="0" w:line="360" w:lineRule="auto"/>
        <w:rPr>
          <w:rFonts w:ascii="Times New Roman" w:eastAsia="Times New Roman" w:hAnsi="Times New Roman"/>
          <w:b/>
          <w:bCs/>
          <w:sz w:val="22"/>
          <w:lang w:val="bg-BG"/>
        </w:rPr>
      </w:pPr>
      <w:r w:rsidRPr="008D157D">
        <w:rPr>
          <w:rFonts w:ascii="Times New Roman" w:eastAsia="Times New Roman" w:hAnsi="Times New Roman"/>
          <w:b/>
          <w:bCs/>
          <w:sz w:val="22"/>
          <w:lang w:val="bg-BG"/>
        </w:rPr>
        <w:t xml:space="preserve">Вариант 3: </w:t>
      </w:r>
      <w:r w:rsidRPr="008D157D">
        <w:rPr>
          <w:rFonts w:ascii="Times New Roman" w:eastAsia="Times New Roman" w:hAnsi="Times New Roman"/>
          <w:sz w:val="22"/>
          <w:lang w:val="bg-BG"/>
        </w:rPr>
        <w:t xml:space="preserve"> </w:t>
      </w:r>
      <w:r w:rsidR="00782A65">
        <w:rPr>
          <w:rFonts w:ascii="Times New Roman" w:eastAsia="Times New Roman" w:hAnsi="Times New Roman"/>
          <w:sz w:val="22"/>
          <w:lang w:val="bg-BG"/>
        </w:rPr>
        <w:tab/>
      </w:r>
      <w:r w:rsidRPr="008D157D">
        <w:rPr>
          <w:rFonts w:ascii="Times New Roman" w:eastAsia="Times New Roman" w:hAnsi="Times New Roman"/>
          <w:sz w:val="22"/>
          <w:lang w:val="bg-BG"/>
        </w:rPr>
        <w:t xml:space="preserve">Комбинация от вълнолом със защита от тетраподи с наклон 1/1.33 (или 1.1.5) и участък в началото на вълнолома (Зона/Етап III от 265 м) със защита от каменни блокове от 1500 кг до 4000 кг, с наклон 1:3 (с отворен достъп за разходки и развлечение). </w:t>
      </w:r>
    </w:p>
    <w:p w14:paraId="7734B4CC" w14:textId="5B9D7018" w:rsidR="001E75F7" w:rsidRPr="008D157D" w:rsidRDefault="001E75F7" w:rsidP="008D157D">
      <w:pPr>
        <w:spacing w:after="0" w:line="360" w:lineRule="auto"/>
        <w:ind w:firstLine="709"/>
        <w:rPr>
          <w:rFonts w:ascii="Times New Roman" w:eastAsia="Times New Roman" w:hAnsi="Times New Roman"/>
          <w:sz w:val="22"/>
          <w:lang w:val="bg-BG"/>
        </w:rPr>
      </w:pPr>
      <w:r w:rsidRPr="008D157D">
        <w:rPr>
          <w:rFonts w:ascii="Times New Roman" w:hAnsi="Times New Roman"/>
          <w:sz w:val="22"/>
          <w:lang w:val="bg-BG"/>
        </w:rPr>
        <w:t xml:space="preserve">В </w:t>
      </w:r>
      <w:r w:rsidR="008D157D" w:rsidRPr="00D075E3">
        <w:rPr>
          <w:rFonts w:ascii="Times New Roman" w:hAnsi="Times New Roman"/>
          <w:sz w:val="22"/>
          <w:lang w:val="bg-BG"/>
        </w:rPr>
        <w:t>раздел 3</w:t>
      </w:r>
      <w:r w:rsidRPr="00D075E3">
        <w:rPr>
          <w:rFonts w:ascii="Times New Roman" w:hAnsi="Times New Roman"/>
          <w:sz w:val="22"/>
          <w:lang w:val="bg-BG"/>
        </w:rPr>
        <w:t xml:space="preserve"> е</w:t>
      </w:r>
      <w:r w:rsidRPr="008D157D">
        <w:rPr>
          <w:rFonts w:ascii="Times New Roman" w:hAnsi="Times New Roman"/>
          <w:sz w:val="22"/>
          <w:lang w:val="bg-BG"/>
        </w:rPr>
        <w:t xml:space="preserve"> направено детайлно описание на всеки един от разглежданите варианти, както и </w:t>
      </w:r>
      <w:r w:rsidR="008D157D">
        <w:rPr>
          <w:rFonts w:ascii="Times New Roman" w:hAnsi="Times New Roman"/>
          <w:sz w:val="22"/>
          <w:lang w:val="bg-BG"/>
        </w:rPr>
        <w:t>технологията за конкретното изпълнение</w:t>
      </w:r>
      <w:r w:rsidRPr="008D157D">
        <w:rPr>
          <w:rFonts w:ascii="Times New Roman" w:hAnsi="Times New Roman"/>
          <w:sz w:val="22"/>
          <w:lang w:val="bg-BG"/>
        </w:rPr>
        <w:t>.</w:t>
      </w:r>
    </w:p>
    <w:p w14:paraId="3FD7B982" w14:textId="77777777" w:rsidR="004624DB" w:rsidRPr="004624DB" w:rsidRDefault="004624DB" w:rsidP="004624DB">
      <w:pPr>
        <w:pStyle w:val="Heading2"/>
        <w:rPr>
          <w:rFonts w:ascii="Times New Roman" w:hAnsi="Times New Roman"/>
          <w:lang w:val="bg-BG"/>
        </w:rPr>
      </w:pPr>
      <w:bookmarkStart w:id="127" w:name="_Toc95837684"/>
      <w:bookmarkStart w:id="128" w:name="_Toc136961125"/>
      <w:r w:rsidRPr="004624DB">
        <w:rPr>
          <w:rFonts w:ascii="Times New Roman" w:hAnsi="Times New Roman"/>
          <w:lang w:val="bg-BG"/>
        </w:rPr>
        <w:t>SWОT анализ</w:t>
      </w:r>
      <w:bookmarkEnd w:id="127"/>
      <w:bookmarkEnd w:id="128"/>
    </w:p>
    <w:p w14:paraId="4A405928" w14:textId="1BA40452" w:rsidR="000C1EAF" w:rsidRPr="000C1EAF" w:rsidRDefault="000C1EAF" w:rsidP="000C1EAF">
      <w:pPr>
        <w:spacing w:after="0" w:line="360" w:lineRule="auto"/>
        <w:ind w:firstLine="720"/>
        <w:rPr>
          <w:rFonts w:ascii="Times New Roman" w:eastAsia="Times New Roman" w:hAnsi="Times New Roman"/>
          <w:sz w:val="22"/>
          <w:lang w:val="bg-BG"/>
        </w:rPr>
      </w:pPr>
      <w:r w:rsidRPr="000C1EAF">
        <w:rPr>
          <w:rFonts w:ascii="Times New Roman" w:eastAsia="Times New Roman" w:hAnsi="Times New Roman"/>
          <w:sz w:val="22"/>
          <w:lang w:val="bg-BG"/>
        </w:rPr>
        <w:t>SWOT анализът е изключително полезен инструмент за разбиране на различни бизнес ситуации и вземане на решения. Той дава н</w:t>
      </w:r>
      <w:r>
        <w:rPr>
          <w:rFonts w:ascii="Times New Roman" w:eastAsia="Times New Roman" w:hAnsi="Times New Roman"/>
          <w:sz w:val="22"/>
          <w:lang w:val="bg-BG"/>
        </w:rPr>
        <w:t>еобходимата рамка за преглед на стратегии, визии и варианти на развитие на бизнес или</w:t>
      </w:r>
      <w:r w:rsidRPr="000C1EAF">
        <w:rPr>
          <w:rFonts w:ascii="Times New Roman" w:eastAsia="Times New Roman" w:hAnsi="Times New Roman"/>
          <w:sz w:val="22"/>
          <w:lang w:val="bg-BG"/>
        </w:rPr>
        <w:t xml:space="preserve"> инвестиционно предложение, както е в конкретния случай. Всъщност SWOT анализът е и метод за планиране, защото </w:t>
      </w:r>
      <w:bookmarkStart w:id="129" w:name="_Hlk137050826"/>
      <w:r w:rsidRPr="000C1EAF">
        <w:rPr>
          <w:rFonts w:ascii="Times New Roman" w:eastAsia="Times New Roman" w:hAnsi="Times New Roman"/>
          <w:sz w:val="22"/>
          <w:lang w:val="bg-BG"/>
        </w:rPr>
        <w:t>чрез него очертаваме границите на жизнеспособните варианти, които впоследствие подлагаме на количествена оценка за избор, чрез МКА</w:t>
      </w:r>
      <w:bookmarkEnd w:id="129"/>
      <w:r w:rsidRPr="000C1EAF">
        <w:rPr>
          <w:rFonts w:ascii="Times New Roman" w:eastAsia="Times New Roman" w:hAnsi="Times New Roman"/>
          <w:sz w:val="22"/>
          <w:lang w:val="bg-BG"/>
        </w:rPr>
        <w:t>.</w:t>
      </w:r>
    </w:p>
    <w:p w14:paraId="24FF24EC" w14:textId="77777777" w:rsidR="00782A65" w:rsidRDefault="000C1EAF" w:rsidP="000C1EAF">
      <w:pPr>
        <w:spacing w:after="0" w:line="360" w:lineRule="auto"/>
        <w:ind w:firstLine="720"/>
        <w:rPr>
          <w:rFonts w:ascii="Times New Roman" w:eastAsia="Times New Roman" w:hAnsi="Times New Roman"/>
          <w:sz w:val="22"/>
          <w:lang w:val="bg-BG"/>
        </w:rPr>
      </w:pPr>
      <w:r w:rsidRPr="000C1EAF">
        <w:rPr>
          <w:rFonts w:ascii="Times New Roman" w:eastAsia="Times New Roman" w:hAnsi="Times New Roman"/>
          <w:sz w:val="22"/>
          <w:lang w:val="bg-BG"/>
        </w:rPr>
        <w:t>В конкретния случа</w:t>
      </w:r>
      <w:r>
        <w:rPr>
          <w:rFonts w:ascii="Times New Roman" w:eastAsia="Times New Roman" w:hAnsi="Times New Roman"/>
          <w:sz w:val="22"/>
          <w:lang w:val="bg-BG"/>
        </w:rPr>
        <w:t>й нямаме изключително голям брой</w:t>
      </w:r>
      <w:r w:rsidRPr="000C1EAF">
        <w:rPr>
          <w:rFonts w:ascii="Times New Roman" w:eastAsia="Times New Roman" w:hAnsi="Times New Roman"/>
          <w:sz w:val="22"/>
          <w:lang w:val="bg-BG"/>
        </w:rPr>
        <w:t xml:space="preserve"> варианти, но въпреки това е добре при взимането на решение да се използва и този инструмент.</w:t>
      </w:r>
      <w:r w:rsidR="00782A65">
        <w:rPr>
          <w:rFonts w:ascii="Times New Roman" w:eastAsia="Times New Roman" w:hAnsi="Times New Roman"/>
          <w:sz w:val="22"/>
          <w:lang w:val="bg-BG"/>
        </w:rPr>
        <w:t xml:space="preserve"> </w:t>
      </w:r>
    </w:p>
    <w:p w14:paraId="21A92641" w14:textId="4662DBE2" w:rsidR="000C1EAF" w:rsidRDefault="00782A65" w:rsidP="000C1EAF">
      <w:pPr>
        <w:spacing w:after="0" w:line="360" w:lineRule="auto"/>
        <w:ind w:firstLine="720"/>
        <w:rPr>
          <w:rFonts w:ascii="Times New Roman" w:eastAsia="Times New Roman" w:hAnsi="Times New Roman"/>
          <w:sz w:val="22"/>
          <w:lang w:val="bg-BG"/>
        </w:rPr>
      </w:pPr>
      <w:bookmarkStart w:id="130" w:name="_Hlk137050966"/>
      <w:r>
        <w:rPr>
          <w:rFonts w:ascii="Times New Roman" w:eastAsia="Times New Roman" w:hAnsi="Times New Roman"/>
          <w:sz w:val="22"/>
          <w:lang w:val="bg-BG"/>
        </w:rPr>
        <w:t>Понеже р</w:t>
      </w:r>
      <w:r w:rsidRPr="000C1EAF">
        <w:rPr>
          <w:rFonts w:ascii="Times New Roman" w:eastAsia="Times New Roman" w:hAnsi="Times New Roman"/>
          <w:sz w:val="22"/>
          <w:lang w:val="bg-BG"/>
        </w:rPr>
        <w:t xml:space="preserve">азликата между </w:t>
      </w:r>
      <w:r>
        <w:rPr>
          <w:rFonts w:ascii="Times New Roman" w:eastAsia="Times New Roman" w:hAnsi="Times New Roman"/>
          <w:sz w:val="22"/>
          <w:lang w:val="bg-BG"/>
        </w:rPr>
        <w:t xml:space="preserve">Вариант 1 и Вариант 2 </w:t>
      </w:r>
      <w:r w:rsidRPr="000C1EAF">
        <w:rPr>
          <w:rFonts w:ascii="Times New Roman" w:eastAsia="Times New Roman" w:hAnsi="Times New Roman"/>
          <w:sz w:val="22"/>
          <w:lang w:val="bg-BG"/>
        </w:rPr>
        <w:t xml:space="preserve"> не е голяма SWOT анализа за </w:t>
      </w:r>
      <w:r>
        <w:rPr>
          <w:rFonts w:ascii="Times New Roman" w:eastAsia="Times New Roman" w:hAnsi="Times New Roman"/>
          <w:sz w:val="22"/>
          <w:lang w:val="bg-BG"/>
        </w:rPr>
        <w:t xml:space="preserve">двата варианта е аналогичен и </w:t>
      </w:r>
      <w:r w:rsidRPr="000C1EAF">
        <w:rPr>
          <w:rFonts w:ascii="Times New Roman" w:eastAsia="Times New Roman" w:hAnsi="Times New Roman"/>
          <w:sz w:val="22"/>
          <w:lang w:val="bg-BG"/>
        </w:rPr>
        <w:t>е показан в следващата таблица:</w:t>
      </w:r>
    </w:p>
    <w:bookmarkEnd w:id="130"/>
    <w:p w14:paraId="7BDB236A" w14:textId="77777777" w:rsidR="00837F25" w:rsidRDefault="00837F25" w:rsidP="000C1EAF">
      <w:pPr>
        <w:spacing w:after="0" w:line="360" w:lineRule="auto"/>
        <w:ind w:firstLine="720"/>
        <w:rPr>
          <w:rFonts w:ascii="Times New Roman" w:eastAsia="Times New Roman" w:hAnsi="Times New Roman"/>
          <w:sz w:val="22"/>
          <w:lang w:val="bg-BG"/>
        </w:rPr>
      </w:pPr>
    </w:p>
    <w:p w14:paraId="64CF7900" w14:textId="77777777" w:rsidR="00837F25" w:rsidRDefault="00837F25" w:rsidP="000C1EAF">
      <w:pPr>
        <w:spacing w:after="0" w:line="360" w:lineRule="auto"/>
        <w:ind w:firstLine="720"/>
        <w:rPr>
          <w:rFonts w:ascii="Times New Roman" w:eastAsia="Times New Roman" w:hAnsi="Times New Roman"/>
          <w:sz w:val="22"/>
          <w:lang w:val="bg-BG"/>
        </w:rPr>
      </w:pPr>
    </w:p>
    <w:p w14:paraId="74765B2D" w14:textId="77777777" w:rsidR="00837F25" w:rsidRDefault="00837F25" w:rsidP="000C1EAF">
      <w:pPr>
        <w:spacing w:after="0" w:line="360" w:lineRule="auto"/>
        <w:ind w:firstLine="720"/>
        <w:rPr>
          <w:rFonts w:ascii="Times New Roman" w:eastAsia="Times New Roman" w:hAnsi="Times New Roman"/>
          <w:sz w:val="22"/>
          <w:lang w:val="bg-BG"/>
        </w:rPr>
      </w:pPr>
    </w:p>
    <w:p w14:paraId="143FE72F" w14:textId="77777777" w:rsidR="00837F25" w:rsidRDefault="00837F25" w:rsidP="000C1EAF">
      <w:pPr>
        <w:spacing w:after="0" w:line="360" w:lineRule="auto"/>
        <w:ind w:firstLine="720"/>
        <w:rPr>
          <w:rFonts w:ascii="Times New Roman" w:eastAsia="Times New Roman" w:hAnsi="Times New Roman"/>
          <w:sz w:val="22"/>
          <w:lang w:val="bg-BG"/>
        </w:rPr>
      </w:pPr>
    </w:p>
    <w:p w14:paraId="07F02700" w14:textId="77777777" w:rsidR="00541785" w:rsidRDefault="00541785">
      <w:pPr>
        <w:spacing w:after="0" w:line="240" w:lineRule="auto"/>
        <w:jc w:val="left"/>
        <w:rPr>
          <w:rFonts w:ascii="Times New Roman" w:hAnsi="Times New Roman"/>
          <w:i/>
          <w:sz w:val="22"/>
          <w:lang w:val="bg-BG"/>
        </w:rPr>
      </w:pPr>
      <w:r>
        <w:rPr>
          <w:rFonts w:ascii="Times New Roman" w:hAnsi="Times New Roman"/>
          <w:i/>
          <w:sz w:val="22"/>
          <w:lang w:val="bg-BG"/>
        </w:rPr>
        <w:br w:type="page"/>
      </w:r>
    </w:p>
    <w:p w14:paraId="27FBD6CD" w14:textId="19D47DF0" w:rsidR="000C1EAF" w:rsidRPr="000C1EAF" w:rsidRDefault="009B1973" w:rsidP="00837F25">
      <w:pPr>
        <w:spacing w:after="0" w:line="360" w:lineRule="auto"/>
        <w:ind w:firstLine="720"/>
        <w:jc w:val="center"/>
        <w:rPr>
          <w:rFonts w:ascii="Times New Roman" w:eastAsia="Times New Roman" w:hAnsi="Times New Roman"/>
          <w:sz w:val="22"/>
          <w:lang w:val="bg-BG"/>
        </w:rPr>
      </w:pPr>
      <w:r w:rsidRPr="00805152">
        <w:rPr>
          <w:rFonts w:ascii="Times New Roman" w:hAnsi="Times New Roman"/>
          <w:i/>
          <w:sz w:val="22"/>
          <w:lang w:val="bg-BG"/>
        </w:rPr>
        <w:lastRenderedPageBreak/>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24</w:t>
      </w:r>
      <w:r w:rsidRPr="00805152">
        <w:rPr>
          <w:rFonts w:ascii="Times New Roman" w:hAnsi="Times New Roman"/>
          <w:i/>
          <w:sz w:val="22"/>
          <w:lang w:val="bg-BG"/>
        </w:rPr>
        <w:fldChar w:fldCharType="end"/>
      </w:r>
      <w:r w:rsidRPr="00805152">
        <w:rPr>
          <w:rFonts w:ascii="Times New Roman" w:hAnsi="Times New Roman"/>
          <w:i/>
          <w:sz w:val="22"/>
          <w:lang w:val="bg-BG"/>
        </w:rPr>
        <w:t xml:space="preserve">: </w:t>
      </w:r>
      <w:r w:rsidRPr="009B1973">
        <w:rPr>
          <w:rFonts w:ascii="Times New Roman" w:hAnsi="Times New Roman"/>
          <w:i/>
          <w:sz w:val="22"/>
          <w:lang w:val="bg-BG"/>
        </w:rPr>
        <w:t>SWOT анализ на Вариант</w:t>
      </w:r>
      <w:r w:rsidR="00782A65">
        <w:rPr>
          <w:rFonts w:ascii="Times New Roman" w:hAnsi="Times New Roman"/>
          <w:i/>
          <w:sz w:val="22"/>
          <w:lang w:val="bg-BG"/>
        </w:rPr>
        <w:t xml:space="preserve"> 1 и Вариант 2</w:t>
      </w:r>
    </w:p>
    <w:tbl>
      <w:tblPr>
        <w:tblStyle w:val="TableGrid200"/>
        <w:tblW w:w="0" w:type="auto"/>
        <w:tblLook w:val="04A0" w:firstRow="1" w:lastRow="0" w:firstColumn="1" w:lastColumn="0" w:noHBand="0" w:noVBand="1"/>
      </w:tblPr>
      <w:tblGrid>
        <w:gridCol w:w="4672"/>
        <w:gridCol w:w="4672"/>
      </w:tblGrid>
      <w:tr w:rsidR="000C1EAF" w:rsidRPr="000C1EAF" w14:paraId="7B7C3E63" w14:textId="77777777" w:rsidTr="006D1FA1">
        <w:tc>
          <w:tcPr>
            <w:tcW w:w="4672" w:type="dxa"/>
          </w:tcPr>
          <w:p w14:paraId="036C35CB" w14:textId="77777777" w:rsidR="000C1EAF" w:rsidRPr="000C1EAF" w:rsidRDefault="000C1EAF" w:rsidP="000C1EAF">
            <w:pPr>
              <w:spacing w:after="0" w:line="276" w:lineRule="auto"/>
              <w:rPr>
                <w:rFonts w:ascii="Times New Roman" w:eastAsia="Times New Roman" w:hAnsi="Times New Roman"/>
                <w:b/>
                <w:sz w:val="22"/>
                <w:lang w:val="bg-BG"/>
              </w:rPr>
            </w:pPr>
            <w:r w:rsidRPr="000C1EAF">
              <w:rPr>
                <w:rFonts w:ascii="Times New Roman" w:eastAsia="Times New Roman" w:hAnsi="Times New Roman"/>
                <w:b/>
                <w:sz w:val="22"/>
                <w:lang w:val="bg-BG"/>
              </w:rPr>
              <w:t>Силни страни</w:t>
            </w:r>
          </w:p>
        </w:tc>
        <w:tc>
          <w:tcPr>
            <w:tcW w:w="4672" w:type="dxa"/>
          </w:tcPr>
          <w:p w14:paraId="69584C83" w14:textId="77777777" w:rsidR="000C1EAF" w:rsidRPr="000C1EAF" w:rsidRDefault="000C1EAF" w:rsidP="000C1EAF">
            <w:pPr>
              <w:spacing w:after="0" w:line="276" w:lineRule="auto"/>
              <w:rPr>
                <w:rFonts w:ascii="Times New Roman" w:eastAsia="Times New Roman" w:hAnsi="Times New Roman"/>
                <w:b/>
                <w:sz w:val="22"/>
                <w:lang w:val="bg-BG"/>
              </w:rPr>
            </w:pPr>
            <w:r w:rsidRPr="000C1EAF">
              <w:rPr>
                <w:rFonts w:ascii="Times New Roman" w:eastAsia="Times New Roman" w:hAnsi="Times New Roman"/>
                <w:b/>
                <w:sz w:val="22"/>
                <w:lang w:val="bg-BG"/>
              </w:rPr>
              <w:t>Слаби страни</w:t>
            </w:r>
          </w:p>
        </w:tc>
      </w:tr>
      <w:tr w:rsidR="000C1EAF" w:rsidRPr="000C1EAF" w14:paraId="26758631" w14:textId="77777777" w:rsidTr="006D1FA1">
        <w:tc>
          <w:tcPr>
            <w:tcW w:w="4672" w:type="dxa"/>
          </w:tcPr>
          <w:p w14:paraId="68726562" w14:textId="5FABDE89" w:rsidR="000C1EAF" w:rsidRPr="000C1EAF" w:rsidRDefault="009B1973"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Постига</w:t>
            </w:r>
            <w:r w:rsidR="000C1EAF" w:rsidRPr="000C1EAF">
              <w:rPr>
                <w:rFonts w:ascii="Times New Roman" w:eastAsia="Times New Roman" w:hAnsi="Times New Roman"/>
                <w:sz w:val="22"/>
                <w:lang w:val="bg-BG"/>
              </w:rPr>
              <w:t xml:space="preserve"> се </w:t>
            </w:r>
            <w:r>
              <w:rPr>
                <w:rFonts w:ascii="Times New Roman" w:eastAsia="Times New Roman" w:hAnsi="Times New Roman"/>
                <w:sz w:val="22"/>
                <w:lang w:val="bg-BG"/>
              </w:rPr>
              <w:t>повишаване на безопасността в акваторията на пристанище Бургас</w:t>
            </w:r>
            <w:r w:rsidR="000C1EAF" w:rsidRPr="000C1EAF">
              <w:rPr>
                <w:rFonts w:ascii="Times New Roman" w:eastAsia="Times New Roman" w:hAnsi="Times New Roman"/>
                <w:sz w:val="22"/>
                <w:lang w:val="bg-BG"/>
              </w:rPr>
              <w:t xml:space="preserve">; </w:t>
            </w:r>
          </w:p>
          <w:p w14:paraId="07A83F8A" w14:textId="03F6CA31" w:rsidR="000C1EAF" w:rsidRDefault="009B1973"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Осигурява се устойчивост на съпътстващи инвестиции в изграждане на инфраструктурата на пристанище Бургас</w:t>
            </w:r>
            <w:r w:rsidR="009A6780">
              <w:rPr>
                <w:rFonts w:ascii="Times New Roman" w:eastAsia="Times New Roman" w:hAnsi="Times New Roman"/>
                <w:sz w:val="22"/>
                <w:lang w:val="bg-BG"/>
              </w:rPr>
              <w:t>;</w:t>
            </w:r>
          </w:p>
          <w:p w14:paraId="591C1503" w14:textId="2DB77957" w:rsidR="002E7DF3" w:rsidRDefault="002E7DF3"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По-ниски разходи за СМР</w:t>
            </w:r>
            <w:r w:rsidR="009A6780">
              <w:rPr>
                <w:rFonts w:ascii="Times New Roman" w:eastAsia="Times New Roman" w:hAnsi="Times New Roman"/>
                <w:sz w:val="22"/>
                <w:lang w:val="bg-BG"/>
              </w:rPr>
              <w:t>;</w:t>
            </w:r>
            <w:r>
              <w:rPr>
                <w:rFonts w:ascii="Times New Roman" w:eastAsia="Times New Roman" w:hAnsi="Times New Roman"/>
                <w:sz w:val="22"/>
                <w:lang w:val="bg-BG"/>
              </w:rPr>
              <w:t xml:space="preserve"> </w:t>
            </w:r>
          </w:p>
          <w:p w14:paraId="5C9A49ED" w14:textId="0E6DE67D" w:rsidR="000C1EAF" w:rsidRPr="009A6780" w:rsidRDefault="00541785" w:rsidP="009A6780">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 xml:space="preserve">Има </w:t>
            </w:r>
            <w:r w:rsidR="009A6780">
              <w:rPr>
                <w:rFonts w:ascii="Times New Roman" w:eastAsia="Times New Roman" w:hAnsi="Times New Roman"/>
                <w:sz w:val="22"/>
                <w:lang w:val="bg-BG"/>
              </w:rPr>
              <w:t>изготвен</w:t>
            </w:r>
            <w:r>
              <w:rPr>
                <w:rFonts w:ascii="Times New Roman" w:eastAsia="Times New Roman" w:hAnsi="Times New Roman"/>
                <w:sz w:val="22"/>
                <w:lang w:val="bg-BG"/>
              </w:rPr>
              <w:t xml:space="preserve"> технически проект по който може да започне реализацията на проекта в сравнително кратки срокове</w:t>
            </w:r>
            <w:r w:rsidR="009A6780">
              <w:rPr>
                <w:rFonts w:ascii="Times New Roman" w:eastAsia="Times New Roman" w:hAnsi="Times New Roman"/>
                <w:sz w:val="22"/>
                <w:lang w:val="bg-BG"/>
              </w:rPr>
              <w:t>.</w:t>
            </w:r>
          </w:p>
        </w:tc>
        <w:tc>
          <w:tcPr>
            <w:tcW w:w="4672" w:type="dxa"/>
          </w:tcPr>
          <w:p w14:paraId="4186F598" w14:textId="2D6AA08E" w:rsidR="000C1EAF" w:rsidRPr="000C1EAF" w:rsidRDefault="009B1973" w:rsidP="0021547C">
            <w:pPr>
              <w:numPr>
                <w:ilvl w:val="0"/>
                <w:numId w:val="80"/>
              </w:numPr>
              <w:spacing w:after="0" w:line="276" w:lineRule="auto"/>
              <w:ind w:left="315" w:hanging="283"/>
              <w:contextualSpacing/>
              <w:jc w:val="left"/>
              <w:rPr>
                <w:rFonts w:ascii="Times New Roman" w:eastAsia="Times New Roman" w:hAnsi="Times New Roman"/>
                <w:sz w:val="22"/>
                <w:lang w:val="bg-BG"/>
              </w:rPr>
            </w:pPr>
            <w:r>
              <w:rPr>
                <w:rFonts w:ascii="Times New Roman" w:eastAsia="Times New Roman" w:hAnsi="Times New Roman"/>
                <w:sz w:val="22"/>
                <w:lang w:val="bg-BG"/>
              </w:rPr>
              <w:t>Недостатъчен принос към разширяването на зоната за обществен достъп в района пристанище Бургас</w:t>
            </w:r>
            <w:r w:rsidR="000C1EAF" w:rsidRPr="000C1EAF">
              <w:rPr>
                <w:rFonts w:ascii="Times New Roman" w:eastAsia="Times New Roman" w:hAnsi="Times New Roman"/>
                <w:sz w:val="22"/>
                <w:lang w:val="bg-BG"/>
              </w:rPr>
              <w:t>;</w:t>
            </w:r>
          </w:p>
          <w:p w14:paraId="22075DD4" w14:textId="77777777" w:rsidR="00782A65" w:rsidRDefault="000C1EAF" w:rsidP="0021547C">
            <w:pPr>
              <w:numPr>
                <w:ilvl w:val="0"/>
                <w:numId w:val="80"/>
              </w:numPr>
              <w:spacing w:after="0" w:line="276" w:lineRule="auto"/>
              <w:ind w:left="315" w:hanging="283"/>
              <w:contextualSpacing/>
              <w:jc w:val="left"/>
              <w:rPr>
                <w:rFonts w:ascii="Times New Roman" w:eastAsia="Times New Roman" w:hAnsi="Times New Roman"/>
                <w:sz w:val="22"/>
                <w:lang w:val="bg-BG"/>
              </w:rPr>
            </w:pPr>
            <w:r w:rsidRPr="000C1EAF">
              <w:rPr>
                <w:rFonts w:ascii="Times New Roman" w:eastAsia="Times New Roman" w:hAnsi="Times New Roman"/>
                <w:sz w:val="22"/>
                <w:lang w:val="bg-BG"/>
              </w:rPr>
              <w:t>Необходимост от допълнителни обследвания на конструктивното състояние на наличната инфраструктура</w:t>
            </w:r>
            <w:r w:rsidR="00782A65">
              <w:rPr>
                <w:rFonts w:ascii="Times New Roman" w:eastAsia="Times New Roman" w:hAnsi="Times New Roman"/>
                <w:sz w:val="22"/>
                <w:lang w:val="bg-BG"/>
              </w:rPr>
              <w:t>;</w:t>
            </w:r>
          </w:p>
          <w:p w14:paraId="34F497EF" w14:textId="1C628790" w:rsidR="009B1973" w:rsidRPr="000C1EAF" w:rsidRDefault="00782A65" w:rsidP="0021547C">
            <w:pPr>
              <w:numPr>
                <w:ilvl w:val="0"/>
                <w:numId w:val="80"/>
              </w:numPr>
              <w:spacing w:after="0" w:line="276" w:lineRule="auto"/>
              <w:ind w:left="315" w:hanging="283"/>
              <w:contextualSpacing/>
              <w:jc w:val="left"/>
              <w:rPr>
                <w:rFonts w:ascii="Times New Roman" w:eastAsia="Times New Roman" w:hAnsi="Times New Roman"/>
                <w:sz w:val="22"/>
                <w:lang w:val="bg-BG"/>
              </w:rPr>
            </w:pPr>
            <w:r>
              <w:rPr>
                <w:rFonts w:ascii="Times New Roman" w:eastAsia="Times New Roman" w:hAnsi="Times New Roman"/>
                <w:sz w:val="22"/>
                <w:lang w:val="bg-BG"/>
              </w:rPr>
              <w:t>Недостатъчно използване на естествени материали при строителството</w:t>
            </w:r>
            <w:r w:rsidR="009B1973">
              <w:rPr>
                <w:rFonts w:ascii="Times New Roman" w:eastAsia="Times New Roman" w:hAnsi="Times New Roman"/>
                <w:sz w:val="22"/>
                <w:lang w:val="bg-BG"/>
              </w:rPr>
              <w:t>.</w:t>
            </w:r>
          </w:p>
        </w:tc>
      </w:tr>
      <w:tr w:rsidR="000C1EAF" w:rsidRPr="000C1EAF" w14:paraId="12FA7038" w14:textId="77777777" w:rsidTr="006D1FA1">
        <w:tc>
          <w:tcPr>
            <w:tcW w:w="4672" w:type="dxa"/>
          </w:tcPr>
          <w:p w14:paraId="05A9BB87" w14:textId="0FA756C6" w:rsidR="000C1EAF" w:rsidRPr="000C1EAF" w:rsidRDefault="000C1EAF" w:rsidP="000C1EAF">
            <w:pPr>
              <w:spacing w:after="0" w:line="276" w:lineRule="auto"/>
              <w:ind w:left="337" w:hanging="337"/>
              <w:jc w:val="left"/>
              <w:rPr>
                <w:rFonts w:ascii="Times New Roman" w:eastAsia="Times New Roman" w:hAnsi="Times New Roman"/>
                <w:b/>
                <w:sz w:val="22"/>
                <w:lang w:val="bg-BG"/>
              </w:rPr>
            </w:pPr>
            <w:r w:rsidRPr="000C1EAF">
              <w:rPr>
                <w:rFonts w:ascii="Times New Roman" w:eastAsia="Times New Roman" w:hAnsi="Times New Roman"/>
                <w:b/>
                <w:sz w:val="22"/>
                <w:lang w:val="bg-BG"/>
              </w:rPr>
              <w:t>Възможности</w:t>
            </w:r>
          </w:p>
          <w:p w14:paraId="2119D958" w14:textId="0784E2EC" w:rsidR="000C1EAF" w:rsidRPr="000C1EAF" w:rsidRDefault="009B1973" w:rsidP="0021547C">
            <w:pPr>
              <w:numPr>
                <w:ilvl w:val="0"/>
                <w:numId w:val="89"/>
              </w:numPr>
              <w:spacing w:after="0" w:line="276" w:lineRule="auto"/>
              <w:ind w:left="337" w:hanging="337"/>
              <w:contextualSpacing/>
              <w:jc w:val="left"/>
              <w:rPr>
                <w:rFonts w:ascii="Times New Roman" w:eastAsia="Times New Roman" w:hAnsi="Times New Roman"/>
                <w:sz w:val="22"/>
                <w:lang w:val="bg-BG"/>
              </w:rPr>
            </w:pPr>
            <w:r>
              <w:rPr>
                <w:rFonts w:ascii="Times New Roman" w:eastAsia="Times New Roman" w:hAnsi="Times New Roman"/>
                <w:sz w:val="22"/>
                <w:lang w:val="bg-BG"/>
              </w:rPr>
              <w:t>Подобряване на устойчивостта на конструкцията от геотехнически и хидростатически характер</w:t>
            </w:r>
            <w:r w:rsidR="000C1EAF" w:rsidRPr="000C1EAF">
              <w:rPr>
                <w:rFonts w:ascii="Times New Roman" w:eastAsia="Times New Roman" w:hAnsi="Times New Roman"/>
                <w:sz w:val="22"/>
                <w:lang w:val="bg-BG"/>
              </w:rPr>
              <w:t>;</w:t>
            </w:r>
          </w:p>
          <w:p w14:paraId="77B3B811" w14:textId="237262C2" w:rsidR="000C1EAF" w:rsidRPr="000C1EAF" w:rsidRDefault="009B1973" w:rsidP="0021547C">
            <w:pPr>
              <w:numPr>
                <w:ilvl w:val="0"/>
                <w:numId w:val="89"/>
              </w:numPr>
              <w:spacing w:after="0" w:line="276" w:lineRule="auto"/>
              <w:ind w:left="337" w:hanging="337"/>
              <w:contextualSpacing/>
              <w:jc w:val="left"/>
              <w:rPr>
                <w:rFonts w:ascii="Times New Roman" w:eastAsia="Times New Roman" w:hAnsi="Times New Roman"/>
                <w:sz w:val="22"/>
                <w:lang w:val="bg-BG"/>
              </w:rPr>
            </w:pPr>
            <w:r>
              <w:rPr>
                <w:rFonts w:ascii="Times New Roman" w:eastAsia="Times New Roman" w:hAnsi="Times New Roman"/>
                <w:sz w:val="22"/>
                <w:lang w:val="bg-BG"/>
              </w:rPr>
              <w:t>Гарантирана дълготрайност на цялата конструкция</w:t>
            </w:r>
            <w:r w:rsidR="000C1EAF" w:rsidRPr="000C1EAF">
              <w:rPr>
                <w:rFonts w:ascii="Times New Roman" w:eastAsia="Times New Roman" w:hAnsi="Times New Roman"/>
                <w:sz w:val="22"/>
                <w:lang w:val="bg-BG"/>
              </w:rPr>
              <w:t>.</w:t>
            </w:r>
          </w:p>
        </w:tc>
        <w:tc>
          <w:tcPr>
            <w:tcW w:w="4672" w:type="dxa"/>
          </w:tcPr>
          <w:p w14:paraId="44A95FBC" w14:textId="77777777" w:rsidR="000C1EAF" w:rsidRPr="000C1EAF" w:rsidRDefault="000C1EAF" w:rsidP="000C1EAF">
            <w:pPr>
              <w:spacing w:after="0" w:line="276" w:lineRule="auto"/>
              <w:ind w:left="345" w:hanging="345"/>
              <w:jc w:val="left"/>
              <w:rPr>
                <w:rFonts w:ascii="Times New Roman" w:eastAsia="Times New Roman" w:hAnsi="Times New Roman"/>
                <w:b/>
                <w:sz w:val="22"/>
                <w:lang w:val="bg-BG"/>
              </w:rPr>
            </w:pPr>
            <w:r w:rsidRPr="000C1EAF">
              <w:rPr>
                <w:rFonts w:ascii="Times New Roman" w:eastAsia="Times New Roman" w:hAnsi="Times New Roman"/>
                <w:b/>
                <w:sz w:val="22"/>
                <w:lang w:val="bg-BG"/>
              </w:rPr>
              <w:t>Заплахи</w:t>
            </w:r>
          </w:p>
          <w:p w14:paraId="6DA5F6D0" w14:textId="77777777" w:rsidR="000C1EAF" w:rsidRPr="000C1EAF" w:rsidRDefault="000C1EAF" w:rsidP="0021547C">
            <w:pPr>
              <w:numPr>
                <w:ilvl w:val="0"/>
                <w:numId w:val="89"/>
              </w:numPr>
              <w:spacing w:after="0" w:line="276" w:lineRule="auto"/>
              <w:ind w:left="345" w:hanging="345"/>
              <w:contextualSpacing/>
              <w:jc w:val="left"/>
              <w:rPr>
                <w:rFonts w:ascii="Times New Roman" w:eastAsia="Times New Roman" w:hAnsi="Times New Roman"/>
                <w:sz w:val="22"/>
                <w:lang w:val="bg-BG"/>
              </w:rPr>
            </w:pPr>
            <w:r w:rsidRPr="000C1EAF">
              <w:rPr>
                <w:rFonts w:ascii="Times New Roman" w:eastAsia="Times New Roman" w:hAnsi="Times New Roman"/>
                <w:sz w:val="22"/>
                <w:lang w:val="bg-BG"/>
              </w:rPr>
              <w:t>Завишени разходи за експлоатация и поддръжка.</w:t>
            </w:r>
          </w:p>
        </w:tc>
      </w:tr>
    </w:tbl>
    <w:p w14:paraId="13644A55" w14:textId="77777777" w:rsidR="00837F25" w:rsidRDefault="00837F25" w:rsidP="00837F25">
      <w:pPr>
        <w:spacing w:after="0" w:line="360" w:lineRule="auto"/>
        <w:ind w:firstLine="720"/>
        <w:jc w:val="center"/>
        <w:rPr>
          <w:rFonts w:ascii="Times New Roman" w:hAnsi="Times New Roman"/>
          <w:i/>
          <w:sz w:val="22"/>
          <w:lang w:val="bg-BG"/>
        </w:rPr>
      </w:pPr>
    </w:p>
    <w:p w14:paraId="21EBDD3D" w14:textId="0D5AABAC" w:rsidR="000C1EAF" w:rsidRPr="000C1EAF" w:rsidRDefault="00782A65" w:rsidP="00837F25">
      <w:pPr>
        <w:spacing w:after="0" w:line="360" w:lineRule="auto"/>
        <w:ind w:firstLine="720"/>
        <w:jc w:val="center"/>
        <w:rPr>
          <w:rFonts w:ascii="Times New Roman" w:eastAsia="Times New Roman" w:hAnsi="Times New Roman"/>
          <w:sz w:val="22"/>
          <w:lang w:val="bg-BG"/>
        </w:rPr>
      </w:pPr>
      <w:r w:rsidRPr="00805152">
        <w:rPr>
          <w:rFonts w:ascii="Times New Roman" w:hAnsi="Times New Roman"/>
          <w:i/>
          <w:sz w:val="22"/>
          <w:lang w:val="bg-BG"/>
        </w:rPr>
        <w:t xml:space="preserve">Таблица </w:t>
      </w:r>
      <w:r w:rsidRPr="00805152">
        <w:rPr>
          <w:rFonts w:ascii="Times New Roman" w:hAnsi="Times New Roman"/>
          <w:i/>
          <w:sz w:val="22"/>
          <w:lang w:val="bg-BG"/>
        </w:rPr>
        <w:fldChar w:fldCharType="begin"/>
      </w:r>
      <w:r w:rsidRPr="00805152">
        <w:rPr>
          <w:rFonts w:ascii="Times New Roman" w:hAnsi="Times New Roman"/>
          <w:i/>
          <w:sz w:val="22"/>
          <w:lang w:val="bg-BG"/>
        </w:rPr>
        <w:instrText>SEQ Таблица_ \* ARABIC</w:instrText>
      </w:r>
      <w:r w:rsidRPr="00805152">
        <w:rPr>
          <w:rFonts w:ascii="Times New Roman" w:hAnsi="Times New Roman"/>
          <w:i/>
          <w:sz w:val="22"/>
          <w:lang w:val="bg-BG"/>
        </w:rPr>
        <w:fldChar w:fldCharType="separate"/>
      </w:r>
      <w:r w:rsidR="00490063">
        <w:rPr>
          <w:rFonts w:ascii="Times New Roman" w:hAnsi="Times New Roman"/>
          <w:i/>
          <w:noProof/>
          <w:sz w:val="22"/>
          <w:lang w:val="bg-BG"/>
        </w:rPr>
        <w:t>25</w:t>
      </w:r>
      <w:r w:rsidRPr="00805152">
        <w:rPr>
          <w:rFonts w:ascii="Times New Roman" w:hAnsi="Times New Roman"/>
          <w:i/>
          <w:sz w:val="22"/>
          <w:lang w:val="bg-BG"/>
        </w:rPr>
        <w:fldChar w:fldCharType="end"/>
      </w:r>
      <w:r w:rsidRPr="00805152">
        <w:rPr>
          <w:rFonts w:ascii="Times New Roman" w:hAnsi="Times New Roman"/>
          <w:i/>
          <w:sz w:val="22"/>
          <w:lang w:val="bg-BG"/>
        </w:rPr>
        <w:t xml:space="preserve">: </w:t>
      </w:r>
      <w:r w:rsidRPr="009B1973">
        <w:rPr>
          <w:rFonts w:ascii="Times New Roman" w:hAnsi="Times New Roman"/>
          <w:i/>
          <w:sz w:val="22"/>
          <w:lang w:val="bg-BG"/>
        </w:rPr>
        <w:t>SWOT анализ на Вариант</w:t>
      </w:r>
      <w:r>
        <w:rPr>
          <w:rFonts w:ascii="Times New Roman" w:hAnsi="Times New Roman"/>
          <w:i/>
          <w:sz w:val="22"/>
          <w:lang w:val="bg-BG"/>
        </w:rPr>
        <w:t xml:space="preserve"> 3</w:t>
      </w:r>
    </w:p>
    <w:tbl>
      <w:tblPr>
        <w:tblStyle w:val="TableGrid200"/>
        <w:tblW w:w="0" w:type="auto"/>
        <w:tblLook w:val="04A0" w:firstRow="1" w:lastRow="0" w:firstColumn="1" w:lastColumn="0" w:noHBand="0" w:noVBand="1"/>
      </w:tblPr>
      <w:tblGrid>
        <w:gridCol w:w="4672"/>
        <w:gridCol w:w="4672"/>
      </w:tblGrid>
      <w:tr w:rsidR="00782A65" w:rsidRPr="000C1EAF" w14:paraId="55F9D9AD" w14:textId="77777777" w:rsidTr="006D1FA1">
        <w:tc>
          <w:tcPr>
            <w:tcW w:w="4672" w:type="dxa"/>
          </w:tcPr>
          <w:p w14:paraId="0D69A8CE" w14:textId="77777777" w:rsidR="00782A65" w:rsidRPr="000C1EAF" w:rsidRDefault="00782A65" w:rsidP="006D1FA1">
            <w:pPr>
              <w:spacing w:after="0" w:line="276" w:lineRule="auto"/>
              <w:rPr>
                <w:rFonts w:ascii="Times New Roman" w:eastAsia="Times New Roman" w:hAnsi="Times New Roman"/>
                <w:b/>
                <w:sz w:val="22"/>
                <w:lang w:val="bg-BG"/>
              </w:rPr>
            </w:pPr>
            <w:r w:rsidRPr="000C1EAF">
              <w:rPr>
                <w:rFonts w:ascii="Times New Roman" w:eastAsia="Times New Roman" w:hAnsi="Times New Roman"/>
                <w:b/>
                <w:sz w:val="22"/>
                <w:lang w:val="bg-BG"/>
              </w:rPr>
              <w:t>Силни страни</w:t>
            </w:r>
          </w:p>
        </w:tc>
        <w:tc>
          <w:tcPr>
            <w:tcW w:w="4672" w:type="dxa"/>
          </w:tcPr>
          <w:p w14:paraId="297DB0F1" w14:textId="77777777" w:rsidR="00782A65" w:rsidRPr="000C1EAF" w:rsidRDefault="00782A65" w:rsidP="006D1FA1">
            <w:pPr>
              <w:spacing w:after="0" w:line="276" w:lineRule="auto"/>
              <w:rPr>
                <w:rFonts w:ascii="Times New Roman" w:eastAsia="Times New Roman" w:hAnsi="Times New Roman"/>
                <w:b/>
                <w:sz w:val="22"/>
                <w:lang w:val="bg-BG"/>
              </w:rPr>
            </w:pPr>
            <w:r w:rsidRPr="000C1EAF">
              <w:rPr>
                <w:rFonts w:ascii="Times New Roman" w:eastAsia="Times New Roman" w:hAnsi="Times New Roman"/>
                <w:b/>
                <w:sz w:val="22"/>
                <w:lang w:val="bg-BG"/>
              </w:rPr>
              <w:t>Слаби страни</w:t>
            </w:r>
          </w:p>
        </w:tc>
      </w:tr>
      <w:tr w:rsidR="00782A65" w:rsidRPr="000C1EAF" w14:paraId="20E5166C" w14:textId="77777777" w:rsidTr="006D1FA1">
        <w:tc>
          <w:tcPr>
            <w:tcW w:w="4672" w:type="dxa"/>
          </w:tcPr>
          <w:p w14:paraId="6D20B0AA" w14:textId="585723A0" w:rsidR="00782A65" w:rsidRPr="000C1EAF" w:rsidRDefault="00782A65"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Постига</w:t>
            </w:r>
            <w:r w:rsidRPr="000C1EAF">
              <w:rPr>
                <w:rFonts w:ascii="Times New Roman" w:eastAsia="Times New Roman" w:hAnsi="Times New Roman"/>
                <w:sz w:val="22"/>
                <w:lang w:val="bg-BG"/>
              </w:rPr>
              <w:t xml:space="preserve"> се </w:t>
            </w:r>
            <w:r>
              <w:rPr>
                <w:rFonts w:ascii="Times New Roman" w:eastAsia="Times New Roman" w:hAnsi="Times New Roman"/>
                <w:sz w:val="22"/>
                <w:lang w:val="bg-BG"/>
              </w:rPr>
              <w:t>повишаване на безопасността в акваторията на пристанище Бургас</w:t>
            </w:r>
            <w:r w:rsidRPr="000C1EAF">
              <w:rPr>
                <w:rFonts w:ascii="Times New Roman" w:eastAsia="Times New Roman" w:hAnsi="Times New Roman"/>
                <w:sz w:val="22"/>
                <w:lang w:val="bg-BG"/>
              </w:rPr>
              <w:t xml:space="preserve">; </w:t>
            </w:r>
          </w:p>
          <w:p w14:paraId="77216CC8" w14:textId="77777777" w:rsidR="00782A65" w:rsidRDefault="00782A65"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Осигурява се устойчивост на съпътстващи инвестиции в изграждане на инфраструктурата на пристанище Бургас;</w:t>
            </w:r>
          </w:p>
          <w:p w14:paraId="1A265C67" w14:textId="75322F90" w:rsidR="00782A65" w:rsidRDefault="00782A65"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Съществен принос към разширяването на зоната за обществен достъп в района пристанище Бургас</w:t>
            </w:r>
            <w:r w:rsidRPr="000C1EAF">
              <w:rPr>
                <w:rFonts w:ascii="Times New Roman" w:eastAsia="Times New Roman" w:hAnsi="Times New Roman"/>
                <w:sz w:val="22"/>
                <w:lang w:val="bg-BG"/>
              </w:rPr>
              <w:t>;</w:t>
            </w:r>
          </w:p>
          <w:p w14:paraId="4CB38B99" w14:textId="43ED23C9" w:rsidR="00782A65" w:rsidRPr="000C1EAF" w:rsidRDefault="00782A65" w:rsidP="0021547C">
            <w:pPr>
              <w:numPr>
                <w:ilvl w:val="0"/>
                <w:numId w:val="80"/>
              </w:numPr>
              <w:spacing w:after="0" w:line="276" w:lineRule="auto"/>
              <w:ind w:left="337" w:hanging="337"/>
              <w:jc w:val="left"/>
              <w:rPr>
                <w:rFonts w:ascii="Times New Roman" w:eastAsia="Times New Roman" w:hAnsi="Times New Roman"/>
                <w:sz w:val="22"/>
                <w:lang w:val="bg-BG"/>
              </w:rPr>
            </w:pPr>
            <w:r>
              <w:rPr>
                <w:rFonts w:ascii="Times New Roman" w:eastAsia="Times New Roman" w:hAnsi="Times New Roman"/>
                <w:sz w:val="22"/>
                <w:lang w:val="bg-BG"/>
              </w:rPr>
              <w:t>Използване на естествени материали при строителството.</w:t>
            </w:r>
          </w:p>
        </w:tc>
        <w:tc>
          <w:tcPr>
            <w:tcW w:w="4672" w:type="dxa"/>
          </w:tcPr>
          <w:p w14:paraId="6109DD48" w14:textId="77777777" w:rsidR="009A6780" w:rsidRDefault="00782A65" w:rsidP="009A6780">
            <w:pPr>
              <w:numPr>
                <w:ilvl w:val="0"/>
                <w:numId w:val="80"/>
              </w:numPr>
              <w:spacing w:after="0" w:line="276" w:lineRule="auto"/>
              <w:ind w:left="315" w:hanging="283"/>
              <w:contextualSpacing/>
              <w:jc w:val="left"/>
              <w:rPr>
                <w:rFonts w:ascii="Times New Roman" w:eastAsia="Times New Roman" w:hAnsi="Times New Roman"/>
                <w:sz w:val="22"/>
                <w:lang w:val="bg-BG"/>
              </w:rPr>
            </w:pPr>
            <w:r w:rsidRPr="000C1EAF">
              <w:rPr>
                <w:rFonts w:ascii="Times New Roman" w:eastAsia="Times New Roman" w:hAnsi="Times New Roman"/>
                <w:sz w:val="22"/>
                <w:lang w:val="bg-BG"/>
              </w:rPr>
              <w:t>Необходимост от допълнителни обследвания на конструктивното състояние на наличната инфраструктура</w:t>
            </w:r>
            <w:r w:rsidR="009A6780">
              <w:rPr>
                <w:rFonts w:ascii="Times New Roman" w:eastAsia="Times New Roman" w:hAnsi="Times New Roman"/>
                <w:sz w:val="22"/>
                <w:lang w:val="bg-BG"/>
              </w:rPr>
              <w:t>;</w:t>
            </w:r>
          </w:p>
          <w:p w14:paraId="218C45DE" w14:textId="08ABC64C" w:rsidR="009A6780" w:rsidRPr="009A6780" w:rsidRDefault="009A6780" w:rsidP="00541785">
            <w:pPr>
              <w:numPr>
                <w:ilvl w:val="0"/>
                <w:numId w:val="80"/>
              </w:numPr>
              <w:spacing w:after="0" w:line="276" w:lineRule="auto"/>
              <w:ind w:left="315" w:hanging="283"/>
              <w:contextualSpacing/>
              <w:jc w:val="left"/>
              <w:rPr>
                <w:rFonts w:ascii="Times New Roman" w:eastAsia="Times New Roman" w:hAnsi="Times New Roman"/>
                <w:lang w:val="bg-BG"/>
              </w:rPr>
            </w:pPr>
            <w:r>
              <w:rPr>
                <w:rFonts w:ascii="Times New Roman" w:eastAsia="Times New Roman" w:hAnsi="Times New Roman"/>
                <w:sz w:val="22"/>
                <w:lang w:val="bg-BG"/>
              </w:rPr>
              <w:t>По-</w:t>
            </w:r>
            <w:r w:rsidR="002E7DF3" w:rsidRPr="009A6780">
              <w:rPr>
                <w:rFonts w:ascii="Times New Roman" w:eastAsia="Times New Roman" w:hAnsi="Times New Roman"/>
                <w:sz w:val="22"/>
                <w:lang w:val="bg-BG"/>
              </w:rPr>
              <w:t xml:space="preserve">високи </w:t>
            </w:r>
            <w:r w:rsidRPr="009A6780">
              <w:rPr>
                <w:rFonts w:ascii="Times New Roman" w:eastAsia="Times New Roman" w:hAnsi="Times New Roman"/>
                <w:sz w:val="22"/>
                <w:lang w:val="bg-BG"/>
              </w:rPr>
              <w:t xml:space="preserve">разходи </w:t>
            </w:r>
            <w:r>
              <w:rPr>
                <w:rFonts w:ascii="Times New Roman" w:eastAsia="Times New Roman" w:hAnsi="Times New Roman"/>
                <w:sz w:val="22"/>
                <w:lang w:val="bg-BG"/>
              </w:rPr>
              <w:t xml:space="preserve">за </w:t>
            </w:r>
            <w:r w:rsidR="002E7DF3" w:rsidRPr="009A6780">
              <w:rPr>
                <w:rFonts w:ascii="Times New Roman" w:eastAsia="Times New Roman" w:hAnsi="Times New Roman"/>
                <w:sz w:val="22"/>
                <w:lang w:val="bg-BG"/>
              </w:rPr>
              <w:t>СМР</w:t>
            </w:r>
            <w:r>
              <w:rPr>
                <w:rFonts w:ascii="Times New Roman" w:eastAsia="Times New Roman" w:hAnsi="Times New Roman"/>
                <w:sz w:val="22"/>
                <w:lang w:val="bg-BG"/>
              </w:rPr>
              <w:t>.</w:t>
            </w:r>
          </w:p>
          <w:p w14:paraId="0EF32528" w14:textId="7A7446C7" w:rsidR="00541785" w:rsidRPr="00541785" w:rsidRDefault="00541785" w:rsidP="009A6780">
            <w:pPr>
              <w:spacing w:after="0" w:line="276" w:lineRule="auto"/>
              <w:ind w:left="32"/>
              <w:contextualSpacing/>
              <w:jc w:val="left"/>
              <w:rPr>
                <w:rFonts w:ascii="Times New Roman" w:eastAsia="Times New Roman" w:hAnsi="Times New Roman"/>
                <w:lang w:val="bg-BG"/>
              </w:rPr>
            </w:pPr>
          </w:p>
        </w:tc>
      </w:tr>
      <w:tr w:rsidR="00782A65" w:rsidRPr="000C1EAF" w14:paraId="1110F97F" w14:textId="77777777" w:rsidTr="006D1FA1">
        <w:tc>
          <w:tcPr>
            <w:tcW w:w="4672" w:type="dxa"/>
          </w:tcPr>
          <w:p w14:paraId="0F99EB21" w14:textId="0377955E" w:rsidR="00782A65" w:rsidRPr="000C1EAF" w:rsidRDefault="00782A65" w:rsidP="006D1FA1">
            <w:pPr>
              <w:spacing w:after="0" w:line="276" w:lineRule="auto"/>
              <w:ind w:left="337" w:hanging="337"/>
              <w:jc w:val="left"/>
              <w:rPr>
                <w:rFonts w:ascii="Times New Roman" w:eastAsia="Times New Roman" w:hAnsi="Times New Roman"/>
                <w:b/>
                <w:sz w:val="22"/>
                <w:lang w:val="bg-BG"/>
              </w:rPr>
            </w:pPr>
            <w:r w:rsidRPr="000C1EAF">
              <w:rPr>
                <w:rFonts w:ascii="Times New Roman" w:eastAsia="Times New Roman" w:hAnsi="Times New Roman"/>
                <w:b/>
                <w:sz w:val="22"/>
                <w:lang w:val="bg-BG"/>
              </w:rPr>
              <w:t>Възможности</w:t>
            </w:r>
          </w:p>
          <w:p w14:paraId="1EDE05D1" w14:textId="77777777" w:rsidR="00782A65" w:rsidRPr="000C1EAF" w:rsidRDefault="00782A65" w:rsidP="0021547C">
            <w:pPr>
              <w:numPr>
                <w:ilvl w:val="0"/>
                <w:numId w:val="89"/>
              </w:numPr>
              <w:spacing w:after="0" w:line="276" w:lineRule="auto"/>
              <w:ind w:left="337" w:hanging="337"/>
              <w:contextualSpacing/>
              <w:jc w:val="left"/>
              <w:rPr>
                <w:rFonts w:ascii="Times New Roman" w:eastAsia="Times New Roman" w:hAnsi="Times New Roman"/>
                <w:sz w:val="22"/>
                <w:lang w:val="bg-BG"/>
              </w:rPr>
            </w:pPr>
            <w:r>
              <w:rPr>
                <w:rFonts w:ascii="Times New Roman" w:eastAsia="Times New Roman" w:hAnsi="Times New Roman"/>
                <w:sz w:val="22"/>
                <w:lang w:val="bg-BG"/>
              </w:rPr>
              <w:t>Подобряване на устойчивостта на конструкцията от геотехнически и хидростатически характер</w:t>
            </w:r>
            <w:r w:rsidRPr="000C1EAF">
              <w:rPr>
                <w:rFonts w:ascii="Times New Roman" w:eastAsia="Times New Roman" w:hAnsi="Times New Roman"/>
                <w:sz w:val="22"/>
                <w:lang w:val="bg-BG"/>
              </w:rPr>
              <w:t>;</w:t>
            </w:r>
          </w:p>
          <w:p w14:paraId="4691D893" w14:textId="04767F60" w:rsidR="00782A65" w:rsidRPr="009A6780" w:rsidRDefault="00782A65" w:rsidP="009A6780">
            <w:pPr>
              <w:numPr>
                <w:ilvl w:val="0"/>
                <w:numId w:val="89"/>
              </w:numPr>
              <w:spacing w:after="0" w:line="276" w:lineRule="auto"/>
              <w:ind w:left="337" w:hanging="337"/>
              <w:contextualSpacing/>
              <w:jc w:val="left"/>
              <w:rPr>
                <w:rFonts w:ascii="Times New Roman" w:eastAsia="Times New Roman" w:hAnsi="Times New Roman"/>
                <w:sz w:val="22"/>
                <w:lang w:val="bg-BG"/>
              </w:rPr>
            </w:pPr>
            <w:r>
              <w:rPr>
                <w:rFonts w:ascii="Times New Roman" w:eastAsia="Times New Roman" w:hAnsi="Times New Roman"/>
                <w:sz w:val="22"/>
                <w:lang w:val="bg-BG"/>
              </w:rPr>
              <w:t>Гарантирана дълг</w:t>
            </w:r>
            <w:r w:rsidR="009A6780">
              <w:rPr>
                <w:rFonts w:ascii="Times New Roman" w:eastAsia="Times New Roman" w:hAnsi="Times New Roman"/>
                <w:sz w:val="22"/>
                <w:lang w:val="bg-BG"/>
              </w:rPr>
              <w:t>отрайност на цялата конструкция.</w:t>
            </w:r>
          </w:p>
        </w:tc>
        <w:tc>
          <w:tcPr>
            <w:tcW w:w="4672" w:type="dxa"/>
          </w:tcPr>
          <w:p w14:paraId="642E5B56" w14:textId="77777777" w:rsidR="00782A65" w:rsidRPr="000C1EAF" w:rsidRDefault="00782A65" w:rsidP="006D1FA1">
            <w:pPr>
              <w:spacing w:after="0" w:line="276" w:lineRule="auto"/>
              <w:ind w:left="345" w:hanging="345"/>
              <w:jc w:val="left"/>
              <w:rPr>
                <w:rFonts w:ascii="Times New Roman" w:eastAsia="Times New Roman" w:hAnsi="Times New Roman"/>
                <w:b/>
                <w:sz w:val="22"/>
                <w:lang w:val="bg-BG"/>
              </w:rPr>
            </w:pPr>
            <w:r w:rsidRPr="000C1EAF">
              <w:rPr>
                <w:rFonts w:ascii="Times New Roman" w:eastAsia="Times New Roman" w:hAnsi="Times New Roman"/>
                <w:b/>
                <w:sz w:val="22"/>
                <w:lang w:val="bg-BG"/>
              </w:rPr>
              <w:t>Заплахи</w:t>
            </w:r>
          </w:p>
          <w:p w14:paraId="6172ED93" w14:textId="59CC2718" w:rsidR="00782A65" w:rsidRPr="000C1EAF" w:rsidRDefault="009A6780" w:rsidP="009A6780">
            <w:pPr>
              <w:numPr>
                <w:ilvl w:val="0"/>
                <w:numId w:val="80"/>
              </w:numPr>
              <w:spacing w:after="0" w:line="276" w:lineRule="auto"/>
              <w:ind w:left="315" w:hanging="283"/>
              <w:contextualSpacing/>
              <w:jc w:val="left"/>
              <w:rPr>
                <w:rFonts w:ascii="Times New Roman" w:eastAsia="Times New Roman" w:hAnsi="Times New Roman"/>
                <w:sz w:val="22"/>
                <w:lang w:val="bg-BG"/>
              </w:rPr>
            </w:pPr>
            <w:r>
              <w:rPr>
                <w:rFonts w:ascii="Times New Roman" w:eastAsia="Times New Roman" w:hAnsi="Times New Roman"/>
                <w:sz w:val="22"/>
                <w:lang w:val="bg-BG"/>
              </w:rPr>
              <w:t>Необходимост от препроектиране и забавяне на проекта за съгласуване.</w:t>
            </w:r>
          </w:p>
        </w:tc>
      </w:tr>
    </w:tbl>
    <w:p w14:paraId="5409B440" w14:textId="50FE6744" w:rsidR="008D157D" w:rsidRPr="00B33278" w:rsidRDefault="000C1EAF" w:rsidP="00B33278">
      <w:pPr>
        <w:spacing w:after="0" w:line="360" w:lineRule="auto"/>
        <w:ind w:firstLine="720"/>
        <w:rPr>
          <w:rFonts w:ascii="Times New Roman" w:eastAsia="Times New Roman" w:hAnsi="Times New Roman"/>
          <w:sz w:val="22"/>
          <w:lang w:val="bg-BG"/>
        </w:rPr>
      </w:pPr>
      <w:bookmarkStart w:id="131" w:name="_Hlk137050949"/>
      <w:r w:rsidRPr="000C1EAF">
        <w:rPr>
          <w:rFonts w:ascii="Times New Roman" w:eastAsia="Times New Roman" w:hAnsi="Times New Roman"/>
          <w:sz w:val="22"/>
          <w:lang w:val="bg-BG"/>
        </w:rPr>
        <w:t xml:space="preserve">Изводите са, че трите </w:t>
      </w:r>
      <w:r>
        <w:rPr>
          <w:rFonts w:ascii="Times New Roman" w:eastAsia="Times New Roman" w:hAnsi="Times New Roman"/>
          <w:sz w:val="22"/>
          <w:lang w:val="bg-BG"/>
        </w:rPr>
        <w:t xml:space="preserve">разгледани </w:t>
      </w:r>
      <w:r w:rsidRPr="000C1EAF">
        <w:rPr>
          <w:rFonts w:ascii="Times New Roman" w:eastAsia="Times New Roman" w:hAnsi="Times New Roman"/>
          <w:sz w:val="22"/>
          <w:lang w:val="bg-BG"/>
        </w:rPr>
        <w:t>варианта са много близки и техните предимства и недостатъци трябва да бъдат количествено оценени, чрез МКА, за да се направи обективен избор на предпочитан вариант.</w:t>
      </w:r>
    </w:p>
    <w:p w14:paraId="3A985E81" w14:textId="4002E24D" w:rsidR="009F321D" w:rsidRPr="00805152" w:rsidRDefault="009F321D" w:rsidP="009F321D">
      <w:pPr>
        <w:pStyle w:val="Heading2"/>
        <w:rPr>
          <w:rFonts w:ascii="Times New Roman" w:hAnsi="Times New Roman"/>
          <w:lang w:val="bg-BG"/>
        </w:rPr>
      </w:pPr>
      <w:bookmarkStart w:id="132" w:name="_Toc136961126"/>
      <w:bookmarkEnd w:id="131"/>
      <w:r w:rsidRPr="00805152">
        <w:rPr>
          <w:rFonts w:ascii="Times New Roman" w:hAnsi="Times New Roman"/>
          <w:lang w:val="bg-BG"/>
        </w:rPr>
        <w:lastRenderedPageBreak/>
        <w:t>Мулти</w:t>
      </w:r>
      <w:r w:rsidR="00B842D5" w:rsidRPr="00805152">
        <w:rPr>
          <w:rFonts w:ascii="Times New Roman" w:hAnsi="Times New Roman"/>
          <w:lang w:val="bg-BG"/>
        </w:rPr>
        <w:t>к</w:t>
      </w:r>
      <w:r w:rsidRPr="00805152">
        <w:rPr>
          <w:rFonts w:ascii="Times New Roman" w:hAnsi="Times New Roman"/>
          <w:lang w:val="bg-BG"/>
        </w:rPr>
        <w:t>ритери</w:t>
      </w:r>
      <w:r w:rsidR="00B842D5" w:rsidRPr="00805152">
        <w:rPr>
          <w:rFonts w:ascii="Times New Roman" w:hAnsi="Times New Roman"/>
          <w:lang w:val="bg-BG"/>
        </w:rPr>
        <w:t>ал</w:t>
      </w:r>
      <w:r w:rsidRPr="00805152">
        <w:rPr>
          <w:rFonts w:ascii="Times New Roman" w:hAnsi="Times New Roman"/>
          <w:lang w:val="bg-BG"/>
        </w:rPr>
        <w:t>ен Анализ (МКА) и Оценка на Вариантите</w:t>
      </w:r>
      <w:bookmarkEnd w:id="132"/>
      <w:r w:rsidRPr="00805152">
        <w:rPr>
          <w:rFonts w:ascii="Times New Roman" w:hAnsi="Times New Roman"/>
          <w:lang w:val="bg-BG"/>
        </w:rPr>
        <w:t xml:space="preserve"> </w:t>
      </w:r>
    </w:p>
    <w:p w14:paraId="7D344FDC" w14:textId="77777777" w:rsidR="00DE19E4" w:rsidRPr="004C5F2A" w:rsidRDefault="00DE19E4" w:rsidP="004C5F2A">
      <w:pPr>
        <w:spacing w:after="0" w:line="360" w:lineRule="auto"/>
        <w:ind w:firstLine="709"/>
        <w:rPr>
          <w:rFonts w:ascii="Times New Roman" w:hAnsi="Times New Roman"/>
          <w:sz w:val="22"/>
          <w:lang w:val="bg-BG"/>
        </w:rPr>
      </w:pPr>
      <w:r w:rsidRPr="004C5F2A">
        <w:rPr>
          <w:rFonts w:ascii="Times New Roman" w:eastAsia="Times New Roman" w:hAnsi="Times New Roman"/>
          <w:sz w:val="22"/>
          <w:lang w:val="bg-BG"/>
        </w:rPr>
        <w:t>Изборът на обективна алтернатива от разработените проектни варианти за следваща стъпка от развитието на инвестиционния процес е отговорен етап за всеки проект. Мултикритериалният анализ е официално препоръчания алгоритъм в Указания за изготвяне на Анализ разходи-ползи (АРП) за инвестиционни проекти, Регламент 2015/207.</w:t>
      </w:r>
    </w:p>
    <w:p w14:paraId="5AE89CE3" w14:textId="77777777" w:rsidR="00DE19E4" w:rsidRPr="004C5F2A" w:rsidRDefault="00DE19E4" w:rsidP="004C5F2A">
      <w:pPr>
        <w:spacing w:after="0" w:line="360" w:lineRule="auto"/>
        <w:ind w:firstLine="709"/>
        <w:rPr>
          <w:rFonts w:ascii="Times New Roman" w:hAnsi="Times New Roman"/>
          <w:sz w:val="22"/>
          <w:lang w:val="bg-BG"/>
        </w:rPr>
      </w:pPr>
      <w:r w:rsidRPr="004C5F2A">
        <w:rPr>
          <w:rFonts w:ascii="Times New Roman" w:eastAsia="Times New Roman" w:hAnsi="Times New Roman"/>
          <w:sz w:val="22"/>
          <w:lang w:val="bg-BG"/>
        </w:rPr>
        <w:t>Мултикритериалният анализ (МKА) е инструмент от свързани алгоритми в единна система от различни критерии и тяхното относително тегло. За разлика от АРП, който е фокусиран върху точно определени индикатори на проектите, МKА е инструмент, който обхваща по-широка гама от фактори, която не може да бъде точно определена количествено на този етап от инвестиционното проектиране. Като инструмент МKА е особено полезен при взимане на решение за избор на алтернативи.</w:t>
      </w:r>
    </w:p>
    <w:p w14:paraId="28D794F2" w14:textId="77777777" w:rsidR="00DE19E4" w:rsidRPr="004C5F2A" w:rsidRDefault="00DE19E4" w:rsidP="004C5F2A">
      <w:pPr>
        <w:spacing w:after="0" w:line="360" w:lineRule="auto"/>
        <w:ind w:firstLine="709"/>
        <w:rPr>
          <w:rFonts w:ascii="Times New Roman" w:hAnsi="Times New Roman"/>
          <w:sz w:val="22"/>
          <w:lang w:val="bg-BG"/>
        </w:rPr>
      </w:pPr>
      <w:r w:rsidRPr="004C5F2A">
        <w:rPr>
          <w:rFonts w:ascii="Times New Roman" w:eastAsia="Times New Roman" w:hAnsi="Times New Roman"/>
          <w:sz w:val="22"/>
          <w:lang w:val="bg-BG"/>
        </w:rPr>
        <w:t>МKА е индивидуален за всеки проект, базиран на особеностите на съответния икономически сектор. В настоящия случай са спазени общите етапи на прилагането му, както следва:</w:t>
      </w:r>
    </w:p>
    <w:p w14:paraId="7179D1A4" w14:textId="77777777" w:rsidR="00DE19E4" w:rsidRPr="004C5F2A" w:rsidRDefault="00DE19E4" w:rsidP="0021547C">
      <w:pPr>
        <w:numPr>
          <w:ilvl w:val="0"/>
          <w:numId w:val="82"/>
        </w:numPr>
        <w:spacing w:after="0" w:line="360" w:lineRule="auto"/>
        <w:ind w:firstLine="0"/>
        <w:rPr>
          <w:rFonts w:ascii="Times New Roman" w:hAnsi="Times New Roman"/>
          <w:sz w:val="22"/>
          <w:lang w:val="bg-BG"/>
        </w:rPr>
      </w:pPr>
      <w:r w:rsidRPr="004C5F2A">
        <w:rPr>
          <w:rFonts w:ascii="Times New Roman" w:eastAsia="Times New Roman" w:hAnsi="Times New Roman"/>
          <w:sz w:val="22"/>
          <w:lang w:val="bg-BG"/>
        </w:rPr>
        <w:t>Дефиниране на основните критерии, критерии и под-критерии с определяне на целите/резултатите за тяхното използване и индикаторите за измерването им;</w:t>
      </w:r>
    </w:p>
    <w:p w14:paraId="696C7697" w14:textId="77777777" w:rsidR="00DE19E4" w:rsidRPr="004C5F2A" w:rsidRDefault="00DE19E4" w:rsidP="0021547C">
      <w:pPr>
        <w:numPr>
          <w:ilvl w:val="0"/>
          <w:numId w:val="82"/>
        </w:numPr>
        <w:spacing w:after="0" w:line="360" w:lineRule="auto"/>
        <w:ind w:firstLine="0"/>
        <w:rPr>
          <w:rFonts w:ascii="Times New Roman" w:hAnsi="Times New Roman"/>
          <w:sz w:val="22"/>
          <w:lang w:val="bg-BG"/>
        </w:rPr>
      </w:pPr>
      <w:r w:rsidRPr="004C5F2A">
        <w:rPr>
          <w:rFonts w:ascii="Times New Roman" w:eastAsia="Times New Roman" w:hAnsi="Times New Roman"/>
          <w:sz w:val="22"/>
          <w:lang w:val="bg-BG"/>
        </w:rPr>
        <w:t>Оценка за постигнатото ниво за всеки под-критерий, критерий и основен критерий на всеки вариант и мотиви на присъдените стойности за всеки индикатор;</w:t>
      </w:r>
    </w:p>
    <w:p w14:paraId="1EEBF0A6" w14:textId="31B6AD30" w:rsidR="00DE19E4" w:rsidRPr="00693540" w:rsidRDefault="00DE19E4" w:rsidP="0021547C">
      <w:pPr>
        <w:numPr>
          <w:ilvl w:val="0"/>
          <w:numId w:val="82"/>
        </w:numPr>
        <w:spacing w:after="0" w:line="360" w:lineRule="auto"/>
        <w:ind w:firstLine="0"/>
        <w:rPr>
          <w:rFonts w:ascii="Times New Roman" w:hAnsi="Times New Roman"/>
          <w:sz w:val="24"/>
          <w:szCs w:val="24"/>
          <w:lang w:val="bg-BG"/>
        </w:rPr>
      </w:pPr>
      <w:r w:rsidRPr="004C5F2A">
        <w:rPr>
          <w:rFonts w:ascii="Times New Roman" w:eastAsia="Times New Roman" w:hAnsi="Times New Roman"/>
          <w:sz w:val="22"/>
          <w:lang w:val="bg-BG"/>
        </w:rPr>
        <w:t>Изводи за резултатите и избор на най-добър вариант на база синтезирани стойности от различни критерии.</w:t>
      </w:r>
      <w:bookmarkStart w:id="133" w:name="_Toc428191074"/>
      <w:bookmarkStart w:id="134" w:name="_Toc350348523"/>
      <w:bookmarkStart w:id="135" w:name="_Toc535930872"/>
    </w:p>
    <w:p w14:paraId="5C7BCDD2" w14:textId="77777777" w:rsidR="00DE19E4" w:rsidRPr="00DE19E4" w:rsidRDefault="00DE19E4" w:rsidP="00DE19E4">
      <w:pPr>
        <w:pStyle w:val="Heading3"/>
        <w:rPr>
          <w:rFonts w:ascii="Times New Roman" w:hAnsi="Times New Roman"/>
          <w:lang w:val="bg-BG" w:eastAsia="bg-BG"/>
        </w:rPr>
      </w:pPr>
      <w:bookmarkStart w:id="136" w:name="_Toc93218447"/>
      <w:bookmarkStart w:id="137" w:name="_Toc95837686"/>
      <w:bookmarkStart w:id="138" w:name="_Toc136961127"/>
      <w:r w:rsidRPr="00DE19E4">
        <w:rPr>
          <w:rFonts w:ascii="Times New Roman" w:hAnsi="Times New Roman"/>
          <w:lang w:val="bg-BG" w:eastAsia="bg-BG"/>
        </w:rPr>
        <w:t>Дефиниране на основните критерии и избор на индикатори за тяхното измерване</w:t>
      </w:r>
      <w:bookmarkEnd w:id="133"/>
      <w:bookmarkEnd w:id="134"/>
      <w:bookmarkEnd w:id="135"/>
      <w:bookmarkEnd w:id="136"/>
      <w:bookmarkEnd w:id="137"/>
      <w:bookmarkEnd w:id="138"/>
    </w:p>
    <w:p w14:paraId="1493DB81"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hAnsi="Times New Roman"/>
          <w:sz w:val="22"/>
          <w:lang w:val="bg-BG"/>
        </w:rPr>
        <w:t>При дефинирането на основните критерии, критерии и под-критерии са взети под внимание насоките на JASPERS при изготвяне на сравнителен анализ на варианти за развитие на транспортна инфраструктура и постигане на съответствие с изискванията на Приложение III на Регламент 2015/207. Направена е оценка за всеки вариант на базата на следните основни критерии:</w:t>
      </w:r>
      <w:bookmarkStart w:id="139" w:name="_Hlk95402974"/>
    </w:p>
    <w:p w14:paraId="0758965E" w14:textId="77777777" w:rsidR="00DE19E4" w:rsidRPr="004C5F2A" w:rsidRDefault="00DE19E4" w:rsidP="00593A2C">
      <w:pPr>
        <w:numPr>
          <w:ilvl w:val="0"/>
          <w:numId w:val="83"/>
        </w:numPr>
        <w:tabs>
          <w:tab w:val="left" w:pos="144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Технически;</w:t>
      </w:r>
    </w:p>
    <w:p w14:paraId="6C8D57F5" w14:textId="77777777" w:rsidR="00DE19E4" w:rsidRPr="004C5F2A" w:rsidRDefault="00DE19E4" w:rsidP="00593A2C">
      <w:pPr>
        <w:numPr>
          <w:ilvl w:val="0"/>
          <w:numId w:val="83"/>
        </w:numPr>
        <w:tabs>
          <w:tab w:val="left" w:pos="144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Финансово-икономически;</w:t>
      </w:r>
    </w:p>
    <w:p w14:paraId="05743A9C" w14:textId="77777777" w:rsidR="00DE19E4" w:rsidRPr="004C5F2A" w:rsidRDefault="00DE19E4" w:rsidP="00593A2C">
      <w:pPr>
        <w:numPr>
          <w:ilvl w:val="0"/>
          <w:numId w:val="83"/>
        </w:numPr>
        <w:tabs>
          <w:tab w:val="left" w:pos="144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Екологичен;</w:t>
      </w:r>
    </w:p>
    <w:p w14:paraId="56F915AA" w14:textId="77777777" w:rsidR="00DE19E4" w:rsidRDefault="00DE19E4" w:rsidP="00593A2C">
      <w:pPr>
        <w:numPr>
          <w:ilvl w:val="0"/>
          <w:numId w:val="83"/>
        </w:numPr>
        <w:tabs>
          <w:tab w:val="left" w:pos="144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Социален.</w:t>
      </w:r>
    </w:p>
    <w:p w14:paraId="3795D39E" w14:textId="77777777" w:rsidR="009C3231" w:rsidRDefault="009C3231" w:rsidP="009C3231">
      <w:pPr>
        <w:tabs>
          <w:tab w:val="left" w:pos="1440"/>
        </w:tabs>
        <w:spacing w:after="0" w:line="360" w:lineRule="auto"/>
        <w:contextualSpacing/>
        <w:rPr>
          <w:rFonts w:ascii="Times New Roman" w:eastAsia="Times New Roman" w:hAnsi="Times New Roman"/>
          <w:sz w:val="22"/>
          <w:lang w:val="bg-BG" w:eastAsia="zh-CN"/>
        </w:rPr>
      </w:pPr>
    </w:p>
    <w:p w14:paraId="65A424BA" w14:textId="77777777" w:rsidR="009C3231" w:rsidRDefault="009C3231" w:rsidP="009C3231">
      <w:pPr>
        <w:tabs>
          <w:tab w:val="left" w:pos="1440"/>
        </w:tabs>
        <w:spacing w:after="0" w:line="360" w:lineRule="auto"/>
        <w:contextualSpacing/>
        <w:rPr>
          <w:rFonts w:ascii="Times New Roman" w:eastAsia="Times New Roman" w:hAnsi="Times New Roman"/>
          <w:sz w:val="22"/>
          <w:lang w:val="bg-BG" w:eastAsia="zh-CN"/>
        </w:rPr>
      </w:pPr>
    </w:p>
    <w:p w14:paraId="556CE4A4" w14:textId="77777777" w:rsidR="009C3231" w:rsidRDefault="009C3231" w:rsidP="009C3231">
      <w:pPr>
        <w:tabs>
          <w:tab w:val="left" w:pos="1440"/>
        </w:tabs>
        <w:spacing w:after="0" w:line="360" w:lineRule="auto"/>
        <w:contextualSpacing/>
        <w:rPr>
          <w:rFonts w:ascii="Times New Roman" w:eastAsia="Times New Roman" w:hAnsi="Times New Roman"/>
          <w:sz w:val="22"/>
          <w:lang w:val="bg-BG" w:eastAsia="zh-CN"/>
        </w:rPr>
      </w:pPr>
    </w:p>
    <w:p w14:paraId="54D309B6" w14:textId="77777777" w:rsidR="009C3231" w:rsidRDefault="009C3231" w:rsidP="009C3231">
      <w:pPr>
        <w:tabs>
          <w:tab w:val="left" w:pos="1440"/>
        </w:tabs>
        <w:spacing w:after="0" w:line="360" w:lineRule="auto"/>
        <w:contextualSpacing/>
        <w:rPr>
          <w:rFonts w:ascii="Times New Roman" w:eastAsia="Times New Roman" w:hAnsi="Times New Roman"/>
          <w:sz w:val="22"/>
          <w:lang w:val="bg-BG" w:eastAsia="zh-CN"/>
        </w:rPr>
      </w:pPr>
    </w:p>
    <w:p w14:paraId="337FE96B" w14:textId="77777777" w:rsidR="009C3231" w:rsidRPr="004C5F2A" w:rsidRDefault="009C3231" w:rsidP="009C3231">
      <w:pPr>
        <w:tabs>
          <w:tab w:val="left" w:pos="1440"/>
        </w:tabs>
        <w:spacing w:after="0" w:line="360" w:lineRule="auto"/>
        <w:contextualSpacing/>
        <w:rPr>
          <w:rFonts w:ascii="Times New Roman" w:eastAsia="Times New Roman" w:hAnsi="Times New Roman"/>
          <w:sz w:val="22"/>
          <w:lang w:val="bg-BG" w:eastAsia="zh-CN"/>
        </w:rPr>
      </w:pPr>
    </w:p>
    <w:bookmarkEnd w:id="139"/>
    <w:p w14:paraId="00748EC5" w14:textId="77777777" w:rsidR="00DE19E4" w:rsidRPr="004C5F2A" w:rsidRDefault="00DE19E4" w:rsidP="004C5F2A">
      <w:pPr>
        <w:spacing w:after="0" w:line="360" w:lineRule="auto"/>
        <w:ind w:firstLine="720"/>
        <w:rPr>
          <w:rFonts w:ascii="Times New Roman" w:hAnsi="Times New Roman"/>
          <w:sz w:val="22"/>
          <w:lang w:val="bg-BG"/>
        </w:rPr>
      </w:pPr>
      <w:r w:rsidRPr="004C5F2A">
        <w:rPr>
          <w:rFonts w:ascii="Times New Roman" w:hAnsi="Times New Roman"/>
          <w:sz w:val="22"/>
          <w:lang w:val="bg-BG"/>
        </w:rPr>
        <w:lastRenderedPageBreak/>
        <w:t>Всеки от тези основни критерии обхваща съответни критерии и подкритерии, както следва:</w:t>
      </w:r>
    </w:p>
    <w:tbl>
      <w:tblPr>
        <w:tblW w:w="5000" w:type="pct"/>
        <w:tblLook w:val="04A0" w:firstRow="1" w:lastRow="0" w:firstColumn="1" w:lastColumn="0" w:noHBand="0" w:noVBand="1"/>
      </w:tblPr>
      <w:tblGrid>
        <w:gridCol w:w="1979"/>
        <w:gridCol w:w="3404"/>
        <w:gridCol w:w="4387"/>
      </w:tblGrid>
      <w:tr w:rsidR="00DE19E4" w:rsidRPr="00693540" w14:paraId="6EC8BC1F" w14:textId="77777777" w:rsidTr="009C3231">
        <w:trPr>
          <w:trHeight w:val="480"/>
        </w:trPr>
        <w:tc>
          <w:tcPr>
            <w:tcW w:w="10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95BDBD" w14:textId="77777777" w:rsidR="00DE19E4" w:rsidRPr="00693540" w:rsidRDefault="00DE19E4" w:rsidP="00693540">
            <w:pPr>
              <w:spacing w:after="0" w:line="24" w:lineRule="atLeast"/>
              <w:jc w:val="center"/>
              <w:rPr>
                <w:rFonts w:ascii="Times New Roman" w:eastAsia="Times New Roman" w:hAnsi="Times New Roman"/>
                <w:b/>
                <w:bCs/>
                <w:sz w:val="22"/>
                <w:lang w:val="bg-BG"/>
              </w:rPr>
            </w:pPr>
            <w:r w:rsidRPr="00693540">
              <w:rPr>
                <w:rFonts w:ascii="Times New Roman" w:eastAsia="Times New Roman" w:hAnsi="Times New Roman"/>
                <w:b/>
                <w:bCs/>
                <w:sz w:val="22"/>
                <w:lang w:val="bg-BG"/>
              </w:rPr>
              <w:t>Основен критерий</w:t>
            </w:r>
          </w:p>
        </w:tc>
        <w:tc>
          <w:tcPr>
            <w:tcW w:w="17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9CA88C" w14:textId="77777777" w:rsidR="00DE19E4" w:rsidRPr="00693540" w:rsidRDefault="00DE19E4" w:rsidP="00693540">
            <w:pPr>
              <w:spacing w:after="0" w:line="24" w:lineRule="atLeast"/>
              <w:jc w:val="center"/>
              <w:rPr>
                <w:rFonts w:ascii="Times New Roman" w:eastAsia="Times New Roman" w:hAnsi="Times New Roman"/>
                <w:b/>
                <w:bCs/>
                <w:sz w:val="22"/>
                <w:lang w:val="bg-BG"/>
              </w:rPr>
            </w:pPr>
            <w:r w:rsidRPr="00693540">
              <w:rPr>
                <w:rFonts w:ascii="Times New Roman" w:eastAsia="Times New Roman" w:hAnsi="Times New Roman"/>
                <w:b/>
                <w:bCs/>
                <w:sz w:val="22"/>
                <w:lang w:val="bg-BG"/>
              </w:rPr>
              <w:t>Критерий</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FABA45" w14:textId="77777777" w:rsidR="00DE19E4" w:rsidRPr="00693540" w:rsidRDefault="00DE19E4" w:rsidP="00693540">
            <w:pPr>
              <w:spacing w:after="0" w:line="24" w:lineRule="atLeast"/>
              <w:jc w:val="center"/>
              <w:rPr>
                <w:rFonts w:ascii="Times New Roman" w:eastAsia="Times New Roman" w:hAnsi="Times New Roman"/>
                <w:b/>
                <w:bCs/>
                <w:sz w:val="22"/>
                <w:lang w:val="bg-BG"/>
              </w:rPr>
            </w:pPr>
            <w:r w:rsidRPr="00693540">
              <w:rPr>
                <w:rFonts w:ascii="Times New Roman" w:eastAsia="Times New Roman" w:hAnsi="Times New Roman"/>
                <w:b/>
                <w:bCs/>
                <w:sz w:val="22"/>
                <w:lang w:val="bg-BG"/>
              </w:rPr>
              <w:t>Подкритерий</w:t>
            </w:r>
          </w:p>
        </w:tc>
      </w:tr>
      <w:tr w:rsidR="00DE19E4" w:rsidRPr="00693540" w14:paraId="2FFD9F18" w14:textId="77777777" w:rsidTr="009C3231">
        <w:trPr>
          <w:trHeight w:val="487"/>
        </w:trPr>
        <w:tc>
          <w:tcPr>
            <w:tcW w:w="10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5EBB2" w14:textId="77777777" w:rsidR="00DE19E4" w:rsidRPr="00693540" w:rsidRDefault="00DE19E4" w:rsidP="00693540">
            <w:pPr>
              <w:spacing w:after="0" w:line="24" w:lineRule="atLeast"/>
              <w:jc w:val="center"/>
              <w:rPr>
                <w:rFonts w:ascii="Times New Roman" w:eastAsia="Times New Roman" w:hAnsi="Times New Roman"/>
                <w:sz w:val="22"/>
                <w:lang w:val="bg-BG"/>
              </w:rPr>
            </w:pPr>
            <w:r w:rsidRPr="00693540">
              <w:rPr>
                <w:rFonts w:ascii="Times New Roman" w:eastAsia="Times New Roman" w:hAnsi="Times New Roman"/>
                <w:sz w:val="22"/>
                <w:lang w:val="bg-BG"/>
              </w:rPr>
              <w:t>1</w:t>
            </w:r>
          </w:p>
        </w:tc>
        <w:tc>
          <w:tcPr>
            <w:tcW w:w="1742" w:type="pct"/>
            <w:tcBorders>
              <w:top w:val="single" w:sz="4" w:space="0" w:color="auto"/>
              <w:left w:val="nil"/>
              <w:bottom w:val="single" w:sz="4" w:space="0" w:color="auto"/>
              <w:right w:val="single" w:sz="4" w:space="0" w:color="auto"/>
            </w:tcBorders>
            <w:shd w:val="clear" w:color="auto" w:fill="auto"/>
            <w:vAlign w:val="center"/>
            <w:hideMark/>
          </w:tcPr>
          <w:p w14:paraId="008FDE04" w14:textId="77777777" w:rsidR="00DE19E4" w:rsidRPr="00693540" w:rsidRDefault="00DE19E4" w:rsidP="00693540">
            <w:pPr>
              <w:spacing w:after="0" w:line="24" w:lineRule="atLeast"/>
              <w:jc w:val="center"/>
              <w:rPr>
                <w:rFonts w:ascii="Times New Roman" w:eastAsia="Times New Roman" w:hAnsi="Times New Roman"/>
                <w:sz w:val="22"/>
                <w:lang w:val="bg-BG"/>
              </w:rPr>
            </w:pPr>
            <w:r w:rsidRPr="00693540">
              <w:rPr>
                <w:rFonts w:ascii="Times New Roman" w:eastAsia="Times New Roman" w:hAnsi="Times New Roman"/>
                <w:sz w:val="22"/>
                <w:lang w:val="bg-BG"/>
              </w:rPr>
              <w:t>2</w:t>
            </w:r>
          </w:p>
        </w:tc>
        <w:tc>
          <w:tcPr>
            <w:tcW w:w="2246" w:type="pct"/>
            <w:tcBorders>
              <w:top w:val="single" w:sz="4" w:space="0" w:color="auto"/>
              <w:left w:val="nil"/>
              <w:bottom w:val="single" w:sz="4" w:space="0" w:color="auto"/>
              <w:right w:val="single" w:sz="4" w:space="0" w:color="auto"/>
            </w:tcBorders>
            <w:shd w:val="clear" w:color="auto" w:fill="auto"/>
            <w:vAlign w:val="center"/>
            <w:hideMark/>
          </w:tcPr>
          <w:p w14:paraId="2A44E478" w14:textId="77777777" w:rsidR="00DE19E4" w:rsidRPr="00693540" w:rsidRDefault="00DE19E4" w:rsidP="00693540">
            <w:pPr>
              <w:spacing w:after="0" w:line="24" w:lineRule="atLeast"/>
              <w:jc w:val="center"/>
              <w:rPr>
                <w:rFonts w:ascii="Times New Roman" w:eastAsia="Times New Roman" w:hAnsi="Times New Roman"/>
                <w:sz w:val="22"/>
                <w:lang w:val="bg-BG"/>
              </w:rPr>
            </w:pPr>
            <w:r w:rsidRPr="00693540">
              <w:rPr>
                <w:rFonts w:ascii="Times New Roman" w:eastAsia="Times New Roman" w:hAnsi="Times New Roman"/>
                <w:sz w:val="22"/>
                <w:lang w:val="bg-BG"/>
              </w:rPr>
              <w:t>3</w:t>
            </w:r>
          </w:p>
        </w:tc>
      </w:tr>
      <w:tr w:rsidR="00DE19E4" w:rsidRPr="00693540" w14:paraId="5285498F" w14:textId="77777777" w:rsidTr="00562189">
        <w:trPr>
          <w:trHeight w:val="105"/>
        </w:trPr>
        <w:tc>
          <w:tcPr>
            <w:tcW w:w="1013" w:type="pct"/>
            <w:tcBorders>
              <w:top w:val="nil"/>
              <w:left w:val="nil"/>
              <w:bottom w:val="single" w:sz="4" w:space="0" w:color="auto"/>
              <w:right w:val="nil"/>
            </w:tcBorders>
            <w:shd w:val="clear" w:color="auto" w:fill="auto"/>
            <w:vAlign w:val="center"/>
            <w:hideMark/>
          </w:tcPr>
          <w:p w14:paraId="2FCD3659" w14:textId="77777777" w:rsidR="00DE19E4" w:rsidRPr="00693540" w:rsidRDefault="00DE19E4" w:rsidP="00693540">
            <w:pPr>
              <w:spacing w:after="0" w:line="24" w:lineRule="atLeast"/>
              <w:jc w:val="center"/>
              <w:rPr>
                <w:rFonts w:ascii="Times New Roman" w:eastAsia="Times New Roman" w:hAnsi="Times New Roman"/>
                <w:sz w:val="22"/>
                <w:lang w:val="bg-BG"/>
              </w:rPr>
            </w:pPr>
          </w:p>
        </w:tc>
        <w:tc>
          <w:tcPr>
            <w:tcW w:w="1742" w:type="pct"/>
            <w:tcBorders>
              <w:top w:val="nil"/>
              <w:left w:val="nil"/>
              <w:bottom w:val="single" w:sz="4" w:space="0" w:color="auto"/>
              <w:right w:val="nil"/>
            </w:tcBorders>
            <w:shd w:val="clear" w:color="auto" w:fill="auto"/>
            <w:vAlign w:val="center"/>
            <w:hideMark/>
          </w:tcPr>
          <w:p w14:paraId="6EAAAF43" w14:textId="77777777" w:rsidR="00DE19E4" w:rsidRPr="00693540" w:rsidRDefault="00DE19E4" w:rsidP="00693540">
            <w:pPr>
              <w:spacing w:after="0" w:line="24" w:lineRule="atLeast"/>
              <w:jc w:val="left"/>
              <w:rPr>
                <w:rFonts w:ascii="Times New Roman" w:eastAsia="Times New Roman" w:hAnsi="Times New Roman"/>
                <w:sz w:val="22"/>
                <w:lang w:val="bg-BG"/>
              </w:rPr>
            </w:pPr>
          </w:p>
        </w:tc>
        <w:tc>
          <w:tcPr>
            <w:tcW w:w="2246" w:type="pct"/>
            <w:tcBorders>
              <w:top w:val="nil"/>
              <w:left w:val="nil"/>
              <w:bottom w:val="single" w:sz="4" w:space="0" w:color="auto"/>
              <w:right w:val="nil"/>
            </w:tcBorders>
            <w:shd w:val="clear" w:color="auto" w:fill="auto"/>
            <w:vAlign w:val="center"/>
            <w:hideMark/>
          </w:tcPr>
          <w:p w14:paraId="25128501" w14:textId="77777777" w:rsidR="00DE19E4" w:rsidRPr="00693540" w:rsidRDefault="00DE19E4" w:rsidP="00693540">
            <w:pPr>
              <w:spacing w:after="0" w:line="24" w:lineRule="atLeast"/>
              <w:jc w:val="left"/>
              <w:rPr>
                <w:rFonts w:ascii="Times New Roman" w:eastAsia="Times New Roman" w:hAnsi="Times New Roman"/>
                <w:sz w:val="22"/>
                <w:lang w:val="bg-BG"/>
              </w:rPr>
            </w:pPr>
          </w:p>
        </w:tc>
      </w:tr>
      <w:tr w:rsidR="00DE19E4" w:rsidRPr="00693540" w14:paraId="1F41B684" w14:textId="77777777" w:rsidTr="00562189">
        <w:trPr>
          <w:trHeight w:val="479"/>
        </w:trPr>
        <w:tc>
          <w:tcPr>
            <w:tcW w:w="1013" w:type="pct"/>
            <w:vMerge w:val="restart"/>
            <w:tcBorders>
              <w:top w:val="single" w:sz="4" w:space="0" w:color="auto"/>
              <w:left w:val="single" w:sz="4" w:space="0" w:color="auto"/>
              <w:bottom w:val="single" w:sz="4" w:space="0" w:color="auto"/>
              <w:right w:val="single" w:sz="4" w:space="0" w:color="auto"/>
            </w:tcBorders>
            <w:shd w:val="clear" w:color="000000" w:fill="C0C0C0"/>
            <w:vAlign w:val="center"/>
            <w:hideMark/>
          </w:tcPr>
          <w:p w14:paraId="5E63D6C1"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1. Технически</w:t>
            </w:r>
          </w:p>
        </w:tc>
        <w:tc>
          <w:tcPr>
            <w:tcW w:w="1742" w:type="pct"/>
            <w:vMerge w:val="restart"/>
            <w:tcBorders>
              <w:top w:val="single" w:sz="4" w:space="0" w:color="auto"/>
              <w:left w:val="single" w:sz="4" w:space="0" w:color="auto"/>
              <w:bottom w:val="single" w:sz="4" w:space="0" w:color="auto"/>
              <w:right w:val="single" w:sz="4" w:space="0" w:color="auto"/>
            </w:tcBorders>
            <w:shd w:val="clear" w:color="000000" w:fill="C0C0C0"/>
            <w:vAlign w:val="center"/>
            <w:hideMark/>
          </w:tcPr>
          <w:p w14:paraId="373281DB"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1.1. Техническа осъществимост и дълготрайност</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AC7CEF"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1.1.1. Използвана конструкция</w:t>
            </w:r>
          </w:p>
        </w:tc>
      </w:tr>
      <w:tr w:rsidR="00DE19E4" w:rsidRPr="00693540" w14:paraId="227726C0" w14:textId="77777777" w:rsidTr="00562189">
        <w:trPr>
          <w:trHeight w:val="327"/>
        </w:trPr>
        <w:tc>
          <w:tcPr>
            <w:tcW w:w="1013" w:type="pct"/>
            <w:vMerge/>
            <w:tcBorders>
              <w:top w:val="single" w:sz="4" w:space="0" w:color="auto"/>
              <w:left w:val="single" w:sz="4" w:space="0" w:color="auto"/>
              <w:bottom w:val="single" w:sz="4" w:space="0" w:color="auto"/>
              <w:right w:val="single" w:sz="4" w:space="0" w:color="auto"/>
            </w:tcBorders>
            <w:shd w:val="clear" w:color="000000" w:fill="C0C0C0"/>
            <w:vAlign w:val="center"/>
            <w:hideMark/>
          </w:tcPr>
          <w:p w14:paraId="3703A9B0"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shd w:val="clear" w:color="000000" w:fill="C0C0C0"/>
            <w:vAlign w:val="center"/>
            <w:hideMark/>
          </w:tcPr>
          <w:p w14:paraId="2291A692"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AFFC84"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1.1.2. Геотехнически условия</w:t>
            </w:r>
          </w:p>
        </w:tc>
      </w:tr>
      <w:tr w:rsidR="00DE19E4" w:rsidRPr="00693540" w14:paraId="6EDE49BD" w14:textId="77777777" w:rsidTr="00562189">
        <w:trPr>
          <w:trHeight w:val="552"/>
        </w:trPr>
        <w:tc>
          <w:tcPr>
            <w:tcW w:w="1013" w:type="pct"/>
            <w:vMerge/>
            <w:tcBorders>
              <w:top w:val="single" w:sz="4" w:space="0" w:color="auto"/>
              <w:left w:val="single" w:sz="4" w:space="0" w:color="auto"/>
              <w:bottom w:val="single" w:sz="4" w:space="0" w:color="auto"/>
              <w:right w:val="single" w:sz="4" w:space="0" w:color="auto"/>
            </w:tcBorders>
            <w:shd w:val="clear" w:color="000000" w:fill="C0C0C0"/>
            <w:vAlign w:val="center"/>
          </w:tcPr>
          <w:p w14:paraId="50166293"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shd w:val="clear" w:color="000000" w:fill="C0C0C0"/>
            <w:vAlign w:val="center"/>
          </w:tcPr>
          <w:p w14:paraId="05D07E8B"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tcPr>
          <w:p w14:paraId="2A934582"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1.1.3. Очакван експлоатационен период</w:t>
            </w:r>
          </w:p>
        </w:tc>
      </w:tr>
      <w:tr w:rsidR="00DE19E4" w:rsidRPr="00693540" w14:paraId="38187819" w14:textId="77777777" w:rsidTr="00562189">
        <w:trPr>
          <w:trHeight w:val="549"/>
        </w:trPr>
        <w:tc>
          <w:tcPr>
            <w:tcW w:w="1013" w:type="pct"/>
            <w:vMerge/>
            <w:tcBorders>
              <w:top w:val="single" w:sz="4" w:space="0" w:color="auto"/>
              <w:left w:val="single" w:sz="4" w:space="0" w:color="auto"/>
              <w:bottom w:val="single" w:sz="4" w:space="0" w:color="auto"/>
              <w:right w:val="single" w:sz="4" w:space="0" w:color="auto"/>
            </w:tcBorders>
            <w:shd w:val="clear" w:color="000000" w:fill="C0C0C0"/>
            <w:vAlign w:val="center"/>
            <w:hideMark/>
          </w:tcPr>
          <w:p w14:paraId="60BFDCBB"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val="restart"/>
            <w:tcBorders>
              <w:top w:val="single" w:sz="4" w:space="0" w:color="auto"/>
              <w:left w:val="single" w:sz="4" w:space="0" w:color="auto"/>
              <w:bottom w:val="single" w:sz="4" w:space="0" w:color="auto"/>
              <w:right w:val="single" w:sz="4" w:space="0" w:color="auto"/>
            </w:tcBorders>
            <w:shd w:val="clear" w:color="000000" w:fill="C0C0C0"/>
            <w:vAlign w:val="center"/>
            <w:hideMark/>
          </w:tcPr>
          <w:p w14:paraId="3B83E28D"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1.2. Изпълнение на строителните работи</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971549"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1.2.1. Използвана технология за изпълнение на строителните работи</w:t>
            </w:r>
          </w:p>
        </w:tc>
      </w:tr>
      <w:tr w:rsidR="00DE19E4" w:rsidRPr="00693540" w14:paraId="5FC4FD89" w14:textId="77777777" w:rsidTr="00562189">
        <w:trPr>
          <w:trHeight w:val="612"/>
        </w:trPr>
        <w:tc>
          <w:tcPr>
            <w:tcW w:w="1013" w:type="pct"/>
            <w:vMerge/>
            <w:tcBorders>
              <w:top w:val="single" w:sz="4" w:space="0" w:color="auto"/>
              <w:left w:val="single" w:sz="4" w:space="0" w:color="auto"/>
              <w:bottom w:val="single" w:sz="4" w:space="0" w:color="auto"/>
              <w:right w:val="single" w:sz="4" w:space="0" w:color="auto"/>
            </w:tcBorders>
            <w:shd w:val="clear" w:color="000000" w:fill="C0C0C0"/>
            <w:vAlign w:val="center"/>
            <w:hideMark/>
          </w:tcPr>
          <w:p w14:paraId="1DC4241C"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vAlign w:val="center"/>
            <w:hideMark/>
          </w:tcPr>
          <w:p w14:paraId="08AA1586"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0876DF"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1.2.2. Темп на извършване на строителните работи</w:t>
            </w:r>
          </w:p>
        </w:tc>
      </w:tr>
      <w:tr w:rsidR="00DE19E4" w:rsidRPr="00693540" w14:paraId="5AB7CB04" w14:textId="77777777" w:rsidTr="00562189">
        <w:trPr>
          <w:trHeight w:val="182"/>
        </w:trPr>
        <w:tc>
          <w:tcPr>
            <w:tcW w:w="1013" w:type="pct"/>
            <w:tcBorders>
              <w:top w:val="single" w:sz="4" w:space="0" w:color="auto"/>
              <w:left w:val="nil"/>
              <w:bottom w:val="single" w:sz="4" w:space="0" w:color="auto"/>
              <w:right w:val="nil"/>
            </w:tcBorders>
            <w:shd w:val="clear" w:color="auto" w:fill="auto"/>
            <w:vAlign w:val="center"/>
            <w:hideMark/>
          </w:tcPr>
          <w:p w14:paraId="233F5746" w14:textId="77777777" w:rsidR="00DE19E4" w:rsidRPr="00693540" w:rsidRDefault="00DE19E4" w:rsidP="00693540">
            <w:pPr>
              <w:spacing w:after="0" w:line="24" w:lineRule="atLeast"/>
              <w:rPr>
                <w:rFonts w:ascii="Times New Roman" w:eastAsia="Times New Roman" w:hAnsi="Times New Roman"/>
                <w:b/>
                <w:bCs/>
                <w:color w:val="FF0000"/>
                <w:sz w:val="22"/>
                <w:lang w:val="bg-BG"/>
              </w:rPr>
            </w:pPr>
          </w:p>
        </w:tc>
        <w:tc>
          <w:tcPr>
            <w:tcW w:w="17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03EC20" w14:textId="77777777" w:rsidR="00DE19E4" w:rsidRPr="00693540" w:rsidRDefault="00DE19E4" w:rsidP="00693540">
            <w:pPr>
              <w:spacing w:after="0" w:line="24" w:lineRule="atLeast"/>
              <w:jc w:val="left"/>
              <w:rPr>
                <w:rFonts w:ascii="Times New Roman" w:eastAsia="Times New Roman" w:hAnsi="Times New Roman"/>
                <w:sz w:val="22"/>
                <w:lang w:val="bg-BG"/>
              </w:rPr>
            </w:pPr>
            <w:r w:rsidRPr="00693540">
              <w:rPr>
                <w:rFonts w:ascii="Times New Roman" w:eastAsia="Times New Roman" w:hAnsi="Times New Roman"/>
                <w:sz w:val="22"/>
                <w:lang w:val="bg-BG"/>
              </w:rPr>
              <w:t> </w:t>
            </w:r>
          </w:p>
        </w:tc>
        <w:tc>
          <w:tcPr>
            <w:tcW w:w="2246" w:type="pct"/>
            <w:tcBorders>
              <w:top w:val="single" w:sz="4" w:space="0" w:color="auto"/>
              <w:left w:val="nil"/>
              <w:bottom w:val="single" w:sz="4" w:space="0" w:color="auto"/>
              <w:right w:val="nil"/>
            </w:tcBorders>
            <w:shd w:val="clear" w:color="auto" w:fill="auto"/>
            <w:vAlign w:val="center"/>
            <w:hideMark/>
          </w:tcPr>
          <w:p w14:paraId="41865D58" w14:textId="77777777" w:rsidR="00DE19E4" w:rsidRPr="00693540" w:rsidRDefault="00DE19E4" w:rsidP="00693540">
            <w:pPr>
              <w:spacing w:after="0" w:line="24" w:lineRule="atLeast"/>
              <w:jc w:val="left"/>
              <w:rPr>
                <w:rFonts w:ascii="Times New Roman" w:eastAsia="Times New Roman" w:hAnsi="Times New Roman"/>
                <w:sz w:val="22"/>
                <w:lang w:val="bg-BG"/>
              </w:rPr>
            </w:pPr>
          </w:p>
        </w:tc>
      </w:tr>
      <w:tr w:rsidR="00DE19E4" w:rsidRPr="00693540" w14:paraId="1E413452" w14:textId="77777777" w:rsidTr="00562189">
        <w:trPr>
          <w:trHeight w:val="317"/>
        </w:trPr>
        <w:tc>
          <w:tcPr>
            <w:tcW w:w="1013" w:type="pct"/>
            <w:vMerge w:val="restart"/>
            <w:tcBorders>
              <w:top w:val="single" w:sz="4" w:space="0" w:color="auto"/>
              <w:left w:val="single" w:sz="4" w:space="0" w:color="auto"/>
              <w:bottom w:val="single" w:sz="4" w:space="0" w:color="auto"/>
              <w:right w:val="single" w:sz="4" w:space="0" w:color="auto"/>
            </w:tcBorders>
            <w:shd w:val="clear" w:color="000000" w:fill="99CCFF"/>
            <w:vAlign w:val="center"/>
            <w:hideMark/>
          </w:tcPr>
          <w:p w14:paraId="57F42E52"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2. Финансово-икономически</w:t>
            </w:r>
          </w:p>
        </w:tc>
        <w:tc>
          <w:tcPr>
            <w:tcW w:w="1742" w:type="pct"/>
            <w:vMerge w:val="restart"/>
            <w:tcBorders>
              <w:top w:val="single" w:sz="4" w:space="0" w:color="auto"/>
              <w:left w:val="single" w:sz="4" w:space="0" w:color="auto"/>
              <w:bottom w:val="single" w:sz="4" w:space="0" w:color="auto"/>
              <w:right w:val="single" w:sz="4" w:space="0" w:color="auto"/>
            </w:tcBorders>
            <w:shd w:val="clear" w:color="000000" w:fill="99CCFF"/>
            <w:vAlign w:val="center"/>
            <w:hideMark/>
          </w:tcPr>
          <w:p w14:paraId="4DA1DFC6"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2.1. Ефективност на разходите</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127C8E"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2.1.1. Разходи на един тон</w:t>
            </w:r>
          </w:p>
        </w:tc>
      </w:tr>
      <w:tr w:rsidR="00DE19E4" w:rsidRPr="00693540" w14:paraId="0ABEA5A3" w14:textId="77777777" w:rsidTr="00562189">
        <w:trPr>
          <w:trHeight w:val="524"/>
        </w:trPr>
        <w:tc>
          <w:tcPr>
            <w:tcW w:w="1013" w:type="pct"/>
            <w:vMerge/>
            <w:tcBorders>
              <w:top w:val="single" w:sz="4" w:space="0" w:color="auto"/>
              <w:left w:val="single" w:sz="4" w:space="0" w:color="auto"/>
              <w:bottom w:val="single" w:sz="4" w:space="0" w:color="auto"/>
              <w:right w:val="single" w:sz="4" w:space="0" w:color="auto"/>
            </w:tcBorders>
            <w:vAlign w:val="center"/>
            <w:hideMark/>
          </w:tcPr>
          <w:p w14:paraId="4680F45F"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vAlign w:val="center"/>
            <w:hideMark/>
          </w:tcPr>
          <w:p w14:paraId="5C2BBE65"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341963"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2.1.2. ННС на общите разходи</w:t>
            </w:r>
          </w:p>
        </w:tc>
      </w:tr>
      <w:tr w:rsidR="00DE19E4" w:rsidRPr="00693540" w14:paraId="32A3E360" w14:textId="77777777" w:rsidTr="00562189">
        <w:trPr>
          <w:trHeight w:val="290"/>
        </w:trPr>
        <w:tc>
          <w:tcPr>
            <w:tcW w:w="1013" w:type="pct"/>
            <w:vMerge/>
            <w:tcBorders>
              <w:top w:val="single" w:sz="4" w:space="0" w:color="auto"/>
              <w:left w:val="single" w:sz="4" w:space="0" w:color="auto"/>
              <w:bottom w:val="single" w:sz="4" w:space="0" w:color="auto"/>
              <w:right w:val="single" w:sz="4" w:space="0" w:color="auto"/>
            </w:tcBorders>
            <w:vAlign w:val="center"/>
            <w:hideMark/>
          </w:tcPr>
          <w:p w14:paraId="4EE51A4F"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val="restart"/>
            <w:tcBorders>
              <w:top w:val="single" w:sz="4" w:space="0" w:color="auto"/>
              <w:left w:val="single" w:sz="4" w:space="0" w:color="auto"/>
              <w:bottom w:val="single" w:sz="4" w:space="0" w:color="auto"/>
              <w:right w:val="single" w:sz="4" w:space="0" w:color="auto"/>
            </w:tcBorders>
            <w:shd w:val="clear" w:color="000000" w:fill="99CCFF"/>
            <w:vAlign w:val="center"/>
            <w:hideMark/>
          </w:tcPr>
          <w:p w14:paraId="462F161A"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2.2. Икономическа оценка</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FAF47"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2.2.1. Икономическа ННС</w:t>
            </w:r>
          </w:p>
        </w:tc>
      </w:tr>
      <w:tr w:rsidR="00DE19E4" w:rsidRPr="00693540" w14:paraId="6CBAEE14" w14:textId="77777777" w:rsidTr="00562189">
        <w:trPr>
          <w:trHeight w:val="432"/>
        </w:trPr>
        <w:tc>
          <w:tcPr>
            <w:tcW w:w="1013" w:type="pct"/>
            <w:vMerge/>
            <w:tcBorders>
              <w:top w:val="single" w:sz="4" w:space="0" w:color="auto"/>
              <w:left w:val="single" w:sz="4" w:space="0" w:color="auto"/>
              <w:bottom w:val="single" w:sz="4" w:space="0" w:color="auto"/>
              <w:right w:val="single" w:sz="4" w:space="0" w:color="auto"/>
            </w:tcBorders>
            <w:vAlign w:val="center"/>
            <w:hideMark/>
          </w:tcPr>
          <w:p w14:paraId="5456B6A3"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vAlign w:val="center"/>
            <w:hideMark/>
          </w:tcPr>
          <w:p w14:paraId="1DA9601C"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D8E44C"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2.2.2. Икономическа ВНВ</w:t>
            </w:r>
          </w:p>
        </w:tc>
      </w:tr>
      <w:tr w:rsidR="00DE19E4" w:rsidRPr="00693540" w14:paraId="7CF29032" w14:textId="77777777" w:rsidTr="00562189">
        <w:trPr>
          <w:trHeight w:val="612"/>
        </w:trPr>
        <w:tc>
          <w:tcPr>
            <w:tcW w:w="1013" w:type="pct"/>
            <w:vMerge/>
            <w:tcBorders>
              <w:top w:val="single" w:sz="4" w:space="0" w:color="auto"/>
              <w:left w:val="single" w:sz="4" w:space="0" w:color="auto"/>
              <w:bottom w:val="single" w:sz="4" w:space="0" w:color="auto"/>
              <w:right w:val="single" w:sz="4" w:space="0" w:color="auto"/>
            </w:tcBorders>
            <w:vAlign w:val="center"/>
            <w:hideMark/>
          </w:tcPr>
          <w:p w14:paraId="5A4C777D"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vAlign w:val="center"/>
            <w:hideMark/>
          </w:tcPr>
          <w:p w14:paraId="4290EAEC"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914AE2"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2.2.3. Коефициент ползи/разходи</w:t>
            </w:r>
          </w:p>
        </w:tc>
      </w:tr>
      <w:tr w:rsidR="00DE19E4" w:rsidRPr="00693540" w14:paraId="2F46A0FC" w14:textId="77777777" w:rsidTr="00562189">
        <w:trPr>
          <w:trHeight w:val="105"/>
        </w:trPr>
        <w:tc>
          <w:tcPr>
            <w:tcW w:w="1013" w:type="pct"/>
            <w:tcBorders>
              <w:top w:val="single" w:sz="4" w:space="0" w:color="auto"/>
              <w:left w:val="nil"/>
              <w:bottom w:val="single" w:sz="4" w:space="0" w:color="auto"/>
              <w:right w:val="nil"/>
            </w:tcBorders>
            <w:shd w:val="clear" w:color="auto" w:fill="auto"/>
            <w:vAlign w:val="center"/>
            <w:hideMark/>
          </w:tcPr>
          <w:p w14:paraId="0092D50A" w14:textId="77777777" w:rsidR="00DE19E4" w:rsidRPr="00693540" w:rsidRDefault="00DE19E4" w:rsidP="00693540">
            <w:pPr>
              <w:spacing w:after="0" w:line="24" w:lineRule="atLeast"/>
              <w:rPr>
                <w:rFonts w:ascii="Times New Roman" w:eastAsia="Times New Roman" w:hAnsi="Times New Roman"/>
                <w:sz w:val="22"/>
                <w:lang w:val="bg-BG"/>
              </w:rPr>
            </w:pPr>
            <w:r w:rsidRPr="00693540">
              <w:rPr>
                <w:rFonts w:ascii="Times New Roman" w:eastAsia="Times New Roman" w:hAnsi="Times New Roman"/>
                <w:sz w:val="22"/>
                <w:lang w:val="bg-BG"/>
              </w:rPr>
              <w:t> </w:t>
            </w:r>
          </w:p>
        </w:tc>
        <w:tc>
          <w:tcPr>
            <w:tcW w:w="1742" w:type="pct"/>
            <w:tcBorders>
              <w:top w:val="single" w:sz="4" w:space="0" w:color="auto"/>
              <w:left w:val="nil"/>
              <w:bottom w:val="single" w:sz="4" w:space="0" w:color="auto"/>
              <w:right w:val="nil"/>
            </w:tcBorders>
            <w:shd w:val="clear" w:color="auto" w:fill="auto"/>
            <w:vAlign w:val="center"/>
            <w:hideMark/>
          </w:tcPr>
          <w:p w14:paraId="1C039250"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 </w:t>
            </w:r>
          </w:p>
        </w:tc>
        <w:tc>
          <w:tcPr>
            <w:tcW w:w="2246" w:type="pct"/>
            <w:tcBorders>
              <w:top w:val="single" w:sz="4" w:space="0" w:color="auto"/>
              <w:left w:val="nil"/>
              <w:bottom w:val="single" w:sz="4" w:space="0" w:color="auto"/>
              <w:right w:val="nil"/>
            </w:tcBorders>
            <w:shd w:val="clear" w:color="auto" w:fill="auto"/>
            <w:vAlign w:val="center"/>
            <w:hideMark/>
          </w:tcPr>
          <w:p w14:paraId="5010CAF3"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 </w:t>
            </w:r>
          </w:p>
        </w:tc>
      </w:tr>
      <w:tr w:rsidR="00DE19E4" w:rsidRPr="00693540" w14:paraId="44348684" w14:textId="77777777" w:rsidTr="00562189">
        <w:trPr>
          <w:trHeight w:val="524"/>
        </w:trPr>
        <w:tc>
          <w:tcPr>
            <w:tcW w:w="1013" w:type="pct"/>
            <w:vMerge w:val="restart"/>
            <w:tcBorders>
              <w:top w:val="single" w:sz="4" w:space="0" w:color="auto"/>
              <w:left w:val="single" w:sz="4" w:space="0" w:color="auto"/>
              <w:bottom w:val="single" w:sz="4" w:space="0" w:color="auto"/>
              <w:right w:val="single" w:sz="4" w:space="0" w:color="auto"/>
            </w:tcBorders>
            <w:shd w:val="clear" w:color="CC99FF" w:fill="CC99FF"/>
            <w:vAlign w:val="center"/>
            <w:hideMark/>
          </w:tcPr>
          <w:p w14:paraId="439AB777"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3. Екологичен</w:t>
            </w:r>
          </w:p>
        </w:tc>
        <w:tc>
          <w:tcPr>
            <w:tcW w:w="1742" w:type="pct"/>
            <w:vMerge w:val="restart"/>
            <w:tcBorders>
              <w:top w:val="single" w:sz="4" w:space="0" w:color="auto"/>
              <w:left w:val="single" w:sz="4" w:space="0" w:color="auto"/>
              <w:bottom w:val="single" w:sz="4" w:space="0" w:color="auto"/>
              <w:right w:val="single" w:sz="4" w:space="0" w:color="auto"/>
            </w:tcBorders>
            <w:shd w:val="clear" w:color="CC99FF" w:fill="CC99FF"/>
            <w:vAlign w:val="center"/>
            <w:hideMark/>
          </w:tcPr>
          <w:p w14:paraId="217D3ADB"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3.1. Въздействие върху биологичното разнообразие</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47A93E"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3.1.1. Разстояние до обекти на NATURA 2000</w:t>
            </w:r>
          </w:p>
        </w:tc>
      </w:tr>
      <w:tr w:rsidR="00DE19E4" w:rsidRPr="00693540" w14:paraId="08BCE69B" w14:textId="77777777" w:rsidTr="00562189">
        <w:trPr>
          <w:trHeight w:val="612"/>
        </w:trPr>
        <w:tc>
          <w:tcPr>
            <w:tcW w:w="1013" w:type="pct"/>
            <w:vMerge/>
            <w:tcBorders>
              <w:top w:val="single" w:sz="4" w:space="0" w:color="auto"/>
              <w:left w:val="single" w:sz="4" w:space="0" w:color="auto"/>
              <w:bottom w:val="single" w:sz="4" w:space="0" w:color="auto"/>
              <w:right w:val="single" w:sz="4" w:space="0" w:color="auto"/>
            </w:tcBorders>
            <w:shd w:val="clear" w:color="CC99FF" w:fill="CC99FF"/>
            <w:vAlign w:val="center"/>
            <w:hideMark/>
          </w:tcPr>
          <w:p w14:paraId="2E194B5F"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vAlign w:val="center"/>
            <w:hideMark/>
          </w:tcPr>
          <w:p w14:paraId="1B6D580D"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D7AAB6"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3.1.2. Засегнати обекти на NATURA 2000</w:t>
            </w:r>
          </w:p>
        </w:tc>
      </w:tr>
      <w:tr w:rsidR="00DE19E4" w:rsidRPr="00693540" w14:paraId="0D868399" w14:textId="77777777" w:rsidTr="00562189">
        <w:trPr>
          <w:trHeight w:val="389"/>
        </w:trPr>
        <w:tc>
          <w:tcPr>
            <w:tcW w:w="1013" w:type="pct"/>
            <w:vMerge/>
            <w:tcBorders>
              <w:top w:val="single" w:sz="4" w:space="0" w:color="auto"/>
              <w:left w:val="single" w:sz="4" w:space="0" w:color="auto"/>
              <w:bottom w:val="single" w:sz="4" w:space="0" w:color="auto"/>
              <w:right w:val="single" w:sz="4" w:space="0" w:color="auto"/>
            </w:tcBorders>
            <w:shd w:val="clear" w:color="CC99FF" w:fill="CC99FF"/>
            <w:vAlign w:val="center"/>
            <w:hideMark/>
          </w:tcPr>
          <w:p w14:paraId="51E77DA8"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val="restart"/>
            <w:tcBorders>
              <w:top w:val="single" w:sz="4" w:space="0" w:color="auto"/>
              <w:left w:val="single" w:sz="4" w:space="0" w:color="auto"/>
              <w:bottom w:val="single" w:sz="4" w:space="0" w:color="auto"/>
              <w:right w:val="single" w:sz="4" w:space="0" w:color="auto"/>
            </w:tcBorders>
            <w:shd w:val="clear" w:color="CC99FF" w:fill="CC99FF"/>
            <w:vAlign w:val="center"/>
            <w:hideMark/>
          </w:tcPr>
          <w:p w14:paraId="38CC7C76"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3.2. Въздействие върху населението</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CF79F6"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3.2.1. Разстояние до СОЗ</w:t>
            </w:r>
          </w:p>
        </w:tc>
      </w:tr>
      <w:tr w:rsidR="00DE19E4" w:rsidRPr="00693540" w14:paraId="6B2B1EEA" w14:textId="77777777" w:rsidTr="00562189">
        <w:trPr>
          <w:trHeight w:val="354"/>
        </w:trPr>
        <w:tc>
          <w:tcPr>
            <w:tcW w:w="1013" w:type="pct"/>
            <w:vMerge/>
            <w:tcBorders>
              <w:top w:val="single" w:sz="4" w:space="0" w:color="auto"/>
              <w:left w:val="single" w:sz="4" w:space="0" w:color="auto"/>
              <w:bottom w:val="single" w:sz="4" w:space="0" w:color="auto"/>
              <w:right w:val="single" w:sz="4" w:space="0" w:color="auto"/>
            </w:tcBorders>
            <w:shd w:val="clear" w:color="CC99FF" w:fill="CC99FF"/>
            <w:vAlign w:val="center"/>
            <w:hideMark/>
          </w:tcPr>
          <w:p w14:paraId="7C734504"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4" w:space="0" w:color="auto"/>
              <w:bottom w:val="single" w:sz="4" w:space="0" w:color="auto"/>
              <w:right w:val="single" w:sz="4" w:space="0" w:color="auto"/>
            </w:tcBorders>
            <w:shd w:val="clear" w:color="CC99FF" w:fill="CC99FF"/>
            <w:vAlign w:val="center"/>
            <w:hideMark/>
          </w:tcPr>
          <w:p w14:paraId="6D2BB2BF"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7532D0"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3.2.2. Засегнати СОЗ</w:t>
            </w:r>
          </w:p>
        </w:tc>
      </w:tr>
      <w:tr w:rsidR="00DE19E4" w:rsidRPr="00693540" w14:paraId="715F1155" w14:textId="77777777" w:rsidTr="00562189">
        <w:trPr>
          <w:trHeight w:val="839"/>
        </w:trPr>
        <w:tc>
          <w:tcPr>
            <w:tcW w:w="1013" w:type="pct"/>
            <w:vMerge/>
            <w:tcBorders>
              <w:top w:val="single" w:sz="4" w:space="0" w:color="auto"/>
              <w:left w:val="single" w:sz="4" w:space="0" w:color="auto"/>
              <w:bottom w:val="single" w:sz="4" w:space="0" w:color="auto"/>
              <w:right w:val="single" w:sz="4" w:space="0" w:color="auto"/>
            </w:tcBorders>
            <w:shd w:val="clear" w:color="CC99FF" w:fill="CC99FF"/>
            <w:vAlign w:val="center"/>
            <w:hideMark/>
          </w:tcPr>
          <w:p w14:paraId="704DF08A"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tcBorders>
              <w:top w:val="single" w:sz="4" w:space="0" w:color="auto"/>
              <w:left w:val="single" w:sz="4" w:space="0" w:color="auto"/>
              <w:bottom w:val="single" w:sz="4" w:space="0" w:color="auto"/>
              <w:right w:val="single" w:sz="4" w:space="0" w:color="auto"/>
            </w:tcBorders>
            <w:shd w:val="clear" w:color="CC99FF" w:fill="CC99FF"/>
            <w:vAlign w:val="center"/>
            <w:hideMark/>
          </w:tcPr>
          <w:p w14:paraId="7911CFF2"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3.3. Други въздействия</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6373D2"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3.3.1. Засегнати влажни зони или други екологични обекти</w:t>
            </w:r>
          </w:p>
        </w:tc>
      </w:tr>
      <w:tr w:rsidR="00DE19E4" w:rsidRPr="00693540" w14:paraId="69E96F0B" w14:textId="77777777" w:rsidTr="00562189">
        <w:trPr>
          <w:trHeight w:val="162"/>
        </w:trPr>
        <w:tc>
          <w:tcPr>
            <w:tcW w:w="1013" w:type="pct"/>
            <w:tcBorders>
              <w:top w:val="single" w:sz="4" w:space="0" w:color="auto"/>
              <w:left w:val="nil"/>
              <w:bottom w:val="single" w:sz="4" w:space="0" w:color="auto"/>
              <w:right w:val="nil"/>
            </w:tcBorders>
            <w:shd w:val="clear" w:color="auto" w:fill="auto"/>
            <w:vAlign w:val="center"/>
            <w:hideMark/>
          </w:tcPr>
          <w:p w14:paraId="6728E61C"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 </w:t>
            </w:r>
          </w:p>
        </w:tc>
        <w:tc>
          <w:tcPr>
            <w:tcW w:w="1742" w:type="pct"/>
            <w:tcBorders>
              <w:top w:val="single" w:sz="4" w:space="0" w:color="auto"/>
              <w:left w:val="nil"/>
              <w:bottom w:val="single" w:sz="4" w:space="0" w:color="auto"/>
              <w:right w:val="nil"/>
            </w:tcBorders>
            <w:shd w:val="clear" w:color="auto" w:fill="auto"/>
            <w:vAlign w:val="center"/>
            <w:hideMark/>
          </w:tcPr>
          <w:p w14:paraId="2710A04F"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 </w:t>
            </w:r>
          </w:p>
        </w:tc>
        <w:tc>
          <w:tcPr>
            <w:tcW w:w="2246" w:type="pct"/>
            <w:tcBorders>
              <w:top w:val="single" w:sz="4" w:space="0" w:color="auto"/>
              <w:left w:val="nil"/>
              <w:bottom w:val="single" w:sz="4" w:space="0" w:color="auto"/>
              <w:right w:val="nil"/>
            </w:tcBorders>
            <w:shd w:val="clear" w:color="auto" w:fill="auto"/>
            <w:vAlign w:val="center"/>
            <w:hideMark/>
          </w:tcPr>
          <w:p w14:paraId="43E2ABE6"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 </w:t>
            </w:r>
          </w:p>
        </w:tc>
      </w:tr>
      <w:tr w:rsidR="00DE19E4" w:rsidRPr="00693540" w14:paraId="43F28F83" w14:textId="77777777" w:rsidTr="00562189">
        <w:trPr>
          <w:trHeight w:val="630"/>
        </w:trPr>
        <w:tc>
          <w:tcPr>
            <w:tcW w:w="1013" w:type="pct"/>
            <w:vMerge w:val="restart"/>
            <w:tcBorders>
              <w:top w:val="single" w:sz="4" w:space="0" w:color="auto"/>
              <w:left w:val="single" w:sz="4" w:space="0" w:color="auto"/>
              <w:bottom w:val="single" w:sz="4" w:space="0" w:color="auto"/>
              <w:right w:val="single" w:sz="4" w:space="0" w:color="auto"/>
            </w:tcBorders>
            <w:shd w:val="clear" w:color="000000" w:fill="FFFF99"/>
            <w:vAlign w:val="center"/>
          </w:tcPr>
          <w:p w14:paraId="3B55E6B1"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4. Социален</w:t>
            </w:r>
          </w:p>
        </w:tc>
        <w:tc>
          <w:tcPr>
            <w:tcW w:w="1742" w:type="pct"/>
            <w:tcBorders>
              <w:top w:val="single" w:sz="4" w:space="0" w:color="auto"/>
              <w:left w:val="single" w:sz="4" w:space="0" w:color="auto"/>
              <w:bottom w:val="single" w:sz="4" w:space="0" w:color="auto"/>
              <w:right w:val="single" w:sz="4" w:space="0" w:color="auto"/>
            </w:tcBorders>
            <w:shd w:val="clear" w:color="000000" w:fill="FFFF99"/>
            <w:vAlign w:val="center"/>
            <w:hideMark/>
          </w:tcPr>
          <w:p w14:paraId="697FEB24"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 xml:space="preserve">4.1. Общество </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6CB1EC"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4.1.1. Подобряване на качеството на живот в района на проекта</w:t>
            </w:r>
          </w:p>
        </w:tc>
      </w:tr>
      <w:tr w:rsidR="00DE19E4" w:rsidRPr="00693540" w14:paraId="1B90D3CA" w14:textId="77777777" w:rsidTr="00562189">
        <w:trPr>
          <w:trHeight w:val="675"/>
        </w:trPr>
        <w:tc>
          <w:tcPr>
            <w:tcW w:w="1013" w:type="pct"/>
            <w:vMerge/>
            <w:tcBorders>
              <w:top w:val="single" w:sz="4" w:space="0" w:color="auto"/>
              <w:left w:val="single" w:sz="4" w:space="0" w:color="auto"/>
              <w:bottom w:val="single" w:sz="4" w:space="0" w:color="auto"/>
              <w:right w:val="single" w:sz="4" w:space="0" w:color="auto"/>
            </w:tcBorders>
            <w:shd w:val="clear" w:color="000000" w:fill="FFFF99"/>
            <w:vAlign w:val="center"/>
          </w:tcPr>
          <w:p w14:paraId="4B787A44" w14:textId="77777777" w:rsidR="00DE19E4" w:rsidRPr="00693540" w:rsidRDefault="00DE19E4" w:rsidP="00693540">
            <w:pPr>
              <w:spacing w:after="0" w:line="24" w:lineRule="atLeast"/>
              <w:rPr>
                <w:rFonts w:ascii="Times New Roman" w:eastAsia="Times New Roman" w:hAnsi="Times New Roman"/>
                <w:b/>
                <w:bCs/>
                <w:color w:val="333399"/>
                <w:sz w:val="22"/>
                <w:highlight w:val="yellow"/>
                <w:lang w:val="bg-BG"/>
              </w:rPr>
            </w:pPr>
          </w:p>
        </w:tc>
        <w:tc>
          <w:tcPr>
            <w:tcW w:w="1742" w:type="pct"/>
            <w:vMerge w:val="restart"/>
            <w:tcBorders>
              <w:top w:val="single" w:sz="4" w:space="0" w:color="auto"/>
              <w:left w:val="single" w:sz="4" w:space="0" w:color="auto"/>
              <w:bottom w:val="single" w:sz="4" w:space="0" w:color="auto"/>
              <w:right w:val="single" w:sz="4" w:space="0" w:color="auto"/>
            </w:tcBorders>
            <w:shd w:val="clear" w:color="000000" w:fill="FFFF99"/>
            <w:vAlign w:val="center"/>
            <w:hideMark/>
          </w:tcPr>
          <w:p w14:paraId="67F76F32" w14:textId="77777777" w:rsidR="00DE19E4" w:rsidRPr="00693540" w:rsidRDefault="00DE19E4" w:rsidP="00693540">
            <w:pPr>
              <w:spacing w:after="0" w:line="24" w:lineRule="atLeast"/>
              <w:ind w:right="-138"/>
              <w:jc w:val="left"/>
              <w:rPr>
                <w:rFonts w:ascii="Times New Roman" w:eastAsia="Times New Roman" w:hAnsi="Times New Roman"/>
                <w:b/>
                <w:bCs/>
                <w:color w:val="333399"/>
                <w:sz w:val="22"/>
                <w:lang w:val="bg-BG"/>
              </w:rPr>
            </w:pPr>
            <w:r w:rsidRPr="00693540">
              <w:rPr>
                <w:rFonts w:ascii="Times New Roman" w:eastAsia="Times New Roman" w:hAnsi="Times New Roman"/>
                <w:b/>
                <w:bCs/>
                <w:color w:val="333399"/>
                <w:sz w:val="22"/>
                <w:lang w:val="bg-BG"/>
              </w:rPr>
              <w:t>4.2. Местна индустрия</w:t>
            </w:r>
          </w:p>
        </w:tc>
        <w:tc>
          <w:tcPr>
            <w:tcW w:w="2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71D1F8"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4.2.1. Осигуряване на достъп до обекти на местната индустрия</w:t>
            </w:r>
          </w:p>
        </w:tc>
      </w:tr>
      <w:tr w:rsidR="00DE19E4" w:rsidRPr="00693540" w14:paraId="5D91E847" w14:textId="77777777" w:rsidTr="00562189">
        <w:trPr>
          <w:trHeight w:val="727"/>
        </w:trPr>
        <w:tc>
          <w:tcPr>
            <w:tcW w:w="1013" w:type="pct"/>
            <w:vMerge/>
            <w:tcBorders>
              <w:top w:val="single" w:sz="4" w:space="0" w:color="auto"/>
              <w:left w:val="single" w:sz="8" w:space="0" w:color="auto"/>
              <w:bottom w:val="single" w:sz="8" w:space="0" w:color="000000"/>
              <w:right w:val="single" w:sz="8" w:space="0" w:color="auto"/>
            </w:tcBorders>
            <w:vAlign w:val="center"/>
            <w:hideMark/>
          </w:tcPr>
          <w:p w14:paraId="1E19A4CE" w14:textId="77777777" w:rsidR="00DE19E4" w:rsidRPr="00693540" w:rsidRDefault="00DE19E4" w:rsidP="00693540">
            <w:pPr>
              <w:spacing w:after="0" w:line="24" w:lineRule="atLeast"/>
              <w:rPr>
                <w:rFonts w:ascii="Times New Roman" w:eastAsia="Times New Roman" w:hAnsi="Times New Roman"/>
                <w:b/>
                <w:bCs/>
                <w:color w:val="333399"/>
                <w:sz w:val="22"/>
                <w:lang w:val="bg-BG"/>
              </w:rPr>
            </w:pPr>
          </w:p>
        </w:tc>
        <w:tc>
          <w:tcPr>
            <w:tcW w:w="1742" w:type="pct"/>
            <w:vMerge/>
            <w:tcBorders>
              <w:top w:val="single" w:sz="4" w:space="0" w:color="auto"/>
              <w:left w:val="single" w:sz="8" w:space="0" w:color="auto"/>
              <w:bottom w:val="single" w:sz="8" w:space="0" w:color="000000"/>
              <w:right w:val="single" w:sz="4" w:space="0" w:color="auto"/>
            </w:tcBorders>
            <w:vAlign w:val="center"/>
            <w:hideMark/>
          </w:tcPr>
          <w:p w14:paraId="58D4440F" w14:textId="77777777" w:rsidR="00DE19E4" w:rsidRPr="00693540" w:rsidRDefault="00DE19E4" w:rsidP="00693540">
            <w:pPr>
              <w:spacing w:after="0" w:line="24" w:lineRule="atLeast"/>
              <w:jc w:val="left"/>
              <w:rPr>
                <w:rFonts w:ascii="Times New Roman" w:eastAsia="Times New Roman" w:hAnsi="Times New Roman"/>
                <w:b/>
                <w:bCs/>
                <w:color w:val="333399"/>
                <w:sz w:val="22"/>
                <w:lang w:val="bg-BG"/>
              </w:rPr>
            </w:pPr>
          </w:p>
        </w:tc>
        <w:tc>
          <w:tcPr>
            <w:tcW w:w="2246" w:type="pct"/>
            <w:tcBorders>
              <w:top w:val="single" w:sz="4" w:space="0" w:color="auto"/>
              <w:left w:val="nil"/>
              <w:bottom w:val="single" w:sz="8" w:space="0" w:color="auto"/>
              <w:right w:val="single" w:sz="8" w:space="0" w:color="auto"/>
            </w:tcBorders>
            <w:shd w:val="clear" w:color="auto" w:fill="auto"/>
            <w:vAlign w:val="center"/>
            <w:hideMark/>
          </w:tcPr>
          <w:p w14:paraId="6243C964" w14:textId="77777777" w:rsidR="00DE19E4" w:rsidRPr="00693540" w:rsidRDefault="00DE19E4" w:rsidP="00693540">
            <w:pPr>
              <w:spacing w:after="0" w:line="24" w:lineRule="atLeast"/>
              <w:jc w:val="left"/>
              <w:rPr>
                <w:rFonts w:ascii="Times New Roman" w:eastAsia="Times New Roman" w:hAnsi="Times New Roman"/>
                <w:b/>
                <w:bCs/>
                <w:color w:val="FF0000"/>
                <w:sz w:val="22"/>
                <w:lang w:val="bg-BG"/>
              </w:rPr>
            </w:pPr>
            <w:r w:rsidRPr="00693540">
              <w:rPr>
                <w:rFonts w:ascii="Times New Roman" w:eastAsia="Times New Roman" w:hAnsi="Times New Roman"/>
                <w:b/>
                <w:bCs/>
                <w:color w:val="FF0000"/>
                <w:sz w:val="22"/>
                <w:lang w:val="bg-BG"/>
              </w:rPr>
              <w:t>4.2.2. Участие на местната индустрия по време на строителните работи</w:t>
            </w:r>
          </w:p>
        </w:tc>
      </w:tr>
    </w:tbl>
    <w:p w14:paraId="3A5FC381"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sz w:val="22"/>
          <w:lang w:val="bg-BG"/>
        </w:rPr>
        <w:lastRenderedPageBreak/>
        <w:t xml:space="preserve">Така структурирани основните </w:t>
      </w:r>
      <w:bookmarkStart w:id="140" w:name="_Hlk95403449"/>
      <w:r w:rsidRPr="004C5F2A">
        <w:rPr>
          <w:rFonts w:ascii="Times New Roman" w:eastAsia="Times New Roman" w:hAnsi="Times New Roman"/>
          <w:sz w:val="22"/>
          <w:lang w:val="bg-BG"/>
        </w:rPr>
        <w:t xml:space="preserve">критерии изпълняват различни съвкупности от цели за определянето на крайната оценка на всеки един от изготвените варианти. </w:t>
      </w:r>
    </w:p>
    <w:p w14:paraId="06DBEEEE"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b/>
          <w:i/>
          <w:sz w:val="22"/>
          <w:lang w:val="bg-BG"/>
        </w:rPr>
        <w:t>Техническият основен критерий</w:t>
      </w:r>
      <w:r w:rsidRPr="004C5F2A">
        <w:rPr>
          <w:rFonts w:ascii="Times New Roman" w:eastAsia="Times New Roman" w:hAnsi="Times New Roman"/>
          <w:sz w:val="22"/>
          <w:lang w:val="bg-BG"/>
        </w:rPr>
        <w:t xml:space="preserve"> има за цел да оцени степента на постигане на основните цели на проекта, както и различните възможни рискове за изграждането на всеки един от изготвените варианти, свързани с използваните конструкции, технологиите за изграждане, геотехническите условия, периода за експлоатация и др. </w:t>
      </w:r>
    </w:p>
    <w:p w14:paraId="3E69C361"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b/>
          <w:i/>
          <w:sz w:val="22"/>
          <w:lang w:val="bg-BG"/>
        </w:rPr>
        <w:t>Финансово-икономическият основен критерий</w:t>
      </w:r>
      <w:r w:rsidRPr="004C5F2A">
        <w:rPr>
          <w:rFonts w:ascii="Times New Roman" w:eastAsia="Times New Roman" w:hAnsi="Times New Roman"/>
          <w:sz w:val="22"/>
          <w:lang w:val="bg-BG"/>
        </w:rPr>
        <w:t xml:space="preserve"> има за цел да оцени икономическата жизнеспособност на проекта, чрез оценка на ефективността на инвестиционните разходи, заедно с разходите за експлоатация и поддръжка, както и икономическа оценка на максимално ефективното разходване на публичните средства, т.е. какви ползи би получило обществото срещу вложените инвестиционни разходи. </w:t>
      </w:r>
    </w:p>
    <w:p w14:paraId="7A792C70"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b/>
          <w:i/>
          <w:sz w:val="22"/>
          <w:lang w:val="bg-BG"/>
        </w:rPr>
        <w:t>Екологичният основен критерий</w:t>
      </w:r>
      <w:r w:rsidRPr="004C5F2A">
        <w:rPr>
          <w:rFonts w:ascii="Times New Roman" w:eastAsia="Times New Roman" w:hAnsi="Times New Roman"/>
          <w:sz w:val="22"/>
          <w:lang w:val="bg-BG"/>
        </w:rPr>
        <w:t xml:space="preserve"> има за цел да оцени въздействието върху човешкото здраве, обектите от Натура 2000 и въздействието върху други защитени зони и чувствителни обекти на околната среда, при изграждането на всеки един от изготвените варианти. </w:t>
      </w:r>
    </w:p>
    <w:p w14:paraId="15AABA7A"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b/>
          <w:i/>
          <w:sz w:val="22"/>
          <w:lang w:val="bg-BG"/>
        </w:rPr>
        <w:t>Социалният основен критерий</w:t>
      </w:r>
      <w:r w:rsidRPr="004C5F2A">
        <w:rPr>
          <w:rFonts w:ascii="Times New Roman" w:eastAsia="Times New Roman" w:hAnsi="Times New Roman"/>
          <w:sz w:val="22"/>
          <w:lang w:val="bg-BG"/>
        </w:rPr>
        <w:t xml:space="preserve"> има за цел да оцени подобряването на условията за обществото и местната индустрия за всеки един от изготвените варианти. </w:t>
      </w:r>
    </w:p>
    <w:p w14:paraId="51C0A27A"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sz w:val="22"/>
          <w:lang w:val="bg-BG"/>
        </w:rPr>
        <w:t>При структурирането на различните под-критерии е съблюдавано:</w:t>
      </w:r>
    </w:p>
    <w:p w14:paraId="6625F916"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xml:space="preserve">- да не се допусне наличието на под-критерии, които сравняват несъществени параметри на вариантите; </w:t>
      </w:r>
    </w:p>
    <w:p w14:paraId="59D1A7DE"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да не се допусне оценяване на един ефект или на части от него по повече от един под-критерий;</w:t>
      </w:r>
    </w:p>
    <w:p w14:paraId="5B21D88C"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да се осигури независимост на всеки един от под-критериите - всеки от тях да бъде оценен, без да се влияе от оценката на другите под-критерии.</w:t>
      </w:r>
    </w:p>
    <w:bookmarkEnd w:id="140"/>
    <w:p w14:paraId="2FA92D0B"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На всеки под-критерий се дава оценка по едно от следните нива: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2409"/>
      </w:tblGrid>
      <w:tr w:rsidR="00DE19E4" w:rsidRPr="00DE19E4" w14:paraId="73112492" w14:textId="77777777" w:rsidTr="00DE19E4">
        <w:trPr>
          <w:jc w:val="center"/>
        </w:trPr>
        <w:tc>
          <w:tcPr>
            <w:tcW w:w="1134" w:type="dxa"/>
            <w:shd w:val="clear" w:color="auto" w:fill="00B050"/>
            <w:vAlign w:val="center"/>
          </w:tcPr>
          <w:p w14:paraId="796431EA" w14:textId="77777777" w:rsidR="00DE19E4" w:rsidRPr="00DE19E4" w:rsidRDefault="00DE19E4" w:rsidP="00DE19E4">
            <w:pPr>
              <w:spacing w:after="120" w:line="276" w:lineRule="auto"/>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1</w:t>
            </w:r>
          </w:p>
        </w:tc>
        <w:tc>
          <w:tcPr>
            <w:tcW w:w="2409" w:type="dxa"/>
            <w:shd w:val="clear" w:color="auto" w:fill="00B050"/>
            <w:vAlign w:val="center"/>
          </w:tcPr>
          <w:p w14:paraId="13DBD1ED" w14:textId="77777777" w:rsidR="00DE19E4" w:rsidRPr="00DE19E4" w:rsidRDefault="00DE19E4" w:rsidP="00DE19E4">
            <w:pPr>
              <w:spacing w:after="120" w:line="276" w:lineRule="auto"/>
              <w:ind w:firstLine="13"/>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благоприятно</w:t>
            </w:r>
          </w:p>
        </w:tc>
      </w:tr>
      <w:tr w:rsidR="00DE19E4" w:rsidRPr="00DE19E4" w14:paraId="03448A4B" w14:textId="77777777" w:rsidTr="00DE19E4">
        <w:trPr>
          <w:jc w:val="center"/>
        </w:trPr>
        <w:tc>
          <w:tcPr>
            <w:tcW w:w="1134" w:type="dxa"/>
            <w:shd w:val="clear" w:color="auto" w:fill="FFFF00"/>
            <w:vAlign w:val="center"/>
          </w:tcPr>
          <w:p w14:paraId="73B4ED12" w14:textId="77777777" w:rsidR="00DE19E4" w:rsidRPr="00DE19E4" w:rsidRDefault="00DE19E4" w:rsidP="00DE19E4">
            <w:pPr>
              <w:spacing w:after="120" w:line="276" w:lineRule="auto"/>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2</w:t>
            </w:r>
          </w:p>
        </w:tc>
        <w:tc>
          <w:tcPr>
            <w:tcW w:w="2409" w:type="dxa"/>
            <w:shd w:val="clear" w:color="auto" w:fill="FFFF00"/>
            <w:vAlign w:val="center"/>
          </w:tcPr>
          <w:p w14:paraId="7EF7CB70" w14:textId="77777777" w:rsidR="00DE19E4" w:rsidRPr="00DE19E4" w:rsidRDefault="00DE19E4" w:rsidP="00DE19E4">
            <w:pPr>
              <w:spacing w:after="120" w:line="276" w:lineRule="auto"/>
              <w:ind w:firstLine="13"/>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средно</w:t>
            </w:r>
          </w:p>
        </w:tc>
      </w:tr>
      <w:tr w:rsidR="00DE19E4" w:rsidRPr="00DE19E4" w14:paraId="796A8A82" w14:textId="77777777" w:rsidTr="00DE19E4">
        <w:trPr>
          <w:jc w:val="center"/>
        </w:trPr>
        <w:tc>
          <w:tcPr>
            <w:tcW w:w="1134" w:type="dxa"/>
            <w:shd w:val="clear" w:color="auto" w:fill="FF0000"/>
            <w:vAlign w:val="center"/>
          </w:tcPr>
          <w:p w14:paraId="777A036F" w14:textId="77777777" w:rsidR="00DE19E4" w:rsidRPr="00DE19E4" w:rsidRDefault="00DE19E4" w:rsidP="00DE19E4">
            <w:pPr>
              <w:spacing w:after="120" w:line="276" w:lineRule="auto"/>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3</w:t>
            </w:r>
          </w:p>
        </w:tc>
        <w:tc>
          <w:tcPr>
            <w:tcW w:w="2409" w:type="dxa"/>
            <w:shd w:val="clear" w:color="auto" w:fill="FF0000"/>
            <w:vAlign w:val="center"/>
          </w:tcPr>
          <w:p w14:paraId="1EE2AF44" w14:textId="77777777" w:rsidR="00DE19E4" w:rsidRPr="00DE19E4" w:rsidRDefault="00DE19E4" w:rsidP="00DE19E4">
            <w:pPr>
              <w:spacing w:after="120" w:line="276" w:lineRule="auto"/>
              <w:ind w:firstLine="13"/>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критично</w:t>
            </w:r>
          </w:p>
        </w:tc>
      </w:tr>
      <w:tr w:rsidR="00DE19E4" w:rsidRPr="00DE19E4" w14:paraId="183053D1" w14:textId="77777777" w:rsidTr="00DE19E4">
        <w:trPr>
          <w:jc w:val="center"/>
        </w:trPr>
        <w:tc>
          <w:tcPr>
            <w:tcW w:w="1134" w:type="dxa"/>
            <w:vAlign w:val="center"/>
          </w:tcPr>
          <w:p w14:paraId="07509005" w14:textId="77777777" w:rsidR="00DE19E4" w:rsidRPr="00DE19E4" w:rsidRDefault="00DE19E4" w:rsidP="00DE19E4">
            <w:pPr>
              <w:spacing w:after="120" w:line="276" w:lineRule="auto"/>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nr</w:t>
            </w:r>
          </w:p>
        </w:tc>
        <w:tc>
          <w:tcPr>
            <w:tcW w:w="2409" w:type="dxa"/>
            <w:vAlign w:val="center"/>
          </w:tcPr>
          <w:p w14:paraId="38B1CDC8" w14:textId="77777777" w:rsidR="00DE19E4" w:rsidRPr="00DE19E4" w:rsidRDefault="00DE19E4" w:rsidP="00DE19E4">
            <w:pPr>
              <w:spacing w:after="120" w:line="276" w:lineRule="auto"/>
              <w:ind w:firstLine="13"/>
              <w:contextualSpacing/>
              <w:jc w:val="center"/>
              <w:rPr>
                <w:rFonts w:ascii="Times New Roman" w:eastAsia="SimSun" w:hAnsi="Times New Roman"/>
                <w:b/>
                <w:sz w:val="24"/>
                <w:szCs w:val="24"/>
                <w:lang w:val="bg-BG" w:eastAsia="zh-CN"/>
              </w:rPr>
            </w:pPr>
            <w:r w:rsidRPr="00DE19E4">
              <w:rPr>
                <w:rFonts w:ascii="Times New Roman" w:eastAsia="SimSun" w:hAnsi="Times New Roman"/>
                <w:b/>
                <w:sz w:val="24"/>
                <w:szCs w:val="24"/>
                <w:lang w:val="bg-BG" w:eastAsia="zh-CN"/>
              </w:rPr>
              <w:t>неприложимо</w:t>
            </w:r>
          </w:p>
        </w:tc>
      </w:tr>
    </w:tbl>
    <w:p w14:paraId="387E8410" w14:textId="77777777" w:rsidR="00593A2C" w:rsidRDefault="00593A2C" w:rsidP="004C5F2A">
      <w:pPr>
        <w:spacing w:after="0" w:line="360" w:lineRule="auto"/>
        <w:ind w:firstLine="720"/>
        <w:contextualSpacing/>
        <w:rPr>
          <w:rFonts w:ascii="Times New Roman" w:eastAsia="Times New Roman" w:hAnsi="Times New Roman"/>
          <w:sz w:val="22"/>
          <w:lang w:val="bg-BG" w:eastAsia="zh-CN"/>
        </w:rPr>
      </w:pPr>
    </w:p>
    <w:p w14:paraId="1AC58074" w14:textId="00D9A43E" w:rsidR="00DE19E4"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Допълнително с оглед постигането на максимална обективност при извършване на оценката, там където не е описано друго, са приложени следните относителни тежести по основни критерии и под-критерии:</w:t>
      </w:r>
    </w:p>
    <w:p w14:paraId="71D64AAC" w14:textId="77777777" w:rsidR="00593A2C" w:rsidRDefault="00593A2C" w:rsidP="004C5F2A">
      <w:pPr>
        <w:spacing w:after="0" w:line="360" w:lineRule="auto"/>
        <w:ind w:firstLine="720"/>
        <w:contextualSpacing/>
        <w:rPr>
          <w:rFonts w:ascii="Times New Roman" w:eastAsia="Times New Roman" w:hAnsi="Times New Roman"/>
          <w:sz w:val="22"/>
          <w:lang w:val="bg-BG" w:eastAsia="zh-CN"/>
        </w:rPr>
      </w:pPr>
    </w:p>
    <w:p w14:paraId="453F6C57" w14:textId="77777777" w:rsidR="00DE19E4" w:rsidRPr="004C5F2A" w:rsidRDefault="00DE19E4" w:rsidP="004C5F2A">
      <w:pPr>
        <w:spacing w:after="0" w:line="360" w:lineRule="auto"/>
        <w:ind w:firstLine="720"/>
        <w:contextualSpacing/>
        <w:rPr>
          <w:rFonts w:ascii="Times New Roman" w:eastAsia="Times New Roman" w:hAnsi="Times New Roman"/>
          <w:i/>
          <w:sz w:val="22"/>
          <w:u w:val="single"/>
          <w:lang w:val="bg-BG" w:eastAsia="zh-CN"/>
        </w:rPr>
      </w:pPr>
      <w:r w:rsidRPr="004C5F2A">
        <w:rPr>
          <w:rFonts w:ascii="Times New Roman" w:eastAsia="Times New Roman" w:hAnsi="Times New Roman"/>
          <w:i/>
          <w:sz w:val="22"/>
          <w:u w:val="single"/>
          <w:lang w:val="bg-BG" w:eastAsia="zh-CN"/>
        </w:rPr>
        <w:lastRenderedPageBreak/>
        <w:t xml:space="preserve">Относителни тежести на под-критериите за получаване на крайна оценка за съответния критерий </w:t>
      </w:r>
    </w:p>
    <w:p w14:paraId="2D2C2032"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Оценката на съответния критерий се получава като средноаритметична оценка на оценките на включените в него под-критерии.</w:t>
      </w:r>
    </w:p>
    <w:p w14:paraId="5F7E8A49" w14:textId="77777777" w:rsidR="00DE19E4" w:rsidRPr="004C5F2A" w:rsidRDefault="00DE19E4" w:rsidP="004C5F2A">
      <w:pPr>
        <w:spacing w:after="0" w:line="360" w:lineRule="auto"/>
        <w:ind w:firstLine="720"/>
        <w:contextualSpacing/>
        <w:rPr>
          <w:rFonts w:ascii="Times New Roman" w:eastAsia="Times New Roman" w:hAnsi="Times New Roman"/>
          <w:i/>
          <w:sz w:val="22"/>
          <w:u w:val="single"/>
          <w:lang w:val="bg-BG" w:eastAsia="zh-CN"/>
        </w:rPr>
      </w:pPr>
      <w:r w:rsidRPr="004C5F2A">
        <w:rPr>
          <w:rFonts w:ascii="Times New Roman" w:eastAsia="Times New Roman" w:hAnsi="Times New Roman"/>
          <w:i/>
          <w:sz w:val="22"/>
          <w:u w:val="single"/>
          <w:lang w:val="bg-BG" w:eastAsia="zh-CN"/>
        </w:rPr>
        <w:t xml:space="preserve">Относителни тежести на критериите за получаване на крайна оценка за съответния основен критерий </w:t>
      </w:r>
    </w:p>
    <w:p w14:paraId="148C0ADB"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Оценката на съответния критерий се получава като средноаритметична оценка на оценките на включените в него под-критерии.</w:t>
      </w:r>
    </w:p>
    <w:p w14:paraId="5B894275"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При избора на относителна тежест на някои от критериите са използвани следните аргументи:</w:t>
      </w:r>
    </w:p>
    <w:p w14:paraId="3BC7669C" w14:textId="77777777" w:rsidR="00DE19E4" w:rsidRPr="004C5F2A" w:rsidRDefault="00DE19E4" w:rsidP="004C5F2A">
      <w:pPr>
        <w:spacing w:after="0" w:line="360" w:lineRule="auto"/>
        <w:ind w:firstLine="720"/>
        <w:contextualSpacing/>
        <w:rPr>
          <w:rFonts w:ascii="Times New Roman" w:eastAsia="Times New Roman" w:hAnsi="Times New Roman"/>
          <w:b/>
          <w:sz w:val="22"/>
          <w:lang w:val="bg-BG" w:eastAsia="zh-CN"/>
        </w:rPr>
      </w:pPr>
      <w:r w:rsidRPr="004C5F2A">
        <w:rPr>
          <w:rFonts w:ascii="Times New Roman" w:eastAsia="Times New Roman" w:hAnsi="Times New Roman"/>
          <w:b/>
          <w:sz w:val="22"/>
          <w:lang w:val="bg-BG" w:eastAsia="zh-CN"/>
        </w:rPr>
        <w:t xml:space="preserve">Основен критерий „Технически“ </w:t>
      </w:r>
    </w:p>
    <w:p w14:paraId="6BB83BEC"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Критерий Техническа осъществимост и дълготрайност</w:t>
      </w:r>
      <w:r w:rsidRPr="004C5F2A">
        <w:rPr>
          <w:rFonts w:ascii="Times New Roman" w:eastAsia="Times New Roman" w:hAnsi="Times New Roman"/>
          <w:sz w:val="22"/>
          <w:lang w:val="bg-BG" w:eastAsia="zh-CN"/>
        </w:rPr>
        <w:t>, получава относителна тежест от 75%, защото техническата осъществимост позволява съобразяване на стратегическия подход за изпълнение на строителните работи, както и в бъдеще за експлоатация и поддръжка и най-вече за различна степен на икономически живот на изградените активи.</w:t>
      </w:r>
    </w:p>
    <w:p w14:paraId="15DFB0FE"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Критерий Изпълнение на строителните работи</w:t>
      </w:r>
      <w:r w:rsidRPr="004C5F2A">
        <w:rPr>
          <w:rFonts w:ascii="Times New Roman" w:eastAsia="Times New Roman" w:hAnsi="Times New Roman"/>
          <w:sz w:val="22"/>
          <w:lang w:val="bg-BG" w:eastAsia="zh-CN"/>
        </w:rPr>
        <w:t xml:space="preserve"> получава относителна тежест от 25%, защото извършва оценка само на рисковете по време на изпълнение на строителните работи.</w:t>
      </w:r>
    </w:p>
    <w:p w14:paraId="4195B53F" w14:textId="77777777" w:rsidR="00DE19E4" w:rsidRPr="004C5F2A" w:rsidRDefault="00DE19E4" w:rsidP="004C5F2A">
      <w:pPr>
        <w:spacing w:after="0" w:line="360" w:lineRule="auto"/>
        <w:ind w:firstLine="720"/>
        <w:contextualSpacing/>
        <w:rPr>
          <w:rFonts w:ascii="Times New Roman" w:eastAsia="Times New Roman" w:hAnsi="Times New Roman"/>
          <w:b/>
          <w:sz w:val="22"/>
          <w:lang w:val="bg-BG" w:eastAsia="zh-CN"/>
        </w:rPr>
      </w:pPr>
      <w:r w:rsidRPr="004C5F2A">
        <w:rPr>
          <w:rFonts w:ascii="Times New Roman" w:eastAsia="Times New Roman" w:hAnsi="Times New Roman"/>
          <w:b/>
          <w:sz w:val="22"/>
          <w:lang w:val="bg-BG" w:eastAsia="zh-CN"/>
        </w:rPr>
        <w:t xml:space="preserve">Основен критерий „Финансово-икономически“ </w:t>
      </w:r>
    </w:p>
    <w:p w14:paraId="27571BD6"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Първият критерий за ефективност на разходите</w:t>
      </w:r>
      <w:r w:rsidRPr="004C5F2A">
        <w:rPr>
          <w:rFonts w:ascii="Times New Roman" w:eastAsia="Times New Roman" w:hAnsi="Times New Roman"/>
          <w:sz w:val="22"/>
          <w:lang w:val="bg-BG" w:eastAsia="zh-CN"/>
        </w:rPr>
        <w:t xml:space="preserve"> ни показва съотношението на всички разходи, капиталови и такива за експлоатация и поддръжка за единица извършена работа или тяхната нетна настояща стойност към момента на изготвяне на анализите. Тъй като за обществото е по-важно да се влагат по-малко публични средства за единица извършена работа, на под-критерий Разходи за 1 тон е дадена относителна тежест от 75%, а на под-критерий ННС на общите разходи - 25%. Общата относителна тежест на този критерий при оценка на основния критерий Финансово-Икономически е 30%. </w:t>
      </w:r>
    </w:p>
    <w:p w14:paraId="53D3B470"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Критерият Икономическа оценка</w:t>
      </w:r>
      <w:r w:rsidRPr="004C5F2A">
        <w:rPr>
          <w:rFonts w:ascii="Times New Roman" w:eastAsia="Times New Roman" w:hAnsi="Times New Roman"/>
          <w:sz w:val="22"/>
          <w:lang w:val="bg-BG" w:eastAsia="zh-CN"/>
        </w:rPr>
        <w:t xml:space="preserve"> дава обективна информация за икономическата ефективност на даден вариант, определена чрез група от индикатори.</w:t>
      </w:r>
    </w:p>
    <w:p w14:paraId="7BBE0267"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Навсякъде в икономическата литература ИННС на дадена инвестиция се смята за водещ индикатор при взимане на решение, защото показва, дали вложените средства за изграждането и експлоатацията на обекта ще генерира повече ползи за определен период от време, в сравнение с направените разходи. Затова на този под-критерий е присъдена относителна тежест 50%.</w:t>
      </w:r>
    </w:p>
    <w:p w14:paraId="436F21D4"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xml:space="preserve">Макар да има пряка зависимост между индикаторите ИННС и ИВНВ, понякога е възможно ИВНВ да не достигне препоръчваните стойности, а именно да е &gt; от използваната дисконтова норма. </w:t>
      </w:r>
      <w:r w:rsidRPr="004C5F2A">
        <w:rPr>
          <w:rFonts w:ascii="Times New Roman" w:eastAsia="Times New Roman" w:hAnsi="Times New Roman"/>
          <w:sz w:val="22"/>
          <w:lang w:val="bg-BG" w:eastAsia="zh-CN"/>
        </w:rPr>
        <w:lastRenderedPageBreak/>
        <w:t>Колкото по-голям е размера на дисконтовата норма (слабо развита икономика, политическа нестабилност, рисков сектор на икономиката и др.), толкова по вероятно е да няма пълна зависимост между двата индикатора и въпреки това ИВНВ остава важен индикатор при взимане на решение за избор на вариант и затова на под-критерий ИВНВ се присъжда относителна тежест от 40%.</w:t>
      </w:r>
    </w:p>
    <w:p w14:paraId="35DF78F5" w14:textId="3A7E3569" w:rsidR="00DE19E4" w:rsidRPr="004C5F2A" w:rsidRDefault="00DE19E4" w:rsidP="009C3231">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Коефициентът ползи/разходи е често използван за допълващ индикатор, когато не може да бъде обективно определена ННС. Той дава информация дали съвкупните ползи превишават общите разходи в просто съотношение като делимо. Отново е свързан с предишните два индикатора, но за разлика от тях не е лимитиращо условие за финансиране със средства от ЕС и затова на него му се дава относително тегло от 10%. Общата относителна тежест на този критерий при оценка на основния критерий Финансово-Икономически е 70%.</w:t>
      </w:r>
    </w:p>
    <w:p w14:paraId="59301882" w14:textId="77777777" w:rsidR="00DE19E4" w:rsidRPr="004C5F2A" w:rsidRDefault="00DE19E4" w:rsidP="004C5F2A">
      <w:pPr>
        <w:spacing w:after="0" w:line="360" w:lineRule="auto"/>
        <w:ind w:firstLine="720"/>
        <w:contextualSpacing/>
        <w:rPr>
          <w:rFonts w:ascii="Times New Roman" w:eastAsia="Times New Roman" w:hAnsi="Times New Roman"/>
          <w:i/>
          <w:sz w:val="22"/>
          <w:u w:val="single"/>
          <w:lang w:val="bg-BG" w:eastAsia="zh-CN"/>
        </w:rPr>
      </w:pPr>
      <w:r w:rsidRPr="004C5F2A">
        <w:rPr>
          <w:rFonts w:ascii="Times New Roman" w:eastAsia="Times New Roman" w:hAnsi="Times New Roman"/>
          <w:i/>
          <w:sz w:val="22"/>
          <w:u w:val="single"/>
          <w:lang w:val="bg-BG" w:eastAsia="zh-CN"/>
        </w:rPr>
        <w:t>Относителни тежести на основните критерии</w:t>
      </w:r>
    </w:p>
    <w:p w14:paraId="25291456" w14:textId="77777777" w:rsidR="00DE19E4" w:rsidRPr="004C5F2A" w:rsidRDefault="00DE19E4" w:rsidP="004C5F2A">
      <w:pPr>
        <w:spacing w:after="0" w:line="360" w:lineRule="auto"/>
        <w:ind w:firstLine="720"/>
        <w:contextualSpacing/>
        <w:rPr>
          <w:rFonts w:ascii="Times New Roman" w:hAnsi="Times New Roman"/>
          <w:sz w:val="22"/>
          <w:lang w:val="bg-BG"/>
        </w:rPr>
      </w:pPr>
      <w:bookmarkStart w:id="141" w:name="_Hlk95403554"/>
      <w:r w:rsidRPr="004C5F2A">
        <w:rPr>
          <w:rFonts w:ascii="Times New Roman" w:hAnsi="Times New Roman"/>
          <w:sz w:val="22"/>
          <w:lang w:val="bg-BG"/>
        </w:rPr>
        <w:t>Оценката на съответния вариант се получава след прилагане на относителни тежести на основните критерии, препоръчани от JASPERS, както следва:</w:t>
      </w:r>
    </w:p>
    <w:p w14:paraId="33FDEA4E" w14:textId="77777777" w:rsidR="00DE19E4" w:rsidRPr="004C5F2A" w:rsidRDefault="00DE19E4" w:rsidP="00593A2C">
      <w:pPr>
        <w:numPr>
          <w:ilvl w:val="0"/>
          <w:numId w:val="83"/>
        </w:numPr>
        <w:tabs>
          <w:tab w:val="left" w:pos="189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xml:space="preserve">Технически </w:t>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t>- 35%;</w:t>
      </w:r>
    </w:p>
    <w:p w14:paraId="2F127B9E" w14:textId="77777777" w:rsidR="00DE19E4" w:rsidRPr="004C5F2A" w:rsidRDefault="00DE19E4" w:rsidP="00593A2C">
      <w:pPr>
        <w:numPr>
          <w:ilvl w:val="0"/>
          <w:numId w:val="83"/>
        </w:numPr>
        <w:tabs>
          <w:tab w:val="left" w:pos="189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xml:space="preserve">Финансово-икономически </w:t>
      </w:r>
      <w:r w:rsidRPr="004C5F2A">
        <w:rPr>
          <w:rFonts w:ascii="Times New Roman" w:eastAsia="Times New Roman" w:hAnsi="Times New Roman"/>
          <w:sz w:val="22"/>
          <w:lang w:val="bg-BG" w:eastAsia="zh-CN"/>
        </w:rPr>
        <w:tab/>
        <w:t>- 30%;</w:t>
      </w:r>
    </w:p>
    <w:p w14:paraId="731D2899" w14:textId="77777777" w:rsidR="00DE19E4" w:rsidRPr="004C5F2A" w:rsidRDefault="00DE19E4" w:rsidP="00593A2C">
      <w:pPr>
        <w:numPr>
          <w:ilvl w:val="0"/>
          <w:numId w:val="83"/>
        </w:numPr>
        <w:tabs>
          <w:tab w:val="left" w:pos="189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Екологичен</w:t>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t>- 30%;</w:t>
      </w:r>
    </w:p>
    <w:p w14:paraId="40AB6B5F" w14:textId="0177B718" w:rsidR="00DE19E4" w:rsidRPr="004C5F2A" w:rsidRDefault="00DE19E4" w:rsidP="00593A2C">
      <w:pPr>
        <w:numPr>
          <w:ilvl w:val="0"/>
          <w:numId w:val="83"/>
        </w:numPr>
        <w:tabs>
          <w:tab w:val="left" w:pos="1890"/>
        </w:tabs>
        <w:spacing w:after="0" w:line="360" w:lineRule="auto"/>
        <w:ind w:left="851" w:hanging="284"/>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Социален</w:t>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r>
      <w:r w:rsidRPr="004C5F2A">
        <w:rPr>
          <w:rFonts w:ascii="Times New Roman" w:eastAsia="Times New Roman" w:hAnsi="Times New Roman"/>
          <w:sz w:val="22"/>
          <w:lang w:val="bg-BG" w:eastAsia="zh-CN"/>
        </w:rPr>
        <w:tab/>
      </w:r>
      <w:r w:rsidR="00593A2C">
        <w:rPr>
          <w:rFonts w:ascii="Times New Roman" w:eastAsia="Times New Roman" w:hAnsi="Times New Roman"/>
          <w:sz w:val="22"/>
          <w:lang w:val="bg-BG" w:eastAsia="zh-CN"/>
        </w:rPr>
        <w:t xml:space="preserve">             </w:t>
      </w:r>
      <w:r w:rsidRPr="004C5F2A">
        <w:rPr>
          <w:rFonts w:ascii="Times New Roman" w:eastAsia="Times New Roman" w:hAnsi="Times New Roman"/>
          <w:sz w:val="22"/>
          <w:lang w:val="bg-BG" w:eastAsia="zh-CN"/>
        </w:rPr>
        <w:t>- 5%.</w:t>
      </w:r>
    </w:p>
    <w:bookmarkEnd w:id="141"/>
    <w:p w14:paraId="2024EDE4" w14:textId="77777777" w:rsidR="00DE19E4" w:rsidRPr="00DE19E4" w:rsidRDefault="00DE19E4" w:rsidP="004C5F2A">
      <w:pPr>
        <w:spacing w:after="0" w:line="360" w:lineRule="auto"/>
        <w:ind w:firstLine="720"/>
        <w:contextualSpacing/>
        <w:rPr>
          <w:rFonts w:ascii="Times New Roman" w:eastAsia="Times New Roman" w:hAnsi="Times New Roman"/>
          <w:sz w:val="24"/>
          <w:szCs w:val="24"/>
          <w:lang w:val="bg-BG" w:eastAsia="zh-CN"/>
        </w:rPr>
      </w:pPr>
      <w:r w:rsidRPr="004C5F2A">
        <w:rPr>
          <w:rFonts w:ascii="Times New Roman" w:eastAsia="Times New Roman" w:hAnsi="Times New Roman"/>
          <w:sz w:val="22"/>
          <w:lang w:val="bg-BG" w:eastAsia="zh-CN"/>
        </w:rPr>
        <w:t>Конкретните оценки за съответните подкритерии, включващи описание на целта, индикатора за постигане, методиката за определянето на съответните стойности, резултати от оценката и схемата за определяне на нивото на постигане на целта, както и обобщените резултати от оценките на съответните критерии и основни критерии за всеки от разработените варианти са показани по-долу в настоящия раздел.</w:t>
      </w:r>
    </w:p>
    <w:p w14:paraId="44FE6681" w14:textId="77777777" w:rsidR="00DE19E4" w:rsidRPr="00DE19E4" w:rsidRDefault="00DE19E4" w:rsidP="00DE19E4">
      <w:pPr>
        <w:pStyle w:val="Heading3"/>
        <w:rPr>
          <w:rFonts w:ascii="Times New Roman" w:hAnsi="Times New Roman"/>
          <w:lang w:val="bg-BG" w:eastAsia="bg-BG"/>
        </w:rPr>
      </w:pPr>
      <w:bookmarkStart w:id="142" w:name="_Toc95837687"/>
      <w:bookmarkStart w:id="143" w:name="_Toc136961128"/>
      <w:r w:rsidRPr="00DE19E4">
        <w:rPr>
          <w:rFonts w:ascii="Times New Roman" w:hAnsi="Times New Roman"/>
          <w:lang w:val="bg-BG" w:eastAsia="bg-BG"/>
        </w:rPr>
        <w:t>Използвани специфични анализи в МКА</w:t>
      </w:r>
      <w:bookmarkEnd w:id="142"/>
      <w:bookmarkEnd w:id="143"/>
      <w:r w:rsidRPr="00DE19E4">
        <w:rPr>
          <w:rFonts w:ascii="Times New Roman" w:hAnsi="Times New Roman"/>
          <w:lang w:val="bg-BG" w:eastAsia="bg-BG"/>
        </w:rPr>
        <w:t xml:space="preserve"> </w:t>
      </w:r>
    </w:p>
    <w:p w14:paraId="6EAF4817"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xml:space="preserve">От методическа гледна точка, по-специално внимание трябва да бъде обърнато на съответните критерии и под-критерии, включени в основен критерий „Финансово-икономически“, като за тяхното определяне са използвани методи и инструменти, препоръчвани от Европейската комисия за Програмен период 2021-2027 г. За формиране на резултатите за съответните критерии и под-критерии, включени в основен критерий „Финансово-икономически“ са използвани следните анализи: </w:t>
      </w:r>
    </w:p>
    <w:p w14:paraId="6556F9BB"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Анализ на ефективността на разходите</w:t>
      </w:r>
      <w:r w:rsidRPr="004C5F2A">
        <w:rPr>
          <w:rFonts w:ascii="Times New Roman" w:eastAsia="Times New Roman" w:hAnsi="Times New Roman"/>
          <w:sz w:val="22"/>
          <w:lang w:val="bg-BG" w:eastAsia="zh-CN"/>
        </w:rPr>
        <w:t xml:space="preserve"> за определяне на критерий 2.1 Ефективност на разходите и под-критерий:</w:t>
      </w:r>
    </w:p>
    <w:p w14:paraId="54B769AD"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w:t>
      </w:r>
      <w:r w:rsidRPr="004C5F2A">
        <w:rPr>
          <w:rFonts w:ascii="Times New Roman" w:eastAsia="Times New Roman" w:hAnsi="Times New Roman"/>
          <w:sz w:val="22"/>
          <w:lang w:val="bg-BG" w:eastAsia="zh-CN"/>
        </w:rPr>
        <w:tab/>
        <w:t>Разходи на един тон.</w:t>
      </w:r>
    </w:p>
    <w:p w14:paraId="1B5DFD86"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lastRenderedPageBreak/>
        <w:t>Анализ на най-ниските разходи</w:t>
      </w:r>
      <w:r w:rsidRPr="004C5F2A">
        <w:rPr>
          <w:rFonts w:ascii="Times New Roman" w:eastAsia="Times New Roman" w:hAnsi="Times New Roman"/>
          <w:sz w:val="22"/>
          <w:lang w:val="bg-BG" w:eastAsia="zh-CN"/>
        </w:rPr>
        <w:t xml:space="preserve"> за определяне на критерий 2.1 Ефективност на разходите и под-критерий:</w:t>
      </w:r>
    </w:p>
    <w:p w14:paraId="7FD3B1D4"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w:t>
      </w:r>
      <w:r w:rsidRPr="004C5F2A">
        <w:rPr>
          <w:rFonts w:ascii="Times New Roman" w:eastAsia="Times New Roman" w:hAnsi="Times New Roman"/>
          <w:sz w:val="22"/>
          <w:lang w:val="bg-BG" w:eastAsia="zh-CN"/>
        </w:rPr>
        <w:tab/>
        <w:t xml:space="preserve">Нетна настояща стойност (ННС) на общите разходи. </w:t>
      </w:r>
    </w:p>
    <w:p w14:paraId="7759FC09"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i/>
          <w:sz w:val="22"/>
          <w:lang w:val="bg-BG" w:eastAsia="zh-CN"/>
        </w:rPr>
        <w:t>Анализ на разходите и ползите</w:t>
      </w:r>
      <w:r w:rsidRPr="004C5F2A">
        <w:rPr>
          <w:rFonts w:ascii="Times New Roman" w:eastAsia="Times New Roman" w:hAnsi="Times New Roman"/>
          <w:sz w:val="22"/>
          <w:lang w:val="bg-BG" w:eastAsia="zh-CN"/>
        </w:rPr>
        <w:t xml:space="preserve"> за определяне на критерий 2.2 Икономическа оценка и следните под-критерии:</w:t>
      </w:r>
    </w:p>
    <w:p w14:paraId="5226E65F"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Икономическа нетна настояща стойност на проекта;</w:t>
      </w:r>
    </w:p>
    <w:p w14:paraId="3960A327"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Икономическа вътрешна норма на възвращаемост на проекта;</w:t>
      </w:r>
    </w:p>
    <w:p w14:paraId="4B5FE470" w14:textId="77777777" w:rsidR="00DE19E4" w:rsidRPr="004C5F2A" w:rsidRDefault="00DE19E4" w:rsidP="004C5F2A">
      <w:pPr>
        <w:spacing w:after="0" w:line="360" w:lineRule="auto"/>
        <w:ind w:firstLine="720"/>
        <w:contextualSpacing/>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 xml:space="preserve">- Коефициент ползи/разходи за проекта. </w:t>
      </w:r>
    </w:p>
    <w:p w14:paraId="38CB6B4A"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sz w:val="22"/>
          <w:lang w:val="bg-BG"/>
        </w:rPr>
        <w:t>Трите използвани Анализа са изготвени в съответствие със следните документи:</w:t>
      </w:r>
    </w:p>
    <w:p w14:paraId="6EDFBE1C" w14:textId="77777777" w:rsidR="00DE19E4" w:rsidRPr="004C5F2A" w:rsidRDefault="00DE19E4" w:rsidP="0021547C">
      <w:pPr>
        <w:numPr>
          <w:ilvl w:val="0"/>
          <w:numId w:val="84"/>
        </w:numPr>
        <w:tabs>
          <w:tab w:val="left" w:pos="990"/>
        </w:tabs>
        <w:spacing w:after="0" w:line="360" w:lineRule="auto"/>
        <w:ind w:left="0" w:firstLine="720"/>
        <w:contextualSpacing/>
        <w:jc w:val="left"/>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Регламент за изпълнение (ЕС) № 207/2015 на Европейската Комисия</w:t>
      </w:r>
      <w:r w:rsidRPr="004C5F2A">
        <w:rPr>
          <w:rFonts w:ascii="Times New Roman" w:eastAsia="Times New Roman" w:hAnsi="Times New Roman"/>
          <w:sz w:val="22"/>
          <w:vertAlign w:val="superscript"/>
          <w:lang w:val="bg-BG" w:eastAsia="zh-CN"/>
        </w:rPr>
        <w:footnoteReference w:id="29"/>
      </w:r>
      <w:r w:rsidRPr="004C5F2A">
        <w:rPr>
          <w:rFonts w:ascii="Times New Roman" w:eastAsia="Times New Roman" w:hAnsi="Times New Roman"/>
          <w:sz w:val="22"/>
          <w:lang w:val="bg-BG" w:eastAsia="zh-CN"/>
        </w:rPr>
        <w:t>;</w:t>
      </w:r>
    </w:p>
    <w:p w14:paraId="188D3C46" w14:textId="77777777" w:rsidR="00DE19E4" w:rsidRPr="004C5F2A" w:rsidRDefault="00DE19E4" w:rsidP="0021547C">
      <w:pPr>
        <w:numPr>
          <w:ilvl w:val="0"/>
          <w:numId w:val="84"/>
        </w:numPr>
        <w:tabs>
          <w:tab w:val="left" w:pos="990"/>
        </w:tabs>
        <w:spacing w:after="0" w:line="360" w:lineRule="auto"/>
        <w:ind w:left="0" w:firstLine="720"/>
        <w:contextualSpacing/>
        <w:jc w:val="left"/>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Указания за изготвяне на АРП</w:t>
      </w:r>
      <w:r w:rsidRPr="004C5F2A">
        <w:rPr>
          <w:rFonts w:ascii="Times New Roman" w:eastAsia="Times New Roman" w:hAnsi="Times New Roman"/>
          <w:sz w:val="22"/>
          <w:vertAlign w:val="superscript"/>
          <w:lang w:val="bg-BG" w:eastAsia="zh-CN"/>
        </w:rPr>
        <w:footnoteReference w:id="30"/>
      </w:r>
      <w:r w:rsidRPr="004C5F2A">
        <w:rPr>
          <w:rFonts w:ascii="Times New Roman" w:eastAsia="Times New Roman" w:hAnsi="Times New Roman"/>
          <w:sz w:val="22"/>
          <w:lang w:val="bg-BG" w:eastAsia="zh-CN"/>
        </w:rPr>
        <w:t>, Европейска комисия , 2014-2020;</w:t>
      </w:r>
    </w:p>
    <w:p w14:paraId="7D4E05E5" w14:textId="77777777" w:rsidR="00DE19E4" w:rsidRPr="004C5F2A" w:rsidRDefault="00DE19E4" w:rsidP="0021547C">
      <w:pPr>
        <w:numPr>
          <w:ilvl w:val="0"/>
          <w:numId w:val="84"/>
        </w:numPr>
        <w:tabs>
          <w:tab w:val="left" w:pos="990"/>
        </w:tabs>
        <w:spacing w:after="0" w:line="360" w:lineRule="auto"/>
        <w:ind w:left="0" w:right="-198" w:firstLine="720"/>
        <w:contextualSpacing/>
        <w:jc w:val="left"/>
        <w:rPr>
          <w:rFonts w:ascii="Times New Roman" w:eastAsia="Times New Roman" w:hAnsi="Times New Roman"/>
          <w:sz w:val="22"/>
          <w:lang w:val="bg-BG" w:eastAsia="zh-CN"/>
        </w:rPr>
      </w:pPr>
      <w:r w:rsidRPr="004C5F2A">
        <w:rPr>
          <w:rFonts w:ascii="Times New Roman" w:eastAsia="Times New Roman" w:hAnsi="Times New Roman"/>
          <w:sz w:val="22"/>
          <w:lang w:val="bg-BG" w:eastAsia="zh-CN"/>
        </w:rPr>
        <w:t>Наръчник за Икономическа оценка периода 2021-2027, Vademecum 2021-2027</w:t>
      </w:r>
      <w:r w:rsidRPr="004C5F2A">
        <w:rPr>
          <w:rFonts w:ascii="Times New Roman" w:eastAsia="Times New Roman" w:hAnsi="Times New Roman"/>
          <w:sz w:val="22"/>
          <w:vertAlign w:val="superscript"/>
          <w:lang w:val="bg-BG" w:eastAsia="zh-CN"/>
        </w:rPr>
        <w:footnoteReference w:id="31"/>
      </w:r>
      <w:r w:rsidRPr="004C5F2A">
        <w:rPr>
          <w:rFonts w:ascii="Times New Roman" w:eastAsia="Times New Roman" w:hAnsi="Times New Roman"/>
          <w:sz w:val="22"/>
          <w:lang w:val="bg-BG" w:eastAsia="zh-CN"/>
        </w:rPr>
        <w:t>.</w:t>
      </w:r>
    </w:p>
    <w:p w14:paraId="322F02C5" w14:textId="5D5FFBAF" w:rsidR="009E7279" w:rsidRPr="00DE19E4" w:rsidRDefault="00DE19E4" w:rsidP="00D54BF3">
      <w:pPr>
        <w:spacing w:after="0" w:line="360" w:lineRule="auto"/>
        <w:ind w:firstLine="720"/>
        <w:rPr>
          <w:rFonts w:ascii="Times New Roman" w:hAnsi="Times New Roman"/>
          <w:sz w:val="24"/>
          <w:szCs w:val="24"/>
          <w:lang w:val="bg-BG"/>
        </w:rPr>
      </w:pPr>
      <w:r w:rsidRPr="004C5F2A">
        <w:rPr>
          <w:rFonts w:ascii="Times New Roman" w:eastAsia="Times New Roman" w:hAnsi="Times New Roman"/>
          <w:sz w:val="22"/>
          <w:lang w:val="bg-BG"/>
        </w:rPr>
        <w:t>Съгласно основните изисквания в Регламент 1303/2013 на ЕК</w:t>
      </w:r>
      <w:r w:rsidRPr="004C5F2A">
        <w:rPr>
          <w:rFonts w:ascii="Times New Roman" w:eastAsia="Times New Roman" w:hAnsi="Times New Roman"/>
          <w:sz w:val="22"/>
          <w:vertAlign w:val="superscript"/>
          <w:lang w:val="bg-BG"/>
        </w:rPr>
        <w:footnoteReference w:id="32"/>
      </w:r>
      <w:r w:rsidRPr="004C5F2A">
        <w:rPr>
          <w:rFonts w:ascii="Times New Roman" w:eastAsia="Times New Roman" w:hAnsi="Times New Roman"/>
          <w:sz w:val="22"/>
          <w:lang w:val="bg-BG"/>
        </w:rPr>
        <w:t xml:space="preserve">, при оценка на различни проектни алтернативи, на етап подготовка на проектите, се извършва Мултикритериален анализ, в който задължително трябва да бъдат включени финансово-икономически критерии. </w:t>
      </w:r>
      <w:r w:rsidRPr="004C5F2A">
        <w:rPr>
          <w:rFonts w:ascii="Times New Roman" w:hAnsi="Times New Roman"/>
          <w:sz w:val="22"/>
          <w:lang w:val="bg-BG"/>
        </w:rPr>
        <w:t>За да може финансово-икономическите критерии да послужат като основа за вземане на решения за избор на алтернатива, те трябва да бъдат подкрепени от солидни и обективно проверими доказателства и да разглеждат всички варианти за постигане на точно определена цел. за да се докаже икономическата жизнеспособност на избраната алтернатива на проекта.</w:t>
      </w:r>
      <w:r w:rsidRPr="00DE19E4">
        <w:rPr>
          <w:rFonts w:ascii="Times New Roman" w:hAnsi="Times New Roman"/>
          <w:sz w:val="24"/>
          <w:szCs w:val="24"/>
          <w:lang w:val="bg-BG"/>
        </w:rPr>
        <w:t xml:space="preserve"> </w:t>
      </w:r>
    </w:p>
    <w:p w14:paraId="35E10A0F" w14:textId="77777777" w:rsidR="00DE19E4" w:rsidRPr="00DE19E4" w:rsidRDefault="00DE19E4" w:rsidP="00DE19E4">
      <w:pPr>
        <w:pStyle w:val="Heading3"/>
        <w:rPr>
          <w:rFonts w:ascii="Times New Roman" w:hAnsi="Times New Roman"/>
          <w:lang w:val="bg-BG" w:eastAsia="bg-BG"/>
        </w:rPr>
      </w:pPr>
      <w:bookmarkStart w:id="144" w:name="_Toc88752462"/>
      <w:bookmarkStart w:id="145" w:name="_Toc88823976"/>
      <w:bookmarkStart w:id="146" w:name="_Toc136961129"/>
      <w:r w:rsidRPr="00DE19E4">
        <w:rPr>
          <w:rFonts w:ascii="Times New Roman" w:hAnsi="Times New Roman"/>
          <w:lang w:val="bg-BG" w:eastAsia="bg-BG"/>
        </w:rPr>
        <w:t>Анализ на ефективността на разходите</w:t>
      </w:r>
      <w:bookmarkEnd w:id="144"/>
      <w:bookmarkEnd w:id="145"/>
      <w:bookmarkEnd w:id="146"/>
    </w:p>
    <w:p w14:paraId="154BC435" w14:textId="77777777" w:rsidR="00DE19E4" w:rsidRPr="004C5F2A" w:rsidRDefault="00DE19E4" w:rsidP="004C5F2A">
      <w:pPr>
        <w:spacing w:after="0" w:line="360" w:lineRule="auto"/>
        <w:ind w:firstLine="720"/>
        <w:rPr>
          <w:rFonts w:ascii="Times New Roman" w:eastAsia="Times New Roman" w:hAnsi="Times New Roman"/>
          <w:sz w:val="22"/>
          <w:lang w:val="bg-BG" w:eastAsia="en-GB"/>
        </w:rPr>
      </w:pPr>
      <w:r w:rsidRPr="004C5F2A">
        <w:rPr>
          <w:rFonts w:ascii="Times New Roman" w:hAnsi="Times New Roman"/>
          <w:sz w:val="22"/>
          <w:lang w:val="bg-BG"/>
        </w:rPr>
        <w:t xml:space="preserve">Анализът на ефективността на разходите (АЕР) е препоръчван инструмент за взимане на решение относно изборът на най-подходяща алтернатива и/или определянето на осъществимост за даден проект, когато имаме ограничен/определен ресурс за неговото финансиране. </w:t>
      </w:r>
      <w:r w:rsidRPr="004C5F2A">
        <w:rPr>
          <w:rFonts w:ascii="Times New Roman" w:eastAsia="Times New Roman" w:hAnsi="Times New Roman"/>
          <w:sz w:val="22"/>
          <w:lang w:val="bg-BG" w:eastAsia="en-GB"/>
        </w:rPr>
        <w:t>Чрез АЕР се тества хипотезата, че средната ефективност на разходите на един проект, в случая на един тонкм (</w:t>
      </w:r>
      <w:r w:rsidRPr="004C5F2A">
        <w:rPr>
          <w:rFonts w:ascii="Times New Roman" w:eastAsia="Times New Roman" w:hAnsi="Times New Roman"/>
          <w:i/>
          <w:iCs/>
          <w:sz w:val="22"/>
          <w:lang w:val="bg-BG" w:eastAsia="en-GB"/>
        </w:rPr>
        <w:t>a</w:t>
      </w:r>
      <w:r w:rsidRPr="004C5F2A">
        <w:rPr>
          <w:rFonts w:ascii="Times New Roman" w:eastAsia="Times New Roman" w:hAnsi="Times New Roman"/>
          <w:sz w:val="22"/>
          <w:lang w:val="bg-BG" w:eastAsia="en-GB"/>
        </w:rPr>
        <w:t>) е различна от средната ефективност на разходите на другата алтернатива (</w:t>
      </w:r>
      <w:r w:rsidRPr="004C5F2A">
        <w:rPr>
          <w:rFonts w:ascii="Times New Roman" w:eastAsia="Times New Roman" w:hAnsi="Times New Roman"/>
          <w:i/>
          <w:iCs/>
          <w:sz w:val="22"/>
          <w:lang w:val="bg-BG" w:eastAsia="en-GB"/>
        </w:rPr>
        <w:t>b</w:t>
      </w:r>
      <w:r w:rsidRPr="004C5F2A">
        <w:rPr>
          <w:rFonts w:ascii="Times New Roman" w:eastAsia="Times New Roman" w:hAnsi="Times New Roman"/>
          <w:sz w:val="22"/>
          <w:lang w:val="bg-BG" w:eastAsia="en-GB"/>
        </w:rPr>
        <w:t>). Тя се изчислява като съотношение:</w:t>
      </w:r>
    </w:p>
    <w:p w14:paraId="16B2E82B" w14:textId="77777777" w:rsidR="00DE19E4" w:rsidRPr="004C5F2A" w:rsidRDefault="00DE19E4" w:rsidP="004C5F2A">
      <w:pPr>
        <w:autoSpaceDE w:val="0"/>
        <w:autoSpaceDN w:val="0"/>
        <w:adjustRightInd w:val="0"/>
        <w:spacing w:after="0" w:line="360" w:lineRule="auto"/>
        <w:ind w:firstLine="720"/>
        <w:rPr>
          <w:rFonts w:ascii="Times New Roman" w:eastAsia="Times New Roman" w:hAnsi="Times New Roman"/>
          <w:i/>
          <w:iCs/>
          <w:sz w:val="22"/>
          <w:lang w:val="bg-BG" w:eastAsia="en-GB"/>
        </w:rPr>
      </w:pPr>
      <w:r w:rsidRPr="004C5F2A">
        <w:rPr>
          <w:rFonts w:ascii="Times New Roman" w:eastAsia="Times New Roman" w:hAnsi="Times New Roman"/>
          <w:i/>
          <w:iCs/>
          <w:sz w:val="22"/>
          <w:lang w:val="bg-BG" w:eastAsia="en-GB"/>
        </w:rPr>
        <w:t xml:space="preserve">R </w:t>
      </w:r>
      <w:r w:rsidRPr="004C5F2A">
        <w:rPr>
          <w:rFonts w:ascii="Times New Roman" w:eastAsia="Times New Roman" w:hAnsi="Times New Roman"/>
          <w:sz w:val="22"/>
          <w:lang w:val="bg-BG" w:eastAsia="en-GB"/>
        </w:rPr>
        <w:t>= (</w:t>
      </w:r>
      <w:r w:rsidRPr="004C5F2A">
        <w:rPr>
          <w:rFonts w:ascii="Times New Roman" w:eastAsia="Times New Roman" w:hAnsi="Times New Roman"/>
          <w:i/>
          <w:iCs/>
          <w:sz w:val="22"/>
          <w:lang w:val="bg-BG" w:eastAsia="en-GB"/>
        </w:rPr>
        <w:t xml:space="preserve">Ca </w:t>
      </w:r>
      <w:r w:rsidRPr="004C5F2A">
        <w:rPr>
          <w:rFonts w:ascii="Times New Roman" w:eastAsia="Times New Roman" w:hAnsi="Times New Roman"/>
          <w:sz w:val="22"/>
          <w:lang w:val="bg-BG" w:eastAsia="en-GB"/>
        </w:rPr>
        <w:t xml:space="preserve">– </w:t>
      </w:r>
      <w:r w:rsidRPr="004C5F2A">
        <w:rPr>
          <w:rFonts w:ascii="Times New Roman" w:eastAsia="Times New Roman" w:hAnsi="Times New Roman"/>
          <w:i/>
          <w:iCs/>
          <w:sz w:val="22"/>
          <w:lang w:val="bg-BG" w:eastAsia="en-GB"/>
        </w:rPr>
        <w:t>Cb</w:t>
      </w:r>
      <w:r w:rsidRPr="004C5F2A">
        <w:rPr>
          <w:rFonts w:ascii="Times New Roman" w:eastAsia="Times New Roman" w:hAnsi="Times New Roman"/>
          <w:sz w:val="22"/>
          <w:lang w:val="bg-BG" w:eastAsia="en-GB"/>
        </w:rPr>
        <w:t>) / (</w:t>
      </w:r>
      <w:r w:rsidRPr="004C5F2A">
        <w:rPr>
          <w:rFonts w:ascii="Times New Roman" w:eastAsia="Times New Roman" w:hAnsi="Times New Roman"/>
          <w:i/>
          <w:iCs/>
          <w:sz w:val="22"/>
          <w:lang w:val="bg-BG" w:eastAsia="en-GB"/>
        </w:rPr>
        <w:t xml:space="preserve">Ea </w:t>
      </w:r>
      <w:r w:rsidRPr="004C5F2A">
        <w:rPr>
          <w:rFonts w:ascii="Times New Roman" w:eastAsia="Times New Roman" w:hAnsi="Times New Roman"/>
          <w:sz w:val="22"/>
          <w:lang w:val="bg-BG" w:eastAsia="en-GB"/>
        </w:rPr>
        <w:t xml:space="preserve">– </w:t>
      </w:r>
      <w:r w:rsidRPr="004C5F2A">
        <w:rPr>
          <w:rFonts w:ascii="Times New Roman" w:eastAsia="Times New Roman" w:hAnsi="Times New Roman"/>
          <w:i/>
          <w:iCs/>
          <w:sz w:val="22"/>
          <w:lang w:val="bg-BG" w:eastAsia="en-GB"/>
        </w:rPr>
        <w:t>Eb</w:t>
      </w:r>
      <w:r w:rsidRPr="004C5F2A">
        <w:rPr>
          <w:rFonts w:ascii="Times New Roman" w:eastAsia="Times New Roman" w:hAnsi="Times New Roman"/>
          <w:sz w:val="22"/>
          <w:lang w:val="bg-BG" w:eastAsia="en-GB"/>
        </w:rPr>
        <w:t>) = Δ</w:t>
      </w:r>
      <w:r w:rsidRPr="004C5F2A">
        <w:rPr>
          <w:rFonts w:ascii="Times New Roman" w:eastAsia="Times New Roman" w:hAnsi="Times New Roman"/>
          <w:i/>
          <w:iCs/>
          <w:sz w:val="22"/>
          <w:lang w:val="bg-BG" w:eastAsia="en-GB"/>
        </w:rPr>
        <w:t xml:space="preserve">C </w:t>
      </w:r>
      <w:r w:rsidRPr="004C5F2A">
        <w:rPr>
          <w:rFonts w:ascii="Times New Roman" w:eastAsia="Times New Roman" w:hAnsi="Times New Roman"/>
          <w:sz w:val="22"/>
          <w:lang w:val="bg-BG" w:eastAsia="en-GB"/>
        </w:rPr>
        <w:t>/ Δ</w:t>
      </w:r>
      <w:r w:rsidRPr="004C5F2A">
        <w:rPr>
          <w:rFonts w:ascii="Times New Roman" w:eastAsia="Times New Roman" w:hAnsi="Times New Roman"/>
          <w:i/>
          <w:iCs/>
          <w:sz w:val="22"/>
          <w:lang w:val="bg-BG" w:eastAsia="en-GB"/>
        </w:rPr>
        <w:t>E</w:t>
      </w:r>
    </w:p>
    <w:p w14:paraId="688174F6" w14:textId="77777777" w:rsidR="00DE19E4" w:rsidRPr="004C5F2A" w:rsidRDefault="00DE19E4" w:rsidP="004C5F2A">
      <w:pPr>
        <w:autoSpaceDE w:val="0"/>
        <w:autoSpaceDN w:val="0"/>
        <w:adjustRightInd w:val="0"/>
        <w:spacing w:after="0" w:line="360" w:lineRule="auto"/>
        <w:ind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lastRenderedPageBreak/>
        <w:t xml:space="preserve">При което се определя </w:t>
      </w:r>
      <w:r w:rsidRPr="004C5F2A">
        <w:rPr>
          <w:rFonts w:ascii="Times New Roman" w:eastAsia="Times New Roman" w:hAnsi="Times New Roman"/>
          <w:sz w:val="22"/>
          <w:u w:val="single"/>
          <w:lang w:val="bg-BG" w:eastAsia="en-GB"/>
        </w:rPr>
        <w:t>нарастващата стойност на разходите за единица допълнителна продукция, в случая за извършена работа с воден транспорт, измерена в евро/тонкм</w:t>
      </w:r>
      <w:r w:rsidRPr="004C5F2A">
        <w:rPr>
          <w:rFonts w:ascii="Times New Roman" w:eastAsia="Times New Roman" w:hAnsi="Times New Roman"/>
          <w:sz w:val="22"/>
          <w:lang w:val="bg-BG" w:eastAsia="en-GB"/>
        </w:rPr>
        <w:t>.</w:t>
      </w:r>
    </w:p>
    <w:p w14:paraId="4970FC2D" w14:textId="77777777" w:rsidR="00DE19E4" w:rsidRPr="004C5F2A" w:rsidRDefault="00DE19E4" w:rsidP="004C5F2A">
      <w:pPr>
        <w:autoSpaceDE w:val="0"/>
        <w:autoSpaceDN w:val="0"/>
        <w:adjustRightInd w:val="0"/>
        <w:spacing w:after="0" w:line="360" w:lineRule="auto"/>
        <w:ind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 xml:space="preserve">На практика, когато се оценяват различните сценарии, чрез модела от </w:t>
      </w:r>
      <w:r w:rsidRPr="004C5F2A">
        <w:rPr>
          <w:rFonts w:ascii="Times New Roman" w:hAnsi="Times New Roman"/>
          <w:sz w:val="22"/>
          <w:lang w:val="bg-BG"/>
        </w:rPr>
        <w:t>Vademecum</w:t>
      </w:r>
      <w:r w:rsidRPr="004C5F2A">
        <w:rPr>
          <w:rFonts w:ascii="Times New Roman" w:eastAsia="Times New Roman" w:hAnsi="Times New Roman"/>
          <w:sz w:val="22"/>
          <w:lang w:val="bg-BG" w:eastAsia="en-GB"/>
        </w:rPr>
        <w:t xml:space="preserve"> се прилага следния подход: </w:t>
      </w:r>
    </w:p>
    <w:p w14:paraId="0E871907" w14:textId="77777777" w:rsidR="00DE19E4" w:rsidRPr="004C5F2A" w:rsidRDefault="00DE19E4" w:rsidP="004C5F2A">
      <w:pPr>
        <w:autoSpaceDE w:val="0"/>
        <w:autoSpaceDN w:val="0"/>
        <w:adjustRightInd w:val="0"/>
        <w:spacing w:after="0" w:line="360" w:lineRule="auto"/>
        <w:ind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За всяка един вариант се изпълняват следните стъпки:</w:t>
      </w:r>
    </w:p>
    <w:p w14:paraId="6FD7CA60" w14:textId="77777777" w:rsidR="00DE19E4" w:rsidRPr="004C5F2A"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Прави се разчет на годишните инвестиционни разходи/реинвестиции и разходите за експлоатация и поддръжка, необходими за закупуването/наемането и поддръжката на актива. Става въпрос за общите (не нарастващи), разходи по време на икономическия живот на проекта.</w:t>
      </w:r>
    </w:p>
    <w:p w14:paraId="447BC4DA" w14:textId="77777777" w:rsidR="00DE19E4" w:rsidRPr="004C5F2A"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 xml:space="preserve">Прави се разчет за остатъчната стойност на инвестициите в края на икономическия живот на проекта (която ще влезе в изчисленията с отрицателен знак, тъй като представлява стойност на инвестицията, която е още налице след референтния период). </w:t>
      </w:r>
    </w:p>
    <w:p w14:paraId="5B3BC253" w14:textId="77777777" w:rsidR="00DE19E4" w:rsidRPr="004C5F2A"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 xml:space="preserve">Изчислява се настоящата стойност на инвестицията и оперативните разходи за всеки от оценяваните варианти и прогноза за извършената работа по години, в случая във тонкм. </w:t>
      </w:r>
    </w:p>
    <w:p w14:paraId="1E9ACFE8" w14:textId="77777777" w:rsidR="00DE19E4" w:rsidRPr="004C5F2A"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b/>
          <w:sz w:val="22"/>
          <w:lang w:val="bg-BG" w:eastAsia="en-GB"/>
        </w:rPr>
      </w:pPr>
      <w:r w:rsidRPr="004C5F2A">
        <w:rPr>
          <w:rFonts w:ascii="Times New Roman" w:eastAsia="Times New Roman" w:hAnsi="Times New Roman"/>
          <w:sz w:val="22"/>
          <w:lang w:val="bg-BG" w:eastAsia="en-GB"/>
        </w:rPr>
        <w:t xml:space="preserve">Разделя се настоящата стойност на извършената работа за периода на прогнозата и се сравняват показателите за ефективност на разходите, а именно </w:t>
      </w:r>
      <w:r w:rsidRPr="004C5F2A">
        <w:rPr>
          <w:rFonts w:ascii="Times New Roman" w:eastAsia="Times New Roman" w:hAnsi="Times New Roman"/>
          <w:b/>
          <w:sz w:val="22"/>
          <w:lang w:val="bg-BG" w:eastAsia="en-GB"/>
        </w:rPr>
        <w:t>разходи в евро за един тонкм.</w:t>
      </w:r>
    </w:p>
    <w:p w14:paraId="4E48B9EB" w14:textId="11FA2689" w:rsidR="00DE19E4" w:rsidRPr="00693540" w:rsidRDefault="00DE19E4" w:rsidP="00693540">
      <w:pPr>
        <w:spacing w:after="0" w:line="360" w:lineRule="auto"/>
        <w:ind w:firstLine="720"/>
        <w:contextualSpacing/>
        <w:rPr>
          <w:rFonts w:ascii="Times New Roman" w:eastAsia="Times New Roman" w:hAnsi="Times New Roman"/>
          <w:sz w:val="22"/>
          <w:lang w:val="bg-BG" w:eastAsia="en-GB"/>
        </w:rPr>
      </w:pPr>
      <w:r w:rsidRPr="004C5F2A">
        <w:rPr>
          <w:rFonts w:ascii="Times New Roman" w:eastAsia="Times New Roman" w:hAnsi="Times New Roman"/>
          <w:sz w:val="22"/>
          <w:lang w:val="bg-BG" w:eastAsia="en-GB"/>
        </w:rPr>
        <w:t>АЕР се извършва на база финансови данни, затова в този анализ е използвана</w:t>
      </w:r>
      <w:bookmarkStart w:id="147" w:name="_Toc88752463"/>
      <w:bookmarkStart w:id="148" w:name="_Toc88823977"/>
      <w:r w:rsidR="00693540">
        <w:rPr>
          <w:rFonts w:ascii="Times New Roman" w:eastAsia="Times New Roman" w:hAnsi="Times New Roman"/>
          <w:sz w:val="22"/>
          <w:lang w:val="bg-BG" w:eastAsia="en-GB"/>
        </w:rPr>
        <w:t xml:space="preserve"> финансова дисконтова норма 4%.</w:t>
      </w:r>
    </w:p>
    <w:p w14:paraId="57114FCD" w14:textId="77777777" w:rsidR="00DE19E4" w:rsidRPr="00DE19E4" w:rsidRDefault="00DE19E4" w:rsidP="00DE19E4">
      <w:pPr>
        <w:pStyle w:val="Heading3"/>
        <w:rPr>
          <w:rFonts w:ascii="Times New Roman" w:hAnsi="Times New Roman"/>
          <w:lang w:val="bg-BG" w:eastAsia="bg-BG"/>
        </w:rPr>
      </w:pPr>
      <w:bookmarkStart w:id="149" w:name="_Toc136961130"/>
      <w:r w:rsidRPr="00DE19E4">
        <w:rPr>
          <w:rFonts w:ascii="Times New Roman" w:hAnsi="Times New Roman"/>
          <w:lang w:val="bg-BG" w:eastAsia="bg-BG"/>
        </w:rPr>
        <w:t>Симплифициран Анализ разходи-ползи</w:t>
      </w:r>
      <w:bookmarkEnd w:id="147"/>
      <w:bookmarkEnd w:id="148"/>
      <w:bookmarkEnd w:id="149"/>
    </w:p>
    <w:p w14:paraId="4E2F46BC" w14:textId="77777777" w:rsidR="00DE19E4" w:rsidRPr="00DE19E4" w:rsidRDefault="00DE19E4" w:rsidP="004C5F2A">
      <w:pPr>
        <w:spacing w:after="0" w:line="360" w:lineRule="auto"/>
        <w:ind w:firstLine="720"/>
        <w:rPr>
          <w:rFonts w:ascii="Times New Roman" w:hAnsi="Times New Roman"/>
          <w:sz w:val="24"/>
          <w:szCs w:val="24"/>
          <w:lang w:val="bg-BG"/>
        </w:rPr>
      </w:pPr>
      <w:r w:rsidRPr="00DE19E4">
        <w:rPr>
          <w:rFonts w:ascii="Times New Roman" w:hAnsi="Times New Roman"/>
          <w:sz w:val="24"/>
          <w:szCs w:val="24"/>
          <w:lang w:val="bg-BG"/>
        </w:rPr>
        <w:t>В Наръчника за изготвяне на Икономически оценки за периода 2021-2027 г., се препоръчва на етап избор на алтернативи да се използва „симплифициран“ АРП, предвид голямата трудоемкост и високата цена за изготвяне на пълен АРП. Това значи, че:</w:t>
      </w:r>
    </w:p>
    <w:p w14:paraId="06B97D48" w14:textId="77777777" w:rsidR="00DE19E4" w:rsidRPr="00DE19E4"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4"/>
          <w:szCs w:val="24"/>
          <w:lang w:val="bg-BG" w:eastAsia="en-GB"/>
        </w:rPr>
      </w:pPr>
      <w:r w:rsidRPr="00DE19E4">
        <w:rPr>
          <w:rFonts w:ascii="Times New Roman" w:eastAsia="Times New Roman" w:hAnsi="Times New Roman"/>
          <w:sz w:val="24"/>
          <w:szCs w:val="24"/>
          <w:lang w:val="bg-BG" w:eastAsia="en-GB"/>
        </w:rPr>
        <w:t>Използват се индикативни стойности за размера на инвестициите;</w:t>
      </w:r>
    </w:p>
    <w:p w14:paraId="1507E49D" w14:textId="77777777" w:rsidR="00DE19E4" w:rsidRPr="00DE19E4"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4"/>
          <w:szCs w:val="24"/>
          <w:lang w:val="bg-BG" w:eastAsia="en-GB"/>
        </w:rPr>
      </w:pPr>
      <w:r w:rsidRPr="00DE19E4">
        <w:rPr>
          <w:rFonts w:ascii="Times New Roman" w:eastAsia="Times New Roman" w:hAnsi="Times New Roman"/>
          <w:sz w:val="24"/>
          <w:szCs w:val="24"/>
          <w:lang w:val="bg-BG" w:eastAsia="en-GB"/>
        </w:rPr>
        <w:t>Използват се финансови разходи за експлоатация и поддръжка, вместо фискално преобразувани такива на база цени в „сянка“ и пазарни цени;</w:t>
      </w:r>
    </w:p>
    <w:p w14:paraId="6ADA0A03" w14:textId="77777777" w:rsidR="00DE19E4" w:rsidRPr="00DE19E4"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4"/>
          <w:szCs w:val="24"/>
          <w:lang w:val="bg-BG" w:eastAsia="en-GB"/>
        </w:rPr>
      </w:pPr>
      <w:r w:rsidRPr="00DE19E4">
        <w:rPr>
          <w:rFonts w:ascii="Times New Roman" w:eastAsia="Times New Roman" w:hAnsi="Times New Roman"/>
          <w:sz w:val="24"/>
          <w:szCs w:val="24"/>
          <w:lang w:val="bg-BG" w:eastAsia="en-GB"/>
        </w:rPr>
        <w:t>Правят се допускания за факти и обстоятелства, които не могат да бъдат дефинирани или остойностени на този етап;</w:t>
      </w:r>
    </w:p>
    <w:p w14:paraId="49BF1105" w14:textId="77777777" w:rsidR="00DE19E4" w:rsidRPr="00DE19E4" w:rsidRDefault="00DE19E4" w:rsidP="0021547C">
      <w:pPr>
        <w:numPr>
          <w:ilvl w:val="1"/>
          <w:numId w:val="85"/>
        </w:numPr>
        <w:suppressAutoHyphens/>
        <w:autoSpaceDE w:val="0"/>
        <w:autoSpaceDN w:val="0"/>
        <w:adjustRightInd w:val="0"/>
        <w:spacing w:after="0" w:line="360" w:lineRule="auto"/>
        <w:ind w:left="0" w:firstLine="720"/>
        <w:rPr>
          <w:rFonts w:ascii="Times New Roman" w:eastAsia="Times New Roman" w:hAnsi="Times New Roman"/>
          <w:sz w:val="24"/>
          <w:szCs w:val="24"/>
          <w:lang w:val="bg-BG" w:eastAsia="en-GB"/>
        </w:rPr>
      </w:pPr>
      <w:r w:rsidRPr="00DE19E4">
        <w:rPr>
          <w:rFonts w:ascii="Times New Roman" w:eastAsia="Times New Roman" w:hAnsi="Times New Roman"/>
          <w:sz w:val="24"/>
          <w:szCs w:val="24"/>
          <w:lang w:val="bg-BG" w:eastAsia="en-GB"/>
        </w:rPr>
        <w:t>Не се изготвя пълен доклад за АРП, съгласно изискванията в Указания за изготвяне на АРП 2014 г., а се използват стойностните резултати от изчисленията.</w:t>
      </w:r>
    </w:p>
    <w:p w14:paraId="41FCD771" w14:textId="77777777" w:rsidR="00DE19E4" w:rsidRPr="00DE19E4" w:rsidRDefault="00DE19E4" w:rsidP="004C5F2A">
      <w:pPr>
        <w:spacing w:after="0" w:line="360" w:lineRule="auto"/>
        <w:ind w:firstLine="720"/>
        <w:rPr>
          <w:rFonts w:ascii="Times New Roman" w:hAnsi="Times New Roman"/>
          <w:sz w:val="24"/>
          <w:szCs w:val="24"/>
          <w:lang w:val="bg-BG"/>
        </w:rPr>
      </w:pPr>
      <w:r w:rsidRPr="00DE19E4">
        <w:rPr>
          <w:rFonts w:ascii="Times New Roman" w:hAnsi="Times New Roman"/>
          <w:sz w:val="24"/>
          <w:szCs w:val="24"/>
          <w:lang w:val="bg-BG"/>
        </w:rPr>
        <w:t xml:space="preserve">Като цяло, процесът е унифициран, чрез използването на предоставен електронен модел към Vademecum, като обективен инструмент за изготвяне на АРП, където единичните </w:t>
      </w:r>
      <w:r w:rsidRPr="00DE19E4">
        <w:rPr>
          <w:rFonts w:ascii="Times New Roman" w:hAnsi="Times New Roman"/>
          <w:sz w:val="24"/>
          <w:szCs w:val="24"/>
          <w:lang w:val="bg-BG"/>
        </w:rPr>
        <w:lastRenderedPageBreak/>
        <w:t xml:space="preserve">стойности за всички ползи по сектори и тяхната индексация във времето са предварително заложени, както и формулният апарат за определяне на основните икономически индикатори. </w:t>
      </w:r>
    </w:p>
    <w:p w14:paraId="1BE1CFBD" w14:textId="77777777" w:rsidR="00DE19E4" w:rsidRPr="00DE19E4" w:rsidRDefault="00DE19E4" w:rsidP="004C5F2A">
      <w:pPr>
        <w:spacing w:after="0" w:line="360" w:lineRule="auto"/>
        <w:ind w:firstLine="720"/>
        <w:rPr>
          <w:rFonts w:ascii="Times New Roman" w:hAnsi="Times New Roman"/>
          <w:sz w:val="24"/>
          <w:szCs w:val="24"/>
          <w:lang w:val="bg-BG"/>
        </w:rPr>
      </w:pPr>
      <w:r w:rsidRPr="00DE19E4">
        <w:rPr>
          <w:rFonts w:ascii="Times New Roman" w:hAnsi="Times New Roman"/>
          <w:sz w:val="24"/>
          <w:szCs w:val="24"/>
          <w:lang w:val="bg-BG"/>
        </w:rPr>
        <w:t xml:space="preserve">Използвана е дисконтова норма от 5%, съгласно </w:t>
      </w:r>
      <w:r w:rsidRPr="009C3231">
        <w:rPr>
          <w:rFonts w:ascii="Times New Roman" w:hAnsi="Times New Roman"/>
          <w:sz w:val="24"/>
          <w:szCs w:val="24"/>
        </w:rPr>
        <w:t xml:space="preserve">Guide to Cost-Benefit Analysis (CBA) of Investment projects. Economic appraisal tool for Cohesion Policy 2014-2020, EC, Directorate-General for Regional and Urban policy, December </w:t>
      </w:r>
      <w:r w:rsidRPr="00DE19E4">
        <w:rPr>
          <w:rFonts w:ascii="Times New Roman" w:hAnsi="Times New Roman"/>
          <w:sz w:val="24"/>
          <w:szCs w:val="24"/>
          <w:lang w:val="bg-BG"/>
        </w:rPr>
        <w:t xml:space="preserve">2014. За първа година на проекта е приета </w:t>
      </w:r>
      <w:r w:rsidRPr="00DE19E4">
        <w:rPr>
          <w:rFonts w:ascii="Times New Roman" w:hAnsi="Times New Roman"/>
          <w:sz w:val="24"/>
          <w:szCs w:val="24"/>
          <w:shd w:val="clear" w:color="auto" w:fill="FFFFFF"/>
          <w:lang w:val="bg-BG"/>
        </w:rPr>
        <w:t xml:space="preserve">2023 </w:t>
      </w:r>
      <w:r w:rsidRPr="00DE19E4">
        <w:rPr>
          <w:rFonts w:ascii="Times New Roman" w:hAnsi="Times New Roman"/>
          <w:sz w:val="24"/>
          <w:szCs w:val="24"/>
          <w:lang w:val="bg-BG"/>
        </w:rPr>
        <w:t xml:space="preserve">г., през която се започва работа по тръжните процедури, планирано е проектиране през 2024 г. а реалното строителство ще започне през 2025 г. За краен срок на изпълнение на строителните работи е приета 2027 г. </w:t>
      </w:r>
    </w:p>
    <w:p w14:paraId="40EB364A" w14:textId="77777777" w:rsidR="00DE19E4" w:rsidRPr="00DE19E4" w:rsidRDefault="00DE19E4" w:rsidP="004C5F2A">
      <w:pPr>
        <w:spacing w:after="0" w:line="360" w:lineRule="auto"/>
        <w:ind w:firstLine="720"/>
        <w:rPr>
          <w:rFonts w:ascii="Times New Roman" w:eastAsia="Times New Roman" w:hAnsi="Times New Roman"/>
          <w:sz w:val="24"/>
          <w:szCs w:val="24"/>
          <w:lang w:val="bg-BG"/>
        </w:rPr>
      </w:pPr>
      <w:r w:rsidRPr="00DE19E4">
        <w:rPr>
          <w:rFonts w:ascii="Times New Roman" w:eastAsia="Times New Roman" w:hAnsi="Times New Roman"/>
          <w:sz w:val="24"/>
          <w:szCs w:val="24"/>
          <w:lang w:val="bg-BG" w:eastAsia="zh-CN"/>
        </w:rPr>
        <w:t>Подробните изчисления за основните индикатори от изготвените Анализ на ефективността на разходите (АЕР) и Симплифициран анализ разходи-ползи са представени в приложения към настоящия Доклад.</w:t>
      </w:r>
    </w:p>
    <w:p w14:paraId="1A8E8A4E" w14:textId="77777777" w:rsidR="00DE19E4" w:rsidRPr="00DE19E4" w:rsidRDefault="00DE19E4" w:rsidP="00DE19E4">
      <w:pPr>
        <w:pStyle w:val="Heading3"/>
        <w:rPr>
          <w:rFonts w:ascii="Times New Roman" w:hAnsi="Times New Roman"/>
          <w:lang w:val="bg-BG" w:eastAsia="bg-BG"/>
        </w:rPr>
      </w:pPr>
      <w:bookmarkStart w:id="150" w:name="_Toc95837688"/>
      <w:bookmarkStart w:id="151" w:name="_Toc136961131"/>
      <w:r w:rsidRPr="00DE19E4">
        <w:rPr>
          <w:rFonts w:ascii="Times New Roman" w:hAnsi="Times New Roman"/>
          <w:lang w:val="bg-BG" w:eastAsia="bg-BG"/>
        </w:rPr>
        <w:t>Резултати от извършения мултикритериален анализ</w:t>
      </w:r>
      <w:bookmarkEnd w:id="150"/>
      <w:bookmarkEnd w:id="151"/>
    </w:p>
    <w:p w14:paraId="695C8882" w14:textId="169BF4EE"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sz w:val="22"/>
          <w:lang w:val="bg-BG"/>
        </w:rPr>
        <w:t xml:space="preserve">На подробно изследване за избор на подходяща алтернатива са подложени следните варианти, </w:t>
      </w:r>
      <w:r w:rsidR="00693540">
        <w:rPr>
          <w:rFonts w:ascii="Times New Roman" w:eastAsia="Times New Roman" w:hAnsi="Times New Roman"/>
          <w:sz w:val="22"/>
          <w:lang w:val="bg-BG"/>
        </w:rPr>
        <w:t>описани по-горе в настоящото проучване</w:t>
      </w:r>
      <w:r w:rsidRPr="004C5F2A">
        <w:rPr>
          <w:rFonts w:ascii="Times New Roman" w:eastAsia="Times New Roman" w:hAnsi="Times New Roman"/>
          <w:sz w:val="22"/>
          <w:lang w:val="bg-BG"/>
        </w:rPr>
        <w:t>:</w:t>
      </w:r>
    </w:p>
    <w:p w14:paraId="1F98A0A9" w14:textId="1CB45F71" w:rsidR="00693540" w:rsidRPr="008D157D" w:rsidRDefault="00693540" w:rsidP="00446F8C">
      <w:pPr>
        <w:numPr>
          <w:ilvl w:val="0"/>
          <w:numId w:val="34"/>
        </w:numPr>
        <w:tabs>
          <w:tab w:val="left" w:pos="2790"/>
        </w:tabs>
        <w:spacing w:after="0" w:line="360" w:lineRule="auto"/>
        <w:ind w:left="851" w:hanging="284"/>
        <w:rPr>
          <w:rFonts w:ascii="Times New Roman" w:eastAsia="Times New Roman" w:hAnsi="Times New Roman"/>
          <w:sz w:val="22"/>
          <w:lang w:val="bg-BG"/>
        </w:rPr>
      </w:pPr>
      <w:r w:rsidRPr="008D157D">
        <w:rPr>
          <w:rFonts w:ascii="Times New Roman" w:eastAsia="Times New Roman" w:hAnsi="Times New Roman"/>
          <w:b/>
          <w:bCs/>
          <w:sz w:val="22"/>
          <w:u w:val="single"/>
          <w:lang w:val="bg-BG"/>
        </w:rPr>
        <w:t>Вариант 1:</w:t>
      </w:r>
      <w:r w:rsidRPr="008D157D">
        <w:rPr>
          <w:rFonts w:ascii="Times New Roman" w:eastAsia="Times New Roman" w:hAnsi="Times New Roman"/>
          <w:sz w:val="22"/>
          <w:lang w:val="bg-BG"/>
        </w:rPr>
        <w:t xml:space="preserve"> Вълнолом със защита от тетраподи с наклон 1/1.33 (по съществуващ технически проект);</w:t>
      </w:r>
    </w:p>
    <w:p w14:paraId="3D582C57" w14:textId="4EBE3530" w:rsidR="00693540" w:rsidRPr="008D157D" w:rsidRDefault="00693540" w:rsidP="00446F8C">
      <w:pPr>
        <w:numPr>
          <w:ilvl w:val="0"/>
          <w:numId w:val="34"/>
        </w:numPr>
        <w:tabs>
          <w:tab w:val="left" w:pos="2790"/>
        </w:tabs>
        <w:spacing w:after="0" w:line="360" w:lineRule="auto"/>
        <w:ind w:left="851" w:hanging="284"/>
        <w:rPr>
          <w:rFonts w:ascii="Times New Roman" w:eastAsia="Times New Roman" w:hAnsi="Times New Roman"/>
          <w:sz w:val="22"/>
          <w:lang w:val="bg-BG"/>
        </w:rPr>
      </w:pPr>
      <w:r w:rsidRPr="008D157D">
        <w:rPr>
          <w:rFonts w:ascii="Times New Roman" w:eastAsia="Times New Roman" w:hAnsi="Times New Roman"/>
          <w:b/>
          <w:bCs/>
          <w:sz w:val="22"/>
          <w:lang w:val="bg-BG"/>
        </w:rPr>
        <w:t>Вариант 2:</w:t>
      </w:r>
      <w:r w:rsidRPr="008D157D">
        <w:rPr>
          <w:rFonts w:ascii="Times New Roman" w:eastAsia="Times New Roman" w:hAnsi="Times New Roman"/>
          <w:sz w:val="22"/>
          <w:lang w:val="bg-BG"/>
        </w:rPr>
        <w:t xml:space="preserve"> Вълнолом с защита от тетраподи с наклон 1/1.5 (модернизиран съществуващ технически проект);</w:t>
      </w:r>
    </w:p>
    <w:p w14:paraId="7AA9E13D" w14:textId="2B23D1C7" w:rsidR="00693540" w:rsidRPr="008D157D" w:rsidRDefault="00693540" w:rsidP="00446F8C">
      <w:pPr>
        <w:numPr>
          <w:ilvl w:val="0"/>
          <w:numId w:val="34"/>
        </w:numPr>
        <w:tabs>
          <w:tab w:val="left" w:pos="2790"/>
        </w:tabs>
        <w:spacing w:after="0" w:line="360" w:lineRule="auto"/>
        <w:ind w:left="851" w:hanging="284"/>
        <w:rPr>
          <w:rFonts w:ascii="Times New Roman" w:eastAsia="Times New Roman" w:hAnsi="Times New Roman"/>
          <w:b/>
          <w:bCs/>
          <w:sz w:val="22"/>
          <w:lang w:val="bg-BG"/>
        </w:rPr>
      </w:pPr>
      <w:r w:rsidRPr="008D157D">
        <w:rPr>
          <w:rFonts w:ascii="Times New Roman" w:eastAsia="Times New Roman" w:hAnsi="Times New Roman"/>
          <w:b/>
          <w:bCs/>
          <w:sz w:val="22"/>
          <w:lang w:val="bg-BG"/>
        </w:rPr>
        <w:t>Вариант 3:</w:t>
      </w:r>
      <w:r w:rsidR="00446F8C">
        <w:rPr>
          <w:rFonts w:ascii="Times New Roman" w:eastAsia="Times New Roman" w:hAnsi="Times New Roman"/>
          <w:b/>
          <w:bCs/>
          <w:sz w:val="22"/>
          <w:lang w:val="bg-BG"/>
        </w:rPr>
        <w:t xml:space="preserve"> </w:t>
      </w:r>
      <w:r w:rsidRPr="008D157D">
        <w:rPr>
          <w:rFonts w:ascii="Times New Roman" w:eastAsia="Times New Roman" w:hAnsi="Times New Roman"/>
          <w:sz w:val="22"/>
          <w:lang w:val="bg-BG"/>
        </w:rPr>
        <w:t xml:space="preserve">Комбинация от вълнолом със защита от тетраподи с наклон 1/1.33 (или 1.1.5) и участък в началото на вълнолома (Зона/Етап III от 265 м) със защита от каменни блокове от 1500 кг до 4000 кг, с наклон 1:3 (с отворен достъп за разходки и развлечение). </w:t>
      </w:r>
    </w:p>
    <w:p w14:paraId="6F5286CB" w14:textId="77777777" w:rsidR="00DE19E4" w:rsidRPr="004C5F2A" w:rsidRDefault="00DE19E4" w:rsidP="004C5F2A">
      <w:pPr>
        <w:spacing w:after="0" w:line="360" w:lineRule="auto"/>
        <w:ind w:firstLine="720"/>
        <w:rPr>
          <w:rFonts w:ascii="Times New Roman" w:eastAsia="Times New Roman" w:hAnsi="Times New Roman"/>
          <w:sz w:val="22"/>
          <w:lang w:val="bg-BG"/>
        </w:rPr>
      </w:pPr>
      <w:r w:rsidRPr="004C5F2A">
        <w:rPr>
          <w:rFonts w:ascii="Times New Roman" w:eastAsia="Times New Roman" w:hAnsi="Times New Roman"/>
          <w:sz w:val="22"/>
          <w:lang w:val="bg-BG"/>
        </w:rPr>
        <w:t>След прилагане на гореописаната методология за извършване на Мултикритериален анализ при сравнението на разработените варианти за изпълнение на дейностите по проекта са получени следните оценки по варианти:</w:t>
      </w:r>
    </w:p>
    <w:p w14:paraId="36901F45" w14:textId="77777777" w:rsidR="00DE19E4" w:rsidRPr="00B67BCA" w:rsidRDefault="00DE19E4" w:rsidP="004C5F2A">
      <w:pPr>
        <w:autoSpaceDE w:val="0"/>
        <w:autoSpaceDN w:val="0"/>
        <w:adjustRightInd w:val="0"/>
        <w:spacing w:after="0" w:line="360" w:lineRule="auto"/>
        <w:ind w:firstLine="720"/>
        <w:jc w:val="center"/>
        <w:rPr>
          <w:rFonts w:ascii="Times New Roman" w:hAnsi="Times New Roman"/>
          <w:b/>
          <w:i/>
          <w:color w:val="000000"/>
          <w:sz w:val="22"/>
          <w:u w:val="single"/>
          <w:lang w:val="bg-BG"/>
        </w:rPr>
      </w:pPr>
      <w:r w:rsidRPr="00B67BCA">
        <w:rPr>
          <w:rFonts w:ascii="Times New Roman" w:hAnsi="Times New Roman"/>
          <w:b/>
          <w:i/>
          <w:color w:val="000000"/>
          <w:sz w:val="22"/>
          <w:u w:val="single"/>
          <w:lang w:val="bg-BG"/>
        </w:rPr>
        <w:t>Основен критерий 1. „Технически“</w:t>
      </w:r>
    </w:p>
    <w:p w14:paraId="520C6871" w14:textId="77777777" w:rsidR="00DE19E4" w:rsidRPr="004C5F2A" w:rsidRDefault="00DE19E4" w:rsidP="00446F8C">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B67BCA">
        <w:rPr>
          <w:rFonts w:ascii="Times New Roman" w:hAnsi="Times New Roman"/>
          <w:b/>
          <w:color w:val="000000"/>
          <w:sz w:val="22"/>
          <w:lang w:val="bg-BG"/>
        </w:rPr>
        <w:t>Оценка по критерий 1.1. „Техническа осъществимост</w:t>
      </w:r>
      <w:r w:rsidRPr="004C5F2A">
        <w:rPr>
          <w:rFonts w:ascii="Times New Roman" w:hAnsi="Times New Roman"/>
          <w:b/>
          <w:color w:val="000000"/>
          <w:sz w:val="22"/>
          <w:lang w:val="bg-BG"/>
        </w:rPr>
        <w:t xml:space="preserve"> и дълготрайност“</w:t>
      </w:r>
    </w:p>
    <w:p w14:paraId="0D308CC3"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1.1.1. „Използвана конструкция” </w:t>
      </w:r>
    </w:p>
    <w:p w14:paraId="1A94D01C"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A008FA5" w14:textId="41BD10F4" w:rsidR="00DE19E4" w:rsidRPr="004C5F2A" w:rsidRDefault="00DE19E4" w:rsidP="009C3231">
      <w:pPr>
        <w:autoSpaceDE w:val="0"/>
        <w:autoSpaceDN w:val="0"/>
        <w:adjustRightInd w:val="0"/>
        <w:spacing w:after="0" w:line="360" w:lineRule="auto"/>
        <w:ind w:left="709" w:firstLine="11"/>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възможно най-опростена конструкция и при недопускане </w:t>
      </w:r>
      <w:r w:rsidR="00B67BCA">
        <w:rPr>
          <w:rFonts w:ascii="Times New Roman" w:hAnsi="Times New Roman"/>
          <w:color w:val="000000"/>
          <w:sz w:val="22"/>
          <w:lang w:val="bg-BG"/>
        </w:rPr>
        <w:t>намаляване на безопасността в</w:t>
      </w:r>
      <w:r w:rsidRPr="004C5F2A">
        <w:rPr>
          <w:rFonts w:ascii="Times New Roman" w:hAnsi="Times New Roman"/>
          <w:color w:val="000000"/>
          <w:sz w:val="22"/>
          <w:lang w:val="bg-BG"/>
        </w:rPr>
        <w:t xml:space="preserve"> акваторията на пристанището </w:t>
      </w:r>
    </w:p>
    <w:p w14:paraId="6293A61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lastRenderedPageBreak/>
        <w:t>Индикатор:</w:t>
      </w:r>
    </w:p>
    <w:p w14:paraId="55580245" w14:textId="146B0C48"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Оценка сложността на използваната конструкция и на възможното </w:t>
      </w:r>
      <w:r w:rsidR="00B67BCA" w:rsidRPr="00B67BCA">
        <w:rPr>
          <w:rFonts w:ascii="Times New Roman" w:hAnsi="Times New Roman"/>
          <w:color w:val="000000"/>
          <w:sz w:val="22"/>
          <w:lang w:val="bg-BG"/>
        </w:rPr>
        <w:t>намаляване на безопасността в акваторията на пристанището</w:t>
      </w:r>
      <w:r w:rsidRPr="004C5F2A">
        <w:rPr>
          <w:rFonts w:ascii="Times New Roman" w:hAnsi="Times New Roman"/>
          <w:color w:val="000000"/>
          <w:sz w:val="22"/>
          <w:lang w:val="bg-BG"/>
        </w:rPr>
        <w:t xml:space="preserve"> </w:t>
      </w:r>
    </w:p>
    <w:p w14:paraId="2C5BEE34"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5DCE1243" w14:textId="4A8B6BB4"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със сравнително проста и лесна за изпълнение конструкция, която не води до </w:t>
      </w:r>
      <w:r w:rsidR="00B67BCA" w:rsidRPr="00B67BCA">
        <w:rPr>
          <w:rFonts w:ascii="Times New Roman" w:hAnsi="Times New Roman"/>
          <w:color w:val="000000"/>
          <w:sz w:val="22"/>
          <w:lang w:val="bg-BG"/>
        </w:rPr>
        <w:t>намаляване на безопасността в акваторията на пристанището</w:t>
      </w:r>
      <w:r w:rsidRPr="004C5F2A">
        <w:rPr>
          <w:rFonts w:ascii="Times New Roman" w:hAnsi="Times New Roman"/>
          <w:color w:val="000000"/>
          <w:sz w:val="22"/>
          <w:lang w:val="bg-BG"/>
        </w:rPr>
        <w:t>;</w:t>
      </w:r>
    </w:p>
    <w:p w14:paraId="459F7838" w14:textId="2F031200"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неизпълнение на едно от двете условия за сравнително проста и лесна за изпълнение конструкция, която не води до </w:t>
      </w:r>
      <w:r w:rsidR="00B67BCA" w:rsidRPr="00B67BCA">
        <w:rPr>
          <w:rFonts w:ascii="Times New Roman" w:hAnsi="Times New Roman"/>
          <w:color w:val="000000"/>
          <w:sz w:val="22"/>
          <w:lang w:val="bg-BG"/>
        </w:rPr>
        <w:t>намаляване на безопасността в акваторията на пристанището</w:t>
      </w:r>
      <w:r w:rsidRPr="004C5F2A">
        <w:rPr>
          <w:rFonts w:ascii="Times New Roman" w:hAnsi="Times New Roman"/>
          <w:color w:val="000000"/>
          <w:sz w:val="22"/>
          <w:lang w:val="bg-BG"/>
        </w:rPr>
        <w:t>;</w:t>
      </w:r>
    </w:p>
    <w:p w14:paraId="11D3DB0E" w14:textId="28F6E39C"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неизпълнение на двете условия за сравнително проста и лесна за изпълнение конструкция, която </w:t>
      </w:r>
      <w:r w:rsidR="00B67BCA">
        <w:rPr>
          <w:rFonts w:ascii="Times New Roman" w:hAnsi="Times New Roman"/>
          <w:color w:val="000000"/>
          <w:sz w:val="22"/>
          <w:lang w:val="bg-BG"/>
        </w:rPr>
        <w:t xml:space="preserve">не </w:t>
      </w:r>
      <w:r w:rsidRPr="004C5F2A">
        <w:rPr>
          <w:rFonts w:ascii="Times New Roman" w:hAnsi="Times New Roman"/>
          <w:color w:val="000000"/>
          <w:sz w:val="22"/>
          <w:lang w:val="bg-BG"/>
        </w:rPr>
        <w:t xml:space="preserve">води </w:t>
      </w:r>
      <w:r w:rsidR="00B67BCA">
        <w:rPr>
          <w:rFonts w:ascii="Times New Roman" w:hAnsi="Times New Roman"/>
          <w:color w:val="000000"/>
          <w:sz w:val="22"/>
          <w:lang w:val="bg-BG"/>
        </w:rPr>
        <w:t xml:space="preserve">до </w:t>
      </w:r>
      <w:r w:rsidR="00B67BCA" w:rsidRPr="00B67BCA">
        <w:rPr>
          <w:rFonts w:ascii="Times New Roman" w:hAnsi="Times New Roman"/>
          <w:color w:val="000000"/>
          <w:sz w:val="22"/>
          <w:lang w:val="bg-BG"/>
        </w:rPr>
        <w:t>намаляване на безопасността в акваторията на пристанището</w:t>
      </w:r>
      <w:r w:rsidRPr="004C5F2A">
        <w:rPr>
          <w:rFonts w:ascii="Times New Roman" w:hAnsi="Times New Roman"/>
          <w:color w:val="000000"/>
          <w:sz w:val="22"/>
          <w:lang w:val="bg-BG"/>
        </w:rPr>
        <w:t>.</w:t>
      </w:r>
    </w:p>
    <w:p w14:paraId="07877258"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723A4DAB" w14:textId="61FCCC2E" w:rsidR="00DE19E4"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w:t>
      </w:r>
      <w:r w:rsidR="00B67BCA">
        <w:rPr>
          <w:rFonts w:ascii="Times New Roman" w:hAnsi="Times New Roman"/>
          <w:color w:val="000000"/>
          <w:sz w:val="22"/>
          <w:lang w:val="bg-BG"/>
        </w:rPr>
        <w:t>-</w:t>
      </w:r>
      <w:r w:rsidRPr="004C5F2A">
        <w:rPr>
          <w:rFonts w:ascii="Times New Roman" w:hAnsi="Times New Roman"/>
          <w:color w:val="000000"/>
          <w:sz w:val="22"/>
          <w:lang w:val="bg-BG"/>
        </w:rPr>
        <w:t xml:space="preserve"> </w:t>
      </w:r>
      <w:r w:rsidR="00B67BCA" w:rsidRPr="009C3231">
        <w:rPr>
          <w:rFonts w:ascii="Times New Roman" w:hAnsi="Times New Roman"/>
          <w:color w:val="000000"/>
          <w:sz w:val="22"/>
          <w:lang w:val="bg-BG"/>
        </w:rPr>
        <w:t>Предложението за изпълнение представлява сравнително проста и лесна за изпълнение конструкция, която не води до намаляване на безопасността в акваторията на пристанището</w:t>
      </w:r>
      <w:r w:rsidR="00B67BCA">
        <w:rPr>
          <w:rFonts w:ascii="Times New Roman" w:hAnsi="Times New Roman"/>
          <w:color w:val="000000"/>
          <w:sz w:val="22"/>
          <w:lang w:val="bg-BG"/>
        </w:rPr>
        <w:t>;</w:t>
      </w:r>
    </w:p>
    <w:p w14:paraId="6E3C8501" w14:textId="510992A9" w:rsidR="00B67BCA" w:rsidRPr="004C5F2A" w:rsidRDefault="00B67BCA" w:rsidP="009C3231">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 xml:space="preserve">Вариант </w:t>
      </w:r>
      <w:r w:rsidRPr="004C5F2A">
        <w:rPr>
          <w:rFonts w:ascii="Times New Roman" w:hAnsi="Times New Roman"/>
          <w:color w:val="000000"/>
          <w:sz w:val="22"/>
          <w:lang w:val="bg-BG"/>
        </w:rPr>
        <w:t xml:space="preserve">2 - </w:t>
      </w:r>
      <w:r w:rsidRPr="009C3231">
        <w:rPr>
          <w:rFonts w:ascii="Times New Roman" w:hAnsi="Times New Roman"/>
          <w:color w:val="000000"/>
          <w:sz w:val="22"/>
          <w:lang w:val="bg-BG"/>
        </w:rPr>
        <w:t>Предложението за изпълнение представлява сравнително проста и лесна за изпълнение конструкция, която не води до намаляване на безопасността в акваторията на пристанището</w:t>
      </w:r>
      <w:r>
        <w:rPr>
          <w:rFonts w:ascii="Times New Roman" w:hAnsi="Times New Roman"/>
          <w:color w:val="000000"/>
          <w:sz w:val="22"/>
          <w:lang w:val="bg-BG"/>
        </w:rPr>
        <w:t>;</w:t>
      </w:r>
    </w:p>
    <w:p w14:paraId="41C27FB3" w14:textId="6A8707B1"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 </w:t>
      </w:r>
      <w:r w:rsidR="00B67BCA" w:rsidRPr="00B67BCA">
        <w:rPr>
          <w:rFonts w:ascii="Times New Roman" w:hAnsi="Times New Roman"/>
          <w:color w:val="000000"/>
          <w:sz w:val="22"/>
          <w:lang w:val="bg-BG"/>
        </w:rPr>
        <w:t>Предложението за изпълнение представлява сравнително проста и лесна за изпълнение конструкция, която не води до намаляване на безопасността в акваторията на пристанището</w:t>
      </w:r>
      <w:r w:rsidRPr="004C5F2A">
        <w:rPr>
          <w:rFonts w:ascii="Times New Roman" w:hAnsi="Times New Roman"/>
          <w:color w:val="000000"/>
          <w:sz w:val="22"/>
          <w:lang w:val="bg-BG"/>
        </w:rPr>
        <w:t>.</w:t>
      </w:r>
    </w:p>
    <w:p w14:paraId="5DA9C321"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54AF9F4E" w14:textId="36E0545A"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707F56C3" w14:textId="5710E3AD"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60307877" w14:textId="3FE651BF"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B67BCA">
        <w:rPr>
          <w:rFonts w:ascii="Times New Roman" w:hAnsi="Times New Roman"/>
          <w:color w:val="000000"/>
          <w:sz w:val="22"/>
          <w:lang w:val="bg-BG"/>
        </w:rPr>
        <w:t>- Крайната оценка е 1</w:t>
      </w:r>
    </w:p>
    <w:p w14:paraId="5B39BF2C"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1.1.2. „Геотехнически условия” </w:t>
      </w:r>
    </w:p>
    <w:p w14:paraId="5167EE73"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1B338819" w14:textId="77777777" w:rsidR="00DE19E4"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рисковете по време на строителство, свързани с геотехническите условия на обекта  </w:t>
      </w:r>
    </w:p>
    <w:p w14:paraId="597AC585" w14:textId="77777777" w:rsidR="00446F8C" w:rsidRDefault="00446F8C" w:rsidP="009C3231">
      <w:pPr>
        <w:autoSpaceDE w:val="0"/>
        <w:autoSpaceDN w:val="0"/>
        <w:adjustRightInd w:val="0"/>
        <w:spacing w:after="0" w:line="360" w:lineRule="auto"/>
        <w:ind w:left="709"/>
        <w:contextualSpacing/>
        <w:rPr>
          <w:rFonts w:ascii="Times New Roman" w:hAnsi="Times New Roman"/>
          <w:color w:val="000000"/>
          <w:sz w:val="22"/>
          <w:lang w:val="bg-BG"/>
        </w:rPr>
      </w:pPr>
    </w:p>
    <w:p w14:paraId="33F14029" w14:textId="77777777" w:rsidR="00446F8C" w:rsidRDefault="00446F8C" w:rsidP="009C3231">
      <w:pPr>
        <w:autoSpaceDE w:val="0"/>
        <w:autoSpaceDN w:val="0"/>
        <w:adjustRightInd w:val="0"/>
        <w:spacing w:after="0" w:line="360" w:lineRule="auto"/>
        <w:ind w:left="709"/>
        <w:contextualSpacing/>
        <w:rPr>
          <w:rFonts w:ascii="Times New Roman" w:hAnsi="Times New Roman"/>
          <w:color w:val="000000"/>
          <w:sz w:val="22"/>
          <w:lang w:val="bg-BG"/>
        </w:rPr>
      </w:pPr>
    </w:p>
    <w:p w14:paraId="22F8E427"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lastRenderedPageBreak/>
        <w:t>Индикатор:</w:t>
      </w:r>
    </w:p>
    <w:p w14:paraId="41556111" w14:textId="3FDDA0AE" w:rsidR="00DE19E4"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Оценка на степента на съобразяване на </w:t>
      </w:r>
      <w:r w:rsidR="002E6FF7">
        <w:rPr>
          <w:rFonts w:ascii="Times New Roman" w:hAnsi="Times New Roman"/>
          <w:color w:val="000000"/>
          <w:sz w:val="22"/>
          <w:lang w:val="bg-BG"/>
        </w:rPr>
        <w:t>предложеното изпълнение</w:t>
      </w:r>
      <w:r w:rsidRPr="004C5F2A">
        <w:rPr>
          <w:rFonts w:ascii="Times New Roman" w:hAnsi="Times New Roman"/>
          <w:color w:val="000000"/>
          <w:sz w:val="22"/>
          <w:lang w:val="bg-BG"/>
        </w:rPr>
        <w:t xml:space="preserve"> с геотехническите условия на обекта </w:t>
      </w:r>
    </w:p>
    <w:p w14:paraId="0379AC2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6DCE5258" w14:textId="4FD163C2"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w:t>
      </w:r>
      <w:r w:rsidR="002E6FF7">
        <w:rPr>
          <w:rFonts w:ascii="Times New Roman" w:hAnsi="Times New Roman"/>
          <w:color w:val="000000"/>
          <w:sz w:val="22"/>
          <w:lang w:val="bg-BG"/>
        </w:rPr>
        <w:t>предложеното изпълнение</w:t>
      </w:r>
      <w:r w:rsidR="002E6FF7" w:rsidRPr="004C5F2A">
        <w:rPr>
          <w:rFonts w:ascii="Times New Roman" w:hAnsi="Times New Roman"/>
          <w:color w:val="000000"/>
          <w:sz w:val="22"/>
          <w:lang w:val="bg-BG"/>
        </w:rPr>
        <w:t xml:space="preserve"> </w:t>
      </w:r>
      <w:r w:rsidRPr="004C5F2A">
        <w:rPr>
          <w:rFonts w:ascii="Times New Roman" w:hAnsi="Times New Roman"/>
          <w:color w:val="000000"/>
          <w:sz w:val="22"/>
          <w:lang w:val="bg-BG"/>
        </w:rPr>
        <w:t>е с пълно съобразяване с геотехническите условия на обекта;</w:t>
      </w:r>
    </w:p>
    <w:p w14:paraId="1F39F5AD" w14:textId="2EECE843"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w:t>
      </w:r>
      <w:r w:rsidR="002E6FF7">
        <w:rPr>
          <w:rFonts w:ascii="Times New Roman" w:hAnsi="Times New Roman"/>
          <w:color w:val="000000"/>
          <w:sz w:val="22"/>
          <w:lang w:val="bg-BG"/>
        </w:rPr>
        <w:t>предложеното изпълнение</w:t>
      </w:r>
      <w:r w:rsidR="002E6FF7" w:rsidRPr="004C5F2A">
        <w:rPr>
          <w:rFonts w:ascii="Times New Roman" w:hAnsi="Times New Roman"/>
          <w:color w:val="000000"/>
          <w:sz w:val="22"/>
          <w:lang w:val="bg-BG"/>
        </w:rPr>
        <w:t xml:space="preserve"> </w:t>
      </w:r>
      <w:r w:rsidRPr="004C5F2A">
        <w:rPr>
          <w:rFonts w:ascii="Times New Roman" w:hAnsi="Times New Roman"/>
          <w:color w:val="000000"/>
          <w:sz w:val="22"/>
          <w:lang w:val="bg-BG"/>
        </w:rPr>
        <w:t>е с добро съобразяване с геотехническите условия на обекта;</w:t>
      </w:r>
    </w:p>
    <w:p w14:paraId="0D92C37E" w14:textId="51972390"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w:t>
      </w:r>
      <w:r w:rsidR="002E6FF7">
        <w:rPr>
          <w:rFonts w:ascii="Times New Roman" w:hAnsi="Times New Roman"/>
          <w:color w:val="000000"/>
          <w:sz w:val="22"/>
          <w:lang w:val="bg-BG"/>
        </w:rPr>
        <w:t>предложеното изпълнение</w:t>
      </w:r>
      <w:r w:rsidR="002E6FF7" w:rsidRPr="004C5F2A">
        <w:rPr>
          <w:rFonts w:ascii="Times New Roman" w:hAnsi="Times New Roman"/>
          <w:color w:val="000000"/>
          <w:sz w:val="22"/>
          <w:lang w:val="bg-BG"/>
        </w:rPr>
        <w:t xml:space="preserve"> </w:t>
      </w:r>
      <w:r w:rsidRPr="004C5F2A">
        <w:rPr>
          <w:rFonts w:ascii="Times New Roman" w:hAnsi="Times New Roman"/>
          <w:color w:val="000000"/>
          <w:sz w:val="22"/>
          <w:lang w:val="bg-BG"/>
        </w:rPr>
        <w:t>е с приемливи отклонения на съобразяване с геотехническите условия на обекта.</w:t>
      </w:r>
    </w:p>
    <w:p w14:paraId="526283DA"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28691C30" w14:textId="20BF286C" w:rsidR="00DE19E4" w:rsidRDefault="002E6FF7" w:rsidP="009C3231">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1 -</w:t>
      </w:r>
      <w:r w:rsidR="00DE19E4" w:rsidRPr="004C5F2A">
        <w:rPr>
          <w:rFonts w:ascii="Times New Roman" w:hAnsi="Times New Roman"/>
          <w:color w:val="000000"/>
          <w:sz w:val="22"/>
          <w:lang w:val="bg-BG"/>
        </w:rPr>
        <w:t xml:space="preserve"> </w:t>
      </w:r>
      <w:r>
        <w:rPr>
          <w:rFonts w:ascii="Times New Roman" w:hAnsi="Times New Roman"/>
          <w:color w:val="000000"/>
          <w:sz w:val="22"/>
          <w:lang w:val="bg-BG"/>
        </w:rPr>
        <w:t>Предложението за изпълнение е на</w:t>
      </w:r>
      <w:r w:rsidRPr="004C5F2A">
        <w:rPr>
          <w:rFonts w:ascii="Times New Roman" w:hAnsi="Times New Roman"/>
          <w:color w:val="000000"/>
          <w:sz w:val="22"/>
          <w:lang w:val="bg-BG"/>
        </w:rPr>
        <w:t>пълно съобраз</w:t>
      </w:r>
      <w:r>
        <w:rPr>
          <w:rFonts w:ascii="Times New Roman" w:hAnsi="Times New Roman"/>
          <w:color w:val="000000"/>
          <w:sz w:val="22"/>
          <w:lang w:val="bg-BG"/>
        </w:rPr>
        <w:t>ено</w:t>
      </w:r>
      <w:r w:rsidRPr="004C5F2A">
        <w:rPr>
          <w:rFonts w:ascii="Times New Roman" w:hAnsi="Times New Roman"/>
          <w:color w:val="000000"/>
          <w:sz w:val="22"/>
          <w:lang w:val="bg-BG"/>
        </w:rPr>
        <w:t xml:space="preserve"> с геотехническите условия на обекта</w:t>
      </w:r>
      <w:r w:rsidR="00DE19E4" w:rsidRPr="004C5F2A">
        <w:rPr>
          <w:rFonts w:ascii="Times New Roman" w:hAnsi="Times New Roman"/>
          <w:color w:val="000000"/>
          <w:sz w:val="22"/>
          <w:lang w:val="bg-BG"/>
        </w:rPr>
        <w:t>;</w:t>
      </w:r>
    </w:p>
    <w:p w14:paraId="14EE4FEC" w14:textId="1ECDD305" w:rsidR="002E6FF7" w:rsidRPr="004C5F2A" w:rsidRDefault="002E6FF7" w:rsidP="009C3231">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 xml:space="preserve">Вариант 2 </w:t>
      </w:r>
      <w:r w:rsidRPr="004C5F2A">
        <w:rPr>
          <w:rFonts w:ascii="Times New Roman" w:hAnsi="Times New Roman"/>
          <w:color w:val="000000"/>
          <w:sz w:val="22"/>
          <w:lang w:val="bg-BG"/>
        </w:rPr>
        <w:t xml:space="preserve">- </w:t>
      </w:r>
      <w:r>
        <w:rPr>
          <w:rFonts w:ascii="Times New Roman" w:hAnsi="Times New Roman"/>
          <w:color w:val="000000"/>
          <w:sz w:val="22"/>
          <w:lang w:val="bg-BG"/>
        </w:rPr>
        <w:t>Предложението за изпълнение е на</w:t>
      </w:r>
      <w:r w:rsidRPr="004C5F2A">
        <w:rPr>
          <w:rFonts w:ascii="Times New Roman" w:hAnsi="Times New Roman"/>
          <w:color w:val="000000"/>
          <w:sz w:val="22"/>
          <w:lang w:val="bg-BG"/>
        </w:rPr>
        <w:t>пълно съобраз</w:t>
      </w:r>
      <w:r>
        <w:rPr>
          <w:rFonts w:ascii="Times New Roman" w:hAnsi="Times New Roman"/>
          <w:color w:val="000000"/>
          <w:sz w:val="22"/>
          <w:lang w:val="bg-BG"/>
        </w:rPr>
        <w:t>ено</w:t>
      </w:r>
      <w:r w:rsidRPr="004C5F2A">
        <w:rPr>
          <w:rFonts w:ascii="Times New Roman" w:hAnsi="Times New Roman"/>
          <w:color w:val="000000"/>
          <w:sz w:val="22"/>
          <w:lang w:val="bg-BG"/>
        </w:rPr>
        <w:t xml:space="preserve"> с геотехническите условия на обекта</w:t>
      </w:r>
      <w:r>
        <w:rPr>
          <w:rFonts w:ascii="Times New Roman" w:hAnsi="Times New Roman"/>
          <w:color w:val="000000"/>
          <w:sz w:val="22"/>
          <w:lang w:val="bg-BG"/>
        </w:rPr>
        <w:t>;</w:t>
      </w:r>
    </w:p>
    <w:p w14:paraId="636B16AE" w14:textId="012C0CE0"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 </w:t>
      </w:r>
      <w:r w:rsidR="002E6FF7">
        <w:rPr>
          <w:rFonts w:ascii="Times New Roman" w:hAnsi="Times New Roman"/>
          <w:color w:val="000000"/>
          <w:sz w:val="22"/>
          <w:lang w:val="bg-BG"/>
        </w:rPr>
        <w:t>Предложението за изпълнение е на</w:t>
      </w:r>
      <w:r w:rsidR="002E6FF7" w:rsidRPr="004C5F2A">
        <w:rPr>
          <w:rFonts w:ascii="Times New Roman" w:hAnsi="Times New Roman"/>
          <w:color w:val="000000"/>
          <w:sz w:val="22"/>
          <w:lang w:val="bg-BG"/>
        </w:rPr>
        <w:t>пълно съобраз</w:t>
      </w:r>
      <w:r w:rsidR="002E6FF7">
        <w:rPr>
          <w:rFonts w:ascii="Times New Roman" w:hAnsi="Times New Roman"/>
          <w:color w:val="000000"/>
          <w:sz w:val="22"/>
          <w:lang w:val="bg-BG"/>
        </w:rPr>
        <w:t>ено</w:t>
      </w:r>
      <w:r w:rsidR="002E6FF7" w:rsidRPr="004C5F2A">
        <w:rPr>
          <w:rFonts w:ascii="Times New Roman" w:hAnsi="Times New Roman"/>
          <w:color w:val="000000"/>
          <w:sz w:val="22"/>
          <w:lang w:val="bg-BG"/>
        </w:rPr>
        <w:t xml:space="preserve"> с геотехническите условия на обекта</w:t>
      </w:r>
      <w:r w:rsidR="002E6FF7">
        <w:rPr>
          <w:rFonts w:ascii="Times New Roman" w:hAnsi="Times New Roman"/>
          <w:color w:val="000000"/>
          <w:sz w:val="22"/>
          <w:lang w:val="bg-BG"/>
        </w:rPr>
        <w:t>.</w:t>
      </w:r>
    </w:p>
    <w:p w14:paraId="1E5208B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4C25702E" w14:textId="1F857A60"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534D7FC8" w14:textId="5EB46F2B"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5F2C0B26" w14:textId="078817D0"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2E6FF7">
        <w:rPr>
          <w:rFonts w:ascii="Times New Roman" w:hAnsi="Times New Roman"/>
          <w:color w:val="000000"/>
          <w:sz w:val="22"/>
          <w:lang w:val="bg-BG"/>
        </w:rPr>
        <w:t>- Крайната оценка е 1</w:t>
      </w:r>
    </w:p>
    <w:p w14:paraId="25D59AFE"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1.1.3. „Очакван експлоатационен период” </w:t>
      </w:r>
    </w:p>
    <w:p w14:paraId="0EA7C9AF"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5F0F605" w14:textId="167784E1"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възможно най-дълъг експлоатационен период на </w:t>
      </w:r>
      <w:r w:rsidR="002E6FF7">
        <w:rPr>
          <w:rFonts w:ascii="Times New Roman" w:hAnsi="Times New Roman"/>
          <w:color w:val="000000"/>
          <w:sz w:val="22"/>
          <w:lang w:val="bg-BG"/>
        </w:rPr>
        <w:t>рехабилитирания вълнолом</w:t>
      </w:r>
      <w:r w:rsidRPr="004C5F2A">
        <w:rPr>
          <w:rFonts w:ascii="Times New Roman" w:hAnsi="Times New Roman"/>
          <w:color w:val="000000"/>
          <w:sz w:val="22"/>
          <w:lang w:val="bg-BG"/>
        </w:rPr>
        <w:t xml:space="preserve">  </w:t>
      </w:r>
    </w:p>
    <w:p w14:paraId="181B078B"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5FFD1E49" w14:textId="3F76E67F"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Експлоатационен период в години, определен въз основа на исторически статистически експлоатационни данни за </w:t>
      </w:r>
      <w:r w:rsidR="002E6FF7">
        <w:rPr>
          <w:rFonts w:ascii="Times New Roman" w:hAnsi="Times New Roman"/>
          <w:color w:val="000000"/>
          <w:sz w:val="22"/>
          <w:lang w:val="bg-BG"/>
        </w:rPr>
        <w:t>предложеното изпълнение</w:t>
      </w:r>
    </w:p>
    <w:p w14:paraId="0C7FB89B"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1AD9BCDF" w14:textId="34219E51"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експлоатационния период е </w:t>
      </w:r>
      <w:r w:rsidR="001254BC" w:rsidRPr="001254BC">
        <w:rPr>
          <w:rFonts w:ascii="Times New Roman" w:hAnsi="Times New Roman"/>
          <w:color w:val="000000"/>
          <w:sz w:val="22"/>
          <w:lang w:val="bg-BG"/>
        </w:rPr>
        <w:t>над</w:t>
      </w:r>
      <w:r w:rsidR="002E6FF7">
        <w:rPr>
          <w:rFonts w:ascii="Times New Roman" w:hAnsi="Times New Roman"/>
          <w:color w:val="000000"/>
          <w:sz w:val="22"/>
          <w:lang w:val="bg-BG"/>
        </w:rPr>
        <w:t xml:space="preserve"> </w:t>
      </w:r>
      <w:r w:rsidRPr="004C5F2A">
        <w:rPr>
          <w:rFonts w:ascii="Times New Roman" w:hAnsi="Times New Roman"/>
          <w:color w:val="000000"/>
          <w:sz w:val="22"/>
          <w:lang w:val="bg-BG"/>
        </w:rPr>
        <w:t>100 години;</w:t>
      </w:r>
    </w:p>
    <w:p w14:paraId="2E2F7115" w14:textId="53D4A190"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експлоатационния период е в диапазона от 50 до 100 години;</w:t>
      </w:r>
    </w:p>
    <w:p w14:paraId="6D1203B3" w14:textId="1F47012F"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експлоатационния период е под 50 години.</w:t>
      </w:r>
    </w:p>
    <w:p w14:paraId="6724D865"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lastRenderedPageBreak/>
        <w:t>Резултат:</w:t>
      </w:r>
    </w:p>
    <w:p w14:paraId="0B8E89F7" w14:textId="2DE458B4" w:rsidR="00DE19E4" w:rsidRDefault="002E6FF7"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 xml:space="preserve">Вариант 1 </w:t>
      </w:r>
      <w:r w:rsidR="00DE19E4" w:rsidRPr="004C5F2A">
        <w:rPr>
          <w:rFonts w:ascii="Times New Roman" w:hAnsi="Times New Roman"/>
          <w:color w:val="000000"/>
          <w:sz w:val="22"/>
          <w:lang w:val="bg-BG"/>
        </w:rPr>
        <w:t xml:space="preserve">- </w:t>
      </w:r>
      <w:r w:rsidRPr="002E6FF7">
        <w:rPr>
          <w:rFonts w:ascii="Times New Roman" w:hAnsi="Times New Roman"/>
          <w:sz w:val="22"/>
          <w:lang w:val="bg-BG"/>
        </w:rPr>
        <w:t xml:space="preserve">Предложението за изпълнение е </w:t>
      </w:r>
      <w:r>
        <w:rPr>
          <w:rFonts w:ascii="Times New Roman" w:hAnsi="Times New Roman"/>
          <w:sz w:val="22"/>
          <w:lang w:val="bg-BG"/>
        </w:rPr>
        <w:t xml:space="preserve">с </w:t>
      </w:r>
      <w:r>
        <w:rPr>
          <w:rFonts w:ascii="Times New Roman" w:hAnsi="Times New Roman"/>
          <w:color w:val="000000"/>
          <w:sz w:val="22"/>
          <w:lang w:val="bg-BG"/>
        </w:rPr>
        <w:t>експлоатационен период в диапазона 50-100 год</w:t>
      </w:r>
      <w:r w:rsidR="00DE19E4" w:rsidRPr="004C5F2A">
        <w:rPr>
          <w:rFonts w:ascii="Times New Roman" w:hAnsi="Times New Roman"/>
          <w:color w:val="000000"/>
          <w:sz w:val="22"/>
          <w:lang w:val="bg-BG"/>
        </w:rPr>
        <w:t>.</w:t>
      </w:r>
    </w:p>
    <w:p w14:paraId="080187B0" w14:textId="1DF55980" w:rsidR="002E6FF7" w:rsidRPr="004C5F2A" w:rsidRDefault="002E6FF7"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 xml:space="preserve">Вариант 2 </w:t>
      </w:r>
      <w:r w:rsidRPr="004C5F2A">
        <w:rPr>
          <w:rFonts w:ascii="Times New Roman" w:hAnsi="Times New Roman"/>
          <w:color w:val="000000"/>
          <w:sz w:val="22"/>
          <w:lang w:val="bg-BG"/>
        </w:rPr>
        <w:t xml:space="preserve">- </w:t>
      </w:r>
      <w:r w:rsidRPr="002E6FF7">
        <w:rPr>
          <w:rFonts w:ascii="Times New Roman" w:hAnsi="Times New Roman"/>
          <w:sz w:val="22"/>
          <w:lang w:val="bg-BG"/>
        </w:rPr>
        <w:t xml:space="preserve">Предложението за изпълнение е </w:t>
      </w:r>
      <w:r>
        <w:rPr>
          <w:rFonts w:ascii="Times New Roman" w:hAnsi="Times New Roman"/>
          <w:sz w:val="22"/>
          <w:lang w:val="bg-BG"/>
        </w:rPr>
        <w:t xml:space="preserve">с </w:t>
      </w:r>
      <w:r>
        <w:rPr>
          <w:rFonts w:ascii="Times New Roman" w:hAnsi="Times New Roman"/>
          <w:color w:val="000000"/>
          <w:sz w:val="22"/>
          <w:lang w:val="bg-BG"/>
        </w:rPr>
        <w:t>експлоатационен период в диапазона 50-100 год</w:t>
      </w:r>
      <w:r w:rsidRPr="004C5F2A">
        <w:rPr>
          <w:rFonts w:ascii="Times New Roman" w:hAnsi="Times New Roman"/>
          <w:color w:val="000000"/>
          <w:sz w:val="22"/>
          <w:lang w:val="bg-BG"/>
        </w:rPr>
        <w:t>.</w:t>
      </w:r>
    </w:p>
    <w:p w14:paraId="764F7217" w14:textId="24B4CBA5"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 </w:t>
      </w:r>
      <w:r w:rsidR="001254BC" w:rsidRPr="001254BC">
        <w:rPr>
          <w:rFonts w:ascii="Times New Roman" w:hAnsi="Times New Roman"/>
          <w:sz w:val="22"/>
          <w:lang w:val="bg-BG"/>
        </w:rPr>
        <w:t>Предложението за изпълнение е с експлоатационе</w:t>
      </w:r>
      <w:r w:rsidR="009A6780">
        <w:rPr>
          <w:rFonts w:ascii="Times New Roman" w:hAnsi="Times New Roman"/>
          <w:sz w:val="22"/>
          <w:lang w:val="bg-BG"/>
        </w:rPr>
        <w:t>н период в диапазона 50-100 год</w:t>
      </w:r>
      <w:r w:rsidR="002E6FF7" w:rsidRPr="004C5F2A">
        <w:rPr>
          <w:rFonts w:ascii="Times New Roman" w:hAnsi="Times New Roman"/>
          <w:color w:val="000000"/>
          <w:sz w:val="22"/>
          <w:lang w:val="bg-BG"/>
        </w:rPr>
        <w:t>.</w:t>
      </w:r>
    </w:p>
    <w:p w14:paraId="60D8C062"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76595C52" w14:textId="4BCED709"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 Крайната оценка е </w:t>
      </w:r>
      <w:r w:rsidR="009A6780">
        <w:rPr>
          <w:rFonts w:ascii="Times New Roman" w:hAnsi="Times New Roman"/>
          <w:color w:val="000000"/>
          <w:sz w:val="22"/>
          <w:lang w:val="bg-BG"/>
        </w:rPr>
        <w:t>2</w:t>
      </w:r>
    </w:p>
    <w:p w14:paraId="5D37A522" w14:textId="7432DAE2"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2 - Крайната оценка е </w:t>
      </w:r>
      <w:r w:rsidR="009A6780">
        <w:rPr>
          <w:rFonts w:ascii="Times New Roman" w:hAnsi="Times New Roman"/>
          <w:color w:val="000000"/>
          <w:sz w:val="22"/>
          <w:lang w:val="bg-BG"/>
        </w:rPr>
        <w:t>2</w:t>
      </w:r>
    </w:p>
    <w:p w14:paraId="3AC6E032" w14:textId="6B7FDBB1"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 Крайната оценка е </w:t>
      </w:r>
      <w:r w:rsidR="009A6780">
        <w:rPr>
          <w:rFonts w:ascii="Times New Roman" w:hAnsi="Times New Roman"/>
          <w:color w:val="000000"/>
          <w:sz w:val="22"/>
          <w:lang w:val="bg-BG"/>
        </w:rPr>
        <w:t>2</w:t>
      </w:r>
    </w:p>
    <w:p w14:paraId="0D468FB9" w14:textId="77777777" w:rsidR="00DE19E4" w:rsidRPr="004C5F2A" w:rsidRDefault="00DE19E4" w:rsidP="00446F8C">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1.2. „Изпълнение на строителните работи“</w:t>
      </w:r>
    </w:p>
    <w:p w14:paraId="67046B85"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1.2.1. „Използвана технология за изпълнение на строителните работи” </w:t>
      </w:r>
    </w:p>
    <w:p w14:paraId="2F9DB9D0"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0EE3B00" w14:textId="77777777"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рисковете по време на строителство, свързани с използваната технология за изпълнение на строителните работи </w:t>
      </w:r>
    </w:p>
    <w:p w14:paraId="5E5A520E"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4A0AC1DF" w14:textId="77777777"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сложността на използваната технология за изпълнение на строителните работи и свързаните с нея външни взаимодействия</w:t>
      </w:r>
    </w:p>
    <w:p w14:paraId="19BC593D"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69B828BD" w14:textId="13D0076B"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използваната технология за изпълнение на строителните работи не е свързана с много на брой и сложни външни взаимодействия;</w:t>
      </w:r>
    </w:p>
    <w:p w14:paraId="58FFC19C" w14:textId="29E7A90E"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неизпълнение на едно от двете условия за това използваната технология за изпълнение на строителните работи да не е свързана с много на брой външни взаимодействия или за това използваната технология за изпълнение на строителните работи да не е свързана със сложни външни взаимодействия;</w:t>
      </w:r>
    </w:p>
    <w:p w14:paraId="66B36D8A" w14:textId="72F77FD7"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неизпълнение на двете условия за това използваната технология за изпълнение на строителните работи да не е свързана с много на брой външни взаимодействия или за това използваната технология за изпълнение на строителните работи да не е свързана със сложни външни взаимодействия.</w:t>
      </w:r>
    </w:p>
    <w:p w14:paraId="0C7E283E"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5EDA9595" w14:textId="2A9A72D5" w:rsidR="00DE19E4" w:rsidRDefault="00B67BCA" w:rsidP="009C3231">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1</w:t>
      </w:r>
      <w:r w:rsidR="00DE19E4" w:rsidRPr="004C5F2A">
        <w:rPr>
          <w:rFonts w:ascii="Times New Roman" w:hAnsi="Times New Roman"/>
          <w:color w:val="000000"/>
          <w:sz w:val="22"/>
          <w:lang w:val="bg-BG"/>
        </w:rPr>
        <w:t xml:space="preserve"> - </w:t>
      </w:r>
      <w:r w:rsidRPr="009C3231">
        <w:rPr>
          <w:rFonts w:ascii="Times New Roman" w:hAnsi="Times New Roman"/>
          <w:color w:val="000000"/>
          <w:sz w:val="22"/>
          <w:lang w:val="bg-BG"/>
        </w:rPr>
        <w:t>Използваната технология за изпълнение на с</w:t>
      </w:r>
      <w:r w:rsidR="00436059" w:rsidRPr="009C3231">
        <w:rPr>
          <w:rFonts w:ascii="Times New Roman" w:hAnsi="Times New Roman"/>
          <w:color w:val="000000"/>
          <w:sz w:val="22"/>
          <w:lang w:val="bg-BG"/>
        </w:rPr>
        <w:t>троителните работи не е свързана</w:t>
      </w:r>
      <w:r w:rsidRPr="009C3231">
        <w:rPr>
          <w:rFonts w:ascii="Times New Roman" w:hAnsi="Times New Roman"/>
          <w:color w:val="000000"/>
          <w:sz w:val="22"/>
          <w:lang w:val="bg-BG"/>
        </w:rPr>
        <w:t xml:space="preserve"> с много на брой и сложни външни взаимодействия</w:t>
      </w:r>
      <w:r>
        <w:rPr>
          <w:rFonts w:ascii="Times New Roman" w:hAnsi="Times New Roman"/>
          <w:color w:val="000000"/>
          <w:sz w:val="22"/>
          <w:lang w:val="bg-BG"/>
        </w:rPr>
        <w:t>;</w:t>
      </w:r>
    </w:p>
    <w:p w14:paraId="3987479E" w14:textId="45FE8926" w:rsidR="00B67BCA" w:rsidRPr="004C5F2A" w:rsidRDefault="00B67BCA" w:rsidP="009C3231">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w:t>
      </w:r>
      <w:r w:rsidRPr="004C5F2A">
        <w:rPr>
          <w:rFonts w:ascii="Times New Roman" w:hAnsi="Times New Roman"/>
          <w:color w:val="000000"/>
          <w:sz w:val="22"/>
          <w:lang w:val="bg-BG"/>
        </w:rPr>
        <w:t xml:space="preserve"> - </w:t>
      </w:r>
      <w:r w:rsidR="00436059" w:rsidRPr="009C3231">
        <w:rPr>
          <w:rFonts w:ascii="Times New Roman" w:hAnsi="Times New Roman"/>
          <w:color w:val="000000"/>
          <w:sz w:val="22"/>
          <w:lang w:val="bg-BG"/>
        </w:rPr>
        <w:t>Използваната технология за изпълнение на строителните работи не е свързана с много на брой и сложни външни взаимодействия</w:t>
      </w:r>
      <w:r>
        <w:rPr>
          <w:rFonts w:ascii="Times New Roman" w:hAnsi="Times New Roman"/>
          <w:color w:val="000000"/>
          <w:sz w:val="22"/>
          <w:lang w:val="bg-BG"/>
        </w:rPr>
        <w:t>;</w:t>
      </w:r>
    </w:p>
    <w:p w14:paraId="02A964C7" w14:textId="7DB4FD8C"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lastRenderedPageBreak/>
        <w:t xml:space="preserve">Вариант 3 - </w:t>
      </w:r>
      <w:r w:rsidR="00436059" w:rsidRPr="009C3231">
        <w:rPr>
          <w:rFonts w:ascii="Times New Roman" w:hAnsi="Times New Roman"/>
          <w:color w:val="000000"/>
          <w:sz w:val="22"/>
          <w:lang w:val="bg-BG"/>
        </w:rPr>
        <w:t>Използваната технология за изпълнение на строителните работи е свързана в известна степен със сложни външни взаимодействия</w:t>
      </w:r>
      <w:r w:rsidR="00B67BCA">
        <w:rPr>
          <w:rFonts w:ascii="Times New Roman" w:hAnsi="Times New Roman"/>
          <w:color w:val="000000"/>
          <w:sz w:val="22"/>
          <w:lang w:val="bg-BG"/>
        </w:rPr>
        <w:t>.</w:t>
      </w:r>
    </w:p>
    <w:p w14:paraId="378BCC22"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092303C8" w14:textId="54420CE4" w:rsidR="00DE19E4" w:rsidRPr="004C5F2A" w:rsidRDefault="00436059"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Вариант 1 - Крайната оценка е 1</w:t>
      </w:r>
    </w:p>
    <w:p w14:paraId="1F54C874" w14:textId="565EDCB6"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2 </w:t>
      </w:r>
      <w:r w:rsidR="00436059">
        <w:rPr>
          <w:rFonts w:ascii="Times New Roman" w:hAnsi="Times New Roman"/>
          <w:color w:val="000000"/>
          <w:sz w:val="22"/>
          <w:lang w:val="bg-BG"/>
        </w:rPr>
        <w:t>- Крайната оценка е 1</w:t>
      </w:r>
    </w:p>
    <w:p w14:paraId="129AD7D8" w14:textId="6D05C7FD"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436059">
        <w:rPr>
          <w:rFonts w:ascii="Times New Roman" w:hAnsi="Times New Roman"/>
          <w:color w:val="000000"/>
          <w:sz w:val="22"/>
          <w:lang w:val="bg-BG"/>
        </w:rPr>
        <w:t>- Крайната оценка е 2</w:t>
      </w:r>
    </w:p>
    <w:p w14:paraId="0277D9AA"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1.2.2. „Темп на извършване на строителните работи” </w:t>
      </w:r>
    </w:p>
    <w:p w14:paraId="4AE606A7"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759A21D6" w14:textId="77777777"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рисковете по време на строителство, свързани със сроковете за изпълнение на строителните работи </w:t>
      </w:r>
    </w:p>
    <w:p w14:paraId="3511188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6BE71B1B" w14:textId="77777777"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Оценка темпа на извършване на строителните работи</w:t>
      </w:r>
    </w:p>
    <w:p w14:paraId="1C07C4C2"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71141A52" w14:textId="181D4E8D"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темпа на извършване на строителните работи е оценен на сравнително бърз;</w:t>
      </w:r>
    </w:p>
    <w:p w14:paraId="2B429F72" w14:textId="4D7F07E4"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темпа на извършване на строителните работи е оценен на среден;</w:t>
      </w:r>
    </w:p>
    <w:p w14:paraId="35EBA25F" w14:textId="1D5E9045" w:rsidR="00DE19E4" w:rsidRPr="004C5F2A" w:rsidRDefault="00DE19E4" w:rsidP="009C3231">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9C3231">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темпа на извършване на строителните работи е оценен на сравнително бавен.</w:t>
      </w:r>
    </w:p>
    <w:p w14:paraId="2BC0D4B4"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1FACCE17" w14:textId="1AF78285" w:rsidR="00DE19E4" w:rsidRDefault="00436059"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Вариант 1</w:t>
      </w:r>
      <w:r w:rsidR="00DE19E4" w:rsidRPr="004C5F2A">
        <w:rPr>
          <w:rFonts w:ascii="Times New Roman" w:hAnsi="Times New Roman"/>
          <w:color w:val="000000"/>
          <w:sz w:val="22"/>
          <w:lang w:val="bg-BG"/>
        </w:rPr>
        <w:t xml:space="preserve"> - </w:t>
      </w:r>
      <w:r>
        <w:rPr>
          <w:rFonts w:ascii="Times New Roman" w:hAnsi="Times New Roman"/>
          <w:color w:val="000000"/>
          <w:sz w:val="22"/>
          <w:lang w:val="bg-BG"/>
        </w:rPr>
        <w:t>Т</w:t>
      </w:r>
      <w:r w:rsidR="00DE19E4" w:rsidRPr="004C5F2A">
        <w:rPr>
          <w:rFonts w:ascii="Times New Roman" w:hAnsi="Times New Roman"/>
          <w:color w:val="000000"/>
          <w:sz w:val="22"/>
          <w:lang w:val="bg-BG"/>
        </w:rPr>
        <w:t xml:space="preserve">емпът на извършване на строителните работи е </w:t>
      </w:r>
      <w:r>
        <w:rPr>
          <w:rFonts w:ascii="Times New Roman" w:hAnsi="Times New Roman"/>
          <w:color w:val="000000"/>
          <w:sz w:val="22"/>
          <w:lang w:val="bg-BG"/>
        </w:rPr>
        <w:t>оценен на среден:</w:t>
      </w:r>
    </w:p>
    <w:p w14:paraId="5AEDCEAE" w14:textId="36628814" w:rsidR="00436059" w:rsidRPr="004C5F2A" w:rsidRDefault="00436059" w:rsidP="00436059">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 xml:space="preserve">Вариант </w:t>
      </w:r>
      <w:r w:rsidRPr="004C5F2A">
        <w:rPr>
          <w:rFonts w:ascii="Times New Roman" w:hAnsi="Times New Roman"/>
          <w:color w:val="000000"/>
          <w:sz w:val="22"/>
          <w:lang w:val="bg-BG"/>
        </w:rPr>
        <w:t xml:space="preserve">2 - </w:t>
      </w:r>
      <w:r>
        <w:rPr>
          <w:rFonts w:ascii="Times New Roman" w:hAnsi="Times New Roman"/>
          <w:color w:val="000000"/>
          <w:sz w:val="22"/>
          <w:lang w:val="bg-BG"/>
        </w:rPr>
        <w:t>Т</w:t>
      </w:r>
      <w:r w:rsidRPr="004C5F2A">
        <w:rPr>
          <w:rFonts w:ascii="Times New Roman" w:hAnsi="Times New Roman"/>
          <w:color w:val="000000"/>
          <w:sz w:val="22"/>
          <w:lang w:val="bg-BG"/>
        </w:rPr>
        <w:t xml:space="preserve">емпът на извършване на строителните работи е </w:t>
      </w:r>
      <w:r>
        <w:rPr>
          <w:rFonts w:ascii="Times New Roman" w:hAnsi="Times New Roman"/>
          <w:color w:val="000000"/>
          <w:sz w:val="22"/>
          <w:lang w:val="bg-BG"/>
        </w:rPr>
        <w:t xml:space="preserve">оценен на </w:t>
      </w:r>
      <w:r w:rsidRPr="004C5F2A">
        <w:rPr>
          <w:rFonts w:ascii="Times New Roman" w:hAnsi="Times New Roman"/>
          <w:color w:val="000000"/>
          <w:sz w:val="22"/>
          <w:lang w:val="bg-BG"/>
        </w:rPr>
        <w:t>среден</w:t>
      </w:r>
      <w:r>
        <w:rPr>
          <w:rFonts w:ascii="Times New Roman" w:hAnsi="Times New Roman"/>
          <w:color w:val="000000"/>
          <w:sz w:val="22"/>
          <w:lang w:val="bg-BG"/>
        </w:rPr>
        <w:t>:</w:t>
      </w:r>
    </w:p>
    <w:p w14:paraId="436B13E2" w14:textId="32AB278B" w:rsidR="00DE19E4" w:rsidRPr="004C5F2A" w:rsidRDefault="00DE19E4" w:rsidP="004C5F2A">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 </w:t>
      </w:r>
      <w:r w:rsidR="00436059">
        <w:rPr>
          <w:rFonts w:ascii="Times New Roman" w:hAnsi="Times New Roman"/>
          <w:color w:val="000000"/>
          <w:sz w:val="22"/>
          <w:lang w:val="bg-BG"/>
        </w:rPr>
        <w:t>Т</w:t>
      </w:r>
      <w:r w:rsidR="00436059" w:rsidRPr="004C5F2A">
        <w:rPr>
          <w:rFonts w:ascii="Times New Roman" w:hAnsi="Times New Roman"/>
          <w:color w:val="000000"/>
          <w:sz w:val="22"/>
          <w:lang w:val="bg-BG"/>
        </w:rPr>
        <w:t xml:space="preserve">емпът на извършване на строителните работи е </w:t>
      </w:r>
      <w:r w:rsidR="00436059">
        <w:rPr>
          <w:rFonts w:ascii="Times New Roman" w:hAnsi="Times New Roman"/>
          <w:color w:val="000000"/>
          <w:sz w:val="22"/>
          <w:lang w:val="bg-BG"/>
        </w:rPr>
        <w:t xml:space="preserve">оценен на </w:t>
      </w:r>
      <w:r w:rsidR="00436059" w:rsidRPr="004C5F2A">
        <w:rPr>
          <w:rFonts w:ascii="Times New Roman" w:hAnsi="Times New Roman"/>
          <w:color w:val="000000"/>
          <w:sz w:val="22"/>
          <w:lang w:val="bg-BG"/>
        </w:rPr>
        <w:t>среден</w:t>
      </w:r>
      <w:r w:rsidR="00436059">
        <w:rPr>
          <w:rFonts w:ascii="Times New Roman" w:hAnsi="Times New Roman"/>
          <w:color w:val="000000"/>
          <w:sz w:val="22"/>
          <w:lang w:val="bg-BG"/>
        </w:rPr>
        <w:t>.</w:t>
      </w:r>
    </w:p>
    <w:p w14:paraId="7DE6A28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13F64F05" w14:textId="326AD485" w:rsidR="00DE19E4" w:rsidRPr="004C5F2A" w:rsidRDefault="00436059"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 xml:space="preserve">Вариант 1 </w:t>
      </w:r>
      <w:r w:rsidR="00DE19E4" w:rsidRPr="004C5F2A">
        <w:rPr>
          <w:rFonts w:ascii="Times New Roman" w:hAnsi="Times New Roman"/>
          <w:color w:val="000000"/>
          <w:sz w:val="22"/>
          <w:lang w:val="bg-BG"/>
        </w:rPr>
        <w:t xml:space="preserve">- Крайната оценка е </w:t>
      </w:r>
      <w:r>
        <w:rPr>
          <w:rFonts w:ascii="Times New Roman" w:hAnsi="Times New Roman"/>
          <w:color w:val="000000"/>
          <w:sz w:val="22"/>
          <w:lang w:val="bg-BG"/>
        </w:rPr>
        <w:t>2</w:t>
      </w:r>
    </w:p>
    <w:p w14:paraId="6B421FFF" w14:textId="20AAE35F" w:rsidR="00DE19E4" w:rsidRPr="004C5F2A" w:rsidRDefault="00436059"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Вариант 2 - Крайната оценка е 2</w:t>
      </w:r>
    </w:p>
    <w:p w14:paraId="62D267C8" w14:textId="56E174D9" w:rsidR="00DE19E4" w:rsidRDefault="00436059" w:rsidP="004C5F2A">
      <w:pPr>
        <w:autoSpaceDE w:val="0"/>
        <w:autoSpaceDN w:val="0"/>
        <w:adjustRightInd w:val="0"/>
        <w:spacing w:after="0" w:line="360" w:lineRule="auto"/>
        <w:ind w:firstLine="720"/>
        <w:contextualSpacing/>
        <w:rPr>
          <w:rFonts w:ascii="Times New Roman" w:hAnsi="Times New Roman"/>
          <w:color w:val="000000"/>
          <w:sz w:val="22"/>
          <w:lang w:val="bg-BG"/>
        </w:rPr>
      </w:pPr>
      <w:r>
        <w:rPr>
          <w:rFonts w:ascii="Times New Roman" w:hAnsi="Times New Roman"/>
          <w:color w:val="000000"/>
          <w:sz w:val="22"/>
          <w:lang w:val="bg-BG"/>
        </w:rPr>
        <w:t>Вариант 3 - Крайната оценка е 2</w:t>
      </w:r>
    </w:p>
    <w:p w14:paraId="034253BC" w14:textId="77777777" w:rsidR="00D54BF3" w:rsidRDefault="00D54BF3"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p>
    <w:p w14:paraId="7F59876D" w14:textId="77777777" w:rsidR="00446F8C" w:rsidRDefault="00446F8C"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p>
    <w:p w14:paraId="1F83FD7E" w14:textId="77777777" w:rsidR="00446F8C" w:rsidRDefault="00446F8C"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p>
    <w:p w14:paraId="1D371F76" w14:textId="77777777" w:rsidR="00446F8C" w:rsidRDefault="00446F8C"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p>
    <w:p w14:paraId="3E18AD44" w14:textId="77777777" w:rsidR="00446F8C" w:rsidRDefault="00446F8C"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p>
    <w:p w14:paraId="7563E7B6" w14:textId="77777777" w:rsidR="00DE19E4" w:rsidRPr="00DE19E4" w:rsidRDefault="00DE19E4" w:rsidP="00DE19E4">
      <w:pPr>
        <w:autoSpaceDE w:val="0"/>
        <w:autoSpaceDN w:val="0"/>
        <w:adjustRightInd w:val="0"/>
        <w:spacing w:after="120" w:line="24" w:lineRule="atLeast"/>
        <w:ind w:firstLine="720"/>
        <w:jc w:val="center"/>
        <w:rPr>
          <w:rFonts w:ascii="Times New Roman" w:hAnsi="Times New Roman"/>
          <w:b/>
          <w:i/>
          <w:color w:val="000000"/>
          <w:sz w:val="24"/>
          <w:szCs w:val="24"/>
          <w:u w:val="single"/>
          <w:lang w:val="bg-BG"/>
        </w:rPr>
      </w:pPr>
      <w:r w:rsidRPr="00DE19E4">
        <w:rPr>
          <w:rFonts w:ascii="Times New Roman" w:hAnsi="Times New Roman"/>
          <w:b/>
          <w:i/>
          <w:color w:val="000000"/>
          <w:sz w:val="24"/>
          <w:szCs w:val="24"/>
          <w:u w:val="single"/>
          <w:lang w:val="bg-BG"/>
        </w:rPr>
        <w:lastRenderedPageBreak/>
        <w:t>Обобщени оценки по основен критерий 1. „Технически“</w:t>
      </w:r>
    </w:p>
    <w:p w14:paraId="14BD28B5" w14:textId="77777777" w:rsidR="00DE19E4" w:rsidRPr="00DE19E4" w:rsidRDefault="00DE19E4" w:rsidP="00DE19E4">
      <w:pPr>
        <w:autoSpaceDE w:val="0"/>
        <w:autoSpaceDN w:val="0"/>
        <w:adjustRightInd w:val="0"/>
        <w:spacing w:after="0" w:line="276" w:lineRule="auto"/>
        <w:ind w:firstLine="547"/>
        <w:rPr>
          <w:rFonts w:ascii="Times New Roman" w:hAnsi="Times New Roman"/>
          <w:b/>
          <w:color w:val="000000"/>
          <w:sz w:val="24"/>
          <w:szCs w:val="24"/>
          <w:highlight w:val="green"/>
          <w:lang w:val="bg-BG"/>
        </w:rPr>
      </w:pPr>
      <w:r w:rsidRPr="00DE19E4">
        <w:rPr>
          <w:rFonts w:ascii="Times New Roman" w:hAnsi="Times New Roman"/>
          <w:b/>
          <w:color w:val="000000"/>
          <w:sz w:val="24"/>
          <w:szCs w:val="24"/>
          <w:lang w:val="bg-BG"/>
        </w:rPr>
        <w:t>Вариант 1</w:t>
      </w:r>
    </w:p>
    <w:p w14:paraId="37CF5756" w14:textId="7F8DE44D" w:rsidR="00DE19E4" w:rsidRPr="00DE19E4" w:rsidRDefault="00820421" w:rsidP="00DE19E4">
      <w:pPr>
        <w:autoSpaceDE w:val="0"/>
        <w:autoSpaceDN w:val="0"/>
        <w:adjustRightInd w:val="0"/>
        <w:spacing w:after="120" w:line="24" w:lineRule="atLeast"/>
        <w:ind w:firstLine="540"/>
        <w:rPr>
          <w:rFonts w:ascii="Times New Roman" w:hAnsi="Times New Roman"/>
          <w:b/>
          <w:color w:val="000000"/>
          <w:sz w:val="24"/>
          <w:szCs w:val="24"/>
          <w:highlight w:val="green"/>
          <w:lang w:val="bg-BG"/>
        </w:rPr>
      </w:pPr>
      <w:r w:rsidRPr="00820421">
        <w:rPr>
          <w:noProof/>
          <w:lang w:val="en-US"/>
        </w:rPr>
        <w:drawing>
          <wp:inline distT="0" distB="0" distL="0" distR="0" wp14:anchorId="56C1AFE3" wp14:editId="18111012">
            <wp:extent cx="5924550" cy="1535167"/>
            <wp:effectExtent l="0" t="0" r="0" b="8255"/>
            <wp:docPr id="2401280" name="Picture 240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1579" cy="1536988"/>
                    </a:xfrm>
                    <a:prstGeom prst="rect">
                      <a:avLst/>
                    </a:prstGeom>
                    <a:noFill/>
                    <a:ln>
                      <a:noFill/>
                    </a:ln>
                  </pic:spPr>
                </pic:pic>
              </a:graphicData>
            </a:graphic>
          </wp:inline>
        </w:drawing>
      </w:r>
    </w:p>
    <w:p w14:paraId="28563ED5" w14:textId="77777777" w:rsidR="00DE19E4" w:rsidRPr="00DE19E4" w:rsidRDefault="00DE19E4" w:rsidP="00DE19E4">
      <w:pPr>
        <w:autoSpaceDE w:val="0"/>
        <w:autoSpaceDN w:val="0"/>
        <w:adjustRightInd w:val="0"/>
        <w:spacing w:after="0" w:line="276" w:lineRule="auto"/>
        <w:ind w:firstLine="547"/>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2 </w:t>
      </w:r>
    </w:p>
    <w:p w14:paraId="0FB53AE3" w14:textId="1C230E39" w:rsidR="00DE19E4" w:rsidRPr="00DE19E4" w:rsidRDefault="00820421" w:rsidP="00DE19E4">
      <w:pPr>
        <w:autoSpaceDE w:val="0"/>
        <w:autoSpaceDN w:val="0"/>
        <w:adjustRightInd w:val="0"/>
        <w:spacing w:after="0" w:line="276" w:lineRule="auto"/>
        <w:ind w:firstLine="540"/>
        <w:rPr>
          <w:rFonts w:ascii="Arial" w:hAnsi="Arial" w:cs="Arial"/>
          <w:color w:val="000000"/>
          <w:sz w:val="24"/>
          <w:szCs w:val="24"/>
          <w:lang w:val="bg-BG"/>
        </w:rPr>
      </w:pPr>
      <w:r w:rsidRPr="00820421">
        <w:rPr>
          <w:noProof/>
          <w:lang w:val="en-US"/>
        </w:rPr>
        <w:drawing>
          <wp:inline distT="0" distB="0" distL="0" distR="0" wp14:anchorId="24B6525F" wp14:editId="111075F5">
            <wp:extent cx="5934075" cy="1537635"/>
            <wp:effectExtent l="0" t="0" r="0" b="5715"/>
            <wp:docPr id="2401281" name="Picture 240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0328" cy="1539255"/>
                    </a:xfrm>
                    <a:prstGeom prst="rect">
                      <a:avLst/>
                    </a:prstGeom>
                    <a:noFill/>
                    <a:ln>
                      <a:noFill/>
                    </a:ln>
                  </pic:spPr>
                </pic:pic>
              </a:graphicData>
            </a:graphic>
          </wp:inline>
        </w:drawing>
      </w:r>
    </w:p>
    <w:p w14:paraId="36A0D136"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54BF3">
        <w:rPr>
          <w:rFonts w:ascii="Times New Roman" w:hAnsi="Times New Roman"/>
          <w:b/>
          <w:color w:val="000000"/>
          <w:sz w:val="24"/>
          <w:szCs w:val="24"/>
          <w:lang w:val="bg-BG"/>
        </w:rPr>
        <w:t>Вариант 3</w:t>
      </w:r>
      <w:r w:rsidRPr="00DE19E4">
        <w:rPr>
          <w:rFonts w:ascii="Times New Roman" w:hAnsi="Times New Roman"/>
          <w:b/>
          <w:color w:val="000000"/>
          <w:sz w:val="24"/>
          <w:szCs w:val="24"/>
          <w:lang w:val="bg-BG"/>
        </w:rPr>
        <w:t xml:space="preserve"> </w:t>
      </w:r>
    </w:p>
    <w:p w14:paraId="5286C7AD" w14:textId="26CCD80E" w:rsidR="00DE19E4" w:rsidRPr="00DE19E4" w:rsidRDefault="00820421" w:rsidP="00DE19E4">
      <w:pPr>
        <w:spacing w:after="0" w:line="276" w:lineRule="auto"/>
        <w:ind w:firstLine="540"/>
        <w:rPr>
          <w:rFonts w:ascii="Times New Roman" w:hAnsi="Times New Roman"/>
          <w:sz w:val="24"/>
          <w:szCs w:val="24"/>
          <w:lang w:val="bg-BG"/>
        </w:rPr>
      </w:pPr>
      <w:r w:rsidRPr="00820421">
        <w:rPr>
          <w:noProof/>
          <w:lang w:val="en-US"/>
        </w:rPr>
        <w:drawing>
          <wp:inline distT="0" distB="0" distL="0" distR="0" wp14:anchorId="266125D6" wp14:editId="789E990C">
            <wp:extent cx="5934075" cy="1537635"/>
            <wp:effectExtent l="0" t="0" r="0" b="5715"/>
            <wp:docPr id="2401282" name="Picture 240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4601" cy="1540363"/>
                    </a:xfrm>
                    <a:prstGeom prst="rect">
                      <a:avLst/>
                    </a:prstGeom>
                    <a:noFill/>
                    <a:ln>
                      <a:noFill/>
                    </a:ln>
                  </pic:spPr>
                </pic:pic>
              </a:graphicData>
            </a:graphic>
          </wp:inline>
        </w:drawing>
      </w:r>
    </w:p>
    <w:p w14:paraId="17A7277E" w14:textId="77777777" w:rsidR="00DE19E4" w:rsidRDefault="00DE19E4" w:rsidP="00DE19E4">
      <w:pPr>
        <w:autoSpaceDE w:val="0"/>
        <w:autoSpaceDN w:val="0"/>
        <w:adjustRightInd w:val="0"/>
        <w:spacing w:after="0" w:line="276" w:lineRule="auto"/>
        <w:ind w:firstLine="720"/>
        <w:jc w:val="center"/>
        <w:rPr>
          <w:rFonts w:ascii="Arial" w:hAnsi="Arial" w:cs="Arial"/>
          <w:b/>
          <w:i/>
          <w:color w:val="000000"/>
          <w:sz w:val="24"/>
          <w:szCs w:val="24"/>
          <w:u w:val="single"/>
          <w:lang w:val="bg-BG"/>
        </w:rPr>
      </w:pPr>
    </w:p>
    <w:p w14:paraId="02A2D8FB" w14:textId="77777777" w:rsidR="00DE19E4" w:rsidRPr="004C5F2A" w:rsidRDefault="00DE19E4" w:rsidP="004C5F2A">
      <w:pPr>
        <w:autoSpaceDE w:val="0"/>
        <w:autoSpaceDN w:val="0"/>
        <w:adjustRightInd w:val="0"/>
        <w:spacing w:after="0" w:line="360" w:lineRule="auto"/>
        <w:ind w:firstLine="720"/>
        <w:jc w:val="center"/>
        <w:rPr>
          <w:rFonts w:ascii="Times New Roman" w:hAnsi="Times New Roman"/>
          <w:b/>
          <w:i/>
          <w:color w:val="000000"/>
          <w:sz w:val="22"/>
          <w:u w:val="single"/>
          <w:lang w:val="bg-BG"/>
        </w:rPr>
      </w:pPr>
      <w:r w:rsidRPr="004C5F2A">
        <w:rPr>
          <w:rFonts w:ascii="Times New Roman" w:hAnsi="Times New Roman"/>
          <w:b/>
          <w:i/>
          <w:color w:val="000000"/>
          <w:sz w:val="22"/>
          <w:u w:val="single"/>
          <w:lang w:val="bg-BG"/>
        </w:rPr>
        <w:t>Основен критерий 2. „Финансово-икономически“</w:t>
      </w:r>
    </w:p>
    <w:p w14:paraId="3C6ABE3F" w14:textId="77777777" w:rsidR="00DE19E4" w:rsidRPr="004C5F2A" w:rsidRDefault="00DE19E4" w:rsidP="00446F8C">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2.1. „Ефективност на разходите“</w:t>
      </w:r>
    </w:p>
    <w:p w14:paraId="3EAC76C4"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2.1.1. „Разходи на един тон” </w:t>
      </w:r>
    </w:p>
    <w:p w14:paraId="79551B03"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0FA2BD0"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минимални разходи за инвестиции и експлоатация и поддръжка, през целия референтен период на проекта, за единица извършена работа </w:t>
      </w:r>
    </w:p>
    <w:p w14:paraId="286FAFCB"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5FB7C16E" w14:textId="68F3EB65"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Стой</w:t>
      </w:r>
      <w:r w:rsidR="00634419">
        <w:rPr>
          <w:rFonts w:ascii="Times New Roman" w:hAnsi="Times New Roman"/>
          <w:color w:val="000000"/>
          <w:sz w:val="22"/>
          <w:lang w:val="bg-BG"/>
        </w:rPr>
        <w:t>ност на разходите за един тон</w:t>
      </w:r>
      <w:r w:rsidR="00525FEA">
        <w:rPr>
          <w:rFonts w:ascii="Times New Roman" w:hAnsi="Times New Roman"/>
          <w:color w:val="000000"/>
          <w:sz w:val="22"/>
          <w:lang w:val="bg-BG"/>
        </w:rPr>
        <w:t xml:space="preserve"> извършена работа в евро</w:t>
      </w:r>
      <w:r w:rsidRPr="004C5F2A">
        <w:rPr>
          <w:rFonts w:ascii="Times New Roman" w:hAnsi="Times New Roman"/>
          <w:color w:val="000000"/>
          <w:sz w:val="22"/>
          <w:lang w:val="bg-BG"/>
        </w:rPr>
        <w:t>.</w:t>
      </w:r>
    </w:p>
    <w:p w14:paraId="27848C21"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lastRenderedPageBreak/>
        <w:t>Методология</w:t>
      </w:r>
    </w:p>
    <w:p w14:paraId="2300886F"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Отделните варианти се оценяват на базата на съответстващата за всеки вариант стойност на разходите за инвестиции и експлоатация и поддръжка през целия референтен период за един тон, изчислена чрез Анализ на ефективността на разходите (АЕР). Приложен е отделен модел за АЕР.</w:t>
      </w:r>
    </w:p>
    <w:p w14:paraId="70771861" w14:textId="77777777" w:rsidR="000E6A46"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най-ниска обща стойност на разходите за един тон;</w:t>
      </w:r>
    </w:p>
    <w:p w14:paraId="234FBCD0" w14:textId="77777777" w:rsidR="000E6A46"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със средна обща стойност на разходите за един тон</w:t>
      </w:r>
    </w:p>
    <w:p w14:paraId="6622DDC8" w14:textId="7351C71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най-висока обща стойност на разходите за един тон.</w:t>
      </w:r>
    </w:p>
    <w:p w14:paraId="62A31F2A"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10FBEF42" w14:textId="174EA292" w:rsidR="000E6A46"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1 – 2</w:t>
      </w:r>
      <w:r w:rsidR="00C8360B">
        <w:rPr>
          <w:rFonts w:ascii="Times New Roman" w:hAnsi="Times New Roman"/>
          <w:color w:val="000000"/>
          <w:sz w:val="22"/>
          <w:lang w:val="bg-BG"/>
        </w:rPr>
        <w:t>1</w:t>
      </w:r>
      <w:r w:rsidRPr="004C5F2A">
        <w:rPr>
          <w:rFonts w:ascii="Times New Roman" w:hAnsi="Times New Roman"/>
          <w:color w:val="000000"/>
          <w:sz w:val="22"/>
          <w:lang w:val="bg-BG"/>
        </w:rPr>
        <w:t xml:space="preserve"> </w:t>
      </w:r>
      <w:r w:rsidR="00C8360B">
        <w:rPr>
          <w:rFonts w:ascii="Times New Roman" w:hAnsi="Times New Roman"/>
          <w:color w:val="000000"/>
          <w:sz w:val="22"/>
          <w:lang w:val="bg-BG"/>
        </w:rPr>
        <w:t>085</w:t>
      </w:r>
      <w:r w:rsidR="00525FEA">
        <w:rPr>
          <w:rFonts w:ascii="Times New Roman" w:hAnsi="Times New Roman"/>
          <w:color w:val="000000"/>
          <w:sz w:val="22"/>
          <w:lang w:val="bg-BG"/>
        </w:rPr>
        <w:t xml:space="preserve"> евро</w:t>
      </w:r>
      <w:r w:rsidRPr="004C5F2A">
        <w:rPr>
          <w:rFonts w:ascii="Times New Roman" w:hAnsi="Times New Roman"/>
          <w:color w:val="000000"/>
          <w:sz w:val="22"/>
          <w:lang w:val="bg-BG"/>
        </w:rPr>
        <w:t>/тон;</w:t>
      </w:r>
    </w:p>
    <w:p w14:paraId="51827C92" w14:textId="4552D1F7" w:rsidR="000E6A46"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2 – 2</w:t>
      </w:r>
      <w:r w:rsidR="00C8360B">
        <w:rPr>
          <w:rFonts w:ascii="Times New Roman" w:hAnsi="Times New Roman"/>
          <w:color w:val="000000"/>
          <w:sz w:val="22"/>
          <w:lang w:val="bg-BG"/>
        </w:rPr>
        <w:t>3</w:t>
      </w:r>
      <w:r w:rsidRPr="004C5F2A">
        <w:rPr>
          <w:rFonts w:ascii="Times New Roman" w:hAnsi="Times New Roman"/>
          <w:color w:val="000000"/>
          <w:sz w:val="22"/>
          <w:lang w:val="bg-BG"/>
        </w:rPr>
        <w:t xml:space="preserve"> </w:t>
      </w:r>
      <w:r w:rsidR="00C8360B">
        <w:rPr>
          <w:rFonts w:ascii="Times New Roman" w:hAnsi="Times New Roman"/>
          <w:color w:val="000000"/>
          <w:sz w:val="22"/>
          <w:lang w:val="bg-BG"/>
        </w:rPr>
        <w:t>223</w:t>
      </w:r>
      <w:r w:rsidR="00525FEA">
        <w:rPr>
          <w:rFonts w:ascii="Times New Roman" w:hAnsi="Times New Roman"/>
          <w:color w:val="000000"/>
          <w:sz w:val="22"/>
          <w:lang w:val="bg-BG"/>
        </w:rPr>
        <w:t xml:space="preserve"> евро</w:t>
      </w:r>
      <w:r w:rsidRPr="004C5F2A">
        <w:rPr>
          <w:rFonts w:ascii="Times New Roman" w:hAnsi="Times New Roman"/>
          <w:color w:val="000000"/>
          <w:sz w:val="22"/>
          <w:lang w:val="bg-BG"/>
        </w:rPr>
        <w:t>/тон;</w:t>
      </w:r>
    </w:p>
    <w:p w14:paraId="70205703" w14:textId="68E8E901" w:rsidR="00DE19E4" w:rsidRPr="004C5F2A"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Вариант 3 – 2</w:t>
      </w:r>
      <w:r w:rsidR="00C8360B">
        <w:rPr>
          <w:rFonts w:ascii="Times New Roman" w:hAnsi="Times New Roman"/>
          <w:color w:val="000000"/>
          <w:sz w:val="22"/>
          <w:lang w:val="bg-BG"/>
        </w:rPr>
        <w:t>1</w:t>
      </w:r>
      <w:r w:rsidRPr="004C5F2A">
        <w:rPr>
          <w:rFonts w:ascii="Times New Roman" w:hAnsi="Times New Roman"/>
          <w:color w:val="000000"/>
          <w:sz w:val="22"/>
          <w:lang w:val="bg-BG"/>
        </w:rPr>
        <w:t xml:space="preserve"> </w:t>
      </w:r>
      <w:r w:rsidR="00634419">
        <w:rPr>
          <w:rFonts w:ascii="Times New Roman" w:hAnsi="Times New Roman"/>
          <w:color w:val="000000"/>
          <w:sz w:val="22"/>
          <w:lang w:val="bg-BG"/>
        </w:rPr>
        <w:t>89</w:t>
      </w:r>
      <w:r w:rsidR="00C8360B">
        <w:rPr>
          <w:rFonts w:ascii="Times New Roman" w:hAnsi="Times New Roman"/>
          <w:color w:val="000000"/>
          <w:sz w:val="22"/>
          <w:lang w:val="bg-BG"/>
        </w:rPr>
        <w:t>6</w:t>
      </w:r>
      <w:r w:rsidR="00525FEA">
        <w:rPr>
          <w:rFonts w:ascii="Times New Roman" w:hAnsi="Times New Roman"/>
          <w:color w:val="000000"/>
          <w:sz w:val="22"/>
          <w:lang w:val="bg-BG"/>
        </w:rPr>
        <w:t xml:space="preserve"> евро</w:t>
      </w:r>
      <w:r w:rsidRPr="004C5F2A">
        <w:rPr>
          <w:rFonts w:ascii="Times New Roman" w:hAnsi="Times New Roman"/>
          <w:color w:val="000000"/>
          <w:sz w:val="22"/>
          <w:lang w:val="bg-BG"/>
        </w:rPr>
        <w:t>/тон.</w:t>
      </w:r>
    </w:p>
    <w:p w14:paraId="23B71377"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41727BFF" w14:textId="33128F65" w:rsidR="00DE19E4" w:rsidRPr="004C5F2A"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w:t>
      </w:r>
      <w:r w:rsidR="00634419">
        <w:rPr>
          <w:rFonts w:ascii="Times New Roman" w:hAnsi="Times New Roman"/>
          <w:color w:val="000000"/>
          <w:sz w:val="22"/>
          <w:lang w:val="bg-BG"/>
        </w:rPr>
        <w:t xml:space="preserve">- Крайната оценка е </w:t>
      </w:r>
      <w:r w:rsidR="00C8360B">
        <w:rPr>
          <w:rFonts w:ascii="Times New Roman" w:hAnsi="Times New Roman"/>
          <w:color w:val="000000"/>
          <w:sz w:val="22"/>
          <w:lang w:val="bg-BG"/>
        </w:rPr>
        <w:t>1</w:t>
      </w:r>
    </w:p>
    <w:p w14:paraId="600BAF37" w14:textId="596DB4C9" w:rsidR="00DE19E4" w:rsidRPr="004C5F2A"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2 </w:t>
      </w:r>
      <w:r w:rsidR="00525FEA">
        <w:rPr>
          <w:rFonts w:ascii="Times New Roman" w:hAnsi="Times New Roman"/>
          <w:color w:val="000000"/>
          <w:sz w:val="22"/>
          <w:lang w:val="bg-BG"/>
        </w:rPr>
        <w:t>- Крайната оценка е 3</w:t>
      </w:r>
    </w:p>
    <w:p w14:paraId="3B4DB90E" w14:textId="6CDEAD0B" w:rsidR="00DE19E4" w:rsidRPr="004C5F2A"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634419">
        <w:rPr>
          <w:rFonts w:ascii="Times New Roman" w:hAnsi="Times New Roman"/>
          <w:color w:val="000000"/>
          <w:sz w:val="22"/>
          <w:lang w:val="bg-BG"/>
        </w:rPr>
        <w:t xml:space="preserve">- Крайната оценка е </w:t>
      </w:r>
      <w:r w:rsidR="00C8360B">
        <w:rPr>
          <w:rFonts w:ascii="Times New Roman" w:hAnsi="Times New Roman"/>
          <w:color w:val="000000"/>
          <w:sz w:val="22"/>
          <w:lang w:val="bg-BG"/>
        </w:rPr>
        <w:t>2</w:t>
      </w:r>
    </w:p>
    <w:p w14:paraId="21DD4CFC"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2.1.2. „ННС на общите разходи” </w:t>
      </w:r>
    </w:p>
    <w:p w14:paraId="41DF283A"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29171A41" w14:textId="77777777" w:rsidR="00DE19E4" w:rsidRPr="004C5F2A" w:rsidRDefault="00DE19E4" w:rsidP="000E6A46">
      <w:pPr>
        <w:autoSpaceDE w:val="0"/>
        <w:autoSpaceDN w:val="0"/>
        <w:adjustRightInd w:val="0"/>
        <w:spacing w:after="0" w:line="360" w:lineRule="auto"/>
        <w:ind w:firstLine="720"/>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максимална оптимизация на общите разходи </w:t>
      </w:r>
    </w:p>
    <w:p w14:paraId="7656F9A4"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01B3F41B" w14:textId="7FAF49C4" w:rsidR="00DE19E4" w:rsidRPr="004C5F2A" w:rsidRDefault="00DE19E4" w:rsidP="000E6A46">
      <w:pPr>
        <w:autoSpaceDE w:val="0"/>
        <w:autoSpaceDN w:val="0"/>
        <w:adjustRightInd w:val="0"/>
        <w:spacing w:after="0" w:line="360" w:lineRule="auto"/>
        <w:ind w:left="709" w:firstLine="11"/>
        <w:contextualSpacing/>
        <w:rPr>
          <w:rFonts w:ascii="Times New Roman" w:hAnsi="Times New Roman"/>
          <w:color w:val="000000"/>
          <w:sz w:val="22"/>
          <w:lang w:val="bg-BG"/>
        </w:rPr>
      </w:pPr>
      <w:r w:rsidRPr="004C5F2A">
        <w:rPr>
          <w:rFonts w:ascii="Times New Roman" w:hAnsi="Times New Roman"/>
          <w:color w:val="000000"/>
          <w:sz w:val="22"/>
          <w:lang w:val="bg-BG"/>
        </w:rPr>
        <w:t>Нетна настояща стойност (ННС) на общите разходи (разходи за строителство и разходи за екс</w:t>
      </w:r>
      <w:r w:rsidR="00525FEA">
        <w:rPr>
          <w:rFonts w:ascii="Times New Roman" w:hAnsi="Times New Roman"/>
          <w:color w:val="000000"/>
          <w:sz w:val="22"/>
          <w:lang w:val="bg-BG"/>
        </w:rPr>
        <w:t>плоатация и поддръжка) в млн. евро</w:t>
      </w:r>
      <w:r w:rsidRPr="004C5F2A">
        <w:rPr>
          <w:rFonts w:ascii="Times New Roman" w:hAnsi="Times New Roman"/>
          <w:color w:val="000000"/>
          <w:sz w:val="22"/>
          <w:lang w:val="bg-BG"/>
        </w:rPr>
        <w:t>.</w:t>
      </w:r>
    </w:p>
    <w:p w14:paraId="6FA85618"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27FBCFF5" w14:textId="511FBC12" w:rsidR="00DE19E4" w:rsidRPr="004C5F2A" w:rsidRDefault="00DE19E4" w:rsidP="000E6A46">
      <w:pPr>
        <w:autoSpaceDE w:val="0"/>
        <w:autoSpaceDN w:val="0"/>
        <w:adjustRightInd w:val="0"/>
        <w:spacing w:after="0" w:line="360" w:lineRule="auto"/>
        <w:ind w:left="709" w:firstLine="11"/>
        <w:contextualSpacing/>
        <w:rPr>
          <w:rFonts w:ascii="Times New Roman" w:hAnsi="Times New Roman"/>
          <w:color w:val="000000"/>
          <w:sz w:val="22"/>
          <w:lang w:val="bg-BG"/>
        </w:rPr>
      </w:pPr>
      <w:r w:rsidRPr="004C5F2A">
        <w:rPr>
          <w:rFonts w:ascii="Times New Roman" w:hAnsi="Times New Roman"/>
          <w:color w:val="000000"/>
          <w:sz w:val="22"/>
          <w:lang w:val="bg-BG"/>
        </w:rPr>
        <w:t>Отделните варианти се оценяват на базата на съответстващата за всеки вариант нетна настояща стойност на инвестиционните разходи, като към тях се прибавя и нетната настояща стойност на разходите за  експл</w:t>
      </w:r>
      <w:r w:rsidR="000E6A46">
        <w:rPr>
          <w:rFonts w:ascii="Times New Roman" w:hAnsi="Times New Roman"/>
          <w:color w:val="000000"/>
          <w:sz w:val="22"/>
          <w:lang w:val="bg-BG"/>
        </w:rPr>
        <w:t>о</w:t>
      </w:r>
      <w:r w:rsidRPr="004C5F2A">
        <w:rPr>
          <w:rFonts w:ascii="Times New Roman" w:hAnsi="Times New Roman"/>
          <w:color w:val="000000"/>
          <w:sz w:val="22"/>
          <w:lang w:val="bg-BG"/>
        </w:rPr>
        <w:t>атация и поддръжка. От тази сума се изважда дисконтираната стойност на остатъчната стойност. Изчисленията са извършени в Анализ на най-ниските разходи (АННР). Приложен е отделен модел за АННР.</w:t>
      </w:r>
    </w:p>
    <w:p w14:paraId="0265B084" w14:textId="337A6191"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най-ниска стойност на ННС на общите разходи;</w:t>
      </w:r>
    </w:p>
    <w:p w14:paraId="12316883" w14:textId="40513E19"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със средна стойност на ННС на общите разходи;</w:t>
      </w:r>
    </w:p>
    <w:p w14:paraId="0C8311AF" w14:textId="202ACE3A" w:rsidR="00DE19E4"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най-висока стойност на ННС на общите разходи.</w:t>
      </w:r>
    </w:p>
    <w:p w14:paraId="75687179" w14:textId="77777777" w:rsidR="00446F8C" w:rsidRDefault="00446F8C" w:rsidP="000E6A46">
      <w:pPr>
        <w:autoSpaceDE w:val="0"/>
        <w:autoSpaceDN w:val="0"/>
        <w:adjustRightInd w:val="0"/>
        <w:spacing w:after="0" w:line="360" w:lineRule="auto"/>
        <w:ind w:left="709"/>
        <w:contextualSpacing/>
        <w:rPr>
          <w:rFonts w:ascii="Times New Roman" w:hAnsi="Times New Roman"/>
          <w:color w:val="000000"/>
          <w:sz w:val="22"/>
          <w:lang w:val="bg-BG"/>
        </w:rPr>
      </w:pPr>
    </w:p>
    <w:p w14:paraId="29F97664" w14:textId="77777777" w:rsidR="00446F8C" w:rsidRPr="004C5F2A" w:rsidRDefault="00446F8C" w:rsidP="000E6A46">
      <w:pPr>
        <w:autoSpaceDE w:val="0"/>
        <w:autoSpaceDN w:val="0"/>
        <w:adjustRightInd w:val="0"/>
        <w:spacing w:after="0" w:line="360" w:lineRule="auto"/>
        <w:ind w:left="709"/>
        <w:contextualSpacing/>
        <w:rPr>
          <w:rFonts w:ascii="Times New Roman" w:hAnsi="Times New Roman"/>
          <w:color w:val="000000"/>
          <w:sz w:val="22"/>
          <w:lang w:val="bg-BG"/>
        </w:rPr>
      </w:pPr>
    </w:p>
    <w:p w14:paraId="5BB36268" w14:textId="77777777" w:rsidR="000E6A46" w:rsidRPr="000E6A46"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0E6A46">
        <w:rPr>
          <w:rFonts w:ascii="Times New Roman" w:hAnsi="Times New Roman"/>
          <w:b/>
          <w:i/>
          <w:color w:val="000000"/>
          <w:sz w:val="22"/>
          <w:lang w:val="bg-BG"/>
        </w:rPr>
        <w:lastRenderedPageBreak/>
        <w:t>Резултат:</w:t>
      </w:r>
    </w:p>
    <w:p w14:paraId="2CCAA60A" w14:textId="57FF1B83" w:rsidR="000E6A46" w:rsidRPr="00C8360B" w:rsidRDefault="00525FEA"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Вариант 1 – 2</w:t>
      </w:r>
      <w:r w:rsidR="00C8360B">
        <w:rPr>
          <w:rFonts w:ascii="Times New Roman" w:hAnsi="Times New Roman"/>
          <w:color w:val="000000"/>
          <w:sz w:val="22"/>
          <w:lang w:val="bg-BG"/>
        </w:rPr>
        <w:t>2</w:t>
      </w:r>
      <w:r w:rsidRPr="00C8360B">
        <w:rPr>
          <w:rFonts w:ascii="Times New Roman" w:hAnsi="Times New Roman"/>
          <w:color w:val="000000"/>
          <w:sz w:val="22"/>
          <w:lang w:val="bg-BG"/>
        </w:rPr>
        <w:t>,</w:t>
      </w:r>
      <w:r w:rsidR="00C8360B">
        <w:rPr>
          <w:rFonts w:ascii="Times New Roman" w:hAnsi="Times New Roman"/>
          <w:color w:val="000000"/>
          <w:sz w:val="22"/>
          <w:lang w:val="bg-BG"/>
        </w:rPr>
        <w:t>554</w:t>
      </w:r>
      <w:r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Pr="00C8360B">
        <w:rPr>
          <w:rFonts w:ascii="Times New Roman" w:hAnsi="Times New Roman"/>
          <w:color w:val="000000"/>
          <w:sz w:val="22"/>
          <w:lang w:val="bg-BG"/>
        </w:rPr>
        <w:t>евро</w:t>
      </w:r>
      <w:r w:rsidR="00DE19E4" w:rsidRPr="00C8360B">
        <w:rPr>
          <w:rFonts w:ascii="Times New Roman" w:hAnsi="Times New Roman"/>
          <w:color w:val="000000"/>
          <w:sz w:val="22"/>
          <w:lang w:val="bg-BG"/>
        </w:rPr>
        <w:t>;</w:t>
      </w:r>
    </w:p>
    <w:p w14:paraId="0D96728C" w14:textId="7C2FEB54" w:rsidR="00DE19E4" w:rsidRPr="00C8360B" w:rsidRDefault="00525FEA"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Вариант 2 – 2</w:t>
      </w:r>
      <w:r w:rsidR="00C8360B">
        <w:rPr>
          <w:rFonts w:ascii="Times New Roman" w:hAnsi="Times New Roman"/>
          <w:color w:val="000000"/>
          <w:sz w:val="22"/>
          <w:lang w:val="bg-BG"/>
        </w:rPr>
        <w:t>1,416</w:t>
      </w:r>
      <w:r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Pr="00C8360B">
        <w:rPr>
          <w:rFonts w:ascii="Times New Roman" w:hAnsi="Times New Roman"/>
          <w:color w:val="000000"/>
          <w:sz w:val="22"/>
          <w:lang w:val="bg-BG"/>
        </w:rPr>
        <w:t>евро</w:t>
      </w:r>
      <w:r w:rsidR="00DE19E4" w:rsidRPr="00C8360B">
        <w:rPr>
          <w:rFonts w:ascii="Times New Roman" w:hAnsi="Times New Roman"/>
          <w:color w:val="000000"/>
          <w:sz w:val="22"/>
          <w:lang w:val="bg-BG"/>
        </w:rPr>
        <w:t>;</w:t>
      </w:r>
    </w:p>
    <w:p w14:paraId="5FB52EBD" w14:textId="12390823"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3 – </w:t>
      </w:r>
      <w:r w:rsidR="00525FEA" w:rsidRPr="00C8360B">
        <w:rPr>
          <w:rFonts w:ascii="Times New Roman" w:hAnsi="Times New Roman"/>
          <w:color w:val="000000"/>
          <w:sz w:val="22"/>
          <w:lang w:val="bg-BG"/>
        </w:rPr>
        <w:t>2</w:t>
      </w:r>
      <w:r w:rsidR="00C8360B">
        <w:rPr>
          <w:rFonts w:ascii="Times New Roman" w:hAnsi="Times New Roman"/>
          <w:color w:val="000000"/>
          <w:sz w:val="22"/>
          <w:lang w:val="bg-BG"/>
        </w:rPr>
        <w:t>1</w:t>
      </w:r>
      <w:r w:rsidRPr="00C8360B">
        <w:rPr>
          <w:rFonts w:ascii="Times New Roman" w:hAnsi="Times New Roman"/>
          <w:color w:val="000000"/>
          <w:sz w:val="22"/>
          <w:lang w:val="bg-BG"/>
        </w:rPr>
        <w:t>,</w:t>
      </w:r>
      <w:r w:rsidR="00C8360B">
        <w:rPr>
          <w:rFonts w:ascii="Times New Roman" w:hAnsi="Times New Roman"/>
          <w:color w:val="000000"/>
          <w:sz w:val="22"/>
          <w:lang w:val="bg-BG"/>
        </w:rPr>
        <w:t>848</w:t>
      </w:r>
      <w:r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00525FEA" w:rsidRPr="00C8360B">
        <w:rPr>
          <w:rFonts w:ascii="Times New Roman" w:hAnsi="Times New Roman"/>
          <w:color w:val="000000"/>
          <w:sz w:val="22"/>
          <w:lang w:val="bg-BG"/>
        </w:rPr>
        <w:t>евро</w:t>
      </w:r>
      <w:r w:rsidRPr="00C8360B">
        <w:rPr>
          <w:rFonts w:ascii="Times New Roman" w:hAnsi="Times New Roman"/>
          <w:color w:val="000000"/>
          <w:sz w:val="22"/>
          <w:lang w:val="bg-BG"/>
        </w:rPr>
        <w:t>.</w:t>
      </w:r>
    </w:p>
    <w:p w14:paraId="44CEE63F" w14:textId="77777777" w:rsidR="00DE19E4" w:rsidRPr="000E6A46"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color w:val="000000"/>
          <w:sz w:val="22"/>
          <w:lang w:val="bg-BG"/>
        </w:rPr>
      </w:pPr>
      <w:r w:rsidRPr="000E6A46">
        <w:rPr>
          <w:rFonts w:ascii="Times New Roman" w:hAnsi="Times New Roman"/>
          <w:b/>
          <w:i/>
          <w:color w:val="000000"/>
          <w:sz w:val="22"/>
          <w:lang w:val="bg-BG"/>
        </w:rPr>
        <w:t>Оценка</w:t>
      </w:r>
      <w:r w:rsidRPr="000E6A46">
        <w:rPr>
          <w:rFonts w:ascii="Times New Roman" w:hAnsi="Times New Roman"/>
          <w:color w:val="000000"/>
          <w:sz w:val="22"/>
          <w:lang w:val="bg-BG"/>
        </w:rPr>
        <w:t>:</w:t>
      </w:r>
    </w:p>
    <w:p w14:paraId="5063D3B4" w14:textId="7CBB7564"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w:t>
      </w:r>
      <w:r w:rsidR="00525FEA">
        <w:rPr>
          <w:rFonts w:ascii="Times New Roman" w:hAnsi="Times New Roman"/>
          <w:color w:val="000000"/>
          <w:sz w:val="22"/>
          <w:lang w:val="bg-BG"/>
        </w:rPr>
        <w:t xml:space="preserve">- Крайната оценка е </w:t>
      </w:r>
      <w:r w:rsidR="00C8360B">
        <w:rPr>
          <w:rFonts w:ascii="Times New Roman" w:hAnsi="Times New Roman"/>
          <w:color w:val="000000"/>
          <w:sz w:val="22"/>
          <w:lang w:val="bg-BG"/>
        </w:rPr>
        <w:t>3</w:t>
      </w:r>
    </w:p>
    <w:p w14:paraId="20BD91E9" w14:textId="3AEA8016" w:rsidR="00DE19E4" w:rsidRPr="004C5F2A" w:rsidRDefault="00C8360B"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2 - Крайната оценка е 1</w:t>
      </w:r>
    </w:p>
    <w:p w14:paraId="2393523E" w14:textId="75C56E4A"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525FEA">
        <w:rPr>
          <w:rFonts w:ascii="Times New Roman" w:hAnsi="Times New Roman"/>
          <w:color w:val="000000"/>
          <w:sz w:val="22"/>
          <w:lang w:val="bg-BG"/>
        </w:rPr>
        <w:t xml:space="preserve">- Крайната оценка е </w:t>
      </w:r>
      <w:r w:rsidR="00C8360B">
        <w:rPr>
          <w:rFonts w:ascii="Times New Roman" w:hAnsi="Times New Roman"/>
          <w:color w:val="000000"/>
          <w:sz w:val="22"/>
          <w:lang w:val="bg-BG"/>
        </w:rPr>
        <w:t>2</w:t>
      </w:r>
    </w:p>
    <w:p w14:paraId="1632B6D4" w14:textId="77777777" w:rsidR="00DE19E4" w:rsidRPr="004C5F2A" w:rsidRDefault="00DE19E4" w:rsidP="00446F8C">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2.2. „Икономическа оценка“</w:t>
      </w:r>
    </w:p>
    <w:p w14:paraId="3FDE0810"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2.2.1. „Икономическа ННС” </w:t>
      </w:r>
    </w:p>
    <w:p w14:paraId="43E818D1"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3A0CDCF2"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максимална икономическа нетна настояща стойност </w:t>
      </w:r>
    </w:p>
    <w:p w14:paraId="1A8513A5"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7E4F71B6" w14:textId="7E79D635"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Икономическа нетна н</w:t>
      </w:r>
      <w:r w:rsidR="00525FEA">
        <w:rPr>
          <w:rFonts w:ascii="Times New Roman" w:hAnsi="Times New Roman"/>
          <w:color w:val="000000"/>
          <w:sz w:val="22"/>
          <w:lang w:val="bg-BG"/>
        </w:rPr>
        <w:t>астояща стойност (ИННС) в млн.</w:t>
      </w:r>
      <w:r w:rsidR="000E6A46">
        <w:rPr>
          <w:rFonts w:ascii="Times New Roman" w:hAnsi="Times New Roman"/>
          <w:color w:val="000000"/>
          <w:sz w:val="22"/>
          <w:lang w:val="bg-BG"/>
        </w:rPr>
        <w:t xml:space="preserve"> </w:t>
      </w:r>
      <w:r w:rsidR="00525FEA">
        <w:rPr>
          <w:rFonts w:ascii="Times New Roman" w:hAnsi="Times New Roman"/>
          <w:color w:val="000000"/>
          <w:sz w:val="22"/>
          <w:lang w:val="bg-BG"/>
        </w:rPr>
        <w:t>евро</w:t>
      </w:r>
      <w:r w:rsidRPr="004C5F2A">
        <w:rPr>
          <w:rFonts w:ascii="Times New Roman" w:hAnsi="Times New Roman"/>
          <w:color w:val="000000"/>
          <w:sz w:val="22"/>
          <w:lang w:val="bg-BG"/>
        </w:rPr>
        <w:t>.</w:t>
      </w:r>
    </w:p>
    <w:p w14:paraId="48CA4BFA"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13D18F36"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Отделните варианти се оценяват на базата на съответстващата за всеки вариант икономическа нетна настояща стойност, изчислена чрез симплифициран икономически анализ. Приложен е отделен модел за АРП.</w:t>
      </w:r>
    </w:p>
    <w:p w14:paraId="696FD8D7" w14:textId="75C2C3A1"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най-висока стойност на ИННС;</w:t>
      </w:r>
    </w:p>
    <w:p w14:paraId="02DEA23A" w14:textId="4EFFBFEB"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w:t>
      </w:r>
      <w:r w:rsidR="000E6A46">
        <w:rPr>
          <w:rFonts w:ascii="Times New Roman" w:hAnsi="Times New Roman"/>
          <w:color w:val="000000"/>
          <w:sz w:val="22"/>
          <w:lang w:val="bg-BG"/>
        </w:rPr>
        <w:t>тът</w:t>
      </w:r>
      <w:r w:rsidRPr="004C5F2A">
        <w:rPr>
          <w:rFonts w:ascii="Times New Roman" w:hAnsi="Times New Roman"/>
          <w:color w:val="000000"/>
          <w:sz w:val="22"/>
          <w:lang w:val="bg-BG"/>
        </w:rPr>
        <w:t xml:space="preserve"> с положителна ИННС, но по-ниска от най-високата стойност на ИННС;</w:t>
      </w:r>
    </w:p>
    <w:p w14:paraId="320230AF" w14:textId="6AF1B030"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с отрицателна стойност на ИННС.</w:t>
      </w:r>
    </w:p>
    <w:p w14:paraId="19128A76"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77569606" w14:textId="3B1B3A8F" w:rsidR="00DE19E4" w:rsidRPr="00C8360B"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В</w:t>
      </w:r>
      <w:r w:rsidR="00525FEA" w:rsidRPr="00C8360B">
        <w:rPr>
          <w:rFonts w:ascii="Times New Roman" w:hAnsi="Times New Roman"/>
          <w:color w:val="000000"/>
          <w:sz w:val="22"/>
          <w:lang w:val="bg-BG"/>
        </w:rPr>
        <w:t xml:space="preserve">ариант 1 – </w:t>
      </w:r>
      <w:r w:rsidR="00C8360B">
        <w:rPr>
          <w:rFonts w:ascii="Times New Roman" w:hAnsi="Times New Roman"/>
          <w:color w:val="000000"/>
          <w:sz w:val="22"/>
          <w:lang w:val="bg-BG"/>
        </w:rPr>
        <w:t>11</w:t>
      </w:r>
      <w:r w:rsidRPr="00C8360B">
        <w:rPr>
          <w:rFonts w:ascii="Times New Roman" w:hAnsi="Times New Roman"/>
          <w:color w:val="000000"/>
          <w:sz w:val="22"/>
          <w:lang w:val="bg-BG"/>
        </w:rPr>
        <w:t>,</w:t>
      </w:r>
      <w:r w:rsidR="00C8360B">
        <w:rPr>
          <w:rFonts w:ascii="Times New Roman" w:hAnsi="Times New Roman"/>
          <w:color w:val="000000"/>
          <w:sz w:val="22"/>
          <w:lang w:val="bg-BG"/>
        </w:rPr>
        <w:t>083</w:t>
      </w:r>
      <w:r w:rsidR="00525FEA"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00525FEA" w:rsidRPr="00C8360B">
        <w:rPr>
          <w:rFonts w:ascii="Times New Roman" w:hAnsi="Times New Roman"/>
          <w:color w:val="000000"/>
          <w:sz w:val="22"/>
          <w:lang w:val="bg-BG"/>
        </w:rPr>
        <w:t>евро</w:t>
      </w:r>
      <w:r w:rsidRPr="00C8360B">
        <w:rPr>
          <w:rFonts w:ascii="Times New Roman" w:hAnsi="Times New Roman"/>
          <w:color w:val="000000"/>
          <w:sz w:val="22"/>
          <w:lang w:val="bg-BG"/>
        </w:rPr>
        <w:t>;</w:t>
      </w:r>
    </w:p>
    <w:p w14:paraId="4FC6571E" w14:textId="72815FF9" w:rsidR="00DE19E4" w:rsidRPr="00C8360B" w:rsidRDefault="00525FEA"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2 – </w:t>
      </w:r>
      <w:r w:rsidR="00C8360B">
        <w:rPr>
          <w:rFonts w:ascii="Times New Roman" w:hAnsi="Times New Roman"/>
          <w:color w:val="000000"/>
          <w:sz w:val="22"/>
          <w:lang w:val="bg-BG"/>
        </w:rPr>
        <w:t>10</w:t>
      </w:r>
      <w:r w:rsidRPr="00C8360B">
        <w:rPr>
          <w:rFonts w:ascii="Times New Roman" w:hAnsi="Times New Roman"/>
          <w:color w:val="000000"/>
          <w:sz w:val="22"/>
          <w:lang w:val="bg-BG"/>
        </w:rPr>
        <w:t>,</w:t>
      </w:r>
      <w:r w:rsidR="00C8360B">
        <w:rPr>
          <w:rFonts w:ascii="Times New Roman" w:hAnsi="Times New Roman"/>
          <w:color w:val="000000"/>
          <w:sz w:val="22"/>
          <w:lang w:val="bg-BG"/>
        </w:rPr>
        <w:t>062</w:t>
      </w:r>
      <w:r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Pr="00C8360B">
        <w:rPr>
          <w:rFonts w:ascii="Times New Roman" w:hAnsi="Times New Roman"/>
          <w:color w:val="000000"/>
          <w:sz w:val="22"/>
          <w:lang w:val="bg-BG"/>
        </w:rPr>
        <w:t>евро</w:t>
      </w:r>
      <w:r w:rsidR="00DE19E4" w:rsidRPr="00C8360B">
        <w:rPr>
          <w:rFonts w:ascii="Times New Roman" w:hAnsi="Times New Roman"/>
          <w:color w:val="000000"/>
          <w:sz w:val="22"/>
          <w:lang w:val="bg-BG"/>
        </w:rPr>
        <w:t>;</w:t>
      </w:r>
    </w:p>
    <w:p w14:paraId="07090C51" w14:textId="1E13F404" w:rsidR="00DE19E4" w:rsidRPr="004C5F2A" w:rsidRDefault="00525FEA"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3 – </w:t>
      </w:r>
      <w:r w:rsidR="00C8360B">
        <w:rPr>
          <w:rFonts w:ascii="Times New Roman" w:hAnsi="Times New Roman"/>
          <w:color w:val="000000"/>
          <w:sz w:val="22"/>
          <w:lang w:val="bg-BG"/>
        </w:rPr>
        <w:t>10</w:t>
      </w:r>
      <w:r w:rsidRPr="00C8360B">
        <w:rPr>
          <w:rFonts w:ascii="Times New Roman" w:hAnsi="Times New Roman"/>
          <w:color w:val="000000"/>
          <w:sz w:val="22"/>
          <w:lang w:val="bg-BG"/>
        </w:rPr>
        <w:t>,</w:t>
      </w:r>
      <w:r w:rsidR="00C8360B">
        <w:rPr>
          <w:rFonts w:ascii="Times New Roman" w:hAnsi="Times New Roman"/>
          <w:color w:val="000000"/>
          <w:sz w:val="22"/>
          <w:lang w:val="bg-BG"/>
        </w:rPr>
        <w:t>888</w:t>
      </w:r>
      <w:r w:rsidRPr="00C8360B">
        <w:rPr>
          <w:rFonts w:ascii="Times New Roman" w:hAnsi="Times New Roman"/>
          <w:color w:val="000000"/>
          <w:sz w:val="22"/>
          <w:lang w:val="bg-BG"/>
        </w:rPr>
        <w:t xml:space="preserve"> млн.</w:t>
      </w:r>
      <w:r w:rsidR="000E6A46" w:rsidRPr="00C8360B">
        <w:rPr>
          <w:rFonts w:ascii="Times New Roman" w:hAnsi="Times New Roman"/>
          <w:color w:val="000000"/>
          <w:sz w:val="22"/>
          <w:lang w:val="bg-BG"/>
        </w:rPr>
        <w:t xml:space="preserve"> </w:t>
      </w:r>
      <w:r w:rsidRPr="00C8360B">
        <w:rPr>
          <w:rFonts w:ascii="Times New Roman" w:hAnsi="Times New Roman"/>
          <w:color w:val="000000"/>
          <w:sz w:val="22"/>
          <w:lang w:val="bg-BG"/>
        </w:rPr>
        <w:t>евро</w:t>
      </w:r>
      <w:r w:rsidR="00DE19E4" w:rsidRPr="00C8360B">
        <w:rPr>
          <w:rFonts w:ascii="Times New Roman" w:hAnsi="Times New Roman"/>
          <w:color w:val="000000"/>
          <w:sz w:val="22"/>
          <w:lang w:val="bg-BG"/>
        </w:rPr>
        <w:t>.</w:t>
      </w:r>
    </w:p>
    <w:p w14:paraId="012A40EB"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4D092168" w14:textId="4E5D85D0" w:rsidR="00DE19E4" w:rsidRPr="00C8360B"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1 </w:t>
      </w:r>
      <w:r w:rsidR="00C8360B">
        <w:rPr>
          <w:rFonts w:ascii="Times New Roman" w:hAnsi="Times New Roman"/>
          <w:color w:val="000000"/>
          <w:sz w:val="22"/>
          <w:lang w:val="bg-BG"/>
        </w:rPr>
        <w:t>- Крайната оценка е 1</w:t>
      </w:r>
    </w:p>
    <w:p w14:paraId="725368CC" w14:textId="5D1B84FC" w:rsidR="00DE19E4" w:rsidRPr="00C8360B"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Вариант 2 - Крайната оценка е 2</w:t>
      </w:r>
    </w:p>
    <w:p w14:paraId="04E8537F" w14:textId="52060D1D" w:rsidR="00DE19E4"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3 </w:t>
      </w:r>
      <w:r w:rsidR="00C8360B">
        <w:rPr>
          <w:rFonts w:ascii="Times New Roman" w:hAnsi="Times New Roman"/>
          <w:color w:val="000000"/>
          <w:sz w:val="22"/>
          <w:lang w:val="bg-BG"/>
        </w:rPr>
        <w:t>- Крайната оценка е 2</w:t>
      </w:r>
    </w:p>
    <w:p w14:paraId="3EFBA631" w14:textId="77777777" w:rsidR="00446F8C" w:rsidRDefault="00446F8C" w:rsidP="000E6A46">
      <w:pPr>
        <w:autoSpaceDE w:val="0"/>
        <w:autoSpaceDN w:val="0"/>
        <w:adjustRightInd w:val="0"/>
        <w:spacing w:after="0" w:line="360" w:lineRule="auto"/>
        <w:ind w:left="709"/>
        <w:contextualSpacing/>
        <w:rPr>
          <w:rFonts w:ascii="Times New Roman" w:hAnsi="Times New Roman"/>
          <w:color w:val="000000"/>
          <w:sz w:val="22"/>
          <w:lang w:val="bg-BG"/>
        </w:rPr>
      </w:pPr>
    </w:p>
    <w:p w14:paraId="07159191" w14:textId="77777777" w:rsidR="00446F8C" w:rsidRPr="004C5F2A" w:rsidRDefault="00446F8C" w:rsidP="000E6A46">
      <w:pPr>
        <w:autoSpaceDE w:val="0"/>
        <w:autoSpaceDN w:val="0"/>
        <w:adjustRightInd w:val="0"/>
        <w:spacing w:after="0" w:line="360" w:lineRule="auto"/>
        <w:ind w:left="709"/>
        <w:contextualSpacing/>
        <w:rPr>
          <w:rFonts w:ascii="Times New Roman" w:hAnsi="Times New Roman"/>
          <w:color w:val="000000"/>
          <w:sz w:val="22"/>
          <w:lang w:val="bg-BG"/>
        </w:rPr>
      </w:pPr>
    </w:p>
    <w:p w14:paraId="7998E1A2"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lastRenderedPageBreak/>
        <w:t xml:space="preserve">Под-критерий 2.2.2. „Икономическа ВНВ” </w:t>
      </w:r>
    </w:p>
    <w:p w14:paraId="7914FCB5"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352FAB82"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Постигане на максимална вътрешна норма на възвращаемост</w:t>
      </w:r>
      <w:r w:rsidRPr="004C5F2A">
        <w:rPr>
          <w:rFonts w:ascii="Times New Roman" w:hAnsi="Times New Roman"/>
          <w:color w:val="000000"/>
          <w:sz w:val="22"/>
          <w:lang w:val="bg-BG"/>
        </w:rPr>
        <w:tab/>
      </w:r>
      <w:r w:rsidRPr="004C5F2A">
        <w:rPr>
          <w:rFonts w:ascii="Times New Roman" w:hAnsi="Times New Roman"/>
          <w:color w:val="000000"/>
          <w:sz w:val="22"/>
          <w:lang w:val="bg-BG"/>
        </w:rPr>
        <w:tab/>
        <w:t xml:space="preserve"> </w:t>
      </w:r>
    </w:p>
    <w:p w14:paraId="00D36888"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495DD5C3"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Икономическа вътрешна норма на възвръщаемост (ИВНВ) в %</w:t>
      </w:r>
    </w:p>
    <w:p w14:paraId="2FDE8810"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0716942D"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Отделните варианти се оценяват на базата на съответстващата за всеки вариант икономическа вътрешна норма на възвръщаемост, изчислена чрез симплифициран икономически анализ. Приложен е отделен модел за АРП.</w:t>
      </w:r>
    </w:p>
    <w:p w14:paraId="083F24F8" w14:textId="3E11D1E2"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w:t>
      </w:r>
      <w:r w:rsidR="00C8360B">
        <w:rPr>
          <w:rFonts w:ascii="Times New Roman" w:hAnsi="Times New Roman"/>
          <w:color w:val="000000"/>
          <w:sz w:val="22"/>
          <w:lang w:val="bg-BG"/>
        </w:rPr>
        <w:t>с най-висока стойност на ИВНВ;</w:t>
      </w:r>
    </w:p>
    <w:p w14:paraId="7979EE6B" w14:textId="24976021"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при стойност на ИВНВ</w:t>
      </w:r>
      <w:r w:rsidR="00820421">
        <w:rPr>
          <w:rFonts w:ascii="Times New Roman" w:hAnsi="Times New Roman"/>
          <w:color w:val="000000"/>
          <w:sz w:val="22"/>
          <w:lang w:val="bg-BG"/>
        </w:rPr>
        <w:t xml:space="preserve"> </w:t>
      </w:r>
      <w:r w:rsidRPr="004C5F2A">
        <w:rPr>
          <w:rFonts w:ascii="Times New Roman" w:hAnsi="Times New Roman"/>
          <w:color w:val="000000"/>
          <w:sz w:val="22"/>
          <w:lang w:val="bg-BG"/>
        </w:rPr>
        <w:t>&gt;</w:t>
      </w:r>
      <w:r w:rsidR="00820421">
        <w:rPr>
          <w:rFonts w:ascii="Times New Roman" w:hAnsi="Times New Roman"/>
          <w:color w:val="000000"/>
          <w:sz w:val="22"/>
          <w:lang w:val="bg-BG"/>
        </w:rPr>
        <w:t xml:space="preserve"> </w:t>
      </w:r>
      <w:r w:rsidRPr="004C5F2A">
        <w:rPr>
          <w:rFonts w:ascii="Times New Roman" w:hAnsi="Times New Roman"/>
          <w:color w:val="000000"/>
          <w:sz w:val="22"/>
          <w:lang w:val="bg-BG"/>
        </w:rPr>
        <w:t>5% но по-ниска от най-високата</w:t>
      </w:r>
      <w:r w:rsidR="00820421">
        <w:rPr>
          <w:rFonts w:ascii="Times New Roman" w:hAnsi="Times New Roman"/>
          <w:color w:val="000000"/>
          <w:sz w:val="22"/>
          <w:lang w:val="bg-BG"/>
        </w:rPr>
        <w:t xml:space="preserve"> стойност на ИВНВ</w:t>
      </w:r>
      <w:r w:rsidRPr="004C5F2A">
        <w:rPr>
          <w:rFonts w:ascii="Times New Roman" w:hAnsi="Times New Roman"/>
          <w:color w:val="000000"/>
          <w:sz w:val="22"/>
          <w:lang w:val="bg-BG"/>
        </w:rPr>
        <w:t xml:space="preserve">; </w:t>
      </w:r>
    </w:p>
    <w:p w14:paraId="55BC8524" w14:textId="497381E6"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0E6A46">
        <w:rPr>
          <w:rFonts w:ascii="Times New Roman" w:hAnsi="Times New Roman"/>
          <w:color w:val="000000"/>
          <w:sz w:val="22"/>
          <w:lang w:val="bg-BG"/>
        </w:rPr>
        <w:t>ът</w:t>
      </w:r>
      <w:r w:rsidRPr="004C5F2A">
        <w:rPr>
          <w:rFonts w:ascii="Times New Roman" w:hAnsi="Times New Roman"/>
          <w:color w:val="000000"/>
          <w:sz w:val="22"/>
          <w:lang w:val="bg-BG"/>
        </w:rPr>
        <w:t xml:space="preserve"> при стойност на ИВНВ под 5%.</w:t>
      </w:r>
    </w:p>
    <w:p w14:paraId="3C4CA319"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6319DAEF" w14:textId="4D53BAA3" w:rsidR="00DE19E4" w:rsidRPr="00C8360B" w:rsidRDefault="00C8360B"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1 – 7</w:t>
      </w:r>
      <w:r w:rsidR="00DE19E4" w:rsidRPr="00C8360B">
        <w:rPr>
          <w:rFonts w:ascii="Times New Roman" w:hAnsi="Times New Roman"/>
          <w:color w:val="000000"/>
          <w:sz w:val="22"/>
          <w:lang w:val="bg-BG"/>
        </w:rPr>
        <w:t>,</w:t>
      </w:r>
      <w:r>
        <w:rPr>
          <w:rFonts w:ascii="Times New Roman" w:hAnsi="Times New Roman"/>
          <w:color w:val="000000"/>
          <w:sz w:val="22"/>
          <w:lang w:val="bg-BG"/>
        </w:rPr>
        <w:t>07</w:t>
      </w:r>
      <w:r w:rsidR="00DE19E4" w:rsidRPr="00C8360B">
        <w:rPr>
          <w:rFonts w:ascii="Times New Roman" w:hAnsi="Times New Roman"/>
          <w:color w:val="000000"/>
          <w:sz w:val="22"/>
          <w:lang w:val="bg-BG"/>
        </w:rPr>
        <w:t xml:space="preserve"> %;</w:t>
      </w:r>
    </w:p>
    <w:p w14:paraId="71F0EF65" w14:textId="1C7BF26D" w:rsidR="00DE19E4" w:rsidRPr="00C8360B"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C8360B">
        <w:rPr>
          <w:rFonts w:ascii="Times New Roman" w:hAnsi="Times New Roman"/>
          <w:color w:val="000000"/>
          <w:sz w:val="22"/>
          <w:lang w:val="bg-BG"/>
        </w:rPr>
        <w:t xml:space="preserve">Вариант 2 – </w:t>
      </w:r>
      <w:r w:rsidR="00C8360B">
        <w:rPr>
          <w:rFonts w:ascii="Times New Roman" w:hAnsi="Times New Roman"/>
          <w:color w:val="000000"/>
          <w:sz w:val="22"/>
          <w:lang w:val="bg-BG"/>
        </w:rPr>
        <w:t>6</w:t>
      </w:r>
      <w:r w:rsidRPr="00C8360B">
        <w:rPr>
          <w:rFonts w:ascii="Times New Roman" w:hAnsi="Times New Roman"/>
          <w:color w:val="000000"/>
          <w:sz w:val="22"/>
          <w:lang w:val="bg-BG"/>
        </w:rPr>
        <w:t>,</w:t>
      </w:r>
      <w:r w:rsidR="00C8360B">
        <w:rPr>
          <w:rFonts w:ascii="Times New Roman" w:hAnsi="Times New Roman"/>
          <w:color w:val="000000"/>
          <w:sz w:val="22"/>
          <w:lang w:val="bg-BG"/>
        </w:rPr>
        <w:t>70</w:t>
      </w:r>
      <w:r w:rsidRPr="00C8360B">
        <w:rPr>
          <w:rFonts w:ascii="Times New Roman" w:hAnsi="Times New Roman"/>
          <w:color w:val="000000"/>
          <w:sz w:val="22"/>
          <w:lang w:val="bg-BG"/>
        </w:rPr>
        <w:t xml:space="preserve"> %;</w:t>
      </w:r>
    </w:p>
    <w:p w14:paraId="431CD719" w14:textId="12300EF5" w:rsidR="00DE19E4" w:rsidRPr="004C5F2A" w:rsidRDefault="00C8360B"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3 – 6,98</w:t>
      </w:r>
      <w:r w:rsidR="00DE19E4" w:rsidRPr="00C8360B">
        <w:rPr>
          <w:rFonts w:ascii="Times New Roman" w:hAnsi="Times New Roman"/>
          <w:color w:val="000000"/>
          <w:sz w:val="22"/>
          <w:lang w:val="bg-BG"/>
        </w:rPr>
        <w:t xml:space="preserve"> %.</w:t>
      </w:r>
    </w:p>
    <w:p w14:paraId="4474B904"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4CEAAD9D" w14:textId="6BBDBC61"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62132DBC" w14:textId="4F4C4793" w:rsidR="00DE19E4" w:rsidRPr="004C5F2A" w:rsidRDefault="00C8360B"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2 - Крайната оценка е 2</w:t>
      </w:r>
    </w:p>
    <w:p w14:paraId="14CE6D00" w14:textId="2FE3FECB"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C8360B">
        <w:rPr>
          <w:rFonts w:ascii="Times New Roman" w:hAnsi="Times New Roman"/>
          <w:color w:val="000000"/>
          <w:sz w:val="22"/>
          <w:lang w:val="bg-BG"/>
        </w:rPr>
        <w:t>- Крайната оценка е 2</w:t>
      </w:r>
    </w:p>
    <w:p w14:paraId="63199C20" w14:textId="77777777" w:rsidR="00DE19E4" w:rsidRPr="004C5F2A" w:rsidRDefault="00DE19E4" w:rsidP="00446F8C">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2.2.3. „Коефициент ползи/разходи” </w:t>
      </w:r>
    </w:p>
    <w:p w14:paraId="688764CB"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2D32B28A"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Постигане на максимален коефициент ползи/разходи (КПР)</w:t>
      </w:r>
      <w:r w:rsidRPr="004C5F2A">
        <w:rPr>
          <w:rFonts w:ascii="Times New Roman" w:hAnsi="Times New Roman"/>
          <w:color w:val="000000"/>
          <w:sz w:val="22"/>
          <w:lang w:val="bg-BG"/>
        </w:rPr>
        <w:tab/>
      </w:r>
      <w:r w:rsidRPr="004C5F2A">
        <w:rPr>
          <w:rFonts w:ascii="Times New Roman" w:hAnsi="Times New Roman"/>
          <w:color w:val="000000"/>
          <w:sz w:val="22"/>
          <w:lang w:val="bg-BG"/>
        </w:rPr>
        <w:tab/>
        <w:t xml:space="preserve"> </w:t>
      </w:r>
    </w:p>
    <w:p w14:paraId="0CF8161A"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24749F3D" w14:textId="77777777" w:rsidR="00DE19E4"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Стойност на коефициент ползи/разходи</w:t>
      </w:r>
    </w:p>
    <w:p w14:paraId="290DBF0E"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0F67320A" w14:textId="77777777"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Отделните варианти се оценяват на базата на съответстващия за всеки вариант коефициент ползи/разходи, изчислен чрез симплифициран икономически анализ. Приложен е отделен модел за АРП.</w:t>
      </w:r>
    </w:p>
    <w:p w14:paraId="04F754B8" w14:textId="697BCDB0"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446F8C">
        <w:rPr>
          <w:rFonts w:ascii="Times New Roman" w:hAnsi="Times New Roman"/>
          <w:color w:val="000000"/>
          <w:sz w:val="22"/>
          <w:lang w:val="bg-BG"/>
        </w:rPr>
        <w:t>ът</w:t>
      </w:r>
      <w:r w:rsidRPr="004C5F2A">
        <w:rPr>
          <w:rFonts w:ascii="Times New Roman" w:hAnsi="Times New Roman"/>
          <w:color w:val="000000"/>
          <w:sz w:val="22"/>
          <w:lang w:val="bg-BG"/>
        </w:rPr>
        <w:t xml:space="preserve"> </w:t>
      </w:r>
      <w:r w:rsidR="00C8360B">
        <w:rPr>
          <w:rFonts w:ascii="Times New Roman" w:hAnsi="Times New Roman"/>
          <w:color w:val="000000"/>
          <w:sz w:val="22"/>
          <w:lang w:val="bg-BG"/>
        </w:rPr>
        <w:t>с най-висока</w:t>
      </w:r>
      <w:r w:rsidRPr="004C5F2A">
        <w:rPr>
          <w:rFonts w:ascii="Times New Roman" w:hAnsi="Times New Roman"/>
          <w:color w:val="000000"/>
          <w:sz w:val="22"/>
          <w:lang w:val="bg-BG"/>
        </w:rPr>
        <w:t xml:space="preserve"> стойност на КПР;</w:t>
      </w:r>
    </w:p>
    <w:p w14:paraId="1F79DB55" w14:textId="7590E08C"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lastRenderedPageBreak/>
        <w:t>Оценка 2 - получава вариант</w:t>
      </w:r>
      <w:r w:rsidR="00446F8C">
        <w:rPr>
          <w:rFonts w:ascii="Times New Roman" w:hAnsi="Times New Roman"/>
          <w:color w:val="000000"/>
          <w:sz w:val="22"/>
          <w:lang w:val="bg-BG"/>
        </w:rPr>
        <w:t>ът</w:t>
      </w:r>
      <w:r w:rsidRPr="004C5F2A">
        <w:rPr>
          <w:rFonts w:ascii="Times New Roman" w:hAnsi="Times New Roman"/>
          <w:color w:val="000000"/>
          <w:sz w:val="22"/>
          <w:lang w:val="bg-BG"/>
        </w:rPr>
        <w:t xml:space="preserve"> при стойност на КПР </w:t>
      </w:r>
      <w:r w:rsidR="00820421" w:rsidRPr="004C5F2A">
        <w:rPr>
          <w:rFonts w:ascii="Times New Roman" w:hAnsi="Times New Roman"/>
          <w:color w:val="000000"/>
          <w:sz w:val="22"/>
          <w:lang w:val="bg-BG"/>
        </w:rPr>
        <w:t>&gt;</w:t>
      </w:r>
      <w:r w:rsidR="00820421">
        <w:rPr>
          <w:rFonts w:ascii="Times New Roman" w:hAnsi="Times New Roman"/>
          <w:color w:val="000000"/>
          <w:sz w:val="22"/>
          <w:lang w:val="bg-BG"/>
        </w:rPr>
        <w:t xml:space="preserve"> 1.0</w:t>
      </w:r>
      <w:r w:rsidR="00820421" w:rsidRPr="004C5F2A">
        <w:rPr>
          <w:rFonts w:ascii="Times New Roman" w:hAnsi="Times New Roman"/>
          <w:color w:val="000000"/>
          <w:sz w:val="22"/>
          <w:lang w:val="bg-BG"/>
        </w:rPr>
        <w:t>% но по-ниска от най-високата</w:t>
      </w:r>
      <w:r w:rsidR="00820421">
        <w:rPr>
          <w:rFonts w:ascii="Times New Roman" w:hAnsi="Times New Roman"/>
          <w:color w:val="000000"/>
          <w:sz w:val="22"/>
          <w:lang w:val="bg-BG"/>
        </w:rPr>
        <w:t xml:space="preserve"> стойност на КПР</w:t>
      </w:r>
      <w:r w:rsidRPr="004C5F2A">
        <w:rPr>
          <w:rFonts w:ascii="Times New Roman" w:hAnsi="Times New Roman"/>
          <w:color w:val="000000"/>
          <w:sz w:val="22"/>
          <w:lang w:val="bg-BG"/>
        </w:rPr>
        <w:t xml:space="preserve">; </w:t>
      </w:r>
    </w:p>
    <w:p w14:paraId="20E0001B" w14:textId="1F87435C"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446F8C">
        <w:rPr>
          <w:rFonts w:ascii="Times New Roman" w:hAnsi="Times New Roman"/>
          <w:color w:val="000000"/>
          <w:sz w:val="22"/>
          <w:lang w:val="bg-BG"/>
        </w:rPr>
        <w:t>ът</w:t>
      </w:r>
      <w:r w:rsidRPr="004C5F2A">
        <w:rPr>
          <w:rFonts w:ascii="Times New Roman" w:hAnsi="Times New Roman"/>
          <w:color w:val="000000"/>
          <w:sz w:val="22"/>
          <w:lang w:val="bg-BG"/>
        </w:rPr>
        <w:t xml:space="preserve"> при стойност на КПР &lt; </w:t>
      </w:r>
      <w:r w:rsidR="00C8360B">
        <w:rPr>
          <w:rFonts w:ascii="Times New Roman" w:hAnsi="Times New Roman"/>
          <w:color w:val="000000"/>
          <w:sz w:val="22"/>
          <w:lang w:val="bg-BG"/>
        </w:rPr>
        <w:t>1.0</w:t>
      </w:r>
      <w:r w:rsidRPr="004C5F2A">
        <w:rPr>
          <w:rFonts w:ascii="Times New Roman" w:hAnsi="Times New Roman"/>
          <w:color w:val="000000"/>
          <w:sz w:val="22"/>
          <w:lang w:val="bg-BG"/>
        </w:rPr>
        <w:t>.</w:t>
      </w:r>
    </w:p>
    <w:p w14:paraId="4C70D670"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1FDF5D3B" w14:textId="3397314E"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1,</w:t>
      </w:r>
      <w:r w:rsidR="00820421">
        <w:rPr>
          <w:rFonts w:ascii="Times New Roman" w:hAnsi="Times New Roman"/>
          <w:color w:val="000000"/>
          <w:sz w:val="22"/>
          <w:lang w:val="bg-BG"/>
        </w:rPr>
        <w:t>52</w:t>
      </w:r>
      <w:r w:rsidR="00525FEA">
        <w:rPr>
          <w:rFonts w:ascii="Times New Roman" w:hAnsi="Times New Roman"/>
          <w:color w:val="000000"/>
          <w:sz w:val="22"/>
          <w:lang w:val="bg-BG"/>
        </w:rPr>
        <w:t>6</w:t>
      </w:r>
      <w:r w:rsidRPr="004C5F2A">
        <w:rPr>
          <w:rFonts w:ascii="Times New Roman" w:hAnsi="Times New Roman"/>
          <w:color w:val="000000"/>
          <w:sz w:val="22"/>
          <w:lang w:val="bg-BG"/>
        </w:rPr>
        <w:t>;</w:t>
      </w:r>
    </w:p>
    <w:p w14:paraId="57087267" w14:textId="1912DE7A" w:rsidR="00DE19E4" w:rsidRPr="004C5F2A" w:rsidRDefault="00820421"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 – 1,454</w:t>
      </w:r>
      <w:r w:rsidR="00DE19E4" w:rsidRPr="004C5F2A">
        <w:rPr>
          <w:rFonts w:ascii="Times New Roman" w:hAnsi="Times New Roman"/>
          <w:color w:val="000000"/>
          <w:sz w:val="22"/>
          <w:lang w:val="bg-BG"/>
        </w:rPr>
        <w:t>;</w:t>
      </w:r>
    </w:p>
    <w:p w14:paraId="7A19CEAD" w14:textId="68D3532E" w:rsidR="00DE19E4" w:rsidRPr="004C5F2A" w:rsidRDefault="00820421"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3 – 1,512</w:t>
      </w:r>
      <w:r w:rsidR="00DE19E4" w:rsidRPr="004C5F2A">
        <w:rPr>
          <w:rFonts w:ascii="Times New Roman" w:hAnsi="Times New Roman"/>
          <w:color w:val="000000"/>
          <w:sz w:val="22"/>
          <w:lang w:val="bg-BG"/>
        </w:rPr>
        <w:t>.</w:t>
      </w:r>
    </w:p>
    <w:p w14:paraId="4B1ACD51" w14:textId="77777777" w:rsidR="00DE19E4" w:rsidRPr="004C5F2A" w:rsidRDefault="00DE19E4" w:rsidP="00446F8C">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5E4369AD" w14:textId="3A90CB09" w:rsidR="00DE19E4" w:rsidRPr="004C5F2A" w:rsidRDefault="00DE19E4" w:rsidP="000E6A46">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5B39F61A" w14:textId="70777FC9" w:rsidR="00DE19E4" w:rsidRPr="004C5F2A" w:rsidRDefault="00820421" w:rsidP="000E6A46">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2 - Крайната оценка е 2</w:t>
      </w:r>
    </w:p>
    <w:p w14:paraId="77625EDC" w14:textId="73FD0BE8" w:rsidR="00820421" w:rsidRPr="00446F8C" w:rsidRDefault="00820421" w:rsidP="00446F8C">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3 - Крайната оценка е 2</w:t>
      </w:r>
    </w:p>
    <w:p w14:paraId="7EEEB727" w14:textId="77777777" w:rsidR="00DE19E4" w:rsidRPr="00DE19E4" w:rsidRDefault="00DE19E4"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r w:rsidRPr="00DE19E4">
        <w:rPr>
          <w:rFonts w:ascii="Times New Roman" w:hAnsi="Times New Roman"/>
          <w:b/>
          <w:i/>
          <w:color w:val="000000"/>
          <w:sz w:val="24"/>
          <w:szCs w:val="24"/>
          <w:u w:val="single"/>
          <w:lang w:val="bg-BG"/>
        </w:rPr>
        <w:t>Обобщени оценки по основен критерий 2. „Финансово-икономически“</w:t>
      </w:r>
    </w:p>
    <w:p w14:paraId="26F54403"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Вариант 1</w:t>
      </w:r>
    </w:p>
    <w:p w14:paraId="2A3EEFD9" w14:textId="3CD9C6EE" w:rsidR="00DE19E4" w:rsidRPr="00DE19E4" w:rsidRDefault="00E0436F" w:rsidP="00DE19E4">
      <w:pPr>
        <w:autoSpaceDE w:val="0"/>
        <w:autoSpaceDN w:val="0"/>
        <w:adjustRightInd w:val="0"/>
        <w:spacing w:after="0" w:line="276" w:lineRule="auto"/>
        <w:ind w:left="540"/>
        <w:contextualSpacing/>
        <w:rPr>
          <w:rFonts w:ascii="Arial" w:hAnsi="Arial" w:cs="Arial"/>
          <w:color w:val="000000"/>
          <w:sz w:val="24"/>
          <w:szCs w:val="24"/>
          <w:lang w:val="ru-RU"/>
        </w:rPr>
      </w:pPr>
      <w:r w:rsidRPr="00E0436F">
        <w:rPr>
          <w:noProof/>
          <w:lang w:val="en-US"/>
        </w:rPr>
        <w:drawing>
          <wp:inline distT="0" distB="0" distL="0" distR="0" wp14:anchorId="40840A9E" wp14:editId="7B5081BB">
            <wp:extent cx="5895975" cy="1440717"/>
            <wp:effectExtent l="0" t="0" r="0" b="7620"/>
            <wp:docPr id="2401286" name="Picture 240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12445" cy="1444742"/>
                    </a:xfrm>
                    <a:prstGeom prst="rect">
                      <a:avLst/>
                    </a:prstGeom>
                    <a:noFill/>
                    <a:ln>
                      <a:noFill/>
                    </a:ln>
                  </pic:spPr>
                </pic:pic>
              </a:graphicData>
            </a:graphic>
          </wp:inline>
        </w:drawing>
      </w:r>
    </w:p>
    <w:p w14:paraId="4B84199E"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2 </w:t>
      </w:r>
    </w:p>
    <w:p w14:paraId="25D7AEAC" w14:textId="019D54C3" w:rsidR="00DE19E4" w:rsidRPr="00DE19E4" w:rsidRDefault="00E0436F" w:rsidP="00DE19E4">
      <w:pPr>
        <w:autoSpaceDE w:val="0"/>
        <w:autoSpaceDN w:val="0"/>
        <w:adjustRightInd w:val="0"/>
        <w:spacing w:after="0" w:line="276" w:lineRule="auto"/>
        <w:ind w:firstLine="540"/>
        <w:rPr>
          <w:rFonts w:ascii="Arial" w:hAnsi="Arial" w:cs="Arial"/>
          <w:color w:val="000000"/>
          <w:sz w:val="24"/>
          <w:szCs w:val="24"/>
          <w:lang w:val="bg-BG"/>
        </w:rPr>
      </w:pPr>
      <w:r w:rsidRPr="00E0436F">
        <w:rPr>
          <w:noProof/>
          <w:lang w:val="en-US"/>
        </w:rPr>
        <w:drawing>
          <wp:inline distT="0" distB="0" distL="0" distR="0" wp14:anchorId="1E072C1A" wp14:editId="0C52E454">
            <wp:extent cx="5915025" cy="1343253"/>
            <wp:effectExtent l="0" t="0" r="0" b="9525"/>
            <wp:docPr id="2401285" name="Picture 240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23591" cy="1345198"/>
                    </a:xfrm>
                    <a:prstGeom prst="rect">
                      <a:avLst/>
                    </a:prstGeom>
                    <a:noFill/>
                    <a:ln>
                      <a:noFill/>
                    </a:ln>
                  </pic:spPr>
                </pic:pic>
              </a:graphicData>
            </a:graphic>
          </wp:inline>
        </w:drawing>
      </w:r>
    </w:p>
    <w:p w14:paraId="5E54C204" w14:textId="1EDCDCB3"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3 </w:t>
      </w:r>
    </w:p>
    <w:p w14:paraId="74A402DE" w14:textId="724DA3CD" w:rsidR="00DE19E4" w:rsidRPr="00DE19E4" w:rsidRDefault="00E0436F" w:rsidP="00DE19E4">
      <w:pPr>
        <w:spacing w:after="0" w:line="276" w:lineRule="auto"/>
        <w:ind w:firstLine="540"/>
        <w:rPr>
          <w:rFonts w:ascii="Times New Roman" w:hAnsi="Times New Roman"/>
          <w:sz w:val="24"/>
          <w:szCs w:val="24"/>
          <w:lang w:val="bg-BG"/>
        </w:rPr>
      </w:pPr>
      <w:r w:rsidRPr="00E0436F">
        <w:rPr>
          <w:noProof/>
          <w:lang w:val="en-US"/>
        </w:rPr>
        <w:drawing>
          <wp:inline distT="0" distB="0" distL="0" distR="0" wp14:anchorId="376B7D5A" wp14:editId="4D392E07">
            <wp:extent cx="5905500" cy="1341089"/>
            <wp:effectExtent l="0" t="0" r="0" b="0"/>
            <wp:docPr id="2401288" name="Picture 240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27849" cy="1346164"/>
                    </a:xfrm>
                    <a:prstGeom prst="rect">
                      <a:avLst/>
                    </a:prstGeom>
                    <a:noFill/>
                    <a:ln>
                      <a:noFill/>
                    </a:ln>
                  </pic:spPr>
                </pic:pic>
              </a:graphicData>
            </a:graphic>
          </wp:inline>
        </w:drawing>
      </w:r>
    </w:p>
    <w:p w14:paraId="01E65C6D" w14:textId="77777777" w:rsidR="00DE19E4" w:rsidRPr="004C5F2A" w:rsidRDefault="00DE19E4" w:rsidP="004C5F2A">
      <w:pPr>
        <w:autoSpaceDE w:val="0"/>
        <w:autoSpaceDN w:val="0"/>
        <w:adjustRightInd w:val="0"/>
        <w:spacing w:after="0" w:line="360" w:lineRule="auto"/>
        <w:ind w:firstLine="720"/>
        <w:jc w:val="center"/>
        <w:rPr>
          <w:rFonts w:ascii="Times New Roman" w:hAnsi="Times New Roman"/>
          <w:b/>
          <w:i/>
          <w:color w:val="000000"/>
          <w:sz w:val="22"/>
          <w:u w:val="single"/>
          <w:lang w:val="bg-BG"/>
        </w:rPr>
      </w:pPr>
      <w:r w:rsidRPr="004C5F2A">
        <w:rPr>
          <w:rFonts w:ascii="Times New Roman" w:hAnsi="Times New Roman"/>
          <w:b/>
          <w:i/>
          <w:color w:val="000000"/>
          <w:sz w:val="22"/>
          <w:u w:val="single"/>
          <w:lang w:val="bg-BG"/>
        </w:rPr>
        <w:lastRenderedPageBreak/>
        <w:t>Основен критерий 3. „Екологичен“</w:t>
      </w:r>
    </w:p>
    <w:p w14:paraId="7D747033" w14:textId="77777777" w:rsidR="00DE19E4" w:rsidRPr="004C5F2A" w:rsidRDefault="00DE19E4" w:rsidP="007D67F0">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3.1. „Въздействие върху биологичното разнообразие“</w:t>
      </w:r>
    </w:p>
    <w:p w14:paraId="08FFB3E8" w14:textId="77777777" w:rsidR="00DE19E4" w:rsidRPr="004C5F2A" w:rsidRDefault="00DE19E4" w:rsidP="007D67F0">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3.1.1. „Разстояние до обекти на NATURA 2000” </w:t>
      </w:r>
    </w:p>
    <w:p w14:paraId="54A5782A"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6AFFB587"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влиянието на проекта върху обекти на NATURA 2000 </w:t>
      </w:r>
    </w:p>
    <w:p w14:paraId="6EE3E6D0"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381AB39F"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Най-близко разстояние на обекта на инвестиция до обекти на NATURA 2000, в метри</w:t>
      </w:r>
    </w:p>
    <w:p w14:paraId="7369B08D"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38A7109A" w14:textId="5BA0EADB"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обекти на NATURA 2000 е над 1000 метра;</w:t>
      </w:r>
    </w:p>
    <w:p w14:paraId="7C34B5B0" w14:textId="27FB91E5"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обекти на NATURA 2000 е между 100 метра и 1000 метра;</w:t>
      </w:r>
    </w:p>
    <w:p w14:paraId="0D2B27A9" w14:textId="23B7A631"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обекти на NATURA 2000 е под 100 метра.</w:t>
      </w:r>
    </w:p>
    <w:p w14:paraId="4B9D48A6"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6BF8E25E" w14:textId="3ABE51EA" w:rsidR="00DE19E4" w:rsidRPr="004C5F2A" w:rsidRDefault="00EC7128" w:rsidP="00E230DC">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1 - 2</w:t>
      </w:r>
      <w:r w:rsidR="00DE19E4" w:rsidRPr="004C5F2A">
        <w:rPr>
          <w:rFonts w:ascii="Times New Roman" w:hAnsi="Times New Roman"/>
          <w:color w:val="000000"/>
          <w:sz w:val="22"/>
          <w:lang w:val="bg-BG"/>
        </w:rPr>
        <w:t>5</w:t>
      </w:r>
      <w:r>
        <w:rPr>
          <w:rFonts w:ascii="Times New Roman" w:hAnsi="Times New Roman"/>
          <w:color w:val="000000"/>
          <w:sz w:val="22"/>
          <w:lang w:val="bg-BG"/>
        </w:rPr>
        <w:t>0</w:t>
      </w:r>
      <w:r w:rsidR="00DE19E4" w:rsidRPr="004C5F2A">
        <w:rPr>
          <w:rFonts w:ascii="Times New Roman" w:hAnsi="Times New Roman"/>
          <w:color w:val="000000"/>
          <w:sz w:val="22"/>
          <w:lang w:val="bg-BG"/>
        </w:rPr>
        <w:t>0 м;</w:t>
      </w:r>
    </w:p>
    <w:p w14:paraId="461116BA" w14:textId="25AC129D" w:rsidR="00DE19E4" w:rsidRPr="004C5F2A" w:rsidRDefault="00EC7128" w:rsidP="00E230DC">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2 - 250</w:t>
      </w:r>
      <w:r w:rsidR="00DE19E4" w:rsidRPr="004C5F2A">
        <w:rPr>
          <w:rFonts w:ascii="Times New Roman" w:hAnsi="Times New Roman"/>
          <w:color w:val="000000"/>
          <w:sz w:val="22"/>
          <w:lang w:val="bg-BG"/>
        </w:rPr>
        <w:t>0 м;</w:t>
      </w:r>
    </w:p>
    <w:p w14:paraId="18A1AAAD" w14:textId="661846EE" w:rsidR="00DE19E4" w:rsidRPr="004C5F2A" w:rsidRDefault="00EC7128" w:rsidP="00E230DC">
      <w:pPr>
        <w:autoSpaceDE w:val="0"/>
        <w:autoSpaceDN w:val="0"/>
        <w:adjustRightInd w:val="0"/>
        <w:spacing w:after="0" w:line="360" w:lineRule="auto"/>
        <w:ind w:left="709"/>
        <w:contextualSpacing/>
        <w:rPr>
          <w:rFonts w:ascii="Times New Roman" w:hAnsi="Times New Roman"/>
          <w:color w:val="000000"/>
          <w:sz w:val="22"/>
          <w:lang w:val="bg-BG"/>
        </w:rPr>
      </w:pPr>
      <w:r>
        <w:rPr>
          <w:rFonts w:ascii="Times New Roman" w:hAnsi="Times New Roman"/>
          <w:color w:val="000000"/>
          <w:sz w:val="22"/>
          <w:lang w:val="bg-BG"/>
        </w:rPr>
        <w:t>Вариант 3 - 250</w:t>
      </w:r>
      <w:r w:rsidR="00DE19E4" w:rsidRPr="004C5F2A">
        <w:rPr>
          <w:rFonts w:ascii="Times New Roman" w:hAnsi="Times New Roman"/>
          <w:color w:val="000000"/>
          <w:sz w:val="22"/>
          <w:lang w:val="bg-BG"/>
        </w:rPr>
        <w:t>0 м.</w:t>
      </w:r>
    </w:p>
    <w:p w14:paraId="0D1D5ECE"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3ACAC1E7" w14:textId="7ED0BCD9"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w:t>
      </w:r>
      <w:r w:rsidR="00EC7128">
        <w:rPr>
          <w:rFonts w:ascii="Times New Roman" w:hAnsi="Times New Roman"/>
          <w:color w:val="000000"/>
          <w:sz w:val="22"/>
          <w:lang w:val="bg-BG"/>
        </w:rPr>
        <w:t>- Крайната оценка е 1</w:t>
      </w:r>
    </w:p>
    <w:p w14:paraId="0F7D962F" w14:textId="2B336CF8"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w:t>
      </w:r>
      <w:r w:rsidR="00EC7128">
        <w:rPr>
          <w:rFonts w:ascii="Times New Roman" w:hAnsi="Times New Roman"/>
          <w:color w:val="000000"/>
          <w:sz w:val="22"/>
          <w:lang w:val="bg-BG"/>
        </w:rPr>
        <w:t>ната оценка е 1</w:t>
      </w:r>
    </w:p>
    <w:p w14:paraId="5FF745B1" w14:textId="5C7401D1" w:rsidR="00DE19E4"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3 </w:t>
      </w:r>
      <w:r w:rsidR="00EC7128">
        <w:rPr>
          <w:rFonts w:ascii="Times New Roman" w:hAnsi="Times New Roman"/>
          <w:color w:val="000000"/>
          <w:sz w:val="22"/>
          <w:lang w:val="bg-BG"/>
        </w:rPr>
        <w:t>- Крайната оценка е 1</w:t>
      </w:r>
    </w:p>
    <w:p w14:paraId="3268A73E" w14:textId="77777777" w:rsidR="00DE19E4" w:rsidRPr="004C5F2A" w:rsidRDefault="00DE19E4" w:rsidP="007D67F0">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3.1.2. „Засегнати обекти на NATURA 2000” </w:t>
      </w:r>
    </w:p>
    <w:p w14:paraId="73E4CB17"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2B501BD5"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влиянието на проекта върху обекти на NATURA 2000 </w:t>
      </w:r>
    </w:p>
    <w:p w14:paraId="3B487233"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6551F4BA"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Брой засегнати обекти на NATURA 2000</w:t>
      </w:r>
    </w:p>
    <w:p w14:paraId="14267A7C"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2335A4A4" w14:textId="00523EB4"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няма засегнати обекти на NATURA 2000;</w:t>
      </w:r>
    </w:p>
    <w:p w14:paraId="5BF9E6E4" w14:textId="169EB5E2"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обекти на NATURA 2000 е между 1 и 3;</w:t>
      </w:r>
    </w:p>
    <w:p w14:paraId="1D1BA554" w14:textId="343CC986"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обекти на NATURA 2000 е над 3.</w:t>
      </w:r>
    </w:p>
    <w:p w14:paraId="48A23B97"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lastRenderedPageBreak/>
        <w:t>Резултат:</w:t>
      </w:r>
    </w:p>
    <w:p w14:paraId="12D4F2EA"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1 - 0 бр.;</w:t>
      </w:r>
    </w:p>
    <w:p w14:paraId="0E77B36F"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2 - 0 бр.;</w:t>
      </w:r>
    </w:p>
    <w:p w14:paraId="212B542F"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3 - 0 бр.</w:t>
      </w:r>
    </w:p>
    <w:p w14:paraId="16496505"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18B53168" w14:textId="69769C8B"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7A352C48" w14:textId="066076BD"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64F0CDA0" w14:textId="3DB7D5E6"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6CA45680" w14:textId="77777777" w:rsidR="00DE19E4" w:rsidRPr="004C5F2A" w:rsidRDefault="00DE19E4" w:rsidP="007D67F0">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3.2. „Въздействие върху населението“</w:t>
      </w:r>
    </w:p>
    <w:p w14:paraId="77975F10" w14:textId="77777777" w:rsidR="00DE19E4" w:rsidRPr="004C5F2A" w:rsidRDefault="00DE19E4" w:rsidP="007D67F0">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3.2.1. „Разстояние до СОЗ” </w:t>
      </w:r>
    </w:p>
    <w:p w14:paraId="0526DEAE"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3F39620C"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влиянието на проекта върху санитaрно-охранителни зони (СОЗ) за ПБВ </w:t>
      </w:r>
    </w:p>
    <w:p w14:paraId="17733FFA"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3B6A1696"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Най-близко разстояние на обекта на инвестиция до санитaрно-охранителни зони за ПБВ, в метри</w:t>
      </w:r>
    </w:p>
    <w:p w14:paraId="6FF15E3E"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19B963FE" w14:textId="17A7520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СОЗ е над 500 метра;</w:t>
      </w:r>
    </w:p>
    <w:p w14:paraId="783DB74D" w14:textId="305AF7CD"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СОЗ е между 100 метра и 500 метра;</w:t>
      </w:r>
    </w:p>
    <w:p w14:paraId="72ADEF5E" w14:textId="45333FBF"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най-близкото разстояние до СОЗ е под 100 метра.</w:t>
      </w:r>
    </w:p>
    <w:p w14:paraId="15C4E6A8"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3DD17819"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1 - 1000 м;</w:t>
      </w:r>
    </w:p>
    <w:p w14:paraId="27F93259"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2 - 1000 м;</w:t>
      </w:r>
    </w:p>
    <w:p w14:paraId="1E0D3CF4"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3 - 1000 м.</w:t>
      </w:r>
    </w:p>
    <w:p w14:paraId="7CE80E17"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6D71840F" w14:textId="4167927E"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36E42F75" w14:textId="3D6BBE58"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6AFD66A8" w14:textId="69721640"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4D36948C" w14:textId="77777777" w:rsidR="00DE19E4" w:rsidRPr="004C5F2A" w:rsidRDefault="00DE19E4" w:rsidP="007D67F0">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3.2.2. „Засегнати СОЗ” </w:t>
      </w:r>
    </w:p>
    <w:p w14:paraId="41ED9E51"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3DF7300" w14:textId="54532343"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влиянието на проекта върху </w:t>
      </w:r>
      <w:r w:rsidR="00E230DC" w:rsidRPr="004C5F2A">
        <w:rPr>
          <w:rFonts w:ascii="Times New Roman" w:hAnsi="Times New Roman"/>
          <w:color w:val="000000"/>
          <w:sz w:val="22"/>
          <w:lang w:val="bg-BG"/>
        </w:rPr>
        <w:t>санитарно</w:t>
      </w:r>
      <w:r w:rsidRPr="004C5F2A">
        <w:rPr>
          <w:rFonts w:ascii="Times New Roman" w:hAnsi="Times New Roman"/>
          <w:color w:val="000000"/>
          <w:sz w:val="22"/>
          <w:lang w:val="bg-BG"/>
        </w:rPr>
        <w:t xml:space="preserve">-охранителни зони (СОЗ) за ПБВ </w:t>
      </w:r>
    </w:p>
    <w:p w14:paraId="3E4B9E38"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76018E4D"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Брой засегнати СОЗ</w:t>
      </w:r>
    </w:p>
    <w:p w14:paraId="34BD1683"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lastRenderedPageBreak/>
        <w:t>Методология</w:t>
      </w:r>
    </w:p>
    <w:p w14:paraId="551560DA" w14:textId="4AEA4D74"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няма засегнати СОЗ;</w:t>
      </w:r>
    </w:p>
    <w:p w14:paraId="30316D0E" w14:textId="78E29055"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СОЗ е между 1 и 2;</w:t>
      </w:r>
    </w:p>
    <w:p w14:paraId="73316E1A" w14:textId="0259DD81"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СОЗ е над 2.</w:t>
      </w:r>
    </w:p>
    <w:p w14:paraId="4A59C83E"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7163C278"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1 - 0 бр.;</w:t>
      </w:r>
    </w:p>
    <w:p w14:paraId="1B286E88"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2 - 0 бр.;</w:t>
      </w:r>
    </w:p>
    <w:p w14:paraId="79251179" w14:textId="7A958AF5"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3 - 0 бр.</w:t>
      </w:r>
    </w:p>
    <w:p w14:paraId="1E1C4665" w14:textId="77777777" w:rsidR="00DE19E4" w:rsidRPr="004C5F2A" w:rsidRDefault="00DE19E4" w:rsidP="007D67F0">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3DC558D9" w14:textId="5600D768"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56EE5399" w14:textId="79549B1A"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1009FB76" w14:textId="3DCF2AFB"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351674A6" w14:textId="77777777" w:rsidR="00DE19E4" w:rsidRPr="004C5F2A" w:rsidRDefault="00DE19E4" w:rsidP="00AC56CA">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3.3. „Други въздействия“</w:t>
      </w:r>
    </w:p>
    <w:p w14:paraId="3985C6FE" w14:textId="77777777" w:rsidR="00DE19E4" w:rsidRPr="004C5F2A" w:rsidRDefault="00DE19E4" w:rsidP="00AC56CA">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3.3.1. „Засегнати влажни зони или други екологични обекти” </w:t>
      </w:r>
    </w:p>
    <w:p w14:paraId="5C2FCB13" w14:textId="77777777" w:rsidR="00DE19E4" w:rsidRPr="004C5F2A" w:rsidRDefault="00DE19E4" w:rsidP="00AC56CA">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308E78B6"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Минимизиране на влиянието на проекта върху съществуващи влажни зони или други екологични обекти </w:t>
      </w:r>
    </w:p>
    <w:p w14:paraId="64B9ABAB" w14:textId="77777777" w:rsidR="00DE19E4" w:rsidRPr="004C5F2A" w:rsidRDefault="00DE19E4" w:rsidP="00AC56CA">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41FB98E3"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Брой засегнати влажни зони</w:t>
      </w:r>
    </w:p>
    <w:p w14:paraId="6C25072A" w14:textId="77777777" w:rsidR="00DE19E4" w:rsidRPr="004C5F2A" w:rsidRDefault="00DE19E4" w:rsidP="00AC56CA">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6390DA21" w14:textId="46D2960B"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влажни зони или други екологични обекти е 0;</w:t>
      </w:r>
    </w:p>
    <w:p w14:paraId="470D1834" w14:textId="014C6A84"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влажни зони или други екологични обекти е между 1 и 2;</w:t>
      </w:r>
    </w:p>
    <w:p w14:paraId="5C66522A" w14:textId="303F225B"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броя засегнати влажни зони или други екологични обекти е над 2.</w:t>
      </w:r>
    </w:p>
    <w:p w14:paraId="5C6AF5D7" w14:textId="77777777" w:rsidR="00DE19E4" w:rsidRPr="004C5F2A" w:rsidRDefault="00DE19E4" w:rsidP="00AC56CA">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0E66181E"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1 - 0 бр.;</w:t>
      </w:r>
    </w:p>
    <w:p w14:paraId="7DB7F6A9"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2 - 0 бр.;</w:t>
      </w:r>
    </w:p>
    <w:p w14:paraId="157EA157" w14:textId="77777777"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3 - 0 бр.</w:t>
      </w:r>
    </w:p>
    <w:p w14:paraId="36004878" w14:textId="77777777" w:rsidR="00DE19E4" w:rsidRPr="004C5F2A" w:rsidRDefault="00DE19E4" w:rsidP="00AC56CA">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43E8F078" w14:textId="58CC7EBF"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5A5E135E" w14:textId="38275C00"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lastRenderedPageBreak/>
        <w:t>Вариант 2 - Крайната оценка е 1</w:t>
      </w:r>
    </w:p>
    <w:p w14:paraId="6619ECF0" w14:textId="59013414" w:rsidR="00DE19E4" w:rsidRPr="004C5F2A" w:rsidRDefault="00DE19E4" w:rsidP="00E230DC">
      <w:pPr>
        <w:autoSpaceDE w:val="0"/>
        <w:autoSpaceDN w:val="0"/>
        <w:adjustRightInd w:val="0"/>
        <w:spacing w:after="0" w:line="36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2231547C" w14:textId="77777777" w:rsidR="00DE19E4" w:rsidRPr="00DE19E4" w:rsidRDefault="00DE19E4"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r w:rsidRPr="00DE19E4">
        <w:rPr>
          <w:rFonts w:ascii="Times New Roman" w:hAnsi="Times New Roman"/>
          <w:b/>
          <w:i/>
          <w:color w:val="000000"/>
          <w:sz w:val="24"/>
          <w:szCs w:val="24"/>
          <w:u w:val="single"/>
          <w:lang w:val="bg-BG"/>
        </w:rPr>
        <w:t>Обобщени оценки по основен критерий 3. „Екологичен“</w:t>
      </w:r>
    </w:p>
    <w:p w14:paraId="5982E1F3"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Вариант 1</w:t>
      </w:r>
    </w:p>
    <w:p w14:paraId="0D231D5E" w14:textId="017EA5CD" w:rsidR="00DE19E4" w:rsidRPr="00DE19E4" w:rsidRDefault="00EC7128" w:rsidP="00DE19E4">
      <w:pPr>
        <w:autoSpaceDE w:val="0"/>
        <w:autoSpaceDN w:val="0"/>
        <w:adjustRightInd w:val="0"/>
        <w:spacing w:after="0" w:line="276" w:lineRule="auto"/>
        <w:ind w:left="1434" w:hanging="894"/>
        <w:contextualSpacing/>
        <w:rPr>
          <w:rFonts w:ascii="Arial" w:hAnsi="Arial" w:cs="Arial"/>
          <w:color w:val="000000"/>
          <w:sz w:val="24"/>
          <w:szCs w:val="24"/>
          <w:lang w:val="ru-RU"/>
        </w:rPr>
      </w:pPr>
      <w:r w:rsidRPr="00EC7128">
        <w:rPr>
          <w:noProof/>
          <w:lang w:val="en-US"/>
        </w:rPr>
        <w:drawing>
          <wp:inline distT="0" distB="0" distL="0" distR="0" wp14:anchorId="1A9C41C3" wp14:editId="4F8F795C">
            <wp:extent cx="5657850" cy="1475567"/>
            <wp:effectExtent l="0" t="0" r="0" b="0"/>
            <wp:docPr id="2401328" name="Picture 240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67078" cy="1477974"/>
                    </a:xfrm>
                    <a:prstGeom prst="rect">
                      <a:avLst/>
                    </a:prstGeom>
                    <a:noFill/>
                    <a:ln>
                      <a:noFill/>
                    </a:ln>
                  </pic:spPr>
                </pic:pic>
              </a:graphicData>
            </a:graphic>
          </wp:inline>
        </w:drawing>
      </w:r>
    </w:p>
    <w:p w14:paraId="172A5CD1"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2 </w:t>
      </w:r>
    </w:p>
    <w:p w14:paraId="4F378435" w14:textId="43DE20B2" w:rsidR="00DE19E4" w:rsidRPr="00DE19E4" w:rsidRDefault="00EC7128" w:rsidP="00DE19E4">
      <w:pPr>
        <w:autoSpaceDE w:val="0"/>
        <w:autoSpaceDN w:val="0"/>
        <w:adjustRightInd w:val="0"/>
        <w:spacing w:after="0" w:line="276" w:lineRule="auto"/>
        <w:ind w:firstLine="540"/>
        <w:rPr>
          <w:rFonts w:ascii="Arial" w:hAnsi="Arial" w:cs="Arial"/>
          <w:color w:val="000000"/>
          <w:sz w:val="24"/>
          <w:szCs w:val="24"/>
          <w:lang w:val="bg-BG"/>
        </w:rPr>
      </w:pPr>
      <w:r w:rsidRPr="00EC7128">
        <w:rPr>
          <w:noProof/>
          <w:lang w:val="en-US"/>
        </w:rPr>
        <w:drawing>
          <wp:inline distT="0" distB="0" distL="0" distR="0" wp14:anchorId="0E29474B" wp14:editId="2E0468FC">
            <wp:extent cx="5667375" cy="1478052"/>
            <wp:effectExtent l="0" t="0" r="0" b="8255"/>
            <wp:docPr id="2401329" name="Picture 240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03995" cy="1487603"/>
                    </a:xfrm>
                    <a:prstGeom prst="rect">
                      <a:avLst/>
                    </a:prstGeom>
                    <a:noFill/>
                    <a:ln>
                      <a:noFill/>
                    </a:ln>
                  </pic:spPr>
                </pic:pic>
              </a:graphicData>
            </a:graphic>
          </wp:inline>
        </w:drawing>
      </w:r>
    </w:p>
    <w:p w14:paraId="1FD7CDA2" w14:textId="5B7FA794"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3 </w:t>
      </w:r>
    </w:p>
    <w:p w14:paraId="34F8744D" w14:textId="17B7C3E5" w:rsidR="00DE19E4" w:rsidRPr="00DE19E4" w:rsidRDefault="00EC7128" w:rsidP="00DE19E4">
      <w:pPr>
        <w:spacing w:after="0" w:line="276" w:lineRule="auto"/>
        <w:ind w:firstLine="540"/>
        <w:rPr>
          <w:rFonts w:ascii="Times New Roman" w:hAnsi="Times New Roman"/>
          <w:sz w:val="24"/>
          <w:szCs w:val="24"/>
          <w:lang w:val="bg-BG"/>
        </w:rPr>
      </w:pPr>
      <w:r w:rsidRPr="00EC7128">
        <w:rPr>
          <w:noProof/>
          <w:lang w:val="en-US"/>
        </w:rPr>
        <w:drawing>
          <wp:inline distT="0" distB="0" distL="0" distR="0" wp14:anchorId="4033EB76" wp14:editId="7C4C2AC6">
            <wp:extent cx="5657850" cy="1477932"/>
            <wp:effectExtent l="0" t="0" r="0" b="8255"/>
            <wp:docPr id="2401330" name="Picture 240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78442" cy="1483311"/>
                    </a:xfrm>
                    <a:prstGeom prst="rect">
                      <a:avLst/>
                    </a:prstGeom>
                    <a:noFill/>
                    <a:ln>
                      <a:noFill/>
                    </a:ln>
                  </pic:spPr>
                </pic:pic>
              </a:graphicData>
            </a:graphic>
          </wp:inline>
        </w:drawing>
      </w:r>
    </w:p>
    <w:p w14:paraId="3A928D82" w14:textId="77777777" w:rsidR="00DE19E4" w:rsidRPr="00DE19E4" w:rsidRDefault="00DE19E4" w:rsidP="00DE19E4">
      <w:pPr>
        <w:autoSpaceDE w:val="0"/>
        <w:autoSpaceDN w:val="0"/>
        <w:adjustRightInd w:val="0"/>
        <w:spacing w:after="0" w:line="276" w:lineRule="auto"/>
        <w:ind w:left="1434" w:firstLine="720"/>
        <w:contextualSpacing/>
        <w:rPr>
          <w:rFonts w:ascii="Arial" w:hAnsi="Arial" w:cs="Arial"/>
          <w:color w:val="000000"/>
          <w:sz w:val="24"/>
          <w:szCs w:val="24"/>
          <w:lang w:val="bg-BG"/>
        </w:rPr>
      </w:pPr>
    </w:p>
    <w:p w14:paraId="234B7E68" w14:textId="77777777" w:rsidR="00DE19E4" w:rsidRPr="004C5F2A" w:rsidRDefault="00DE19E4" w:rsidP="00E0436F">
      <w:pPr>
        <w:autoSpaceDE w:val="0"/>
        <w:autoSpaceDN w:val="0"/>
        <w:adjustRightInd w:val="0"/>
        <w:spacing w:after="0" w:line="300" w:lineRule="auto"/>
        <w:ind w:firstLine="720"/>
        <w:jc w:val="center"/>
        <w:rPr>
          <w:rFonts w:ascii="Times New Roman" w:hAnsi="Times New Roman"/>
          <w:b/>
          <w:i/>
          <w:color w:val="000000"/>
          <w:sz w:val="22"/>
          <w:u w:val="single"/>
          <w:lang w:val="bg-BG"/>
        </w:rPr>
      </w:pPr>
      <w:r w:rsidRPr="004C5F2A">
        <w:rPr>
          <w:rFonts w:ascii="Times New Roman" w:hAnsi="Times New Roman"/>
          <w:b/>
          <w:i/>
          <w:color w:val="000000"/>
          <w:sz w:val="22"/>
          <w:u w:val="single"/>
          <w:lang w:val="bg-BG"/>
        </w:rPr>
        <w:t>Основен критерий 4. „Социален“</w:t>
      </w:r>
    </w:p>
    <w:p w14:paraId="223D2EE1" w14:textId="77777777" w:rsidR="00DE19E4" w:rsidRPr="004C5F2A" w:rsidRDefault="00DE19E4" w:rsidP="006829C3">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4.1. „Общество“</w:t>
      </w:r>
    </w:p>
    <w:p w14:paraId="4059CF8E" w14:textId="77777777" w:rsidR="00DE19E4" w:rsidRPr="004C5F2A" w:rsidRDefault="00DE19E4" w:rsidP="006829C3">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4.1.1. „Подобряване на качеството на живот в района на проекта” </w:t>
      </w:r>
    </w:p>
    <w:p w14:paraId="507C4D75"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56437BF3" w14:textId="77777777"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Максимална степен на подобряване на качеството на живот за населението в района на проекта</w:t>
      </w:r>
    </w:p>
    <w:p w14:paraId="75F6F044" w14:textId="77777777" w:rsidR="00EC7128" w:rsidRPr="00EC7128" w:rsidRDefault="00EC7128"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EC7128">
        <w:rPr>
          <w:rFonts w:ascii="Times New Roman" w:hAnsi="Times New Roman"/>
          <w:b/>
          <w:i/>
          <w:color w:val="000000"/>
          <w:sz w:val="22"/>
          <w:lang w:val="bg-BG"/>
        </w:rPr>
        <w:t>Индикатор:</w:t>
      </w:r>
    </w:p>
    <w:p w14:paraId="1D6C5C7D" w14:textId="77777777"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Оценка на степента на подобряване на качеството на живот за населението в района на проекта</w:t>
      </w:r>
    </w:p>
    <w:p w14:paraId="6124DD95" w14:textId="77777777" w:rsidR="00EC7128" w:rsidRPr="00EC7128" w:rsidRDefault="00EC7128"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EC7128">
        <w:rPr>
          <w:rFonts w:ascii="Times New Roman" w:hAnsi="Times New Roman"/>
          <w:b/>
          <w:i/>
          <w:color w:val="000000"/>
          <w:sz w:val="22"/>
          <w:lang w:val="bg-BG"/>
        </w:rPr>
        <w:lastRenderedPageBreak/>
        <w:t>Методология</w:t>
      </w:r>
    </w:p>
    <w:p w14:paraId="5E55837B" w14:textId="3B4D5042"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EC7128">
        <w:rPr>
          <w:rFonts w:ascii="Times New Roman" w:hAnsi="Times New Roman"/>
          <w:color w:val="000000"/>
          <w:sz w:val="22"/>
          <w:lang w:val="bg-BG"/>
        </w:rPr>
        <w:t xml:space="preserve"> при който изпълнението на проекта води до повишаване на качеството на живот за населението в района на проекта;</w:t>
      </w:r>
    </w:p>
    <w:p w14:paraId="11A1E42C" w14:textId="0CFA13F7"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EC7128">
        <w:rPr>
          <w:rFonts w:ascii="Times New Roman" w:hAnsi="Times New Roman"/>
          <w:color w:val="000000"/>
          <w:sz w:val="22"/>
          <w:lang w:val="bg-BG"/>
        </w:rPr>
        <w:t xml:space="preserve"> при който изпълнението на проекта не води до промяна в качеството на живот за населението в района на проекта;</w:t>
      </w:r>
    </w:p>
    <w:p w14:paraId="0ABB2156" w14:textId="141AAE4A"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EC7128">
        <w:rPr>
          <w:rFonts w:ascii="Times New Roman" w:hAnsi="Times New Roman"/>
          <w:color w:val="000000"/>
          <w:sz w:val="22"/>
          <w:lang w:val="bg-BG"/>
        </w:rPr>
        <w:t xml:space="preserve"> при който изпълнението на проекта води до влошаване на качеството на живот за населението в района на проекта.</w:t>
      </w:r>
    </w:p>
    <w:p w14:paraId="47FAA04E" w14:textId="77777777" w:rsidR="00EC7128" w:rsidRPr="00EC7128" w:rsidRDefault="00EC7128"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EC7128">
        <w:rPr>
          <w:rFonts w:ascii="Times New Roman" w:hAnsi="Times New Roman"/>
          <w:b/>
          <w:i/>
          <w:color w:val="000000"/>
          <w:sz w:val="22"/>
          <w:lang w:val="bg-BG"/>
        </w:rPr>
        <w:t>Резултат:</w:t>
      </w:r>
    </w:p>
    <w:p w14:paraId="74E4B5C9" w14:textId="77777777"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Вариант 1 - изпълнението на проекта не води до промяна в качеството на живот за населението в района на проекта;</w:t>
      </w:r>
    </w:p>
    <w:p w14:paraId="051EDDFA" w14:textId="77777777" w:rsidR="00EC7128" w:rsidRPr="00EC7128"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Вариант 2 - изпълнението на проекта не води до промяна в качеството на живот за населението в района на проекта;</w:t>
      </w:r>
    </w:p>
    <w:p w14:paraId="4AC39E06" w14:textId="131C0A11" w:rsidR="00DE19E4" w:rsidRPr="004C5F2A" w:rsidRDefault="00EC7128"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EC7128">
        <w:rPr>
          <w:rFonts w:ascii="Times New Roman" w:hAnsi="Times New Roman"/>
          <w:color w:val="000000"/>
          <w:sz w:val="22"/>
          <w:lang w:val="bg-BG"/>
        </w:rPr>
        <w:t>Вариант</w:t>
      </w:r>
      <w:r>
        <w:rPr>
          <w:rFonts w:ascii="Times New Roman" w:hAnsi="Times New Roman"/>
          <w:color w:val="000000"/>
          <w:sz w:val="22"/>
          <w:lang w:val="bg-BG"/>
        </w:rPr>
        <w:t xml:space="preserve"> 3 - изпълнението на проекта </w:t>
      </w:r>
      <w:r w:rsidRPr="00EC7128">
        <w:rPr>
          <w:rFonts w:ascii="Times New Roman" w:hAnsi="Times New Roman"/>
          <w:color w:val="000000"/>
          <w:sz w:val="22"/>
          <w:lang w:val="bg-BG"/>
        </w:rPr>
        <w:t xml:space="preserve">води до </w:t>
      </w:r>
      <w:r>
        <w:rPr>
          <w:rFonts w:ascii="Times New Roman" w:hAnsi="Times New Roman"/>
          <w:color w:val="000000"/>
          <w:sz w:val="22"/>
          <w:lang w:val="bg-BG"/>
        </w:rPr>
        <w:t>повишаване</w:t>
      </w:r>
      <w:r w:rsidRPr="00EC7128">
        <w:rPr>
          <w:rFonts w:ascii="Times New Roman" w:hAnsi="Times New Roman"/>
          <w:color w:val="000000"/>
          <w:sz w:val="22"/>
          <w:lang w:val="bg-BG"/>
        </w:rPr>
        <w:t xml:space="preserve"> качеството на живот за </w:t>
      </w:r>
      <w:r>
        <w:rPr>
          <w:rFonts w:ascii="Times New Roman" w:hAnsi="Times New Roman"/>
          <w:color w:val="000000"/>
          <w:sz w:val="22"/>
          <w:lang w:val="bg-BG"/>
        </w:rPr>
        <w:t>населението в района на проекта, чрез допринасяне за развитието на свободната зона за отдих в района на пристанище Бургас.</w:t>
      </w:r>
    </w:p>
    <w:p w14:paraId="4D922ABD"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7B7E7756" w14:textId="43ABC4C2"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1 </w:t>
      </w:r>
      <w:r w:rsidR="00EC7128">
        <w:rPr>
          <w:rFonts w:ascii="Times New Roman" w:hAnsi="Times New Roman"/>
          <w:color w:val="000000"/>
          <w:sz w:val="22"/>
          <w:lang w:val="bg-BG"/>
        </w:rPr>
        <w:t>- Крайната оценка е 2</w:t>
      </w:r>
    </w:p>
    <w:p w14:paraId="3DB526E9" w14:textId="6073AF05"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Вариант 2 </w:t>
      </w:r>
      <w:r w:rsidR="00EC7128">
        <w:rPr>
          <w:rFonts w:ascii="Times New Roman" w:hAnsi="Times New Roman"/>
          <w:color w:val="000000"/>
          <w:sz w:val="22"/>
          <w:lang w:val="bg-BG"/>
        </w:rPr>
        <w:t>- Крайната оценка е 2</w:t>
      </w:r>
    </w:p>
    <w:p w14:paraId="69A29E78" w14:textId="6BBF611D"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6F254ABD" w14:textId="77777777" w:rsidR="00DE19E4" w:rsidRPr="004C5F2A" w:rsidRDefault="00DE19E4" w:rsidP="006829C3">
      <w:pPr>
        <w:numPr>
          <w:ilvl w:val="0"/>
          <w:numId w:val="86"/>
        </w:numPr>
        <w:autoSpaceDE w:val="0"/>
        <w:autoSpaceDN w:val="0"/>
        <w:adjustRightInd w:val="0"/>
        <w:spacing w:after="0" w:line="360" w:lineRule="auto"/>
        <w:ind w:left="0" w:right="-288" w:firstLine="426"/>
        <w:contextualSpacing/>
        <w:jc w:val="left"/>
        <w:rPr>
          <w:rFonts w:ascii="Times New Roman" w:hAnsi="Times New Roman"/>
          <w:b/>
          <w:color w:val="000000"/>
          <w:sz w:val="22"/>
          <w:lang w:val="bg-BG"/>
        </w:rPr>
      </w:pPr>
      <w:r w:rsidRPr="004C5F2A">
        <w:rPr>
          <w:rFonts w:ascii="Times New Roman" w:hAnsi="Times New Roman"/>
          <w:b/>
          <w:color w:val="000000"/>
          <w:sz w:val="22"/>
          <w:lang w:val="bg-BG"/>
        </w:rPr>
        <w:t>Оценка по критерий 4.2. „Местна индустрия“</w:t>
      </w:r>
    </w:p>
    <w:p w14:paraId="190464F9" w14:textId="77777777" w:rsidR="00DE19E4" w:rsidRPr="004C5F2A" w:rsidRDefault="00DE19E4" w:rsidP="006829C3">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4.2.1. „Осигуряване на достъп до обекти на местната индустрия” </w:t>
      </w:r>
    </w:p>
    <w:p w14:paraId="58A272D5"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6B1C2F11"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Подобряване на условията за достъп от пристанищния комплекс до обекти на местната индустрия </w:t>
      </w:r>
    </w:p>
    <w:p w14:paraId="33468946"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340D2410"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highlight w:val="yellow"/>
          <w:lang w:val="bg-BG"/>
        </w:rPr>
      </w:pPr>
      <w:r w:rsidRPr="004C5F2A">
        <w:rPr>
          <w:rFonts w:ascii="Times New Roman" w:hAnsi="Times New Roman"/>
          <w:color w:val="000000"/>
          <w:sz w:val="22"/>
          <w:lang w:val="bg-BG"/>
        </w:rPr>
        <w:t>Осигурен достъп от пристанищния комплекс до обекти на местната индустрия</w:t>
      </w:r>
    </w:p>
    <w:p w14:paraId="772D4749"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1F14B4AE" w14:textId="1348DCD0"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 осигурен допълнителен достъп от пристанищния комплекс до обекти на местната индустрия;</w:t>
      </w:r>
    </w:p>
    <w:p w14:paraId="7864461B" w14:textId="5165D698"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 запазен съществуващия достъп от пристанищния комплекс до обекти на местната индустрия;</w:t>
      </w:r>
    </w:p>
    <w:p w14:paraId="39E28447" w14:textId="55B9775F"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е премахнат съществуващия достъп от пристанищния комплекс до обекти на местната индустрия.</w:t>
      </w:r>
    </w:p>
    <w:p w14:paraId="41F9650B"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17A63B41"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запазва се съществуващия достъп от пристанищния комплекс до обекти на местната индустрия;</w:t>
      </w:r>
    </w:p>
    <w:p w14:paraId="5F3BE170"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lastRenderedPageBreak/>
        <w:t>Вариант 2 - запазва се съществуващия достъп от пристанищния комплекс до обекти на местната индустрия;</w:t>
      </w:r>
    </w:p>
    <w:p w14:paraId="174461B4"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запазва се съществуващия достъп от пристанищния комплекс до обекти на местната индустрия.</w:t>
      </w:r>
    </w:p>
    <w:p w14:paraId="3564EBF7"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7BBD37B2" w14:textId="510E2A55"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2</w:t>
      </w:r>
    </w:p>
    <w:p w14:paraId="250EA71E" w14:textId="277ADEB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2</w:t>
      </w:r>
    </w:p>
    <w:p w14:paraId="3E2E02B0" w14:textId="2FBED22C"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2</w:t>
      </w:r>
    </w:p>
    <w:p w14:paraId="13E13ACD" w14:textId="77777777" w:rsidR="00DE19E4" w:rsidRPr="004C5F2A" w:rsidRDefault="00DE19E4" w:rsidP="006829C3">
      <w:pPr>
        <w:numPr>
          <w:ilvl w:val="0"/>
          <w:numId w:val="87"/>
        </w:numPr>
        <w:tabs>
          <w:tab w:val="left" w:pos="1800"/>
        </w:tabs>
        <w:autoSpaceDE w:val="0"/>
        <w:autoSpaceDN w:val="0"/>
        <w:adjustRightInd w:val="0"/>
        <w:spacing w:after="0" w:line="360" w:lineRule="auto"/>
        <w:ind w:left="993" w:hanging="284"/>
        <w:contextualSpacing/>
        <w:rPr>
          <w:rFonts w:ascii="Times New Roman" w:hAnsi="Times New Roman"/>
          <w:b/>
          <w:color w:val="000000"/>
          <w:sz w:val="22"/>
          <w:lang w:val="bg-BG"/>
        </w:rPr>
      </w:pPr>
      <w:r w:rsidRPr="004C5F2A">
        <w:rPr>
          <w:rFonts w:ascii="Times New Roman" w:hAnsi="Times New Roman"/>
          <w:b/>
          <w:color w:val="000000"/>
          <w:sz w:val="22"/>
          <w:lang w:val="bg-BG"/>
        </w:rPr>
        <w:t xml:space="preserve">Под-критерий 4.2.2. „Участие на местната индустрия по време на строителните работи” </w:t>
      </w:r>
    </w:p>
    <w:p w14:paraId="42999374"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Цел:</w:t>
      </w:r>
    </w:p>
    <w:p w14:paraId="18BA9FD6"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 xml:space="preserve">Постигане на възможности за максимално участие на представители на местната индустрия по време на извършването на строителните работи </w:t>
      </w:r>
    </w:p>
    <w:p w14:paraId="4A928E49"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Индикатор:</w:t>
      </w:r>
    </w:p>
    <w:p w14:paraId="7369738A"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highlight w:val="yellow"/>
          <w:lang w:val="bg-BG"/>
        </w:rPr>
      </w:pPr>
      <w:r w:rsidRPr="004C5F2A">
        <w:rPr>
          <w:rFonts w:ascii="Times New Roman" w:hAnsi="Times New Roman"/>
          <w:color w:val="000000"/>
          <w:sz w:val="22"/>
          <w:lang w:val="bg-BG"/>
        </w:rPr>
        <w:t>Възможности за участие на представители на местната индустрия по време на извършването на строителните работи</w:t>
      </w:r>
    </w:p>
    <w:p w14:paraId="2F8259FD"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Методология</w:t>
      </w:r>
    </w:p>
    <w:p w14:paraId="36C30545" w14:textId="170F409C"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1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строителните дейности могат да бъдат извършени от представители на местната индустрия без необходимост от сътрудничество с международни фирми;</w:t>
      </w:r>
    </w:p>
    <w:p w14:paraId="72ADF10B" w14:textId="346B6D7C"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2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строителните дейности могат да бъдат извършени чрез сътрудничество между представители на местната индустрия и международни фирми;</w:t>
      </w:r>
    </w:p>
    <w:p w14:paraId="1605300E" w14:textId="3902FCAD"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Оценка 3 – получава вариант</w:t>
      </w:r>
      <w:r w:rsidR="00E230DC">
        <w:rPr>
          <w:rFonts w:ascii="Times New Roman" w:hAnsi="Times New Roman"/>
          <w:color w:val="000000"/>
          <w:sz w:val="22"/>
          <w:lang w:val="bg-BG"/>
        </w:rPr>
        <w:t>ът,</w:t>
      </w:r>
      <w:r w:rsidRPr="004C5F2A">
        <w:rPr>
          <w:rFonts w:ascii="Times New Roman" w:hAnsi="Times New Roman"/>
          <w:color w:val="000000"/>
          <w:sz w:val="22"/>
          <w:lang w:val="bg-BG"/>
        </w:rPr>
        <w:t xml:space="preserve"> при който строителните дейности могат да бъдат извършени само от международни фирми.</w:t>
      </w:r>
    </w:p>
    <w:p w14:paraId="601142B4"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Резултат:</w:t>
      </w:r>
    </w:p>
    <w:p w14:paraId="1138E762"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строителните дейности се извършват по усвоен от представители на местната индустрия метод и няма необходимост от сътрудничество с международни фирми;</w:t>
      </w:r>
    </w:p>
    <w:p w14:paraId="4F1154F8"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строителните дейности се извършват по усвоен от представители на местната индустрия метод и няма необходимост от сътрудничество с международни фирми;</w:t>
      </w:r>
    </w:p>
    <w:p w14:paraId="66F59B0A" w14:textId="77777777"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строителните дейности се извършват по усвоен от представители на местната индустрия метод и няма необходимост от сътрудничество с международни фирми.</w:t>
      </w:r>
    </w:p>
    <w:p w14:paraId="7749AC84" w14:textId="77777777" w:rsidR="00DE19E4" w:rsidRPr="004C5F2A" w:rsidRDefault="00DE19E4" w:rsidP="006829C3">
      <w:pPr>
        <w:numPr>
          <w:ilvl w:val="2"/>
          <w:numId w:val="88"/>
        </w:numPr>
        <w:autoSpaceDE w:val="0"/>
        <w:autoSpaceDN w:val="0"/>
        <w:adjustRightInd w:val="0"/>
        <w:spacing w:after="0" w:line="360" w:lineRule="auto"/>
        <w:ind w:left="1134" w:hanging="414"/>
        <w:contextualSpacing/>
        <w:rPr>
          <w:rFonts w:ascii="Times New Roman" w:hAnsi="Times New Roman"/>
          <w:b/>
          <w:i/>
          <w:color w:val="000000"/>
          <w:sz w:val="22"/>
          <w:lang w:val="bg-BG"/>
        </w:rPr>
      </w:pPr>
      <w:r w:rsidRPr="004C5F2A">
        <w:rPr>
          <w:rFonts w:ascii="Times New Roman" w:hAnsi="Times New Roman"/>
          <w:b/>
          <w:i/>
          <w:color w:val="000000"/>
          <w:sz w:val="22"/>
          <w:lang w:val="bg-BG"/>
        </w:rPr>
        <w:t>Оценка:</w:t>
      </w:r>
    </w:p>
    <w:p w14:paraId="606C34A5" w14:textId="520650DC"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1 - Крайната оценка е 1</w:t>
      </w:r>
    </w:p>
    <w:p w14:paraId="322C7EFA" w14:textId="5758D625" w:rsidR="00DE19E4"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2 - Крайната оценка е 1</w:t>
      </w:r>
    </w:p>
    <w:p w14:paraId="6AC3E845" w14:textId="78B2978C" w:rsidR="00E230DC" w:rsidRPr="004C5F2A" w:rsidRDefault="00DE19E4" w:rsidP="00E0436F">
      <w:pPr>
        <w:autoSpaceDE w:val="0"/>
        <w:autoSpaceDN w:val="0"/>
        <w:adjustRightInd w:val="0"/>
        <w:spacing w:before="120" w:after="120" w:line="300" w:lineRule="auto"/>
        <w:ind w:left="709"/>
        <w:contextualSpacing/>
        <w:rPr>
          <w:rFonts w:ascii="Times New Roman" w:hAnsi="Times New Roman"/>
          <w:color w:val="000000"/>
          <w:sz w:val="22"/>
          <w:lang w:val="bg-BG"/>
        </w:rPr>
      </w:pPr>
      <w:r w:rsidRPr="004C5F2A">
        <w:rPr>
          <w:rFonts w:ascii="Times New Roman" w:hAnsi="Times New Roman"/>
          <w:color w:val="000000"/>
          <w:sz w:val="22"/>
          <w:lang w:val="bg-BG"/>
        </w:rPr>
        <w:t>Вариант 3 - Крайната оценка е 1</w:t>
      </w:r>
    </w:p>
    <w:p w14:paraId="1111E166" w14:textId="77777777" w:rsidR="00E0436F" w:rsidRDefault="00E0436F"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p>
    <w:p w14:paraId="64AE2CD9" w14:textId="77777777" w:rsidR="006829C3" w:rsidRDefault="006829C3"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p>
    <w:p w14:paraId="32C31141" w14:textId="77777777" w:rsidR="006829C3" w:rsidRDefault="006829C3"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p>
    <w:p w14:paraId="2FCCF669" w14:textId="77777777" w:rsidR="00DE19E4" w:rsidRPr="00DE19E4" w:rsidRDefault="00DE19E4" w:rsidP="00DE19E4">
      <w:pPr>
        <w:autoSpaceDE w:val="0"/>
        <w:autoSpaceDN w:val="0"/>
        <w:adjustRightInd w:val="0"/>
        <w:spacing w:after="0" w:line="276" w:lineRule="auto"/>
        <w:ind w:firstLine="720"/>
        <w:jc w:val="center"/>
        <w:rPr>
          <w:rFonts w:ascii="Times New Roman" w:hAnsi="Times New Roman"/>
          <w:b/>
          <w:i/>
          <w:color w:val="000000"/>
          <w:sz w:val="24"/>
          <w:szCs w:val="24"/>
          <w:u w:val="single"/>
          <w:lang w:val="bg-BG"/>
        </w:rPr>
      </w:pPr>
      <w:r w:rsidRPr="00DE19E4">
        <w:rPr>
          <w:rFonts w:ascii="Times New Roman" w:hAnsi="Times New Roman"/>
          <w:b/>
          <w:i/>
          <w:color w:val="000000"/>
          <w:sz w:val="24"/>
          <w:szCs w:val="24"/>
          <w:u w:val="single"/>
          <w:lang w:val="bg-BG"/>
        </w:rPr>
        <w:lastRenderedPageBreak/>
        <w:t>Обобщени оценки по основен критерий 4. „Социален“</w:t>
      </w:r>
    </w:p>
    <w:p w14:paraId="6515E60C"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Вариант 1</w:t>
      </w:r>
    </w:p>
    <w:p w14:paraId="14273447" w14:textId="0A376D79" w:rsidR="00DE19E4" w:rsidRPr="00DE19E4" w:rsidRDefault="00EC7128" w:rsidP="00DE19E4">
      <w:pPr>
        <w:autoSpaceDE w:val="0"/>
        <w:autoSpaceDN w:val="0"/>
        <w:adjustRightInd w:val="0"/>
        <w:spacing w:after="0" w:line="276" w:lineRule="auto"/>
        <w:ind w:left="1434" w:hanging="894"/>
        <w:contextualSpacing/>
        <w:rPr>
          <w:rFonts w:ascii="Arial" w:hAnsi="Arial" w:cs="Arial"/>
          <w:color w:val="000000"/>
          <w:sz w:val="24"/>
          <w:szCs w:val="24"/>
          <w:lang w:val="ru-RU"/>
        </w:rPr>
      </w:pPr>
      <w:r w:rsidRPr="00EC7128">
        <w:rPr>
          <w:noProof/>
          <w:lang w:val="en-US"/>
        </w:rPr>
        <w:drawing>
          <wp:inline distT="0" distB="0" distL="0" distR="0" wp14:anchorId="485C0E74" wp14:editId="27C7B166">
            <wp:extent cx="5600700" cy="1201310"/>
            <wp:effectExtent l="0" t="0" r="0" b="0"/>
            <wp:docPr id="2401331" name="Picture 240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13261" cy="1204004"/>
                    </a:xfrm>
                    <a:prstGeom prst="rect">
                      <a:avLst/>
                    </a:prstGeom>
                    <a:noFill/>
                    <a:ln>
                      <a:noFill/>
                    </a:ln>
                  </pic:spPr>
                </pic:pic>
              </a:graphicData>
            </a:graphic>
          </wp:inline>
        </w:drawing>
      </w:r>
    </w:p>
    <w:p w14:paraId="060FDF00" w14:textId="0782E40C"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2 </w:t>
      </w:r>
    </w:p>
    <w:p w14:paraId="1060A784" w14:textId="56F0B3B2" w:rsidR="00543C2F" w:rsidRPr="00B21AB9" w:rsidRDefault="001B2C38" w:rsidP="00B21AB9">
      <w:pPr>
        <w:autoSpaceDE w:val="0"/>
        <w:autoSpaceDN w:val="0"/>
        <w:adjustRightInd w:val="0"/>
        <w:spacing w:after="0" w:line="276" w:lineRule="auto"/>
        <w:ind w:left="540"/>
        <w:jc w:val="left"/>
        <w:rPr>
          <w:rFonts w:ascii="Arial" w:hAnsi="Arial" w:cs="Arial"/>
          <w:color w:val="000000"/>
          <w:sz w:val="24"/>
          <w:szCs w:val="24"/>
          <w:lang w:val="bg-BG"/>
        </w:rPr>
      </w:pPr>
      <w:r>
        <w:rPr>
          <w:rFonts w:ascii="Arial" w:hAnsi="Arial" w:cs="Arial"/>
          <w:noProof/>
          <w:color w:val="000000"/>
          <w:sz w:val="24"/>
          <w:szCs w:val="24"/>
          <w:lang w:val="en-US"/>
        </w:rPr>
        <w:drawing>
          <wp:inline distT="0" distB="0" distL="0" distR="0" wp14:anchorId="355C92FF" wp14:editId="233A67C6">
            <wp:extent cx="5619750" cy="1205051"/>
            <wp:effectExtent l="0" t="0" r="0" b="0"/>
            <wp:docPr id="2401332" name="Picture 240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39713" cy="1209332"/>
                    </a:xfrm>
                    <a:prstGeom prst="rect">
                      <a:avLst/>
                    </a:prstGeom>
                    <a:noFill/>
                  </pic:spPr>
                </pic:pic>
              </a:graphicData>
            </a:graphic>
          </wp:inline>
        </w:drawing>
      </w:r>
    </w:p>
    <w:p w14:paraId="2D1F2FB7" w14:textId="77777777" w:rsidR="00DE19E4" w:rsidRPr="00DE19E4" w:rsidRDefault="00DE19E4" w:rsidP="00DE19E4">
      <w:pPr>
        <w:autoSpaceDE w:val="0"/>
        <w:autoSpaceDN w:val="0"/>
        <w:adjustRightInd w:val="0"/>
        <w:spacing w:after="0" w:line="276" w:lineRule="auto"/>
        <w:ind w:firstLine="540"/>
        <w:rPr>
          <w:rFonts w:ascii="Times New Roman" w:hAnsi="Times New Roman"/>
          <w:b/>
          <w:color w:val="000000"/>
          <w:sz w:val="24"/>
          <w:szCs w:val="24"/>
          <w:lang w:val="bg-BG"/>
        </w:rPr>
      </w:pPr>
      <w:r w:rsidRPr="00DE19E4">
        <w:rPr>
          <w:rFonts w:ascii="Times New Roman" w:hAnsi="Times New Roman"/>
          <w:b/>
          <w:color w:val="000000"/>
          <w:sz w:val="24"/>
          <w:szCs w:val="24"/>
          <w:lang w:val="bg-BG"/>
        </w:rPr>
        <w:t xml:space="preserve">Вариант 3 </w:t>
      </w:r>
    </w:p>
    <w:p w14:paraId="77F428F5" w14:textId="6B2A86C2" w:rsidR="00DE19E4" w:rsidRPr="00DE19E4" w:rsidRDefault="00DE19E4" w:rsidP="00B21AB9">
      <w:pPr>
        <w:spacing w:after="0" w:line="276" w:lineRule="auto"/>
        <w:ind w:firstLine="540"/>
        <w:rPr>
          <w:rFonts w:ascii="Times New Roman" w:hAnsi="Times New Roman"/>
          <w:sz w:val="24"/>
          <w:szCs w:val="24"/>
          <w:lang w:val="bg-BG"/>
        </w:rPr>
      </w:pPr>
      <w:r w:rsidRPr="00DE19E4">
        <w:rPr>
          <w:rFonts w:ascii="Times New Roman" w:hAnsi="Times New Roman"/>
          <w:noProof/>
          <w:sz w:val="24"/>
          <w:szCs w:val="24"/>
          <w:lang w:val="en-US"/>
        </w:rPr>
        <w:drawing>
          <wp:inline distT="0" distB="0" distL="0" distR="0" wp14:anchorId="450E1655" wp14:editId="2F193CE6">
            <wp:extent cx="5600700" cy="1152254"/>
            <wp:effectExtent l="0" t="0" r="0" b="0"/>
            <wp:docPr id="2401324" name="Picture 240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11426" cy="1154461"/>
                    </a:xfrm>
                    <a:prstGeom prst="rect">
                      <a:avLst/>
                    </a:prstGeom>
                    <a:noFill/>
                    <a:ln>
                      <a:noFill/>
                    </a:ln>
                  </pic:spPr>
                </pic:pic>
              </a:graphicData>
            </a:graphic>
          </wp:inline>
        </w:drawing>
      </w:r>
    </w:p>
    <w:p w14:paraId="6CD435EA" w14:textId="77777777" w:rsidR="00DE19E4" w:rsidRPr="004C5F2A" w:rsidRDefault="00DE19E4" w:rsidP="004C5F2A">
      <w:pPr>
        <w:pStyle w:val="Heading3"/>
        <w:rPr>
          <w:rFonts w:ascii="Times New Roman" w:hAnsi="Times New Roman"/>
          <w:lang w:val="bg-BG" w:eastAsia="bg-BG"/>
        </w:rPr>
      </w:pPr>
      <w:bookmarkStart w:id="152" w:name="_Toc136961132"/>
      <w:r w:rsidRPr="004C5F2A">
        <w:rPr>
          <w:rFonts w:ascii="Times New Roman" w:hAnsi="Times New Roman"/>
          <w:lang w:val="bg-BG" w:eastAsia="bg-BG"/>
        </w:rPr>
        <w:t>Обобщение на резултатите от извършения мултикритериален анализ</w:t>
      </w:r>
      <w:bookmarkEnd w:id="152"/>
    </w:p>
    <w:p w14:paraId="2425360A" w14:textId="77777777" w:rsidR="00DE19E4" w:rsidRPr="00E230DC" w:rsidRDefault="00DE19E4" w:rsidP="004C5F2A">
      <w:pPr>
        <w:spacing w:after="0" w:line="360" w:lineRule="auto"/>
        <w:ind w:firstLine="720"/>
        <w:rPr>
          <w:rFonts w:ascii="Times New Roman" w:eastAsia="Times New Roman" w:hAnsi="Times New Roman"/>
          <w:sz w:val="22"/>
          <w:lang w:val="bg-BG"/>
        </w:rPr>
      </w:pPr>
      <w:r w:rsidRPr="00E230DC">
        <w:rPr>
          <w:rFonts w:ascii="Times New Roman" w:eastAsia="Times New Roman" w:hAnsi="Times New Roman"/>
          <w:sz w:val="22"/>
          <w:lang w:val="bg-BG"/>
        </w:rPr>
        <w:t>След прилагане на описания по-горе подход за получаване на крайна оценка за съответния основен критерий са получени следните обобщени резултати за разгледаните варианти:</w:t>
      </w:r>
    </w:p>
    <w:p w14:paraId="31B55041" w14:textId="4271D4CA" w:rsidR="00DE19E4" w:rsidRPr="00B21AB9" w:rsidRDefault="00543C2F" w:rsidP="00B21AB9">
      <w:pPr>
        <w:spacing w:before="120" w:after="120" w:line="240" w:lineRule="auto"/>
        <w:ind w:left="720" w:hanging="720"/>
        <w:rPr>
          <w:rFonts w:ascii="Arial" w:eastAsia="Times New Roman" w:hAnsi="Arial" w:cs="Arial"/>
          <w:sz w:val="22"/>
          <w:lang w:val="bg-BG"/>
        </w:rPr>
      </w:pPr>
      <w:r w:rsidRPr="00543C2F">
        <w:rPr>
          <w:noProof/>
          <w:lang w:val="en-US"/>
        </w:rPr>
        <w:lastRenderedPageBreak/>
        <w:drawing>
          <wp:inline distT="0" distB="0" distL="0" distR="0" wp14:anchorId="49715DC4" wp14:editId="39C10D68">
            <wp:extent cx="6210300" cy="3184769"/>
            <wp:effectExtent l="0" t="0" r="0" b="0"/>
            <wp:docPr id="2401289" name="Picture 240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210300" cy="3184769"/>
                    </a:xfrm>
                    <a:prstGeom prst="rect">
                      <a:avLst/>
                    </a:prstGeom>
                    <a:noFill/>
                    <a:ln>
                      <a:noFill/>
                    </a:ln>
                  </pic:spPr>
                </pic:pic>
              </a:graphicData>
            </a:graphic>
          </wp:inline>
        </w:drawing>
      </w:r>
    </w:p>
    <w:p w14:paraId="13D4A44F" w14:textId="77777777" w:rsidR="00DE19E4" w:rsidRPr="004C5F2A" w:rsidRDefault="00DE19E4" w:rsidP="004C5F2A">
      <w:pPr>
        <w:pStyle w:val="Heading3"/>
        <w:rPr>
          <w:rFonts w:ascii="Times New Roman" w:hAnsi="Times New Roman"/>
          <w:lang w:val="bg-BG" w:eastAsia="bg-BG"/>
        </w:rPr>
      </w:pPr>
      <w:bookmarkStart w:id="153" w:name="_Toc136961133"/>
      <w:r w:rsidRPr="004C5F2A">
        <w:rPr>
          <w:rFonts w:ascii="Times New Roman" w:hAnsi="Times New Roman"/>
          <w:lang w:val="bg-BG" w:eastAsia="bg-BG"/>
        </w:rPr>
        <w:t>Изводи и заключения</w:t>
      </w:r>
      <w:bookmarkEnd w:id="153"/>
    </w:p>
    <w:p w14:paraId="06FC3D97" w14:textId="0657E33D" w:rsidR="00DE19E4" w:rsidRDefault="00DE19E4" w:rsidP="00DD1868">
      <w:pPr>
        <w:spacing w:after="0" w:line="360" w:lineRule="auto"/>
        <w:ind w:firstLine="720"/>
        <w:rPr>
          <w:noProof/>
          <w:lang w:val="en-US"/>
        </w:rPr>
      </w:pPr>
      <w:r w:rsidRPr="000E5B5F">
        <w:rPr>
          <w:rFonts w:ascii="Times New Roman" w:eastAsia="Times New Roman" w:hAnsi="Times New Roman"/>
          <w:sz w:val="22"/>
          <w:lang w:val="bg-BG"/>
        </w:rPr>
        <w:t>След прилагане на описания по-горе подход за получаване на крайна оценка за съответния вариант са получени следните окончателни резултати:</w:t>
      </w:r>
    </w:p>
    <w:p w14:paraId="15D36EA6" w14:textId="10E8C2FC" w:rsidR="00543C2F" w:rsidRDefault="00543C2F" w:rsidP="00543C2F">
      <w:pPr>
        <w:spacing w:before="120" w:after="120" w:line="240" w:lineRule="auto"/>
        <w:ind w:left="720" w:hanging="720"/>
        <w:rPr>
          <w:noProof/>
          <w:lang w:val="en-US"/>
        </w:rPr>
      </w:pPr>
      <w:r w:rsidRPr="00543C2F">
        <w:rPr>
          <w:noProof/>
          <w:lang w:val="en-US"/>
        </w:rPr>
        <w:drawing>
          <wp:inline distT="0" distB="0" distL="0" distR="0" wp14:anchorId="3F003227" wp14:editId="3E27539D">
            <wp:extent cx="6210300" cy="2480551"/>
            <wp:effectExtent l="0" t="0" r="0" b="0"/>
            <wp:docPr id="2401290" name="Picture 240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210300" cy="2480551"/>
                    </a:xfrm>
                    <a:prstGeom prst="rect">
                      <a:avLst/>
                    </a:prstGeom>
                    <a:noFill/>
                    <a:ln>
                      <a:noFill/>
                    </a:ln>
                  </pic:spPr>
                </pic:pic>
              </a:graphicData>
            </a:graphic>
          </wp:inline>
        </w:drawing>
      </w:r>
    </w:p>
    <w:p w14:paraId="5E4C79B8" w14:textId="77777777" w:rsidR="00543C2F" w:rsidRPr="00DE19E4" w:rsidRDefault="00543C2F" w:rsidP="00DE19E4">
      <w:pPr>
        <w:spacing w:before="120" w:after="120" w:line="240" w:lineRule="auto"/>
        <w:ind w:left="720" w:hanging="180"/>
        <w:rPr>
          <w:rFonts w:ascii="Arial" w:eastAsia="Times New Roman" w:hAnsi="Arial" w:cs="Arial"/>
          <w:sz w:val="22"/>
          <w:szCs w:val="20"/>
          <w:lang w:val="bg-BG"/>
        </w:rPr>
      </w:pPr>
    </w:p>
    <w:p w14:paraId="463DF859" w14:textId="69B9F188" w:rsidR="00DE19E4" w:rsidRDefault="00DE19E4" w:rsidP="00853827">
      <w:pPr>
        <w:spacing w:after="0" w:line="360" w:lineRule="auto"/>
        <w:ind w:firstLine="720"/>
        <w:rPr>
          <w:rFonts w:ascii="Times New Roman" w:eastAsia="Times New Roman" w:hAnsi="Times New Roman"/>
          <w:sz w:val="22"/>
          <w:lang w:val="bg-BG"/>
        </w:rPr>
      </w:pPr>
      <w:r w:rsidRPr="00853827">
        <w:rPr>
          <w:rFonts w:ascii="Times New Roman" w:eastAsia="Times New Roman" w:hAnsi="Times New Roman"/>
          <w:sz w:val="22"/>
          <w:lang w:val="bg-BG"/>
        </w:rPr>
        <w:t xml:space="preserve">В резултат на извършената оценка, чрез прилагане на Мултикритериален анализ (МКА), обобщените резултати показват, че с най-добри такива е </w:t>
      </w:r>
      <w:r w:rsidR="009E7279">
        <w:rPr>
          <w:rFonts w:ascii="Times New Roman" w:eastAsia="Times New Roman" w:hAnsi="Times New Roman"/>
          <w:sz w:val="22"/>
          <w:lang w:val="bg-BG"/>
        </w:rPr>
        <w:t>Вариант 1</w:t>
      </w:r>
      <w:r w:rsidRPr="00853827">
        <w:rPr>
          <w:rFonts w:ascii="Times New Roman" w:eastAsia="Times New Roman" w:hAnsi="Times New Roman"/>
          <w:sz w:val="22"/>
          <w:lang w:val="bg-BG"/>
        </w:rPr>
        <w:t>.</w:t>
      </w:r>
    </w:p>
    <w:p w14:paraId="69D31DAE" w14:textId="77777777" w:rsidR="00DD1868" w:rsidRPr="00853827" w:rsidRDefault="00DD1868" w:rsidP="00853827">
      <w:pPr>
        <w:spacing w:after="0" w:line="360" w:lineRule="auto"/>
        <w:ind w:firstLine="720"/>
        <w:rPr>
          <w:rFonts w:ascii="Times New Roman" w:eastAsia="Times New Roman" w:hAnsi="Times New Roman"/>
          <w:sz w:val="22"/>
          <w:lang w:val="bg-BG"/>
        </w:rPr>
      </w:pPr>
    </w:p>
    <w:p w14:paraId="526D5AE7" w14:textId="741B1AAB" w:rsidR="00DE19E4" w:rsidRPr="00853827" w:rsidRDefault="00DE19E4" w:rsidP="00853827">
      <w:pPr>
        <w:spacing w:after="0" w:line="360" w:lineRule="auto"/>
        <w:ind w:firstLine="720"/>
        <w:rPr>
          <w:rFonts w:ascii="Times New Roman" w:eastAsia="Times New Roman" w:hAnsi="Times New Roman"/>
          <w:sz w:val="22"/>
          <w:lang w:val="bg-BG"/>
        </w:rPr>
      </w:pPr>
      <w:r w:rsidRPr="00853827">
        <w:rPr>
          <w:rFonts w:ascii="Times New Roman" w:eastAsia="Times New Roman" w:hAnsi="Times New Roman"/>
          <w:sz w:val="22"/>
          <w:lang w:val="bg-BG"/>
        </w:rPr>
        <w:lastRenderedPageBreak/>
        <w:t xml:space="preserve">Независимо, че получава най-добра окончателна оценка </w:t>
      </w:r>
      <w:r w:rsidR="009E7279">
        <w:rPr>
          <w:rFonts w:ascii="Times New Roman" w:eastAsia="Times New Roman" w:hAnsi="Times New Roman"/>
          <w:sz w:val="22"/>
          <w:lang w:val="bg-BG"/>
        </w:rPr>
        <w:t xml:space="preserve">Вариант 1 </w:t>
      </w:r>
      <w:r w:rsidRPr="00853827">
        <w:rPr>
          <w:rFonts w:ascii="Times New Roman" w:eastAsia="Times New Roman" w:hAnsi="Times New Roman"/>
          <w:sz w:val="22"/>
          <w:lang w:val="bg-BG"/>
        </w:rPr>
        <w:t>притежава и други основни предимства за финансиране със средства от ЕС, както следва:</w:t>
      </w:r>
    </w:p>
    <w:p w14:paraId="48453153" w14:textId="77777777" w:rsidR="00DE19E4" w:rsidRPr="00853827" w:rsidRDefault="00DE19E4" w:rsidP="0021547C">
      <w:pPr>
        <w:numPr>
          <w:ilvl w:val="0"/>
          <w:numId w:val="84"/>
        </w:numPr>
        <w:spacing w:after="0" w:line="360" w:lineRule="auto"/>
        <w:ind w:left="1440"/>
        <w:rPr>
          <w:rFonts w:ascii="Times New Roman" w:eastAsia="Times New Roman" w:hAnsi="Times New Roman"/>
          <w:sz w:val="22"/>
          <w:lang w:val="bg-BG"/>
        </w:rPr>
      </w:pPr>
      <w:r w:rsidRPr="00853827">
        <w:rPr>
          <w:rFonts w:ascii="Times New Roman" w:eastAsia="Times New Roman" w:hAnsi="Times New Roman"/>
          <w:sz w:val="22"/>
          <w:lang w:val="bg-BG"/>
        </w:rPr>
        <w:t xml:space="preserve">Най-висока положителна стойност на </w:t>
      </w:r>
      <w:r w:rsidRPr="00853827">
        <w:rPr>
          <w:rFonts w:ascii="Times New Roman" w:eastAsia="Times New Roman" w:hAnsi="Times New Roman"/>
          <w:color w:val="000000"/>
          <w:sz w:val="22"/>
          <w:lang w:val="bg-BG"/>
        </w:rPr>
        <w:t>икономическа нетна настояща стойност;</w:t>
      </w:r>
    </w:p>
    <w:p w14:paraId="21821C17" w14:textId="77777777" w:rsidR="00DE19E4" w:rsidRPr="00853827" w:rsidRDefault="00DE19E4" w:rsidP="0021547C">
      <w:pPr>
        <w:numPr>
          <w:ilvl w:val="0"/>
          <w:numId w:val="84"/>
        </w:numPr>
        <w:spacing w:after="0" w:line="360" w:lineRule="auto"/>
        <w:ind w:left="1440"/>
        <w:rPr>
          <w:rFonts w:ascii="Times New Roman" w:eastAsia="Times New Roman" w:hAnsi="Times New Roman"/>
          <w:sz w:val="22"/>
          <w:lang w:val="bg-BG"/>
        </w:rPr>
      </w:pPr>
      <w:r w:rsidRPr="00853827">
        <w:rPr>
          <w:rFonts w:ascii="Times New Roman" w:eastAsia="Times New Roman" w:hAnsi="Times New Roman"/>
          <w:sz w:val="22"/>
          <w:lang w:val="bg-BG"/>
        </w:rPr>
        <w:t>Най-висока</w:t>
      </w:r>
      <w:r w:rsidRPr="00853827">
        <w:rPr>
          <w:rFonts w:ascii="Times New Roman" w:eastAsia="Times New Roman" w:hAnsi="Times New Roman"/>
          <w:color w:val="000000"/>
          <w:sz w:val="22"/>
          <w:lang w:val="bg-BG"/>
        </w:rPr>
        <w:t xml:space="preserve"> икономическа вътрешна норма на възвръщаемост над 5%;</w:t>
      </w:r>
    </w:p>
    <w:p w14:paraId="177C5727" w14:textId="77777777" w:rsidR="00DE19E4" w:rsidRPr="00853827" w:rsidRDefault="00DE19E4" w:rsidP="0021547C">
      <w:pPr>
        <w:numPr>
          <w:ilvl w:val="0"/>
          <w:numId w:val="84"/>
        </w:numPr>
        <w:spacing w:after="0" w:line="360" w:lineRule="auto"/>
        <w:ind w:left="1440"/>
        <w:rPr>
          <w:rFonts w:ascii="Times New Roman" w:eastAsia="Times New Roman" w:hAnsi="Times New Roman"/>
          <w:sz w:val="22"/>
          <w:lang w:val="bg-BG"/>
        </w:rPr>
      </w:pPr>
      <w:r w:rsidRPr="00853827">
        <w:rPr>
          <w:rFonts w:ascii="Times New Roman" w:eastAsia="Times New Roman" w:hAnsi="Times New Roman"/>
          <w:sz w:val="22"/>
          <w:lang w:val="bg-BG"/>
        </w:rPr>
        <w:t xml:space="preserve">Най-висока стойност на </w:t>
      </w:r>
      <w:r w:rsidRPr="00853827">
        <w:rPr>
          <w:rFonts w:ascii="Times New Roman" w:eastAsia="Times New Roman" w:hAnsi="Times New Roman"/>
          <w:color w:val="000000"/>
          <w:sz w:val="22"/>
          <w:lang w:val="bg-BG"/>
        </w:rPr>
        <w:t xml:space="preserve">коефициент ползи/разходи </w:t>
      </w:r>
      <w:r w:rsidRPr="00853827">
        <w:rPr>
          <w:rFonts w:ascii="Times New Roman" w:eastAsia="Times New Roman" w:hAnsi="Times New Roman"/>
          <w:color w:val="000000"/>
          <w:sz w:val="22"/>
        </w:rPr>
        <w:t>&gt;</w:t>
      </w:r>
      <w:r w:rsidRPr="00853827">
        <w:rPr>
          <w:rFonts w:ascii="Times New Roman" w:eastAsia="Times New Roman" w:hAnsi="Times New Roman"/>
          <w:color w:val="000000"/>
          <w:sz w:val="22"/>
          <w:lang w:val="bg-BG"/>
        </w:rPr>
        <w:t xml:space="preserve"> 1.0.</w:t>
      </w:r>
    </w:p>
    <w:p w14:paraId="182840DF" w14:textId="4EDB0237" w:rsidR="00DE19E4" w:rsidRPr="00853827" w:rsidRDefault="00DE19E4" w:rsidP="00853827">
      <w:pPr>
        <w:spacing w:after="0" w:line="360" w:lineRule="auto"/>
        <w:ind w:firstLine="720"/>
        <w:rPr>
          <w:rFonts w:ascii="Times New Roman" w:eastAsia="Times New Roman" w:hAnsi="Times New Roman"/>
          <w:sz w:val="22"/>
          <w:lang w:val="bg-BG"/>
        </w:rPr>
      </w:pPr>
      <w:r w:rsidRPr="00853827">
        <w:rPr>
          <w:rFonts w:ascii="Times New Roman" w:eastAsia="Times New Roman" w:hAnsi="Times New Roman"/>
          <w:sz w:val="22"/>
          <w:lang w:val="bg-BG"/>
        </w:rPr>
        <w:t>Поради гореизброените предимства и получената най-добра окончателна оценка от Му</w:t>
      </w:r>
      <w:r w:rsidR="001E75F7" w:rsidRPr="00853827">
        <w:rPr>
          <w:rFonts w:ascii="Times New Roman" w:eastAsia="Times New Roman" w:hAnsi="Times New Roman"/>
          <w:sz w:val="22"/>
          <w:lang w:val="bg-BG"/>
        </w:rPr>
        <w:t xml:space="preserve">лтикритериалния анализ </w:t>
      </w:r>
      <w:r w:rsidR="009E7279">
        <w:rPr>
          <w:rFonts w:ascii="Times New Roman" w:eastAsia="Times New Roman" w:hAnsi="Times New Roman"/>
          <w:sz w:val="22"/>
          <w:lang w:val="bg-BG"/>
        </w:rPr>
        <w:t>Вариант 1</w:t>
      </w:r>
      <w:r w:rsidRPr="00853827">
        <w:rPr>
          <w:rFonts w:ascii="Times New Roman" w:eastAsia="Times New Roman" w:hAnsi="Times New Roman"/>
          <w:sz w:val="22"/>
          <w:lang w:val="bg-BG"/>
        </w:rPr>
        <w:t xml:space="preserve"> се избира за предпочитан вариант за разработване във фаза техническо проектиране.</w:t>
      </w:r>
    </w:p>
    <w:p w14:paraId="5B4D6C59" w14:textId="77777777" w:rsidR="00DE19E4" w:rsidRPr="00DE19E4" w:rsidRDefault="00DE19E4" w:rsidP="00DE19E4">
      <w:pPr>
        <w:spacing w:after="120" w:line="24" w:lineRule="atLeast"/>
        <w:ind w:firstLine="720"/>
        <w:rPr>
          <w:rFonts w:ascii="Times New Roman" w:hAnsi="Times New Roman"/>
          <w:b/>
          <w:color w:val="00B0F0"/>
          <w:sz w:val="24"/>
          <w:szCs w:val="24"/>
          <w:lang w:val="bg-BG"/>
        </w:rPr>
      </w:pPr>
    </w:p>
    <w:p w14:paraId="02E9312F" w14:textId="2E131F86" w:rsidR="00F84F63" w:rsidRPr="00805152" w:rsidRDefault="00DE19E4" w:rsidP="0091075A">
      <w:pPr>
        <w:spacing w:after="0" w:line="240" w:lineRule="auto"/>
        <w:jc w:val="left"/>
        <w:rPr>
          <w:rFonts w:ascii="Times New Roman" w:eastAsia="Times New Roman" w:hAnsi="Times New Roman"/>
          <w:sz w:val="22"/>
          <w:lang w:val="bg-BG"/>
        </w:rPr>
      </w:pPr>
      <w:r>
        <w:rPr>
          <w:rFonts w:ascii="Times New Roman" w:eastAsia="Times New Roman" w:hAnsi="Times New Roman"/>
          <w:sz w:val="22"/>
          <w:lang w:val="bg-BG"/>
        </w:rPr>
        <w:br w:type="page"/>
      </w:r>
    </w:p>
    <w:p w14:paraId="57B7C532" w14:textId="1582C7E3" w:rsidR="00A127A2" w:rsidRDefault="00A127A2" w:rsidP="00A127A2">
      <w:pPr>
        <w:pStyle w:val="Heading1"/>
        <w:rPr>
          <w:rFonts w:ascii="Times New Roman" w:hAnsi="Times New Roman"/>
          <w:lang w:val="bg-BG"/>
        </w:rPr>
      </w:pPr>
      <w:bookmarkStart w:id="154" w:name="_Toc136961134"/>
      <w:r w:rsidRPr="00805152">
        <w:rPr>
          <w:rFonts w:ascii="Times New Roman" w:hAnsi="Times New Roman"/>
          <w:lang w:val="bg-BG"/>
        </w:rPr>
        <w:lastRenderedPageBreak/>
        <w:t>Влияние на проекта върху околната среда и промяната на климата</w:t>
      </w:r>
      <w:bookmarkEnd w:id="154"/>
    </w:p>
    <w:p w14:paraId="450E4C71" w14:textId="77777777" w:rsidR="00D56102" w:rsidRPr="0021254E" w:rsidRDefault="00D56102" w:rsidP="00D56102">
      <w:pPr>
        <w:spacing w:after="120" w:line="24" w:lineRule="atLeast"/>
        <w:ind w:firstLine="720"/>
        <w:rPr>
          <w:rFonts w:ascii="Times New Roman" w:hAnsi="Times New Roman"/>
          <w:b/>
          <w:i/>
          <w:sz w:val="24"/>
          <w:szCs w:val="24"/>
          <w:lang w:val="bg-BG" w:eastAsia="ar-SA"/>
        </w:rPr>
      </w:pPr>
      <w:r w:rsidRPr="0021254E">
        <w:rPr>
          <w:rFonts w:ascii="Times New Roman" w:hAnsi="Times New Roman"/>
          <w:b/>
          <w:i/>
          <w:sz w:val="24"/>
          <w:szCs w:val="24"/>
          <w:lang w:val="bg-BG" w:eastAsia="ar-SA"/>
        </w:rPr>
        <w:t>Кратко описание на планираната  дейност:</w:t>
      </w:r>
    </w:p>
    <w:p w14:paraId="7995A75A" w14:textId="4DCE33B0" w:rsidR="008442CE" w:rsidRPr="008442CE" w:rsidRDefault="008442CE" w:rsidP="00966C25">
      <w:pPr>
        <w:spacing w:after="0"/>
        <w:ind w:firstLine="576"/>
        <w:rPr>
          <w:rFonts w:ascii="Times New Roman" w:eastAsia="Times New Roman" w:hAnsi="Times New Roman"/>
          <w:sz w:val="22"/>
          <w:lang w:val="bg-BG"/>
        </w:rPr>
      </w:pPr>
      <w:r w:rsidRPr="008442CE">
        <w:rPr>
          <w:rFonts w:ascii="Times New Roman" w:eastAsia="Times New Roman" w:hAnsi="Times New Roman"/>
          <w:b/>
          <w:bCs/>
          <w:sz w:val="22"/>
          <w:lang w:val="bg-BG"/>
        </w:rPr>
        <w:t>Вариант 1</w:t>
      </w:r>
      <w:r w:rsidRPr="008442CE">
        <w:rPr>
          <w:rFonts w:ascii="Times New Roman" w:eastAsia="Times New Roman" w:hAnsi="Times New Roman"/>
          <w:sz w:val="22"/>
          <w:lang w:val="bg-BG"/>
        </w:rPr>
        <w:t xml:space="preserve"> представлява вълнолом със защита от тетраподи с наклон 1/1.33</w:t>
      </w:r>
      <w:r>
        <w:rPr>
          <w:rFonts w:ascii="Times New Roman" w:eastAsia="Times New Roman" w:hAnsi="Times New Roman"/>
          <w:sz w:val="22"/>
          <w:lang w:val="bg-BG"/>
        </w:rPr>
        <w:t xml:space="preserve">, като </w:t>
      </w:r>
      <w:r w:rsidRPr="008442CE">
        <w:rPr>
          <w:rFonts w:ascii="Times New Roman" w:eastAsia="Times New Roman" w:hAnsi="Times New Roman"/>
          <w:sz w:val="22"/>
          <w:lang w:val="bg-BG"/>
        </w:rPr>
        <w:t>условно вълноломът е разделен на 3 части</w:t>
      </w:r>
      <w:r>
        <w:rPr>
          <w:rFonts w:ascii="Times New Roman" w:eastAsia="Times New Roman" w:hAnsi="Times New Roman"/>
          <w:sz w:val="22"/>
          <w:lang w:val="bg-BG"/>
        </w:rPr>
        <w:t>,</w:t>
      </w:r>
      <w:r w:rsidRPr="008442CE">
        <w:rPr>
          <w:rFonts w:ascii="Times New Roman" w:eastAsia="Times New Roman" w:hAnsi="Times New Roman"/>
          <w:sz w:val="22"/>
          <w:lang w:val="bg-BG"/>
        </w:rPr>
        <w:t xml:space="preserve"> съвпадащи с етапите на строителство. </w:t>
      </w:r>
      <w:r>
        <w:rPr>
          <w:rFonts w:ascii="Times New Roman" w:eastAsia="Times New Roman" w:hAnsi="Times New Roman"/>
          <w:sz w:val="22"/>
          <w:lang w:val="bg-BG"/>
        </w:rPr>
        <w:t>Р</w:t>
      </w:r>
      <w:r w:rsidRPr="008442CE">
        <w:rPr>
          <w:rFonts w:ascii="Times New Roman" w:eastAsia="Times New Roman" w:hAnsi="Times New Roman"/>
          <w:sz w:val="22"/>
          <w:lang w:val="bg-BG"/>
        </w:rPr>
        <w:t>еконструкция изисква и обособяване на пешеходна зона</w:t>
      </w:r>
      <w:r w:rsidR="00966C25">
        <w:rPr>
          <w:rFonts w:ascii="Times New Roman" w:eastAsia="Times New Roman" w:hAnsi="Times New Roman"/>
          <w:sz w:val="22"/>
          <w:lang w:val="bg-BG"/>
        </w:rPr>
        <w:t xml:space="preserve">. </w:t>
      </w:r>
      <w:r w:rsidRPr="008442CE">
        <w:rPr>
          <w:rFonts w:ascii="Times New Roman" w:eastAsia="Times New Roman" w:hAnsi="Times New Roman"/>
          <w:sz w:val="22"/>
          <w:lang w:val="bg-BG"/>
        </w:rPr>
        <w:t>Предвидено е отстраняване на съществуващият вълнобой</w:t>
      </w:r>
      <w:r w:rsidRPr="008442CE">
        <w:rPr>
          <w:rFonts w:ascii="Times New Roman" w:eastAsia="Times New Roman" w:hAnsi="Times New Roman"/>
          <w:sz w:val="22"/>
          <w:lang w:val="en-US"/>
        </w:rPr>
        <w:t>,</w:t>
      </w:r>
      <w:r w:rsidRPr="008442CE">
        <w:rPr>
          <w:rFonts w:ascii="Times New Roman" w:eastAsia="Times New Roman" w:hAnsi="Times New Roman"/>
          <w:sz w:val="22"/>
          <w:lang w:val="bg-BG"/>
        </w:rPr>
        <w:t xml:space="preserve"> </w:t>
      </w:r>
      <w:r w:rsidR="00966C25">
        <w:rPr>
          <w:rFonts w:ascii="Times New Roman" w:eastAsia="Times New Roman" w:hAnsi="Times New Roman"/>
          <w:sz w:val="22"/>
          <w:lang w:val="bg-BG"/>
        </w:rPr>
        <w:t xml:space="preserve">чрез </w:t>
      </w:r>
      <w:r w:rsidRPr="008442CE">
        <w:rPr>
          <w:rFonts w:ascii="Times New Roman" w:eastAsia="Times New Roman" w:hAnsi="Times New Roman"/>
          <w:sz w:val="22"/>
          <w:lang w:val="bg-BG"/>
        </w:rPr>
        <w:t>разкъртване на връзката между вълнобоя и фундамента и последващо изрязване на армировката.</w:t>
      </w:r>
      <w:r w:rsidR="00966C25">
        <w:rPr>
          <w:rFonts w:ascii="Times New Roman" w:eastAsia="Times New Roman" w:hAnsi="Times New Roman"/>
          <w:sz w:val="22"/>
          <w:lang w:val="bg-BG"/>
        </w:rPr>
        <w:t xml:space="preserve"> </w:t>
      </w:r>
      <w:r w:rsidRPr="008442CE">
        <w:rPr>
          <w:rFonts w:ascii="Times New Roman" w:eastAsia="Times New Roman" w:hAnsi="Times New Roman"/>
          <w:sz w:val="22"/>
          <w:lang w:val="bg-BG"/>
        </w:rPr>
        <w:t>Демонтираните елементи се транспортират на депо за строителни отпадъци. След извършване на демонтажа се пристъпва към почистване на всички видими повърхности за отстраняване на напуканите участъци торкрет. Почистването ще се извършва с водно бластиране с налягане над 300 бара. От страната на морето са предвидени следните мероприятия:</w:t>
      </w:r>
    </w:p>
    <w:p w14:paraId="7D422BDE" w14:textId="77777777" w:rsidR="008442CE" w:rsidRPr="008442CE" w:rsidRDefault="008442CE" w:rsidP="008442CE">
      <w:pPr>
        <w:numPr>
          <w:ilvl w:val="0"/>
          <w:numId w:val="93"/>
        </w:numPr>
        <w:spacing w:after="0"/>
        <w:rPr>
          <w:rFonts w:ascii="Times New Roman" w:eastAsia="Times New Roman" w:hAnsi="Times New Roman"/>
          <w:sz w:val="22"/>
          <w:lang w:val="bg-BG"/>
        </w:rPr>
      </w:pPr>
      <w:r w:rsidRPr="008442CE">
        <w:rPr>
          <w:rFonts w:ascii="Times New Roman" w:eastAsia="Times New Roman" w:hAnsi="Times New Roman"/>
          <w:sz w:val="22"/>
          <w:lang w:val="bg-BG"/>
        </w:rPr>
        <w:t>Отстраняване на съществуващи тетраподи.</w:t>
      </w:r>
    </w:p>
    <w:p w14:paraId="6E99CD5F" w14:textId="77777777" w:rsidR="008442CE" w:rsidRPr="008442CE" w:rsidRDefault="008442CE" w:rsidP="008442CE">
      <w:pPr>
        <w:numPr>
          <w:ilvl w:val="0"/>
          <w:numId w:val="93"/>
        </w:numPr>
        <w:spacing w:after="0"/>
        <w:rPr>
          <w:rFonts w:ascii="Times New Roman" w:eastAsia="Times New Roman" w:hAnsi="Times New Roman"/>
          <w:sz w:val="22"/>
          <w:lang w:val="bg-BG"/>
        </w:rPr>
      </w:pPr>
      <w:r w:rsidRPr="008442CE">
        <w:rPr>
          <w:rFonts w:ascii="Times New Roman" w:eastAsia="Times New Roman" w:hAnsi="Times New Roman"/>
          <w:sz w:val="22"/>
          <w:lang w:val="bg-BG"/>
        </w:rPr>
        <w:t>Направа на изкопи и откосиране на основен пласт СБ 500 - 1500kg с дебелина 2,00 - 2,50 м. и откос 1:1,33.</w:t>
      </w:r>
    </w:p>
    <w:p w14:paraId="1D689ABE" w14:textId="77777777" w:rsidR="008442CE" w:rsidRPr="008442CE" w:rsidRDefault="008442CE" w:rsidP="008442CE">
      <w:pPr>
        <w:numPr>
          <w:ilvl w:val="0"/>
          <w:numId w:val="93"/>
        </w:numPr>
        <w:spacing w:after="0"/>
        <w:rPr>
          <w:rFonts w:ascii="Times New Roman" w:eastAsia="Times New Roman" w:hAnsi="Times New Roman"/>
          <w:sz w:val="22"/>
          <w:lang w:val="bg-BG"/>
        </w:rPr>
      </w:pPr>
      <w:r w:rsidRPr="008442CE">
        <w:rPr>
          <w:rFonts w:ascii="Times New Roman" w:eastAsia="Times New Roman" w:hAnsi="Times New Roman"/>
          <w:sz w:val="22"/>
          <w:lang w:val="bg-BG"/>
        </w:rPr>
        <w:t>Полагане бронировка и откосиране на СБ 1500 - 4000kg с дебелина 2,00 . и откос с m =1,33</w:t>
      </w:r>
    </w:p>
    <w:p w14:paraId="51052DC9" w14:textId="77777777" w:rsidR="008442CE" w:rsidRPr="008442CE" w:rsidRDefault="008442CE" w:rsidP="008442CE">
      <w:pPr>
        <w:numPr>
          <w:ilvl w:val="0"/>
          <w:numId w:val="93"/>
        </w:numPr>
        <w:spacing w:after="0"/>
        <w:rPr>
          <w:rFonts w:ascii="Times New Roman" w:eastAsia="Times New Roman" w:hAnsi="Times New Roman"/>
          <w:sz w:val="22"/>
          <w:lang w:val="bg-BG"/>
        </w:rPr>
      </w:pPr>
      <w:r w:rsidRPr="008442CE">
        <w:rPr>
          <w:rFonts w:ascii="Times New Roman" w:eastAsia="Times New Roman" w:hAnsi="Times New Roman"/>
          <w:sz w:val="22"/>
          <w:lang w:val="bg-BG"/>
        </w:rPr>
        <w:t>Полагане на тетраподи.</w:t>
      </w:r>
    </w:p>
    <w:p w14:paraId="44355996" w14:textId="48EECF34" w:rsidR="009F321D" w:rsidRPr="00FD2689" w:rsidRDefault="00A127A2" w:rsidP="009F321D">
      <w:pPr>
        <w:pStyle w:val="Heading2"/>
        <w:rPr>
          <w:rFonts w:ascii="Times New Roman" w:hAnsi="Times New Roman"/>
          <w:lang w:val="bg-BG"/>
        </w:rPr>
      </w:pPr>
      <w:bookmarkStart w:id="155" w:name="_Toc136961135"/>
      <w:r w:rsidRPr="00805152">
        <w:rPr>
          <w:rFonts w:ascii="Times New Roman" w:hAnsi="Times New Roman"/>
          <w:lang w:val="bg-BG"/>
        </w:rPr>
        <w:t>Нормативна база, свързана с проекта</w:t>
      </w:r>
      <w:bookmarkEnd w:id="155"/>
    </w:p>
    <w:p w14:paraId="7C517CCD" w14:textId="77777777" w:rsidR="00D56102" w:rsidRPr="00E131E5" w:rsidRDefault="00D56102" w:rsidP="00D56102">
      <w:pPr>
        <w:spacing w:after="120" w:line="360" w:lineRule="auto"/>
        <w:ind w:firstLine="720"/>
        <w:rPr>
          <w:rFonts w:ascii="Times New Roman" w:hAnsi="Times New Roman"/>
          <w:sz w:val="22"/>
          <w:lang w:val="bg-BG" w:eastAsia="ar-SA"/>
        </w:rPr>
      </w:pPr>
      <w:r w:rsidRPr="00E131E5">
        <w:rPr>
          <w:rFonts w:ascii="Times New Roman" w:hAnsi="Times New Roman"/>
          <w:sz w:val="22"/>
          <w:lang w:val="bg-BG" w:eastAsia="ar-SA"/>
        </w:rPr>
        <w:t>Към проекта са относими следните нормативни актове, свързани с управлението на околната среда:</w:t>
      </w:r>
    </w:p>
    <w:p w14:paraId="5D2DBD4A"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Закона за опазване на околната среда (ЗООС, обн. - ДВ, бр. 91 от 25.09.2002 г.. и посл. измен.);</w:t>
      </w:r>
    </w:p>
    <w:p w14:paraId="3EC3B84B"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Закон за водите (ЗВ, обн. ДВ. бр.67 от 27 Юли 1999г., и посл. измен);</w:t>
      </w:r>
    </w:p>
    <w:p w14:paraId="7581EB1C"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Закон за биологичното разнообразие (ЗБР, обн., ДВ, бр. 77 от 9.08.2002 г. и посл. изм.);</w:t>
      </w:r>
    </w:p>
    <w:p w14:paraId="14259785"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Закон за управление на отпадъците (обн. ДВ, бр.86/30.09.2003 г. и посл. изм.);</w:t>
      </w:r>
    </w:p>
    <w:p w14:paraId="01329705"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Закон за защита от шума в околната среда (ДВ, бр.74/2005 г. и посл. изм.)</w:t>
      </w:r>
    </w:p>
    <w:p w14:paraId="0CD85C28"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Наредбата за условията и реда за извършване на оценка на въздействието върху околната среда (ОВОС) (обн. ДВ. бр.25 от 18 Март 2003г. и посл. измен.);</w:t>
      </w:r>
    </w:p>
    <w:p w14:paraId="63542CFE"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(Наредбата за ОС, обн., ДВ, бр. 73/2007 г. и посл. измен.);</w:t>
      </w:r>
    </w:p>
    <w:p w14:paraId="2F4EF609" w14:textId="77777777" w:rsidR="00D56102" w:rsidRPr="00E131E5" w:rsidRDefault="00D56102" w:rsidP="00D56102">
      <w:pPr>
        <w:numPr>
          <w:ilvl w:val="0"/>
          <w:numId w:val="90"/>
        </w:numPr>
        <w:spacing w:after="120" w:line="360" w:lineRule="auto"/>
        <w:contextualSpacing/>
        <w:rPr>
          <w:rFonts w:ascii="Times New Roman" w:hAnsi="Times New Roman"/>
          <w:sz w:val="22"/>
          <w:lang w:val="bg-BG"/>
        </w:rPr>
      </w:pPr>
      <w:r w:rsidRPr="00E131E5">
        <w:rPr>
          <w:rFonts w:ascii="Times New Roman" w:hAnsi="Times New Roman"/>
          <w:sz w:val="22"/>
          <w:lang w:val="bg-BG"/>
        </w:rPr>
        <w:t>Наредба № 2/2014 г. за класификация на отпадъците (обн., ДВ, бр. 44 от 25.05.2014 г. и посл. изм.).</w:t>
      </w:r>
    </w:p>
    <w:p w14:paraId="0F50C92D" w14:textId="77777777" w:rsidR="00D56102" w:rsidRPr="00805152" w:rsidRDefault="00D56102" w:rsidP="009F321D">
      <w:pPr>
        <w:pStyle w:val="BodyText"/>
        <w:rPr>
          <w:rFonts w:ascii="Times New Roman" w:hAnsi="Times New Roman"/>
          <w:lang w:val="bg-BG"/>
        </w:rPr>
      </w:pPr>
    </w:p>
    <w:p w14:paraId="4DBA9972" w14:textId="4E966986" w:rsidR="009F321D" w:rsidRPr="00FD2689" w:rsidRDefault="00A127A2" w:rsidP="009F321D">
      <w:pPr>
        <w:pStyle w:val="Heading2"/>
        <w:rPr>
          <w:rFonts w:ascii="Times New Roman" w:hAnsi="Times New Roman"/>
          <w:lang w:val="bg-BG"/>
        </w:rPr>
      </w:pPr>
      <w:bookmarkStart w:id="156" w:name="_Toc136961136"/>
      <w:r w:rsidRPr="00805152">
        <w:rPr>
          <w:rFonts w:ascii="Times New Roman" w:hAnsi="Times New Roman"/>
          <w:lang w:val="bg-BG"/>
        </w:rPr>
        <w:lastRenderedPageBreak/>
        <w:t>Етапи и процедури, изпълнени до момента</w:t>
      </w:r>
      <w:bookmarkEnd w:id="156"/>
    </w:p>
    <w:p w14:paraId="623BDD77" w14:textId="77777777" w:rsidR="00394BBC" w:rsidRPr="00394BBC" w:rsidRDefault="00394BBC" w:rsidP="00394BBC">
      <w:pPr>
        <w:spacing w:after="120" w:line="360" w:lineRule="auto"/>
        <w:ind w:firstLine="720"/>
        <w:rPr>
          <w:rFonts w:ascii="Times New Roman" w:hAnsi="Times New Roman"/>
          <w:sz w:val="22"/>
          <w:lang w:val="bg-BG" w:eastAsia="ar-SA"/>
        </w:rPr>
      </w:pPr>
      <w:bookmarkStart w:id="157" w:name="_Toc136961137"/>
      <w:r w:rsidRPr="00394BBC">
        <w:rPr>
          <w:rFonts w:ascii="Times New Roman" w:hAnsi="Times New Roman"/>
          <w:sz w:val="22"/>
          <w:lang w:val="bg-BG" w:eastAsia="ar-SA"/>
        </w:rPr>
        <w:t>С писмо изх. № 11-00-11/24.01.2020 г. ДППИ е уведомило Министерство на околната среда и водите за инвестиционното си намерение за рехабилитация на вълнолом в Пристанище Бургас. По компетентност, с отговор се е произнесъл РИОСВ Бургас, с писмо изх. № ПД-335-(3)/27.02.2020 г. , с което е изразено становище, че дейността не попада в приложното поле на глава шеста, раздел трети на Закона за опазване на околната среда.</w:t>
      </w:r>
    </w:p>
    <w:p w14:paraId="2DAC0C00" w14:textId="77777777" w:rsidR="00394BBC" w:rsidRPr="00394BBC" w:rsidRDefault="00394BBC" w:rsidP="00394BBC">
      <w:pPr>
        <w:spacing w:after="120" w:line="360" w:lineRule="auto"/>
        <w:ind w:firstLine="720"/>
        <w:rPr>
          <w:rFonts w:ascii="Times New Roman" w:hAnsi="Times New Roman"/>
          <w:sz w:val="22"/>
          <w:lang w:val="bg-BG" w:eastAsia="ar-SA"/>
        </w:rPr>
      </w:pPr>
      <w:r w:rsidRPr="00394BBC">
        <w:rPr>
          <w:rFonts w:ascii="Times New Roman" w:hAnsi="Times New Roman"/>
          <w:sz w:val="22"/>
          <w:lang w:val="bg-BG" w:eastAsia="ar-SA"/>
        </w:rPr>
        <w:t xml:space="preserve">В съответствие със Закона за водите и издадено Разрешително за ползване на повърхностен воден обект № 22370043/18.07.2023 г. </w:t>
      </w:r>
    </w:p>
    <w:p w14:paraId="3C5539D0" w14:textId="77777777" w:rsidR="00394BBC" w:rsidRPr="00394BBC" w:rsidRDefault="00394BBC" w:rsidP="00394BBC">
      <w:pPr>
        <w:spacing w:after="120" w:line="360" w:lineRule="auto"/>
        <w:ind w:firstLine="720"/>
        <w:rPr>
          <w:rFonts w:ascii="Times New Roman" w:hAnsi="Times New Roman"/>
          <w:sz w:val="22"/>
          <w:lang w:val="bg-BG" w:eastAsia="ar-SA"/>
        </w:rPr>
      </w:pPr>
      <w:r w:rsidRPr="00394BBC">
        <w:rPr>
          <w:rFonts w:ascii="Times New Roman" w:hAnsi="Times New Roman"/>
          <w:sz w:val="22"/>
          <w:lang w:val="bg-BG" w:eastAsia="ar-SA"/>
        </w:rPr>
        <w:t>С тези документи, към настоящия момент са изпълнени задълженията по околна среда, свързани с реализацията на проекта.</w:t>
      </w:r>
    </w:p>
    <w:p w14:paraId="2C97A3ED" w14:textId="77777777" w:rsidR="00394BBC" w:rsidRPr="00394BBC" w:rsidRDefault="00394BBC" w:rsidP="00394BBC">
      <w:pPr>
        <w:spacing w:after="120" w:line="360" w:lineRule="auto"/>
        <w:ind w:firstLine="720"/>
        <w:rPr>
          <w:rFonts w:ascii="Times New Roman" w:hAnsi="Times New Roman"/>
          <w:sz w:val="22"/>
          <w:lang w:val="bg-BG" w:eastAsia="ar-SA"/>
        </w:rPr>
      </w:pPr>
      <w:r w:rsidRPr="00394BBC">
        <w:rPr>
          <w:rFonts w:ascii="Times New Roman" w:hAnsi="Times New Roman"/>
          <w:sz w:val="22"/>
          <w:lang w:val="bg-BG" w:eastAsia="ar-SA"/>
        </w:rPr>
        <w:t xml:space="preserve">В случай, че настъпят промени в така съгласувания проекти, то ДППИ следва да уведоми писмено органите по околна среда. </w:t>
      </w:r>
    </w:p>
    <w:p w14:paraId="0A9D8EF9" w14:textId="0C39FB5D" w:rsidR="009F321D" w:rsidRPr="00FD2689" w:rsidRDefault="00A127A2" w:rsidP="009F321D">
      <w:pPr>
        <w:pStyle w:val="Heading2"/>
        <w:rPr>
          <w:rFonts w:ascii="Times New Roman" w:hAnsi="Times New Roman"/>
          <w:lang w:val="bg-BG"/>
        </w:rPr>
      </w:pPr>
      <w:r w:rsidRPr="00805152">
        <w:rPr>
          <w:rFonts w:ascii="Times New Roman" w:hAnsi="Times New Roman"/>
          <w:lang w:val="bg-BG"/>
        </w:rPr>
        <w:t>Преценка за влияние върху околната среда</w:t>
      </w:r>
      <w:bookmarkEnd w:id="157"/>
    </w:p>
    <w:p w14:paraId="3A7669D6" w14:textId="77777777" w:rsidR="00D56102" w:rsidRDefault="00D56102" w:rsidP="00D56102">
      <w:pPr>
        <w:spacing w:after="120" w:line="360" w:lineRule="auto"/>
        <w:ind w:firstLine="720"/>
        <w:rPr>
          <w:rFonts w:ascii="Times New Roman" w:hAnsi="Times New Roman"/>
          <w:sz w:val="22"/>
          <w:lang w:val="bg-BG" w:eastAsia="ar-SA"/>
        </w:rPr>
      </w:pPr>
      <w:r w:rsidRPr="00E131E5">
        <w:rPr>
          <w:rFonts w:ascii="Times New Roman" w:hAnsi="Times New Roman"/>
          <w:sz w:val="22"/>
          <w:lang w:val="bg-BG" w:eastAsia="ar-SA"/>
        </w:rPr>
        <w:t>По предварителни данни, преценката за потенциалните въздействия върху околната среда, в резултат от осъществяване на дейността, могат да бъдат определени по следния начин:</w:t>
      </w:r>
    </w:p>
    <w:p w14:paraId="6BC70544" w14:textId="29BB2BFC" w:rsidR="00D56102" w:rsidRDefault="00D56102" w:rsidP="00D56102">
      <w:pPr>
        <w:pStyle w:val="ListParagraph"/>
        <w:numPr>
          <w:ilvl w:val="0"/>
          <w:numId w:val="87"/>
        </w:numPr>
        <w:spacing w:after="120" w:line="360" w:lineRule="auto"/>
        <w:rPr>
          <w:rFonts w:ascii="Times New Roman" w:hAnsi="Times New Roman"/>
          <w:lang w:val="bg-BG" w:eastAsia="ar-SA"/>
        </w:rPr>
      </w:pPr>
      <w:r w:rsidRPr="00B27B72">
        <w:rPr>
          <w:rFonts w:ascii="Times New Roman" w:hAnsi="Times New Roman"/>
          <w:lang w:val="bg-BG"/>
        </w:rPr>
        <w:t xml:space="preserve">ИП ще се реализира в границите на съществуващ </w:t>
      </w:r>
      <w:r w:rsidR="005C5BB4" w:rsidRPr="00B27B72">
        <w:rPr>
          <w:rFonts w:ascii="Times New Roman" w:hAnsi="Times New Roman"/>
          <w:lang w:val="bg-BG"/>
        </w:rPr>
        <w:t>пристанищен</w:t>
      </w:r>
      <w:r w:rsidRPr="00B27B72">
        <w:rPr>
          <w:rFonts w:ascii="Times New Roman" w:hAnsi="Times New Roman"/>
          <w:lang w:val="bg-BG"/>
        </w:rPr>
        <w:t xml:space="preserve"> терминал, но ще се извършат определени дейности във водната територия. </w:t>
      </w:r>
    </w:p>
    <w:p w14:paraId="4D21E954" w14:textId="77777777" w:rsidR="00D56102" w:rsidRDefault="00D56102" w:rsidP="00D56102">
      <w:pPr>
        <w:pStyle w:val="ListParagraph"/>
        <w:numPr>
          <w:ilvl w:val="0"/>
          <w:numId w:val="87"/>
        </w:numPr>
        <w:spacing w:after="120" w:line="360" w:lineRule="auto"/>
        <w:rPr>
          <w:rFonts w:ascii="Times New Roman" w:hAnsi="Times New Roman"/>
          <w:lang w:val="bg-BG" w:eastAsia="ar-SA"/>
        </w:rPr>
      </w:pPr>
      <w:r w:rsidRPr="00B27B72">
        <w:rPr>
          <w:rFonts w:ascii="Times New Roman" w:hAnsi="Times New Roman"/>
          <w:lang w:val="bg-BG"/>
        </w:rPr>
        <w:t xml:space="preserve">Въздействие върху атмосферния въздух е възможно временно, краткосрочно, по време на строителството (отделяне на прахови емисии при изкопни и насипни работи на сушата), както и по време на експлоатацията емисии от корабите и обслужващата техника. </w:t>
      </w:r>
    </w:p>
    <w:p w14:paraId="29011D73" w14:textId="5C5E9949" w:rsidR="00D56102" w:rsidRPr="00B27B72" w:rsidRDefault="00D56102" w:rsidP="00D56102">
      <w:pPr>
        <w:pStyle w:val="ListParagraph"/>
        <w:numPr>
          <w:ilvl w:val="0"/>
          <w:numId w:val="87"/>
        </w:numPr>
        <w:spacing w:after="120" w:line="360" w:lineRule="auto"/>
        <w:rPr>
          <w:rFonts w:ascii="Times New Roman" w:hAnsi="Times New Roman"/>
          <w:lang w:val="bg-BG" w:eastAsia="ar-SA"/>
        </w:rPr>
      </w:pPr>
      <w:r w:rsidRPr="00B27B72">
        <w:rPr>
          <w:rFonts w:ascii="Times New Roman" w:hAnsi="Times New Roman"/>
          <w:lang w:val="bg-BG"/>
        </w:rPr>
        <w:t>Въздействие върху почвите не се очаква, тъй като няма да се з</w:t>
      </w:r>
      <w:r w:rsidRPr="00B27B72">
        <w:rPr>
          <w:rFonts w:ascii="Times New Roman" w:hAnsi="Times New Roman"/>
          <w:szCs w:val="22"/>
          <w:lang w:val="bg-BG"/>
        </w:rPr>
        <w:t>астро</w:t>
      </w:r>
      <w:r w:rsidRPr="00B27B72">
        <w:rPr>
          <w:rFonts w:ascii="Times New Roman" w:hAnsi="Times New Roman"/>
          <w:lang w:val="bg-BG"/>
        </w:rPr>
        <w:t>ява</w:t>
      </w:r>
      <w:r w:rsidRPr="00B27B72">
        <w:rPr>
          <w:rFonts w:ascii="Times New Roman" w:hAnsi="Times New Roman"/>
          <w:szCs w:val="22"/>
          <w:lang w:val="bg-BG"/>
        </w:rPr>
        <w:t xml:space="preserve"> </w:t>
      </w:r>
      <w:r w:rsidR="005C5BB4" w:rsidRPr="00B27B72">
        <w:rPr>
          <w:rFonts w:ascii="Times New Roman" w:hAnsi="Times New Roman"/>
          <w:szCs w:val="22"/>
          <w:lang w:val="bg-BG"/>
        </w:rPr>
        <w:t>неусвоен</w:t>
      </w:r>
      <w:r w:rsidRPr="00B27B72">
        <w:rPr>
          <w:rFonts w:ascii="Times New Roman" w:hAnsi="Times New Roman"/>
          <w:szCs w:val="22"/>
          <w:lang w:val="bg-BG"/>
        </w:rPr>
        <w:t xml:space="preserve"> терен.</w:t>
      </w:r>
    </w:p>
    <w:p w14:paraId="2AD387C4" w14:textId="77777777" w:rsidR="00D56102" w:rsidRDefault="00D56102" w:rsidP="00D56102">
      <w:pPr>
        <w:pStyle w:val="ListParagraph"/>
        <w:numPr>
          <w:ilvl w:val="0"/>
          <w:numId w:val="87"/>
        </w:numPr>
        <w:spacing w:after="120" w:line="360" w:lineRule="auto"/>
        <w:rPr>
          <w:rFonts w:ascii="Times New Roman" w:hAnsi="Times New Roman"/>
          <w:lang w:val="bg-BG" w:eastAsia="ar-SA"/>
        </w:rPr>
      </w:pPr>
      <w:r>
        <w:rPr>
          <w:rFonts w:ascii="Times New Roman" w:hAnsi="Times New Roman"/>
          <w:lang w:val="bg-BG"/>
        </w:rPr>
        <w:t>По време на строителството, се о</w:t>
      </w:r>
      <w:r w:rsidRPr="00B27B72">
        <w:rPr>
          <w:rFonts w:ascii="Times New Roman" w:hAnsi="Times New Roman"/>
          <w:lang w:val="bg-BG"/>
        </w:rPr>
        <w:t>чаква въздействие върху водите на Черно море, ко</w:t>
      </w:r>
      <w:r>
        <w:rPr>
          <w:rFonts w:ascii="Times New Roman" w:hAnsi="Times New Roman"/>
          <w:lang w:val="bg-BG"/>
        </w:rPr>
        <w:t>е</w:t>
      </w:r>
      <w:r w:rsidRPr="00B27B72">
        <w:rPr>
          <w:rFonts w:ascii="Times New Roman" w:hAnsi="Times New Roman"/>
          <w:lang w:val="bg-BG"/>
        </w:rPr>
        <w:t>то следва да бъд</w:t>
      </w:r>
      <w:r>
        <w:rPr>
          <w:rFonts w:ascii="Times New Roman" w:hAnsi="Times New Roman"/>
          <w:lang w:val="bg-BG"/>
        </w:rPr>
        <w:t>е</w:t>
      </w:r>
      <w:r w:rsidRPr="00B27B72">
        <w:rPr>
          <w:rFonts w:ascii="Times New Roman" w:hAnsi="Times New Roman"/>
          <w:lang w:val="bg-BG"/>
        </w:rPr>
        <w:t xml:space="preserve"> детайлно анализиран</w:t>
      </w:r>
      <w:r>
        <w:rPr>
          <w:rFonts w:ascii="Times New Roman" w:hAnsi="Times New Roman"/>
          <w:lang w:val="bg-BG"/>
        </w:rPr>
        <w:t>о</w:t>
      </w:r>
      <w:r w:rsidRPr="00B27B72">
        <w:rPr>
          <w:rFonts w:ascii="Times New Roman" w:hAnsi="Times New Roman"/>
          <w:lang w:val="bg-BG"/>
        </w:rPr>
        <w:t xml:space="preserve"> </w:t>
      </w:r>
      <w:bookmarkStart w:id="158" w:name="_Hlk113462495"/>
      <w:r w:rsidRPr="00B27B72">
        <w:rPr>
          <w:rFonts w:ascii="Times New Roman" w:hAnsi="Times New Roman"/>
          <w:lang w:val="bg-BG"/>
        </w:rPr>
        <w:t>чрез съответните приложими процедури.</w:t>
      </w:r>
      <w:bookmarkEnd w:id="158"/>
      <w:r w:rsidRPr="00B27B72">
        <w:rPr>
          <w:rFonts w:ascii="Times New Roman" w:hAnsi="Times New Roman"/>
          <w:lang w:val="bg-BG"/>
        </w:rPr>
        <w:t xml:space="preserve"> </w:t>
      </w:r>
    </w:p>
    <w:p w14:paraId="100C2C85" w14:textId="77777777" w:rsidR="00D56102" w:rsidRPr="00B27B72" w:rsidRDefault="00D56102" w:rsidP="00D56102">
      <w:pPr>
        <w:pStyle w:val="ListParagraph"/>
        <w:numPr>
          <w:ilvl w:val="0"/>
          <w:numId w:val="87"/>
        </w:numPr>
        <w:spacing w:after="120" w:line="360" w:lineRule="auto"/>
        <w:rPr>
          <w:rFonts w:ascii="Times New Roman" w:hAnsi="Times New Roman"/>
          <w:lang w:val="bg-BG" w:eastAsia="ar-SA"/>
        </w:rPr>
      </w:pPr>
      <w:r w:rsidRPr="00B27B72">
        <w:rPr>
          <w:rFonts w:ascii="Times New Roman" w:hAnsi="Times New Roman"/>
          <w:lang w:val="bg-BG"/>
        </w:rPr>
        <w:t>На този етап не може да се предположи вероятност за възникване на трансгранични въздействия.</w:t>
      </w:r>
    </w:p>
    <w:p w14:paraId="702424D5" w14:textId="02DCE349" w:rsidR="00D56102" w:rsidRPr="00FD2689" w:rsidRDefault="00D56102" w:rsidP="00FD2689">
      <w:pPr>
        <w:spacing w:after="120" w:line="360" w:lineRule="auto"/>
        <w:ind w:firstLine="720"/>
        <w:rPr>
          <w:rFonts w:ascii="Times New Roman" w:hAnsi="Times New Roman"/>
          <w:sz w:val="22"/>
          <w:lang w:val="bg-BG" w:eastAsia="ar-SA"/>
        </w:rPr>
      </w:pPr>
      <w:r w:rsidRPr="00E131E5">
        <w:rPr>
          <w:rFonts w:ascii="Times New Roman" w:hAnsi="Times New Roman"/>
          <w:sz w:val="22"/>
          <w:lang w:val="bg-BG" w:eastAsia="ar-SA"/>
        </w:rPr>
        <w:t>Въз основа на гореизложеното, може да се обобщи, че анализът на въздействията върху околната следа от реализацията на проекта следва да бъде направен чрез съответните приложими процедури.</w:t>
      </w:r>
    </w:p>
    <w:p w14:paraId="60B0D6A7" w14:textId="5D7C6462" w:rsidR="00D56102" w:rsidRPr="00FD2689" w:rsidRDefault="00A127A2" w:rsidP="00FD2689">
      <w:pPr>
        <w:pStyle w:val="Heading2"/>
        <w:rPr>
          <w:rFonts w:ascii="Times New Roman" w:eastAsia="Times New Roman" w:hAnsi="Times New Roman"/>
          <w:sz w:val="22"/>
          <w:lang w:val="bg-BG"/>
        </w:rPr>
      </w:pPr>
      <w:bookmarkStart w:id="159" w:name="_Toc136961138"/>
      <w:r w:rsidRPr="00805152">
        <w:rPr>
          <w:rFonts w:ascii="Times New Roman" w:hAnsi="Times New Roman"/>
          <w:lang w:val="bg-BG"/>
        </w:rPr>
        <w:lastRenderedPageBreak/>
        <w:t>Преценка за влияние върху климатичните промени</w:t>
      </w:r>
      <w:bookmarkEnd w:id="159"/>
    </w:p>
    <w:p w14:paraId="31CE6E51" w14:textId="77777777" w:rsidR="00D56102" w:rsidRPr="00E131E5" w:rsidRDefault="00D56102" w:rsidP="00D56102">
      <w:pPr>
        <w:spacing w:after="120" w:line="360" w:lineRule="auto"/>
        <w:ind w:firstLine="720"/>
        <w:rPr>
          <w:rFonts w:ascii="Times New Roman" w:hAnsi="Times New Roman"/>
          <w:sz w:val="22"/>
          <w:lang w:val="bg-BG"/>
        </w:rPr>
      </w:pPr>
      <w:r w:rsidRPr="00E131E5">
        <w:rPr>
          <w:rFonts w:ascii="Times New Roman" w:hAnsi="Times New Roman"/>
          <w:sz w:val="22"/>
          <w:lang w:val="bg-BG"/>
        </w:rPr>
        <w:t xml:space="preserve">Процесите, свързани с изменението на климата, все още нямат осезаем значителен ефект върху водното ниво на Черно море. Но като част от световния океан, ключовите уязвимости към климатичните опасности могат да се определят така: </w:t>
      </w:r>
    </w:p>
    <w:p w14:paraId="576ADCC9" w14:textId="77777777" w:rsidR="00D56102" w:rsidRDefault="00D56102" w:rsidP="00D56102">
      <w:pPr>
        <w:pStyle w:val="ListParagraph"/>
        <w:numPr>
          <w:ilvl w:val="0"/>
          <w:numId w:val="91"/>
        </w:numPr>
        <w:tabs>
          <w:tab w:val="left" w:pos="993"/>
        </w:tabs>
        <w:spacing w:after="120" w:line="360" w:lineRule="auto"/>
        <w:rPr>
          <w:rFonts w:ascii="Times New Roman" w:hAnsi="Times New Roman"/>
          <w:lang w:val="bg-BG"/>
        </w:rPr>
      </w:pPr>
      <w:r w:rsidRPr="00E06687">
        <w:rPr>
          <w:rFonts w:ascii="Times New Roman" w:hAnsi="Times New Roman"/>
          <w:i/>
          <w:iCs/>
          <w:lang w:val="bg-BG"/>
        </w:rPr>
        <w:t>Състояние и подготвеност на инфраструктурата:</w:t>
      </w:r>
      <w:r w:rsidRPr="00E06687">
        <w:rPr>
          <w:rFonts w:ascii="Times New Roman" w:hAnsi="Times New Roman"/>
          <w:lang w:val="bg-BG"/>
        </w:rPr>
        <w:t xml:space="preserve"> претоварена, застаряваща, инфраструктура и следователно силно уязвима за справяне с изменението на климата. </w:t>
      </w:r>
    </w:p>
    <w:p w14:paraId="39A4F02C" w14:textId="77777777" w:rsidR="00D56102" w:rsidRDefault="00D56102" w:rsidP="00D56102">
      <w:pPr>
        <w:pStyle w:val="ListParagraph"/>
        <w:numPr>
          <w:ilvl w:val="0"/>
          <w:numId w:val="91"/>
        </w:numPr>
        <w:tabs>
          <w:tab w:val="left" w:pos="993"/>
        </w:tabs>
        <w:spacing w:after="120" w:line="360" w:lineRule="auto"/>
        <w:rPr>
          <w:rFonts w:ascii="Times New Roman" w:hAnsi="Times New Roman"/>
          <w:lang w:val="bg-BG"/>
        </w:rPr>
      </w:pPr>
      <w:r w:rsidRPr="00E06687">
        <w:rPr>
          <w:rFonts w:ascii="Times New Roman" w:hAnsi="Times New Roman"/>
          <w:i/>
          <w:iCs/>
          <w:lang w:val="bg-BG"/>
        </w:rPr>
        <w:t>Готовност на човешкия фактор, оператор или ползвател:</w:t>
      </w:r>
      <w:r w:rsidRPr="00E06687">
        <w:rPr>
          <w:rFonts w:ascii="Times New Roman" w:hAnsi="Times New Roman"/>
          <w:lang w:val="bg-BG"/>
        </w:rPr>
        <w:t xml:space="preserve"> населението и операторите на инфраструктура нямат исторически опит и не разполагат с добри практики при наводнения и суши и следователно са силно уязвими. </w:t>
      </w:r>
    </w:p>
    <w:p w14:paraId="079EAA12" w14:textId="77777777" w:rsidR="00D56102" w:rsidRDefault="00D56102" w:rsidP="00D56102">
      <w:pPr>
        <w:pStyle w:val="ListParagraph"/>
        <w:numPr>
          <w:ilvl w:val="0"/>
          <w:numId w:val="91"/>
        </w:numPr>
        <w:tabs>
          <w:tab w:val="left" w:pos="993"/>
        </w:tabs>
        <w:spacing w:after="120" w:line="360" w:lineRule="auto"/>
        <w:rPr>
          <w:rFonts w:ascii="Times New Roman" w:hAnsi="Times New Roman"/>
          <w:lang w:val="bg-BG"/>
        </w:rPr>
      </w:pPr>
      <w:r w:rsidRPr="00E06687">
        <w:rPr>
          <w:rFonts w:ascii="Times New Roman" w:hAnsi="Times New Roman"/>
          <w:i/>
          <w:iCs/>
          <w:lang w:val="bg-BG"/>
        </w:rPr>
        <w:t>Основните рискове за управляваните системи, следователно са рискове за инфраструктурата и услугите</w:t>
      </w:r>
      <w:r w:rsidRPr="00E06687">
        <w:rPr>
          <w:rFonts w:ascii="Times New Roman" w:hAnsi="Times New Roman"/>
          <w:lang w:val="bg-BG"/>
        </w:rPr>
        <w:t xml:space="preserve">: щети, неправилна експлоатация и с ниско ниво или недостатъчни услуги; </w:t>
      </w:r>
    </w:p>
    <w:p w14:paraId="6CEF1F19" w14:textId="77777777" w:rsidR="00D56102" w:rsidRPr="00E06687" w:rsidRDefault="00D56102" w:rsidP="00D56102">
      <w:pPr>
        <w:pStyle w:val="ListParagraph"/>
        <w:numPr>
          <w:ilvl w:val="0"/>
          <w:numId w:val="91"/>
        </w:numPr>
        <w:tabs>
          <w:tab w:val="left" w:pos="993"/>
        </w:tabs>
        <w:spacing w:after="120" w:line="360" w:lineRule="auto"/>
        <w:rPr>
          <w:rFonts w:ascii="Times New Roman" w:hAnsi="Times New Roman"/>
          <w:lang w:val="bg-BG"/>
        </w:rPr>
      </w:pPr>
      <w:r w:rsidRPr="00E06687">
        <w:rPr>
          <w:rFonts w:ascii="Times New Roman" w:hAnsi="Times New Roman"/>
          <w:i/>
          <w:iCs/>
          <w:lang w:val="bg-BG"/>
        </w:rPr>
        <w:t xml:space="preserve">Основните рискове за природните системи: </w:t>
      </w:r>
      <w:r w:rsidRPr="00E06687">
        <w:rPr>
          <w:rFonts w:ascii="Times New Roman" w:hAnsi="Times New Roman"/>
          <w:lang w:val="bg-BG"/>
        </w:rPr>
        <w:t>увредено биологично разнообразие, което се дължи както на наводненията, така и на сушите.</w:t>
      </w:r>
    </w:p>
    <w:p w14:paraId="37938F1E" w14:textId="688D2DB6" w:rsidR="00B81AE4" w:rsidRPr="00295796" w:rsidRDefault="00D56102" w:rsidP="00F7022A">
      <w:pPr>
        <w:spacing w:after="0" w:line="360" w:lineRule="auto"/>
        <w:ind w:firstLine="720"/>
        <w:rPr>
          <w:rFonts w:ascii="Times New Roman" w:hAnsi="Times New Roman"/>
          <w:sz w:val="22"/>
          <w:lang w:val="bg-BG"/>
        </w:rPr>
      </w:pPr>
      <w:r w:rsidRPr="00295796">
        <w:rPr>
          <w:rFonts w:ascii="Times New Roman" w:hAnsi="Times New Roman"/>
          <w:sz w:val="22"/>
          <w:lang w:val="bg-BG"/>
        </w:rPr>
        <w:t>Предвид тези аспекти за влияние на климатичните промени, за конкретната предлагана дейност, може да се посочи, че тя по същество представлява възстановяване на брегоукрепително съоръжение от съвременен тип</w:t>
      </w:r>
      <w:r w:rsidR="00F7022A" w:rsidRPr="00295796">
        <w:rPr>
          <w:rFonts w:ascii="Times New Roman" w:hAnsi="Times New Roman"/>
          <w:sz w:val="22"/>
          <w:lang w:val="bg-BG"/>
        </w:rPr>
        <w:t>, което може да се разгледа като адаптираща мярка, позволяваща намаляване на уязвимостта от климатичните промени</w:t>
      </w:r>
      <w:r w:rsidR="00C60FF9" w:rsidRPr="00295796">
        <w:rPr>
          <w:rFonts w:ascii="Times New Roman" w:hAnsi="Times New Roman"/>
          <w:sz w:val="22"/>
          <w:lang w:val="bg-BG"/>
        </w:rPr>
        <w:t xml:space="preserve">. </w:t>
      </w:r>
      <w:r w:rsidR="00B81AE4" w:rsidRPr="00295796">
        <w:rPr>
          <w:rFonts w:ascii="Times New Roman" w:hAnsi="Times New Roman"/>
          <w:sz w:val="22"/>
          <w:lang w:val="bg-BG"/>
        </w:rPr>
        <w:t xml:space="preserve">Проектът е изцяло с положителна насоченост и цели подобряване на състоянието на инфраструктурата, пряко изложена на потенциалните отрицателни въздействия от изменението на климата за водния сектор. В този смисъл проектът, сам по себе си, не носи отрицателни въздействия върху климата, а напротив има изцяло положителен </w:t>
      </w:r>
      <w:bookmarkStart w:id="160" w:name="_Hlk147417389"/>
      <w:r w:rsidR="00B81AE4" w:rsidRPr="00295796">
        <w:rPr>
          <w:rFonts w:ascii="Times New Roman" w:hAnsi="Times New Roman"/>
          <w:sz w:val="22"/>
          <w:lang w:val="bg-BG"/>
        </w:rPr>
        <w:t>ефект, свързан с адаптирането.</w:t>
      </w:r>
      <w:bookmarkEnd w:id="160"/>
      <w:r w:rsidR="00B81AE4" w:rsidRPr="00295796">
        <w:rPr>
          <w:rFonts w:ascii="Times New Roman" w:hAnsi="Times New Roman"/>
          <w:sz w:val="22"/>
          <w:lang w:val="bg-BG"/>
        </w:rPr>
        <w:tab/>
      </w:r>
    </w:p>
    <w:p w14:paraId="2CBBE53D" w14:textId="0CE9F962" w:rsidR="00FB2E9F" w:rsidRPr="00295796" w:rsidRDefault="00FB2E9F" w:rsidP="00F7022A">
      <w:pPr>
        <w:spacing w:after="0" w:line="360" w:lineRule="auto"/>
        <w:ind w:firstLine="720"/>
        <w:rPr>
          <w:rFonts w:ascii="Times New Roman" w:hAnsi="Times New Roman"/>
          <w:sz w:val="22"/>
          <w:lang w:val="bg-BG"/>
        </w:rPr>
      </w:pPr>
      <w:bookmarkStart w:id="161" w:name="_Hlk147491170"/>
      <w:r w:rsidRPr="00295796">
        <w:rPr>
          <w:rFonts w:ascii="Times New Roman" w:hAnsi="Times New Roman"/>
          <w:sz w:val="22"/>
          <w:lang w:val="bg-BG"/>
        </w:rPr>
        <w:t>Мерките за адаптиране на инфраструктурните проекти по крайбрежните зони към изменението на климата обикновено са насочени към осигуряването на подходящо равнище на устойчивост на въздействията от изменението на климата, които включват както стихийни явления като по-силни наводнения, внезапни проливни дъждове, така и хронични явления като промени на средните стойности на валежите, гръмотевични бури и силни ветрове.</w:t>
      </w:r>
    </w:p>
    <w:p w14:paraId="470B8DCF" w14:textId="2F6EBD61" w:rsidR="00B81AE4" w:rsidRPr="00295796" w:rsidRDefault="00B81AE4" w:rsidP="00F7022A">
      <w:pPr>
        <w:spacing w:after="0" w:line="360" w:lineRule="auto"/>
        <w:ind w:firstLine="720"/>
        <w:rPr>
          <w:rFonts w:ascii="Times New Roman" w:hAnsi="Times New Roman"/>
          <w:sz w:val="22"/>
          <w:lang w:val="bg-BG"/>
        </w:rPr>
      </w:pPr>
      <w:r w:rsidRPr="00295796">
        <w:rPr>
          <w:rFonts w:ascii="Times New Roman" w:hAnsi="Times New Roman"/>
          <w:sz w:val="22"/>
          <w:lang w:val="bg-BG"/>
        </w:rPr>
        <w:t>Освен това осигуряването на климатичната устойчивост на самия проект трябва да бъде предвидено така, че да гарантира, че проектът няма да увеличи уязвимостта на съседните икономически и социални структури. Предвиден</w:t>
      </w:r>
      <w:r w:rsidR="00FB2E9F" w:rsidRPr="00295796">
        <w:rPr>
          <w:rFonts w:ascii="Times New Roman" w:hAnsi="Times New Roman"/>
          <w:sz w:val="22"/>
          <w:lang w:val="bg-BG"/>
        </w:rPr>
        <w:t>ата рехабилитация на вълнолома</w:t>
      </w:r>
      <w:r w:rsidRPr="00295796">
        <w:rPr>
          <w:rFonts w:ascii="Times New Roman" w:hAnsi="Times New Roman"/>
          <w:sz w:val="22"/>
          <w:lang w:val="bg-BG"/>
        </w:rPr>
        <w:t>, не увеличава риска от наводнения в околността.</w:t>
      </w:r>
    </w:p>
    <w:p w14:paraId="214C0C20" w14:textId="77777777" w:rsidR="00B81AE4" w:rsidRPr="00295796" w:rsidRDefault="00B81AE4" w:rsidP="00F7022A">
      <w:pPr>
        <w:spacing w:after="0" w:line="360" w:lineRule="auto"/>
        <w:ind w:firstLine="720"/>
        <w:rPr>
          <w:rFonts w:ascii="Times New Roman" w:hAnsi="Times New Roman"/>
          <w:b/>
          <w:bCs/>
          <w:i/>
          <w:iCs/>
          <w:sz w:val="22"/>
          <w:lang w:val="bg-BG"/>
        </w:rPr>
      </w:pPr>
      <w:bookmarkStart w:id="162" w:name="_Hlk147491218"/>
      <w:bookmarkEnd w:id="161"/>
      <w:r w:rsidRPr="00295796">
        <w:rPr>
          <w:rFonts w:ascii="Times New Roman" w:hAnsi="Times New Roman"/>
          <w:b/>
          <w:bCs/>
          <w:i/>
          <w:iCs/>
          <w:sz w:val="22"/>
          <w:lang w:val="bg-BG"/>
        </w:rPr>
        <w:t>Оценка на уязвимостта на проекта</w:t>
      </w:r>
      <w:r w:rsidRPr="00295796">
        <w:rPr>
          <w:rFonts w:ascii="Times New Roman" w:hAnsi="Times New Roman"/>
          <w:sz w:val="22"/>
          <w:lang w:val="bg-BG"/>
        </w:rPr>
        <w:t xml:space="preserve"> </w:t>
      </w:r>
      <w:r w:rsidRPr="00295796">
        <w:rPr>
          <w:rFonts w:ascii="Times New Roman" w:hAnsi="Times New Roman"/>
          <w:b/>
          <w:bCs/>
          <w:i/>
          <w:iCs/>
          <w:sz w:val="22"/>
          <w:lang w:val="bg-BG"/>
        </w:rPr>
        <w:t>към изменението на климата</w:t>
      </w:r>
    </w:p>
    <w:bookmarkEnd w:id="162"/>
    <w:p w14:paraId="6CD46616" w14:textId="348F9451" w:rsidR="00FB2E9F" w:rsidRPr="00F337B5" w:rsidRDefault="00FB2E9F" w:rsidP="00FB2E9F">
      <w:pPr>
        <w:spacing w:after="0" w:line="360" w:lineRule="auto"/>
        <w:ind w:firstLine="720"/>
        <w:rPr>
          <w:rFonts w:ascii="Times New Roman" w:hAnsi="Times New Roman"/>
          <w:sz w:val="22"/>
          <w:lang w:val="bg-BG"/>
        </w:rPr>
      </w:pPr>
      <w:r w:rsidRPr="00F337B5">
        <w:rPr>
          <w:rFonts w:ascii="Times New Roman" w:hAnsi="Times New Roman"/>
          <w:sz w:val="22"/>
          <w:lang w:val="bg-BG"/>
        </w:rPr>
        <w:lastRenderedPageBreak/>
        <w:t>От една страна, проектът е част от морската транспортна инфраструктура на страната, поради което ще се разгледат основните рискове, свързани със сектор „Транспорт“ и относими към водния транспорт. От друга страна, проектът ще се реализира на воден обект – Черно море, което налага разглеждането и на рисковете за сектор „Води“, до колкото естествените водни обекти са част от водната система на държавата. Другите рискове, свързани с проекта могат да бъдат: силен вятър и гръмотевични бури.</w:t>
      </w:r>
    </w:p>
    <w:p w14:paraId="2B5D3C86" w14:textId="77777777" w:rsidR="00FB2E9F" w:rsidRPr="00F337B5" w:rsidRDefault="00FB2E9F" w:rsidP="00FB2E9F">
      <w:pPr>
        <w:spacing w:after="0" w:line="360" w:lineRule="auto"/>
        <w:ind w:firstLine="720"/>
        <w:rPr>
          <w:rFonts w:ascii="Times New Roman" w:hAnsi="Times New Roman"/>
          <w:sz w:val="22"/>
          <w:lang w:val="bg-BG"/>
        </w:rPr>
      </w:pPr>
      <w:r w:rsidRPr="00F337B5">
        <w:rPr>
          <w:rFonts w:ascii="Times New Roman" w:hAnsi="Times New Roman"/>
          <w:sz w:val="22"/>
          <w:lang w:val="bg-BG"/>
        </w:rPr>
        <w:t>Оценката е направена въз основа на основните рискове за българската транспортна система и водния сектор, разписани в Националната стратегия за адаптация към изменението на климата и План за действие, приета с Решение № 621 на Министерския съвет от 25.10.2019 г. и е представена в таблична форма, въз основа на матричния подход.</w:t>
      </w:r>
    </w:p>
    <w:p w14:paraId="3EB57BBB" w14:textId="32E7B520" w:rsidR="00FB2E9F" w:rsidRPr="00F337B5" w:rsidRDefault="00FB2E9F" w:rsidP="00FB2E9F">
      <w:pPr>
        <w:spacing w:after="0" w:line="360" w:lineRule="auto"/>
        <w:ind w:firstLine="720"/>
        <w:rPr>
          <w:rFonts w:ascii="Times New Roman" w:hAnsi="Times New Roman"/>
          <w:sz w:val="22"/>
          <w:lang w:val="bg-BG"/>
        </w:rPr>
      </w:pPr>
      <w:r w:rsidRPr="00F337B5">
        <w:rPr>
          <w:rFonts w:ascii="Times New Roman" w:hAnsi="Times New Roman"/>
          <w:sz w:val="22"/>
          <w:lang w:val="bg-BG"/>
        </w:rPr>
        <w:t>При оценката се използват данни, препоръки и насоки от Technical guidance on the climate proofing of infrastructure in the period 2021-2027 и Non-paper Guidelines for project managers: making vulnerable investments climate resilient.</w:t>
      </w:r>
    </w:p>
    <w:p w14:paraId="327D056E" w14:textId="77777777" w:rsidR="00B22ED4" w:rsidRPr="00F337B5" w:rsidRDefault="00B22ED4" w:rsidP="00F7022A">
      <w:pPr>
        <w:spacing w:after="0" w:line="360" w:lineRule="auto"/>
        <w:ind w:firstLine="720"/>
        <w:rPr>
          <w:rFonts w:ascii="Times New Roman" w:hAnsi="Times New Roman"/>
          <w:sz w:val="22"/>
          <w:lang w:val="bg-BG"/>
        </w:rPr>
      </w:pPr>
    </w:p>
    <w:p w14:paraId="457FF0EF" w14:textId="4D9399B8"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Оценката за чувствителност, експозиция и уязвимост на проекта е извършена по тристепенна скала:</w:t>
      </w:r>
    </w:p>
    <w:tbl>
      <w:tblPr>
        <w:tblW w:w="0" w:type="auto"/>
        <w:tblInd w:w="10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4"/>
        <w:gridCol w:w="3544"/>
      </w:tblGrid>
      <w:tr w:rsidR="00B81AE4" w:rsidRPr="00B81AE4" w14:paraId="49B0C912" w14:textId="77777777" w:rsidTr="008D1895">
        <w:tc>
          <w:tcPr>
            <w:tcW w:w="7148" w:type="dxa"/>
            <w:gridSpan w:val="2"/>
          </w:tcPr>
          <w:p w14:paraId="584AD3EB" w14:textId="77777777" w:rsidR="00B81AE4" w:rsidRPr="00B81AE4" w:rsidRDefault="00B81AE4" w:rsidP="00B81AE4">
            <w:pPr>
              <w:keepLines/>
              <w:suppressAutoHyphens/>
              <w:spacing w:after="120" w:line="276" w:lineRule="auto"/>
              <w:jc w:val="center"/>
              <w:rPr>
                <w:rFonts w:ascii="Times New Roman" w:eastAsia="Times New Roman" w:hAnsi="Times New Roman"/>
                <w:b/>
                <w:bCs/>
                <w:snapToGrid w:val="0"/>
                <w:color w:val="00B050"/>
                <w:sz w:val="22"/>
                <w:lang w:val="bg-BG"/>
              </w:rPr>
            </w:pPr>
            <w:r w:rsidRPr="00B81AE4">
              <w:rPr>
                <w:rFonts w:ascii="Times New Roman" w:eastAsia="Times New Roman" w:hAnsi="Times New Roman"/>
                <w:b/>
                <w:bCs/>
                <w:snapToGrid w:val="0"/>
                <w:color w:val="00B050"/>
                <w:sz w:val="22"/>
                <w:lang w:val="bg-BG"/>
              </w:rPr>
              <w:t>ЧУВСТВИТЕЛНОСТ / ЕКСПОЗИЦИЯ / УЯЗВИМОСТ</w:t>
            </w:r>
          </w:p>
        </w:tc>
      </w:tr>
      <w:tr w:rsidR="00B81AE4" w:rsidRPr="00B81AE4" w14:paraId="191F8248" w14:textId="77777777" w:rsidTr="008D1895">
        <w:tc>
          <w:tcPr>
            <w:tcW w:w="3604" w:type="dxa"/>
          </w:tcPr>
          <w:p w14:paraId="1E1E8431" w14:textId="77777777" w:rsidR="00B81AE4" w:rsidRPr="00F337B5" w:rsidRDefault="00B81AE4" w:rsidP="00B81AE4">
            <w:pPr>
              <w:keepLines/>
              <w:suppressAutoHyphens/>
              <w:spacing w:after="120" w:line="276" w:lineRule="auto"/>
              <w:ind w:firstLine="720"/>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ВИСОКА</w:t>
            </w:r>
          </w:p>
        </w:tc>
        <w:tc>
          <w:tcPr>
            <w:tcW w:w="3544" w:type="dxa"/>
            <w:shd w:val="clear" w:color="auto" w:fill="FF0000"/>
          </w:tcPr>
          <w:p w14:paraId="13C21EAD" w14:textId="77777777" w:rsidR="00B81AE4" w:rsidRPr="00B81AE4" w:rsidRDefault="00B81AE4" w:rsidP="00B81AE4">
            <w:pPr>
              <w:keepLines/>
              <w:suppressAutoHyphens/>
              <w:spacing w:after="120" w:line="276" w:lineRule="auto"/>
              <w:ind w:firstLine="720"/>
              <w:rPr>
                <w:rFonts w:ascii="Times New Roman" w:eastAsia="Times New Roman" w:hAnsi="Times New Roman"/>
                <w:snapToGrid w:val="0"/>
                <w:sz w:val="22"/>
                <w:lang w:val="bg-BG"/>
              </w:rPr>
            </w:pPr>
          </w:p>
        </w:tc>
      </w:tr>
      <w:tr w:rsidR="00B81AE4" w:rsidRPr="00B81AE4" w14:paraId="5D0BC845" w14:textId="77777777" w:rsidTr="008D1895">
        <w:tc>
          <w:tcPr>
            <w:tcW w:w="3604" w:type="dxa"/>
          </w:tcPr>
          <w:p w14:paraId="68D5B6CE" w14:textId="77777777" w:rsidR="00B81AE4" w:rsidRPr="00F337B5" w:rsidRDefault="00B81AE4" w:rsidP="00B81AE4">
            <w:pPr>
              <w:keepLines/>
              <w:suppressAutoHyphens/>
              <w:spacing w:after="120" w:line="276" w:lineRule="auto"/>
              <w:ind w:firstLine="720"/>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СРЕДНА</w:t>
            </w:r>
          </w:p>
        </w:tc>
        <w:tc>
          <w:tcPr>
            <w:tcW w:w="3544" w:type="dxa"/>
            <w:shd w:val="clear" w:color="auto" w:fill="FFFF00"/>
          </w:tcPr>
          <w:p w14:paraId="69D2F4F2" w14:textId="77777777" w:rsidR="00B81AE4" w:rsidRPr="00B81AE4" w:rsidRDefault="00B81AE4" w:rsidP="00B81AE4">
            <w:pPr>
              <w:keepLines/>
              <w:suppressAutoHyphens/>
              <w:spacing w:after="120" w:line="276" w:lineRule="auto"/>
              <w:ind w:firstLine="720"/>
              <w:rPr>
                <w:rFonts w:ascii="Times New Roman" w:eastAsia="Times New Roman" w:hAnsi="Times New Roman"/>
                <w:snapToGrid w:val="0"/>
                <w:sz w:val="22"/>
                <w:lang w:val="bg-BG"/>
              </w:rPr>
            </w:pPr>
          </w:p>
        </w:tc>
      </w:tr>
      <w:tr w:rsidR="00B81AE4" w:rsidRPr="00B81AE4" w14:paraId="33C90E03" w14:textId="77777777" w:rsidTr="008D1895">
        <w:trPr>
          <w:trHeight w:val="255"/>
        </w:trPr>
        <w:tc>
          <w:tcPr>
            <w:tcW w:w="3604" w:type="dxa"/>
          </w:tcPr>
          <w:p w14:paraId="280EEF89" w14:textId="77777777" w:rsidR="00B81AE4" w:rsidRPr="00F337B5" w:rsidRDefault="00B81AE4" w:rsidP="00B81AE4">
            <w:pPr>
              <w:keepLines/>
              <w:suppressAutoHyphens/>
              <w:spacing w:after="120" w:line="276" w:lineRule="auto"/>
              <w:ind w:firstLine="720"/>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НИСКА</w:t>
            </w:r>
          </w:p>
        </w:tc>
        <w:tc>
          <w:tcPr>
            <w:tcW w:w="3544" w:type="dxa"/>
            <w:shd w:val="clear" w:color="auto" w:fill="00B050"/>
          </w:tcPr>
          <w:p w14:paraId="600826E5" w14:textId="77777777" w:rsidR="00B81AE4" w:rsidRPr="00B81AE4" w:rsidRDefault="00B81AE4" w:rsidP="00B81AE4">
            <w:pPr>
              <w:keepLines/>
              <w:suppressAutoHyphens/>
              <w:spacing w:after="120" w:line="276" w:lineRule="auto"/>
              <w:ind w:firstLine="720"/>
              <w:rPr>
                <w:rFonts w:ascii="Times New Roman" w:eastAsia="Times New Roman" w:hAnsi="Times New Roman"/>
                <w:snapToGrid w:val="0"/>
                <w:sz w:val="22"/>
                <w:lang w:val="bg-BG"/>
              </w:rPr>
            </w:pPr>
          </w:p>
        </w:tc>
      </w:tr>
    </w:tbl>
    <w:p w14:paraId="432B555E" w14:textId="77777777" w:rsidR="00B81AE4" w:rsidRPr="00B81AE4" w:rsidRDefault="00B81AE4" w:rsidP="00B81AE4">
      <w:pPr>
        <w:spacing w:after="120" w:line="24" w:lineRule="atLeast"/>
        <w:ind w:firstLine="720"/>
        <w:rPr>
          <w:rFonts w:ascii="Times New Roman" w:eastAsia="Times New Roman" w:hAnsi="Times New Roman"/>
          <w:sz w:val="22"/>
          <w:lang w:val="bg-BG" w:eastAsia="bg-BG"/>
        </w:rPr>
      </w:pPr>
    </w:p>
    <w:p w14:paraId="7076CD8A" w14:textId="77777777" w:rsidR="00B81AE4" w:rsidRPr="00F337B5" w:rsidRDefault="00B81AE4" w:rsidP="00F7022A">
      <w:pPr>
        <w:spacing w:after="0" w:line="360" w:lineRule="auto"/>
        <w:ind w:firstLine="720"/>
        <w:rPr>
          <w:rFonts w:ascii="Times New Roman" w:hAnsi="Times New Roman"/>
          <w:b/>
          <w:bCs/>
          <w:i/>
          <w:iCs/>
          <w:sz w:val="22"/>
          <w:lang w:val="bg-BG"/>
        </w:rPr>
      </w:pPr>
      <w:r w:rsidRPr="00F337B5">
        <w:rPr>
          <w:rFonts w:ascii="Times New Roman" w:eastAsia="Times New Roman" w:hAnsi="Times New Roman"/>
          <w:b/>
          <w:bCs/>
          <w:i/>
          <w:iCs/>
          <w:sz w:val="22"/>
          <w:lang w:val="bg-BG" w:eastAsia="bg-BG"/>
        </w:rPr>
        <w:t>Оценка на чувствителността</w:t>
      </w:r>
    </w:p>
    <w:p w14:paraId="18B81189"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w:t>
      </w:r>
      <w:r w:rsidRPr="00F337B5">
        <w:rPr>
          <w:rFonts w:ascii="Times New Roman" w:hAnsi="Times New Roman"/>
          <w:b/>
          <w:bCs/>
          <w:sz w:val="22"/>
          <w:lang w:val="bg-BG"/>
        </w:rPr>
        <w:t>Висока чувствителност</w:t>
      </w:r>
      <w:r w:rsidRPr="00F337B5">
        <w:rPr>
          <w:rFonts w:ascii="Times New Roman" w:hAnsi="Times New Roman"/>
          <w:sz w:val="22"/>
          <w:lang w:val="bg-BG"/>
        </w:rPr>
        <w:t>: климатичните променливи (опасност) могат да окажат значително въздействие върху стоките и процесите, входа, продукцията и транспортните връзки;</w:t>
      </w:r>
    </w:p>
    <w:p w14:paraId="6885658C"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w:t>
      </w:r>
      <w:r w:rsidRPr="00F337B5">
        <w:rPr>
          <w:rFonts w:ascii="Times New Roman" w:hAnsi="Times New Roman"/>
          <w:b/>
          <w:bCs/>
          <w:sz w:val="22"/>
          <w:lang w:val="bg-BG"/>
        </w:rPr>
        <w:t>Средна чувствителност</w:t>
      </w:r>
      <w:r w:rsidRPr="00F337B5">
        <w:rPr>
          <w:rFonts w:ascii="Times New Roman" w:hAnsi="Times New Roman"/>
          <w:sz w:val="22"/>
          <w:lang w:val="bg-BG"/>
        </w:rPr>
        <w:t>: климатичните променливи (опасност)може да окаже леко въздействие върху активите и процесите, вложените продукти, добивите и транспортните връзки;</w:t>
      </w:r>
    </w:p>
    <w:p w14:paraId="60958F36"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w:t>
      </w:r>
      <w:r w:rsidRPr="00F337B5">
        <w:rPr>
          <w:rFonts w:ascii="Times New Roman" w:hAnsi="Times New Roman"/>
          <w:b/>
          <w:bCs/>
          <w:sz w:val="22"/>
          <w:lang w:val="bg-BG"/>
        </w:rPr>
        <w:t>Ниска чувствителност</w:t>
      </w:r>
      <w:r w:rsidRPr="00F337B5">
        <w:rPr>
          <w:rFonts w:ascii="Times New Roman" w:hAnsi="Times New Roman"/>
          <w:sz w:val="22"/>
          <w:lang w:val="bg-BG"/>
        </w:rPr>
        <w:t>: климатичните променливи (опасност) няма (или има незначително) въздействие.</w:t>
      </w:r>
    </w:p>
    <w:p w14:paraId="64A40546" w14:textId="77777777" w:rsidR="00B81AE4" w:rsidRPr="00F337B5" w:rsidRDefault="00B81AE4" w:rsidP="00F7022A">
      <w:pPr>
        <w:spacing w:after="0" w:line="360" w:lineRule="auto"/>
        <w:ind w:firstLine="720"/>
        <w:rPr>
          <w:rFonts w:ascii="Times New Roman" w:hAnsi="Times New Roman"/>
          <w:b/>
          <w:bCs/>
          <w:i/>
          <w:iCs/>
          <w:sz w:val="22"/>
          <w:lang w:val="bg-BG"/>
        </w:rPr>
      </w:pPr>
    </w:p>
    <w:p w14:paraId="036B3589" w14:textId="77777777" w:rsidR="00B81AE4" w:rsidRPr="00F337B5" w:rsidRDefault="00B81AE4" w:rsidP="00F7022A">
      <w:pPr>
        <w:spacing w:after="0" w:line="360" w:lineRule="auto"/>
        <w:ind w:firstLine="720"/>
        <w:rPr>
          <w:rFonts w:ascii="Times New Roman" w:hAnsi="Times New Roman"/>
          <w:b/>
          <w:bCs/>
          <w:i/>
          <w:iCs/>
          <w:sz w:val="22"/>
          <w:lang w:val="bg-BG"/>
        </w:rPr>
      </w:pPr>
      <w:r w:rsidRPr="00F337B5">
        <w:rPr>
          <w:rFonts w:ascii="Times New Roman" w:hAnsi="Times New Roman"/>
          <w:b/>
          <w:bCs/>
          <w:i/>
          <w:iCs/>
          <w:sz w:val="22"/>
          <w:lang w:val="bg-BG"/>
        </w:rPr>
        <w:t>Оценка на експозицията:</w:t>
      </w:r>
    </w:p>
    <w:p w14:paraId="42F179D9"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Експозиция със </w:t>
      </w:r>
      <w:r w:rsidRPr="00F337B5">
        <w:rPr>
          <w:rFonts w:ascii="Times New Roman" w:hAnsi="Times New Roman"/>
          <w:b/>
          <w:bCs/>
          <w:sz w:val="22"/>
          <w:lang w:val="bg-BG"/>
        </w:rPr>
        <w:t>силни въздействия</w:t>
      </w:r>
      <w:r w:rsidRPr="00F337B5">
        <w:rPr>
          <w:rFonts w:ascii="Times New Roman" w:hAnsi="Times New Roman"/>
          <w:sz w:val="22"/>
          <w:lang w:val="bg-BG"/>
        </w:rPr>
        <w:t xml:space="preserve"> на климатичните явления, отнесени към текущото и бъдещото състояние на климата </w:t>
      </w:r>
    </w:p>
    <w:p w14:paraId="44DC52B2"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lastRenderedPageBreak/>
        <w:t xml:space="preserve">• Експозиция със </w:t>
      </w:r>
      <w:r w:rsidRPr="00F337B5">
        <w:rPr>
          <w:rFonts w:ascii="Times New Roman" w:hAnsi="Times New Roman"/>
          <w:b/>
          <w:bCs/>
          <w:sz w:val="22"/>
          <w:lang w:val="bg-BG"/>
        </w:rPr>
        <w:t>средни въздействия</w:t>
      </w:r>
      <w:r w:rsidRPr="00F337B5">
        <w:rPr>
          <w:rFonts w:ascii="Times New Roman" w:hAnsi="Times New Roman"/>
          <w:sz w:val="22"/>
          <w:lang w:val="bg-BG"/>
        </w:rPr>
        <w:t xml:space="preserve"> на климатичните явления (опасност), отнесени към текущото и бъдещото състояние на климата </w:t>
      </w:r>
    </w:p>
    <w:p w14:paraId="535D60D6"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Експозиция със </w:t>
      </w:r>
      <w:r w:rsidRPr="00F337B5">
        <w:rPr>
          <w:rFonts w:ascii="Times New Roman" w:hAnsi="Times New Roman"/>
          <w:b/>
          <w:bCs/>
          <w:sz w:val="22"/>
          <w:lang w:val="bg-BG"/>
        </w:rPr>
        <w:t>слаби въздействия</w:t>
      </w:r>
      <w:r w:rsidRPr="00F337B5">
        <w:rPr>
          <w:rFonts w:ascii="Times New Roman" w:hAnsi="Times New Roman"/>
          <w:sz w:val="22"/>
          <w:lang w:val="bg-BG"/>
        </w:rPr>
        <w:t xml:space="preserve"> на климатичните явления (опасност), отнесени към текущото и бъдещото състояние на климата.</w:t>
      </w:r>
    </w:p>
    <w:p w14:paraId="4058DA58" w14:textId="77777777" w:rsidR="00B81AE4" w:rsidRPr="00F337B5" w:rsidRDefault="00B81AE4" w:rsidP="00F7022A">
      <w:pPr>
        <w:spacing w:after="0" w:line="360" w:lineRule="auto"/>
        <w:ind w:firstLine="720"/>
        <w:rPr>
          <w:rFonts w:ascii="Times New Roman" w:hAnsi="Times New Roman"/>
          <w:sz w:val="22"/>
          <w:lang w:val="bg-BG"/>
        </w:rPr>
      </w:pPr>
    </w:p>
    <w:p w14:paraId="2BBD2B53"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Анализа на експозицията на климатичните фактори се основа на публични данни от следните източници:</w:t>
      </w:r>
    </w:p>
    <w:p w14:paraId="1333E253"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Поредица “Хидрологичен годишник” – изд. ГУХМ-БАН, София;</w:t>
      </w:r>
    </w:p>
    <w:p w14:paraId="487E5575"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Хидрологичен справочник – Том ІІ и Том ІІІ;</w:t>
      </w:r>
    </w:p>
    <w:p w14:paraId="31A13209"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„Справочник за валежите в България” – изд. “Наука и изкуство”, София</w:t>
      </w:r>
    </w:p>
    <w:p w14:paraId="10095685" w14:textId="77777777" w:rsidR="00B81AE4" w:rsidRPr="00F337B5" w:rsidRDefault="00B81AE4" w:rsidP="00F7022A">
      <w:pPr>
        <w:tabs>
          <w:tab w:val="left" w:pos="993"/>
        </w:tabs>
        <w:spacing w:after="0" w:line="360" w:lineRule="auto"/>
        <w:ind w:firstLine="720"/>
        <w:rPr>
          <w:rFonts w:ascii="Times New Roman" w:hAnsi="Times New Roman"/>
          <w:sz w:val="22"/>
          <w:lang w:val="bg-BG"/>
        </w:rPr>
      </w:pPr>
      <w:r w:rsidRPr="00F337B5">
        <w:rPr>
          <w:rFonts w:ascii="Times New Roman" w:hAnsi="Times New Roman"/>
          <w:sz w:val="22"/>
          <w:lang w:val="bg-BG"/>
        </w:rPr>
        <w:t>• Климатични данни за български станции- https://www.stringmeteo.com/synop/bg_climate.php</w:t>
      </w:r>
    </w:p>
    <w:p w14:paraId="5148D839"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Климатични вариации и оценка на опасни метеорологични явления по конвективни бури над България(1961-2010) Автореферат Бочева, Л. БАН-НИМХ</w:t>
      </w:r>
    </w:p>
    <w:p w14:paraId="729BED7A"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Meteoblue, https://www.meteoblue.com/bg</w:t>
      </w:r>
    </w:p>
    <w:p w14:paraId="62F25B4D"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Анализ и оценка на риска и уязвимостта на секторите в българската икономика от климатичните промени, https://www.moew.government.bg/bg/analiz-i-ocenka-na-riska-i-uyazvimostta-na-sektorite-v-bulgarskata-ikonomika-ot-klimatichni-promeni/</w:t>
      </w:r>
    </w:p>
    <w:p w14:paraId="06A58E17"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 Национална стратегия за адаптация към изменението на климата и план за действие за срок до 2030 г., http://www.strategy.bg/StrategicDocuments/View.aspx?lang=bg-BG&amp;Id=1294.         </w:t>
      </w:r>
      <w:r w:rsidRPr="00F337B5">
        <w:rPr>
          <w:rFonts w:ascii="Times New Roman" w:hAnsi="Times New Roman"/>
          <w:sz w:val="22"/>
          <w:lang w:val="bg-BG"/>
        </w:rPr>
        <w:tab/>
      </w:r>
    </w:p>
    <w:p w14:paraId="1848B82A" w14:textId="77777777" w:rsidR="00B81AE4" w:rsidRPr="00F337B5" w:rsidRDefault="00B81AE4" w:rsidP="00F7022A">
      <w:pPr>
        <w:spacing w:after="0" w:line="360" w:lineRule="auto"/>
        <w:ind w:firstLine="720"/>
        <w:rPr>
          <w:rFonts w:ascii="Times New Roman" w:hAnsi="Times New Roman"/>
          <w:sz w:val="22"/>
          <w:lang w:val="bg-BG"/>
        </w:rPr>
      </w:pPr>
    </w:p>
    <w:p w14:paraId="38CDD263" w14:textId="77777777" w:rsidR="00B81AE4" w:rsidRPr="00F337B5" w:rsidRDefault="00B81AE4" w:rsidP="00F7022A">
      <w:pPr>
        <w:spacing w:after="0" w:line="360" w:lineRule="auto"/>
        <w:ind w:firstLine="720"/>
        <w:rPr>
          <w:rFonts w:ascii="Times New Roman" w:hAnsi="Times New Roman"/>
          <w:sz w:val="22"/>
          <w:lang w:val="bg-BG"/>
        </w:rPr>
      </w:pPr>
      <w:r w:rsidRPr="00F337B5">
        <w:rPr>
          <w:rFonts w:ascii="Times New Roman" w:hAnsi="Times New Roman"/>
          <w:sz w:val="22"/>
          <w:lang w:val="bg-BG"/>
        </w:rPr>
        <w:t xml:space="preserve">Експозицията е оценена за текущите климатични условия и за прогнозирани климатични условия, съгласно наличните данни от горните документи. </w:t>
      </w:r>
    </w:p>
    <w:p w14:paraId="4B0D0378" w14:textId="77777777" w:rsidR="00B81AE4" w:rsidRPr="00F337B5" w:rsidRDefault="00B81AE4" w:rsidP="00F7022A">
      <w:pPr>
        <w:spacing w:after="0" w:line="360" w:lineRule="auto"/>
        <w:ind w:firstLine="720"/>
        <w:rPr>
          <w:rFonts w:ascii="Times New Roman" w:hAnsi="Times New Roman"/>
          <w:b/>
          <w:bCs/>
          <w:i/>
          <w:iCs/>
          <w:sz w:val="22"/>
          <w:lang w:val="bg-BG"/>
        </w:rPr>
      </w:pPr>
    </w:p>
    <w:p w14:paraId="4D4AF4D3" w14:textId="77777777" w:rsidR="00B81AE4" w:rsidRPr="00F337B5" w:rsidRDefault="00B81AE4" w:rsidP="00F7022A">
      <w:pPr>
        <w:spacing w:after="0" w:line="360" w:lineRule="auto"/>
        <w:ind w:firstLine="720"/>
        <w:rPr>
          <w:rFonts w:ascii="Times New Roman" w:eastAsia="Times New Roman" w:hAnsi="Times New Roman"/>
          <w:sz w:val="22"/>
          <w:lang w:val="bg-BG" w:eastAsia="bg-BG"/>
        </w:rPr>
      </w:pPr>
      <w:r w:rsidRPr="00F337B5">
        <w:rPr>
          <w:rFonts w:ascii="Times New Roman" w:hAnsi="Times New Roman"/>
          <w:b/>
          <w:bCs/>
          <w:i/>
          <w:iCs/>
          <w:sz w:val="22"/>
          <w:lang w:val="bg-BG"/>
        </w:rPr>
        <w:t>Уязвимостта на проекта</w:t>
      </w:r>
      <w:r w:rsidRPr="00F337B5">
        <w:rPr>
          <w:rFonts w:ascii="Times New Roman" w:hAnsi="Times New Roman"/>
          <w:sz w:val="22"/>
          <w:lang w:val="bg-BG"/>
        </w:rPr>
        <w:t xml:space="preserve"> се определя от идентифицирането на климатични явления или екстремни техни проявления, които могат да окажат въздействие върху проекта, въз основа на чувствителността и експозицията, както за настоящите, така и за бъдещите условия. </w:t>
      </w:r>
      <w:r w:rsidRPr="00F337B5">
        <w:rPr>
          <w:rFonts w:ascii="Times New Roman" w:eastAsia="Times New Roman" w:hAnsi="Times New Roman"/>
          <w:sz w:val="22"/>
          <w:lang w:val="bg-BG" w:eastAsia="bg-BG"/>
        </w:rPr>
        <w:t>Този анализ се извършва с помощта на матрицата, в която Уязвимост = Чувствителност х Експозиция</w:t>
      </w:r>
    </w:p>
    <w:p w14:paraId="7A8AC0CE" w14:textId="77777777" w:rsidR="00B22ED4" w:rsidRPr="00F337B5" w:rsidRDefault="00B22ED4" w:rsidP="00B81AE4">
      <w:pPr>
        <w:keepNext/>
        <w:spacing w:after="0" w:line="264" w:lineRule="auto"/>
        <w:jc w:val="center"/>
        <w:rPr>
          <w:rFonts w:ascii="Times New Roman" w:hAnsi="Times New Roman"/>
          <w:b/>
          <w:sz w:val="22"/>
          <w:lang w:val="bg-BG" w:eastAsia="bg-BG"/>
        </w:rPr>
      </w:pPr>
    </w:p>
    <w:p w14:paraId="1BD9A005" w14:textId="77777777" w:rsidR="0026153C" w:rsidRPr="00F337B5" w:rsidRDefault="0026153C" w:rsidP="00B81AE4">
      <w:pPr>
        <w:keepNext/>
        <w:spacing w:after="0" w:line="264" w:lineRule="auto"/>
        <w:jc w:val="center"/>
        <w:rPr>
          <w:rFonts w:ascii="Times New Roman" w:hAnsi="Times New Roman"/>
          <w:b/>
          <w:sz w:val="22"/>
          <w:lang w:val="bg-BG" w:eastAsia="bg-BG"/>
        </w:rPr>
      </w:pPr>
    </w:p>
    <w:p w14:paraId="40542A74" w14:textId="77777777" w:rsidR="0026153C" w:rsidRPr="00F337B5" w:rsidRDefault="0026153C" w:rsidP="00B81AE4">
      <w:pPr>
        <w:keepNext/>
        <w:spacing w:after="0" w:line="264" w:lineRule="auto"/>
        <w:jc w:val="center"/>
        <w:rPr>
          <w:rFonts w:ascii="Times New Roman" w:hAnsi="Times New Roman"/>
          <w:b/>
          <w:sz w:val="22"/>
          <w:lang w:val="bg-BG" w:eastAsia="bg-BG"/>
        </w:rPr>
      </w:pPr>
    </w:p>
    <w:p w14:paraId="26D576C8" w14:textId="29230A70" w:rsidR="00B81AE4" w:rsidRPr="00F337B5" w:rsidRDefault="00B81AE4" w:rsidP="00B81AE4">
      <w:pPr>
        <w:keepNext/>
        <w:spacing w:after="0" w:line="264" w:lineRule="auto"/>
        <w:jc w:val="center"/>
        <w:rPr>
          <w:rFonts w:ascii="Times New Roman" w:hAnsi="Times New Roman"/>
          <w:b/>
          <w:sz w:val="22"/>
          <w:lang w:val="bg-BG" w:eastAsia="bg-BG"/>
        </w:rPr>
      </w:pPr>
      <w:r w:rsidRPr="00F337B5">
        <w:rPr>
          <w:rFonts w:ascii="Times New Roman" w:hAnsi="Times New Roman"/>
          <w:b/>
          <w:sz w:val="22"/>
          <w:lang w:val="bg-BG" w:eastAsia="bg-BG"/>
        </w:rPr>
        <w:t>Матрица за оценка на уязвимостта</w:t>
      </w:r>
    </w:p>
    <w:p w14:paraId="663AA87A" w14:textId="77777777" w:rsidR="00B81AE4" w:rsidRPr="00F337B5" w:rsidRDefault="00B81AE4" w:rsidP="00B81AE4">
      <w:pPr>
        <w:keepNext/>
        <w:spacing w:after="0" w:line="264" w:lineRule="auto"/>
        <w:jc w:val="center"/>
        <w:rPr>
          <w:rFonts w:ascii="Times New Roman" w:hAnsi="Times New Roman"/>
          <w:b/>
          <w:sz w:val="22"/>
          <w:lang w:val="bg-BG" w:eastAsia="bg-B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292"/>
        <w:gridCol w:w="3828"/>
        <w:gridCol w:w="1772"/>
        <w:gridCol w:w="2169"/>
      </w:tblGrid>
      <w:tr w:rsidR="00F337B5" w:rsidRPr="00F337B5" w14:paraId="3AFD6089" w14:textId="77777777" w:rsidTr="008D1895">
        <w:tc>
          <w:tcPr>
            <w:tcW w:w="363" w:type="pct"/>
            <w:vAlign w:val="center"/>
          </w:tcPr>
          <w:p w14:paraId="735E37A5"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4637" w:type="pct"/>
            <w:gridSpan w:val="4"/>
            <w:vAlign w:val="center"/>
          </w:tcPr>
          <w:p w14:paraId="0089A14B"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ЕКСПОЗИЦИЯ</w:t>
            </w:r>
          </w:p>
        </w:tc>
      </w:tr>
      <w:tr w:rsidR="00F337B5" w:rsidRPr="00F337B5" w14:paraId="1CB2AB96" w14:textId="77777777" w:rsidTr="008D1895">
        <w:trPr>
          <w:trHeight w:val="141"/>
        </w:trPr>
        <w:tc>
          <w:tcPr>
            <w:tcW w:w="363" w:type="pct"/>
            <w:vMerge w:val="restart"/>
            <w:textDirection w:val="btLr"/>
            <w:vAlign w:val="center"/>
          </w:tcPr>
          <w:p w14:paraId="256D3AA5" w14:textId="77777777" w:rsidR="00B81AE4" w:rsidRPr="00F337B5" w:rsidRDefault="00B81AE4" w:rsidP="00B81AE4">
            <w:pPr>
              <w:keepLines/>
              <w:suppressAutoHyphens/>
              <w:spacing w:after="0" w:line="276" w:lineRule="auto"/>
              <w:ind w:right="113"/>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lastRenderedPageBreak/>
              <w:t>ЧУВСТВИТЕЛНОСТ</w:t>
            </w:r>
          </w:p>
        </w:tc>
        <w:tc>
          <w:tcPr>
            <w:tcW w:w="661" w:type="pct"/>
            <w:vAlign w:val="center"/>
          </w:tcPr>
          <w:p w14:paraId="6A6F86D5"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1959" w:type="pct"/>
            <w:vAlign w:val="center"/>
          </w:tcPr>
          <w:p w14:paraId="539490BD"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СЛАБА</w:t>
            </w:r>
          </w:p>
        </w:tc>
        <w:tc>
          <w:tcPr>
            <w:tcW w:w="907" w:type="pct"/>
            <w:vAlign w:val="center"/>
          </w:tcPr>
          <w:p w14:paraId="05818A11"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СРЕДНА</w:t>
            </w:r>
          </w:p>
        </w:tc>
        <w:tc>
          <w:tcPr>
            <w:tcW w:w="1110" w:type="pct"/>
            <w:vAlign w:val="center"/>
          </w:tcPr>
          <w:p w14:paraId="559A54C3"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ВИСОКА</w:t>
            </w:r>
          </w:p>
        </w:tc>
      </w:tr>
      <w:tr w:rsidR="00F337B5" w:rsidRPr="00F337B5" w14:paraId="27B48A55" w14:textId="77777777" w:rsidTr="008D1895">
        <w:trPr>
          <w:trHeight w:val="568"/>
        </w:trPr>
        <w:tc>
          <w:tcPr>
            <w:tcW w:w="363" w:type="pct"/>
            <w:vMerge/>
            <w:vAlign w:val="center"/>
          </w:tcPr>
          <w:p w14:paraId="0D6D5ECE"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p>
        </w:tc>
        <w:tc>
          <w:tcPr>
            <w:tcW w:w="661" w:type="pct"/>
            <w:vAlign w:val="center"/>
          </w:tcPr>
          <w:p w14:paraId="37DAB8FD"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НИСКА</w:t>
            </w:r>
          </w:p>
        </w:tc>
        <w:tc>
          <w:tcPr>
            <w:tcW w:w="1959" w:type="pct"/>
            <w:shd w:val="clear" w:color="auto" w:fill="00B050"/>
            <w:vAlign w:val="center"/>
          </w:tcPr>
          <w:p w14:paraId="5CF78592" w14:textId="77777777" w:rsidR="00B81AE4" w:rsidRPr="00F337B5" w:rsidRDefault="00B81AE4" w:rsidP="00B81AE4">
            <w:pPr>
              <w:keepLines/>
              <w:suppressAutoHyphens/>
              <w:spacing w:after="0" w:line="240" w:lineRule="auto"/>
              <w:jc w:val="center"/>
              <w:rPr>
                <w:rFonts w:ascii="Times New Roman" w:eastAsia="Times New Roman" w:hAnsi="Times New Roman"/>
                <w:snapToGrid w:val="0"/>
                <w:sz w:val="22"/>
                <w:lang w:val="bg-BG"/>
              </w:rPr>
            </w:pPr>
          </w:p>
        </w:tc>
        <w:tc>
          <w:tcPr>
            <w:tcW w:w="907" w:type="pct"/>
            <w:shd w:val="clear" w:color="auto" w:fill="FFFF00"/>
            <w:vAlign w:val="center"/>
          </w:tcPr>
          <w:p w14:paraId="1ECC0CB4"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1110" w:type="pct"/>
            <w:shd w:val="clear" w:color="auto" w:fill="FFFF00"/>
            <w:vAlign w:val="center"/>
          </w:tcPr>
          <w:p w14:paraId="151026FE"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r>
      <w:tr w:rsidR="00F337B5" w:rsidRPr="00F337B5" w14:paraId="629AF4B4" w14:textId="77777777" w:rsidTr="008D1895">
        <w:trPr>
          <w:trHeight w:val="636"/>
        </w:trPr>
        <w:tc>
          <w:tcPr>
            <w:tcW w:w="363" w:type="pct"/>
            <w:vMerge/>
            <w:vAlign w:val="center"/>
          </w:tcPr>
          <w:p w14:paraId="542BB139"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p>
        </w:tc>
        <w:tc>
          <w:tcPr>
            <w:tcW w:w="661" w:type="pct"/>
            <w:vAlign w:val="center"/>
          </w:tcPr>
          <w:p w14:paraId="2B3AC973"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СРЕДНА</w:t>
            </w:r>
          </w:p>
        </w:tc>
        <w:tc>
          <w:tcPr>
            <w:tcW w:w="1959" w:type="pct"/>
            <w:shd w:val="clear" w:color="auto" w:fill="FFFF00"/>
            <w:vAlign w:val="center"/>
          </w:tcPr>
          <w:p w14:paraId="094F1048"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907" w:type="pct"/>
            <w:shd w:val="clear" w:color="auto" w:fill="FFFF00"/>
            <w:vAlign w:val="center"/>
          </w:tcPr>
          <w:p w14:paraId="393042EB"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1110" w:type="pct"/>
            <w:shd w:val="clear" w:color="auto" w:fill="FF0000"/>
            <w:vAlign w:val="center"/>
          </w:tcPr>
          <w:p w14:paraId="0B840405"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r>
      <w:tr w:rsidR="00F337B5" w:rsidRPr="00F337B5" w14:paraId="2659EA38" w14:textId="77777777" w:rsidTr="008D1895">
        <w:trPr>
          <w:trHeight w:val="688"/>
        </w:trPr>
        <w:tc>
          <w:tcPr>
            <w:tcW w:w="363" w:type="pct"/>
            <w:vMerge/>
            <w:vAlign w:val="center"/>
          </w:tcPr>
          <w:p w14:paraId="6DAA82C4"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p>
        </w:tc>
        <w:tc>
          <w:tcPr>
            <w:tcW w:w="661" w:type="pct"/>
            <w:vAlign w:val="center"/>
          </w:tcPr>
          <w:p w14:paraId="41679031" w14:textId="77777777" w:rsidR="00B81AE4" w:rsidRPr="00F337B5" w:rsidRDefault="00B81AE4" w:rsidP="00B81AE4">
            <w:pPr>
              <w:keepLines/>
              <w:suppressAutoHyphens/>
              <w:spacing w:after="0" w:line="276" w:lineRule="auto"/>
              <w:jc w:val="center"/>
              <w:rPr>
                <w:rFonts w:ascii="Times New Roman" w:eastAsia="Times New Roman" w:hAnsi="Times New Roman"/>
                <w:snapToGrid w:val="0"/>
                <w:sz w:val="22"/>
                <w:lang w:val="bg-BG"/>
              </w:rPr>
            </w:pPr>
            <w:r w:rsidRPr="00F337B5">
              <w:rPr>
                <w:rFonts w:ascii="Times New Roman" w:eastAsia="Times New Roman" w:hAnsi="Times New Roman"/>
                <w:snapToGrid w:val="0"/>
                <w:sz w:val="22"/>
                <w:lang w:val="bg-BG"/>
              </w:rPr>
              <w:t>ВИСОКА</w:t>
            </w:r>
          </w:p>
        </w:tc>
        <w:tc>
          <w:tcPr>
            <w:tcW w:w="1959" w:type="pct"/>
            <w:shd w:val="clear" w:color="auto" w:fill="FFFF00"/>
            <w:vAlign w:val="center"/>
          </w:tcPr>
          <w:p w14:paraId="3D136C5C"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907" w:type="pct"/>
            <w:shd w:val="clear" w:color="auto" w:fill="FF0000"/>
            <w:vAlign w:val="center"/>
          </w:tcPr>
          <w:p w14:paraId="2D30E6FB"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c>
          <w:tcPr>
            <w:tcW w:w="1110" w:type="pct"/>
            <w:shd w:val="clear" w:color="auto" w:fill="FF0000"/>
            <w:vAlign w:val="center"/>
          </w:tcPr>
          <w:p w14:paraId="4819F1B1" w14:textId="77777777" w:rsidR="00B81AE4" w:rsidRPr="00F337B5" w:rsidRDefault="00B81AE4" w:rsidP="00B81AE4">
            <w:pPr>
              <w:keepLines/>
              <w:suppressAutoHyphens/>
              <w:spacing w:after="0" w:line="276" w:lineRule="auto"/>
              <w:rPr>
                <w:rFonts w:ascii="Times New Roman" w:eastAsia="Times New Roman" w:hAnsi="Times New Roman"/>
                <w:snapToGrid w:val="0"/>
                <w:sz w:val="22"/>
                <w:lang w:val="bg-BG"/>
              </w:rPr>
            </w:pPr>
          </w:p>
        </w:tc>
      </w:tr>
    </w:tbl>
    <w:p w14:paraId="627B34CB" w14:textId="77777777" w:rsidR="00B81AE4" w:rsidRPr="00F337B5" w:rsidRDefault="00B81AE4" w:rsidP="00B81AE4">
      <w:pPr>
        <w:spacing w:after="0" w:line="276" w:lineRule="auto"/>
        <w:ind w:firstLine="709"/>
        <w:rPr>
          <w:rFonts w:ascii="Times New Roman" w:eastAsia="Times New Roman" w:hAnsi="Times New Roman"/>
          <w:b/>
          <w:bCs/>
          <w:sz w:val="22"/>
          <w:lang w:val="bg-BG" w:eastAsia="bg-BG"/>
        </w:rPr>
      </w:pPr>
    </w:p>
    <w:p w14:paraId="2BA53068" w14:textId="77777777" w:rsidR="00B81AE4" w:rsidRPr="00F337B5" w:rsidRDefault="00B81AE4" w:rsidP="00F7022A">
      <w:pPr>
        <w:spacing w:after="0" w:line="360" w:lineRule="auto"/>
        <w:ind w:firstLine="709"/>
        <w:rPr>
          <w:rFonts w:ascii="Times New Roman" w:eastAsia="Times New Roman" w:hAnsi="Times New Roman"/>
          <w:sz w:val="22"/>
          <w:lang w:val="bg-BG" w:eastAsia="bg-BG"/>
        </w:rPr>
      </w:pPr>
      <w:r w:rsidRPr="00F337B5">
        <w:rPr>
          <w:rFonts w:ascii="Times New Roman" w:eastAsia="Times New Roman" w:hAnsi="Times New Roman"/>
          <w:b/>
          <w:bCs/>
          <w:i/>
          <w:iCs/>
          <w:sz w:val="22"/>
          <w:lang w:val="bg-BG" w:eastAsia="bg-BG"/>
        </w:rPr>
        <w:t>Анализ на риска</w:t>
      </w:r>
      <w:r w:rsidRPr="00F337B5">
        <w:rPr>
          <w:rFonts w:ascii="Times New Roman" w:eastAsia="Times New Roman" w:hAnsi="Times New Roman"/>
          <w:sz w:val="22"/>
          <w:lang w:val="bg-BG" w:eastAsia="bg-BG"/>
        </w:rPr>
        <w:t xml:space="preserve"> се основава на анализ на уязвимостта и се фокусира върху идентифицирането на рискове и възможности, свързани със средна или висока уязвимост. Това се състои в анализ на вероятността и величината на последиците от ефектите, свързани с опасността от възникване на ситуации, идентифицирани при оценката на уязвимостта, едновременно с анализирането на значението на риска за успеха на проекта. Използваната матрица за анализ на риска е представена подробно в следващата таблица</w:t>
      </w:r>
    </w:p>
    <w:p w14:paraId="7B3EC564" w14:textId="77777777" w:rsidR="00B81AE4" w:rsidRPr="00F337B5" w:rsidRDefault="00B81AE4" w:rsidP="00B81AE4">
      <w:pPr>
        <w:spacing w:after="0" w:line="276" w:lineRule="auto"/>
        <w:ind w:firstLine="709"/>
        <w:rPr>
          <w:rFonts w:ascii="Times New Roman" w:eastAsia="Times New Roman" w:hAnsi="Times New Roman"/>
          <w:sz w:val="22"/>
          <w:lang w:val="bg-BG" w:eastAsia="bg-BG"/>
        </w:rPr>
      </w:pPr>
    </w:p>
    <w:p w14:paraId="322795B3" w14:textId="77777777" w:rsidR="00B81AE4" w:rsidRPr="00F337B5" w:rsidRDefault="00B81AE4" w:rsidP="00B81AE4">
      <w:pPr>
        <w:keepNext/>
        <w:spacing w:after="0" w:line="264" w:lineRule="auto"/>
        <w:jc w:val="center"/>
        <w:rPr>
          <w:rFonts w:ascii="Times New Roman" w:hAnsi="Times New Roman"/>
          <w:b/>
          <w:sz w:val="22"/>
          <w:lang w:val="bg-BG" w:eastAsia="bg-BG"/>
        </w:rPr>
      </w:pPr>
      <w:r w:rsidRPr="00F337B5">
        <w:rPr>
          <w:rFonts w:ascii="Times New Roman" w:hAnsi="Times New Roman"/>
          <w:b/>
          <w:sz w:val="22"/>
          <w:lang w:val="bg-BG" w:eastAsia="bg-BG"/>
        </w:rPr>
        <w:t>Матрица за класификация на риска (обща класификационна рамка)</w:t>
      </w:r>
    </w:p>
    <w:p w14:paraId="33A6BDFC" w14:textId="77777777" w:rsidR="00B81AE4" w:rsidRPr="00F337B5" w:rsidRDefault="00B81AE4" w:rsidP="00B81AE4">
      <w:pPr>
        <w:keepNext/>
        <w:spacing w:after="0" w:line="264" w:lineRule="auto"/>
        <w:jc w:val="center"/>
        <w:rPr>
          <w:rFonts w:ascii="Times New Roman" w:hAnsi="Times New Roman"/>
          <w:b/>
          <w:sz w:val="22"/>
          <w:lang w:val="bg-BG" w:eastAsia="bg-B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26"/>
        <w:gridCol w:w="1157"/>
        <w:gridCol w:w="664"/>
        <w:gridCol w:w="1565"/>
        <w:gridCol w:w="1267"/>
        <w:gridCol w:w="1059"/>
        <w:gridCol w:w="1386"/>
        <w:gridCol w:w="1657"/>
      </w:tblGrid>
      <w:tr w:rsidR="00F337B5" w:rsidRPr="00F337B5" w14:paraId="042C2B5E" w14:textId="77777777" w:rsidTr="008D1895">
        <w:tc>
          <w:tcPr>
            <w:tcW w:w="561" w:type="dxa"/>
            <w:vMerge w:val="restart"/>
            <w:tcBorders>
              <w:top w:val="single" w:sz="4" w:space="0" w:color="FFFFFF"/>
              <w:left w:val="single" w:sz="4" w:space="0" w:color="FFFFFF"/>
              <w:right w:val="single" w:sz="4" w:space="0" w:color="FFFFFF"/>
            </w:tcBorders>
            <w:shd w:val="clear" w:color="auto" w:fill="auto"/>
          </w:tcPr>
          <w:p w14:paraId="1ED32ABD" w14:textId="77777777" w:rsidR="00B81AE4" w:rsidRPr="00F337B5" w:rsidRDefault="00B81AE4" w:rsidP="00B81AE4">
            <w:pPr>
              <w:tabs>
                <w:tab w:val="left" w:pos="1415"/>
              </w:tabs>
              <w:spacing w:after="0" w:line="22" w:lineRule="atLeast"/>
              <w:ind w:firstLine="709"/>
              <w:rPr>
                <w:rFonts w:ascii="Times New Roman" w:eastAsia="Times New Roman" w:hAnsi="Times New Roman"/>
                <w:sz w:val="22"/>
                <w:lang w:val="bg-BG" w:eastAsia="bg-BG"/>
              </w:rPr>
            </w:pPr>
          </w:p>
        </w:tc>
        <w:tc>
          <w:tcPr>
            <w:tcW w:w="2098" w:type="dxa"/>
            <w:gridSpan w:val="3"/>
            <w:vMerge w:val="restart"/>
            <w:tcBorders>
              <w:top w:val="single" w:sz="4" w:space="0" w:color="FFFFFF"/>
              <w:left w:val="single" w:sz="4" w:space="0" w:color="FFFFFF"/>
            </w:tcBorders>
            <w:shd w:val="clear" w:color="auto" w:fill="auto"/>
          </w:tcPr>
          <w:p w14:paraId="261B655C" w14:textId="77777777" w:rsidR="00B81AE4" w:rsidRPr="00F337B5" w:rsidRDefault="00B81AE4" w:rsidP="00B81AE4">
            <w:pPr>
              <w:tabs>
                <w:tab w:val="left" w:pos="1415"/>
              </w:tabs>
              <w:spacing w:after="0" w:line="240" w:lineRule="auto"/>
              <w:rPr>
                <w:rFonts w:ascii="Times New Roman" w:eastAsia="Times New Roman" w:hAnsi="Times New Roman"/>
                <w:sz w:val="22"/>
                <w:lang w:val="bg-BG" w:eastAsia="bg-BG"/>
              </w:rPr>
            </w:pPr>
          </w:p>
          <w:p w14:paraId="040C45F4" w14:textId="77777777" w:rsidR="00B81AE4" w:rsidRPr="00F337B5" w:rsidRDefault="00B81AE4" w:rsidP="00B81AE4">
            <w:pPr>
              <w:tabs>
                <w:tab w:val="left" w:pos="1415"/>
              </w:tabs>
              <w:spacing w:after="0" w:line="240" w:lineRule="auto"/>
              <w:rPr>
                <w:rFonts w:ascii="Times New Roman" w:eastAsia="Times New Roman" w:hAnsi="Times New Roman"/>
                <w:sz w:val="22"/>
                <w:lang w:val="bg-BG" w:eastAsia="bg-BG"/>
              </w:rPr>
            </w:pPr>
          </w:p>
        </w:tc>
        <w:tc>
          <w:tcPr>
            <w:tcW w:w="6687" w:type="dxa"/>
            <w:gridSpan w:val="5"/>
            <w:shd w:val="clear" w:color="auto" w:fill="F2F2F2"/>
          </w:tcPr>
          <w:p w14:paraId="65E458B6"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Въздействия,  I</w:t>
            </w:r>
          </w:p>
        </w:tc>
      </w:tr>
      <w:tr w:rsidR="00F337B5" w:rsidRPr="00F337B5" w14:paraId="0D2CFF38" w14:textId="77777777" w:rsidTr="008D1895">
        <w:trPr>
          <w:trHeight w:val="491"/>
        </w:trPr>
        <w:tc>
          <w:tcPr>
            <w:tcW w:w="561" w:type="dxa"/>
            <w:vMerge/>
            <w:tcBorders>
              <w:left w:val="single" w:sz="4" w:space="0" w:color="FFFFFF"/>
              <w:right w:val="single" w:sz="4" w:space="0" w:color="FFFFFF"/>
            </w:tcBorders>
            <w:shd w:val="clear" w:color="auto" w:fill="auto"/>
          </w:tcPr>
          <w:p w14:paraId="2D88622F" w14:textId="77777777" w:rsidR="00B81AE4" w:rsidRPr="00F337B5" w:rsidRDefault="00B81AE4" w:rsidP="00B81AE4">
            <w:pPr>
              <w:tabs>
                <w:tab w:val="left" w:pos="1415"/>
              </w:tabs>
              <w:spacing w:after="0" w:line="240" w:lineRule="auto"/>
              <w:rPr>
                <w:rFonts w:ascii="Times New Roman" w:eastAsia="Times New Roman" w:hAnsi="Times New Roman"/>
                <w:sz w:val="22"/>
                <w:lang w:val="bg-BG" w:eastAsia="bg-BG"/>
              </w:rPr>
            </w:pPr>
          </w:p>
        </w:tc>
        <w:tc>
          <w:tcPr>
            <w:tcW w:w="2098" w:type="dxa"/>
            <w:gridSpan w:val="3"/>
            <w:vMerge/>
            <w:tcBorders>
              <w:left w:val="single" w:sz="4" w:space="0" w:color="FFFFFF"/>
            </w:tcBorders>
            <w:shd w:val="clear" w:color="auto" w:fill="auto"/>
          </w:tcPr>
          <w:p w14:paraId="642B5EEB" w14:textId="77777777" w:rsidR="00B81AE4" w:rsidRPr="00F337B5" w:rsidRDefault="00B81AE4" w:rsidP="00B81AE4">
            <w:pPr>
              <w:tabs>
                <w:tab w:val="left" w:pos="1415"/>
              </w:tabs>
              <w:spacing w:after="0" w:line="240" w:lineRule="auto"/>
              <w:rPr>
                <w:rFonts w:ascii="Times New Roman" w:eastAsia="Times New Roman" w:hAnsi="Times New Roman"/>
                <w:sz w:val="22"/>
                <w:lang w:val="bg-BG" w:eastAsia="bg-BG"/>
              </w:rPr>
            </w:pPr>
          </w:p>
        </w:tc>
        <w:tc>
          <w:tcPr>
            <w:tcW w:w="1565" w:type="dxa"/>
            <w:shd w:val="clear" w:color="auto" w:fill="F2F2F2"/>
          </w:tcPr>
          <w:p w14:paraId="6EE53FE6" w14:textId="77777777" w:rsidR="00B81AE4" w:rsidRPr="00F337B5" w:rsidRDefault="00B81AE4" w:rsidP="00B81AE4">
            <w:pPr>
              <w:tabs>
                <w:tab w:val="left" w:pos="1415"/>
              </w:tabs>
              <w:spacing w:after="0" w:line="240" w:lineRule="auto"/>
              <w:ind w:left="-108" w:right="-108"/>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 xml:space="preserve">Незначително </w:t>
            </w:r>
          </w:p>
          <w:p w14:paraId="6BD15549" w14:textId="77777777" w:rsidR="00B81AE4" w:rsidRPr="00F337B5" w:rsidRDefault="00B81AE4" w:rsidP="00B81AE4">
            <w:pPr>
              <w:tabs>
                <w:tab w:val="left" w:pos="1415"/>
              </w:tabs>
              <w:spacing w:after="0" w:line="240" w:lineRule="auto"/>
              <w:ind w:left="-108" w:right="-108"/>
              <w:jc w:val="center"/>
              <w:rPr>
                <w:rFonts w:ascii="Times New Roman" w:eastAsia="Times New Roman" w:hAnsi="Times New Roman"/>
                <w:sz w:val="22"/>
                <w:lang w:val="bg-BG" w:eastAsia="bg-BG"/>
              </w:rPr>
            </w:pPr>
            <w:r w:rsidRPr="00F337B5">
              <w:rPr>
                <w:rFonts w:ascii="Times New Roman" w:eastAsia="Times New Roman" w:hAnsi="Times New Roman"/>
                <w:b/>
                <w:sz w:val="22"/>
                <w:lang w:val="bg-BG" w:eastAsia="bg-BG"/>
              </w:rPr>
              <w:t>1</w:t>
            </w:r>
          </w:p>
        </w:tc>
        <w:tc>
          <w:tcPr>
            <w:tcW w:w="1267" w:type="dxa"/>
            <w:shd w:val="clear" w:color="auto" w:fill="F2F2F2"/>
          </w:tcPr>
          <w:p w14:paraId="58C1BFBD"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 xml:space="preserve">Малко </w:t>
            </w:r>
          </w:p>
          <w:p w14:paraId="1BE596FF"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2</w:t>
            </w:r>
          </w:p>
        </w:tc>
        <w:tc>
          <w:tcPr>
            <w:tcW w:w="1059" w:type="dxa"/>
            <w:shd w:val="clear" w:color="auto" w:fill="F2F2F2"/>
          </w:tcPr>
          <w:p w14:paraId="51DE663D"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Средно</w:t>
            </w:r>
          </w:p>
          <w:p w14:paraId="5C051570"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 xml:space="preserve">3 </w:t>
            </w:r>
          </w:p>
        </w:tc>
        <w:tc>
          <w:tcPr>
            <w:tcW w:w="1280" w:type="dxa"/>
            <w:shd w:val="clear" w:color="auto" w:fill="F2F2F2"/>
          </w:tcPr>
          <w:p w14:paraId="4A145D60"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Значително</w:t>
            </w:r>
          </w:p>
          <w:p w14:paraId="0A4F171A"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 xml:space="preserve">4 </w:t>
            </w:r>
          </w:p>
        </w:tc>
        <w:tc>
          <w:tcPr>
            <w:tcW w:w="1516" w:type="dxa"/>
            <w:shd w:val="clear" w:color="auto" w:fill="F2F2F2"/>
          </w:tcPr>
          <w:p w14:paraId="1735F127" w14:textId="77777777" w:rsidR="00B81AE4" w:rsidRPr="00F337B5" w:rsidRDefault="00B81AE4" w:rsidP="00B81AE4">
            <w:pPr>
              <w:tabs>
                <w:tab w:val="left" w:pos="1415"/>
              </w:tabs>
              <w:spacing w:after="0" w:line="240" w:lineRule="auto"/>
              <w:ind w:left="-108" w:right="-113"/>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Катастрофално</w:t>
            </w:r>
          </w:p>
          <w:p w14:paraId="0B711B32" w14:textId="77777777" w:rsidR="00B81AE4" w:rsidRPr="00F337B5" w:rsidRDefault="00B81AE4" w:rsidP="00B81AE4">
            <w:pPr>
              <w:tabs>
                <w:tab w:val="left" w:pos="1415"/>
              </w:tabs>
              <w:spacing w:after="0" w:line="240" w:lineRule="auto"/>
              <w:ind w:left="-108" w:right="-113"/>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5</w:t>
            </w:r>
          </w:p>
        </w:tc>
      </w:tr>
      <w:tr w:rsidR="00F337B5" w:rsidRPr="00F337B5" w14:paraId="30449F10" w14:textId="77777777" w:rsidTr="008D1895">
        <w:trPr>
          <w:trHeight w:val="460"/>
        </w:trPr>
        <w:tc>
          <w:tcPr>
            <w:tcW w:w="561" w:type="dxa"/>
            <w:vMerge w:val="restart"/>
            <w:shd w:val="clear" w:color="auto" w:fill="F2F2F2"/>
            <w:textDirection w:val="btLr"/>
          </w:tcPr>
          <w:p w14:paraId="1247C7B6" w14:textId="77777777" w:rsidR="00B81AE4" w:rsidRPr="00F337B5" w:rsidRDefault="00B81AE4" w:rsidP="00B81AE4">
            <w:pPr>
              <w:tabs>
                <w:tab w:val="left" w:pos="1415"/>
              </w:tabs>
              <w:spacing w:after="0" w:line="240" w:lineRule="auto"/>
              <w:ind w:left="113" w:right="113"/>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Вероятност,  L</w:t>
            </w:r>
          </w:p>
        </w:tc>
        <w:tc>
          <w:tcPr>
            <w:tcW w:w="326" w:type="dxa"/>
            <w:shd w:val="clear" w:color="auto" w:fill="F2F2F2"/>
            <w:vAlign w:val="center"/>
          </w:tcPr>
          <w:p w14:paraId="66C545B7"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5</w:t>
            </w:r>
          </w:p>
        </w:tc>
        <w:tc>
          <w:tcPr>
            <w:tcW w:w="1148" w:type="dxa"/>
            <w:shd w:val="clear" w:color="auto" w:fill="F2F2F2"/>
            <w:vAlign w:val="center"/>
          </w:tcPr>
          <w:p w14:paraId="39106AF4"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Почти сигурно</w:t>
            </w:r>
          </w:p>
        </w:tc>
        <w:tc>
          <w:tcPr>
            <w:tcW w:w="624" w:type="dxa"/>
            <w:shd w:val="clear" w:color="auto" w:fill="F2F2F2"/>
            <w:vAlign w:val="center"/>
          </w:tcPr>
          <w:p w14:paraId="45E3D494" w14:textId="77777777" w:rsidR="00B81AE4" w:rsidRPr="00F337B5" w:rsidRDefault="00B81AE4" w:rsidP="00B81AE4">
            <w:pPr>
              <w:tabs>
                <w:tab w:val="left" w:pos="1415"/>
              </w:tabs>
              <w:spacing w:after="0" w:line="240" w:lineRule="auto"/>
              <w:ind w:right="7"/>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95%</w:t>
            </w:r>
          </w:p>
        </w:tc>
        <w:tc>
          <w:tcPr>
            <w:tcW w:w="1565" w:type="dxa"/>
            <w:tcBorders>
              <w:bottom w:val="single" w:sz="4" w:space="0" w:color="FFFFFF"/>
              <w:right w:val="single" w:sz="4" w:space="0" w:color="FFFFFF"/>
            </w:tcBorders>
            <w:shd w:val="clear" w:color="auto" w:fill="FFC000"/>
            <w:vAlign w:val="center"/>
          </w:tcPr>
          <w:p w14:paraId="505F059C"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5</w:t>
            </w:r>
          </w:p>
        </w:tc>
        <w:tc>
          <w:tcPr>
            <w:tcW w:w="1267" w:type="dxa"/>
            <w:tcBorders>
              <w:left w:val="single" w:sz="4" w:space="0" w:color="FFFFFF"/>
              <w:bottom w:val="single" w:sz="4" w:space="0" w:color="FFFFFF"/>
              <w:right w:val="single" w:sz="4" w:space="0" w:color="FFFFFF"/>
            </w:tcBorders>
            <w:shd w:val="clear" w:color="auto" w:fill="FFC000"/>
            <w:vAlign w:val="center"/>
          </w:tcPr>
          <w:p w14:paraId="68671553"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10</w:t>
            </w:r>
          </w:p>
        </w:tc>
        <w:tc>
          <w:tcPr>
            <w:tcW w:w="1059" w:type="dxa"/>
            <w:tcBorders>
              <w:left w:val="single" w:sz="4" w:space="0" w:color="FFFFFF"/>
              <w:bottom w:val="single" w:sz="4" w:space="0" w:color="FFFFFF"/>
              <w:right w:val="single" w:sz="4" w:space="0" w:color="FFFFFF"/>
            </w:tcBorders>
            <w:shd w:val="clear" w:color="auto" w:fill="FF0000"/>
            <w:vAlign w:val="center"/>
          </w:tcPr>
          <w:p w14:paraId="55AA0152"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15</w:t>
            </w:r>
          </w:p>
        </w:tc>
        <w:tc>
          <w:tcPr>
            <w:tcW w:w="1280" w:type="dxa"/>
            <w:tcBorders>
              <w:left w:val="single" w:sz="4" w:space="0" w:color="FFFFFF"/>
              <w:bottom w:val="single" w:sz="4" w:space="0" w:color="FFFFFF"/>
              <w:right w:val="single" w:sz="4" w:space="0" w:color="FFFFFF"/>
            </w:tcBorders>
            <w:shd w:val="clear" w:color="auto" w:fill="FF0000"/>
            <w:vAlign w:val="center"/>
          </w:tcPr>
          <w:p w14:paraId="76017D67"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20</w:t>
            </w:r>
          </w:p>
        </w:tc>
        <w:tc>
          <w:tcPr>
            <w:tcW w:w="1516" w:type="dxa"/>
            <w:tcBorders>
              <w:left w:val="single" w:sz="4" w:space="0" w:color="FFFFFF"/>
              <w:bottom w:val="single" w:sz="4" w:space="0" w:color="FFFFFF"/>
            </w:tcBorders>
            <w:shd w:val="clear" w:color="auto" w:fill="FF0000"/>
            <w:vAlign w:val="center"/>
          </w:tcPr>
          <w:p w14:paraId="3234D7B9"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25</w:t>
            </w:r>
          </w:p>
        </w:tc>
      </w:tr>
      <w:tr w:rsidR="00F337B5" w:rsidRPr="00F337B5" w14:paraId="25068888" w14:textId="77777777" w:rsidTr="008D1895">
        <w:trPr>
          <w:trHeight w:val="460"/>
        </w:trPr>
        <w:tc>
          <w:tcPr>
            <w:tcW w:w="561" w:type="dxa"/>
            <w:vMerge/>
            <w:shd w:val="clear" w:color="auto" w:fill="F2F2F2"/>
          </w:tcPr>
          <w:p w14:paraId="5396EDE5" w14:textId="77777777" w:rsidR="00B81AE4" w:rsidRPr="00F337B5" w:rsidRDefault="00B81AE4" w:rsidP="00B81AE4">
            <w:pPr>
              <w:tabs>
                <w:tab w:val="left" w:pos="1415"/>
              </w:tabs>
              <w:spacing w:after="0" w:line="240" w:lineRule="auto"/>
              <w:rPr>
                <w:rFonts w:ascii="Times New Roman" w:eastAsia="Times New Roman" w:hAnsi="Times New Roman"/>
                <w:b/>
                <w:sz w:val="22"/>
                <w:lang w:val="bg-BG" w:eastAsia="bg-BG"/>
              </w:rPr>
            </w:pPr>
          </w:p>
        </w:tc>
        <w:tc>
          <w:tcPr>
            <w:tcW w:w="326" w:type="dxa"/>
            <w:shd w:val="clear" w:color="auto" w:fill="F2F2F2"/>
            <w:vAlign w:val="center"/>
          </w:tcPr>
          <w:p w14:paraId="60315629"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4</w:t>
            </w:r>
          </w:p>
        </w:tc>
        <w:tc>
          <w:tcPr>
            <w:tcW w:w="1148" w:type="dxa"/>
            <w:shd w:val="clear" w:color="auto" w:fill="F2F2F2"/>
            <w:vAlign w:val="center"/>
          </w:tcPr>
          <w:p w14:paraId="5FC35948"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Вероятно</w:t>
            </w:r>
          </w:p>
        </w:tc>
        <w:tc>
          <w:tcPr>
            <w:tcW w:w="624" w:type="dxa"/>
            <w:shd w:val="clear" w:color="auto" w:fill="F2F2F2"/>
            <w:vAlign w:val="center"/>
          </w:tcPr>
          <w:p w14:paraId="6444F8B2" w14:textId="77777777" w:rsidR="00B81AE4" w:rsidRPr="00F337B5" w:rsidRDefault="00B81AE4" w:rsidP="00B81AE4">
            <w:pPr>
              <w:tabs>
                <w:tab w:val="left" w:pos="1415"/>
              </w:tabs>
              <w:spacing w:after="0" w:line="240" w:lineRule="auto"/>
              <w:ind w:right="7"/>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80%</w:t>
            </w:r>
          </w:p>
        </w:tc>
        <w:tc>
          <w:tcPr>
            <w:tcW w:w="1565" w:type="dxa"/>
            <w:tcBorders>
              <w:top w:val="single" w:sz="4" w:space="0" w:color="FFFFFF"/>
              <w:bottom w:val="single" w:sz="4" w:space="0" w:color="FFFFFF"/>
              <w:right w:val="single" w:sz="4" w:space="0" w:color="FFFFFF"/>
            </w:tcBorders>
            <w:shd w:val="clear" w:color="auto" w:fill="FFFF00"/>
            <w:vAlign w:val="center"/>
          </w:tcPr>
          <w:p w14:paraId="4505A0D3"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4</w:t>
            </w:r>
          </w:p>
        </w:tc>
        <w:tc>
          <w:tcPr>
            <w:tcW w:w="1267" w:type="dxa"/>
            <w:tcBorders>
              <w:top w:val="single" w:sz="4" w:space="0" w:color="FFFFFF"/>
              <w:left w:val="single" w:sz="4" w:space="0" w:color="FFFFFF"/>
              <w:bottom w:val="single" w:sz="4" w:space="0" w:color="FFFFFF"/>
              <w:right w:val="single" w:sz="4" w:space="0" w:color="FFFFFF"/>
            </w:tcBorders>
            <w:shd w:val="clear" w:color="auto" w:fill="FFC000"/>
            <w:vAlign w:val="center"/>
          </w:tcPr>
          <w:p w14:paraId="03F7A888"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8</w:t>
            </w:r>
          </w:p>
        </w:tc>
        <w:tc>
          <w:tcPr>
            <w:tcW w:w="1059" w:type="dxa"/>
            <w:tcBorders>
              <w:top w:val="single" w:sz="4" w:space="0" w:color="FFFFFF"/>
              <w:left w:val="single" w:sz="4" w:space="0" w:color="FFFFFF"/>
              <w:bottom w:val="single" w:sz="4" w:space="0" w:color="FFFFFF"/>
              <w:right w:val="single" w:sz="4" w:space="0" w:color="FFFFFF"/>
            </w:tcBorders>
            <w:shd w:val="clear" w:color="auto" w:fill="FFC000"/>
            <w:vAlign w:val="center"/>
          </w:tcPr>
          <w:p w14:paraId="4F090FC5"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12</w:t>
            </w:r>
          </w:p>
        </w:tc>
        <w:tc>
          <w:tcPr>
            <w:tcW w:w="1280" w:type="dxa"/>
            <w:tcBorders>
              <w:top w:val="single" w:sz="4" w:space="0" w:color="FFFFFF"/>
              <w:left w:val="single" w:sz="4" w:space="0" w:color="FFFFFF"/>
              <w:bottom w:val="single" w:sz="4" w:space="0" w:color="FFFFFF"/>
              <w:right w:val="single" w:sz="4" w:space="0" w:color="FFFFFF"/>
            </w:tcBorders>
            <w:shd w:val="clear" w:color="auto" w:fill="FF0000"/>
            <w:vAlign w:val="center"/>
          </w:tcPr>
          <w:p w14:paraId="29AED268"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16</w:t>
            </w:r>
          </w:p>
        </w:tc>
        <w:tc>
          <w:tcPr>
            <w:tcW w:w="1516" w:type="dxa"/>
            <w:tcBorders>
              <w:top w:val="single" w:sz="4" w:space="0" w:color="FFFFFF"/>
              <w:left w:val="single" w:sz="4" w:space="0" w:color="FFFFFF"/>
              <w:bottom w:val="single" w:sz="4" w:space="0" w:color="FFFFFF"/>
            </w:tcBorders>
            <w:shd w:val="clear" w:color="auto" w:fill="FF0000"/>
            <w:vAlign w:val="center"/>
          </w:tcPr>
          <w:p w14:paraId="32CAB174"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20</w:t>
            </w:r>
          </w:p>
        </w:tc>
      </w:tr>
      <w:tr w:rsidR="00F337B5" w:rsidRPr="00F337B5" w14:paraId="172BA4C0" w14:textId="77777777" w:rsidTr="008D1895">
        <w:trPr>
          <w:trHeight w:val="460"/>
        </w:trPr>
        <w:tc>
          <w:tcPr>
            <w:tcW w:w="561" w:type="dxa"/>
            <w:vMerge/>
            <w:shd w:val="clear" w:color="auto" w:fill="F2F2F2"/>
          </w:tcPr>
          <w:p w14:paraId="06B097A3" w14:textId="77777777" w:rsidR="00B81AE4" w:rsidRPr="00F337B5" w:rsidRDefault="00B81AE4" w:rsidP="00B81AE4">
            <w:pPr>
              <w:tabs>
                <w:tab w:val="left" w:pos="1415"/>
              </w:tabs>
              <w:spacing w:after="0" w:line="240" w:lineRule="auto"/>
              <w:rPr>
                <w:rFonts w:ascii="Times New Roman" w:eastAsia="Times New Roman" w:hAnsi="Times New Roman"/>
                <w:b/>
                <w:sz w:val="22"/>
                <w:lang w:val="bg-BG" w:eastAsia="bg-BG"/>
              </w:rPr>
            </w:pPr>
          </w:p>
        </w:tc>
        <w:tc>
          <w:tcPr>
            <w:tcW w:w="326" w:type="dxa"/>
            <w:shd w:val="clear" w:color="auto" w:fill="F2F2F2"/>
            <w:vAlign w:val="center"/>
          </w:tcPr>
          <w:p w14:paraId="3FB5ED9B"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3</w:t>
            </w:r>
          </w:p>
        </w:tc>
        <w:tc>
          <w:tcPr>
            <w:tcW w:w="1148" w:type="dxa"/>
            <w:shd w:val="clear" w:color="auto" w:fill="F2F2F2"/>
            <w:vAlign w:val="center"/>
          </w:tcPr>
          <w:p w14:paraId="41691F49"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Умерено</w:t>
            </w:r>
          </w:p>
        </w:tc>
        <w:tc>
          <w:tcPr>
            <w:tcW w:w="624" w:type="dxa"/>
            <w:shd w:val="clear" w:color="auto" w:fill="F2F2F2"/>
            <w:vAlign w:val="center"/>
          </w:tcPr>
          <w:p w14:paraId="78E21466" w14:textId="77777777" w:rsidR="00B81AE4" w:rsidRPr="00F337B5" w:rsidRDefault="00B81AE4" w:rsidP="00B81AE4">
            <w:pPr>
              <w:tabs>
                <w:tab w:val="left" w:pos="1415"/>
              </w:tabs>
              <w:spacing w:after="0" w:line="240" w:lineRule="auto"/>
              <w:ind w:right="7"/>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50%</w:t>
            </w:r>
          </w:p>
        </w:tc>
        <w:tc>
          <w:tcPr>
            <w:tcW w:w="1565" w:type="dxa"/>
            <w:tcBorders>
              <w:top w:val="single" w:sz="4" w:space="0" w:color="FFFFFF"/>
              <w:bottom w:val="single" w:sz="4" w:space="0" w:color="FFFFFF"/>
              <w:right w:val="single" w:sz="4" w:space="0" w:color="FFFFFF"/>
            </w:tcBorders>
            <w:shd w:val="clear" w:color="auto" w:fill="00B0F0"/>
            <w:vAlign w:val="center"/>
          </w:tcPr>
          <w:p w14:paraId="143587F1"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3</w:t>
            </w:r>
          </w:p>
        </w:tc>
        <w:tc>
          <w:tcPr>
            <w:tcW w:w="1267" w:type="dxa"/>
            <w:tcBorders>
              <w:top w:val="single" w:sz="4" w:space="0" w:color="FFFFFF"/>
              <w:left w:val="single" w:sz="4" w:space="0" w:color="FFFFFF"/>
              <w:bottom w:val="single" w:sz="4" w:space="0" w:color="FFFFFF"/>
              <w:right w:val="single" w:sz="4" w:space="0" w:color="FFFFFF"/>
            </w:tcBorders>
            <w:shd w:val="clear" w:color="auto" w:fill="FFFF00"/>
            <w:vAlign w:val="center"/>
          </w:tcPr>
          <w:p w14:paraId="64ACD7D4"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6</w:t>
            </w:r>
          </w:p>
        </w:tc>
        <w:tc>
          <w:tcPr>
            <w:tcW w:w="1059" w:type="dxa"/>
            <w:tcBorders>
              <w:top w:val="single" w:sz="4" w:space="0" w:color="FFFFFF"/>
              <w:left w:val="single" w:sz="4" w:space="0" w:color="FFFFFF"/>
              <w:bottom w:val="single" w:sz="4" w:space="0" w:color="FFFFFF"/>
              <w:right w:val="single" w:sz="4" w:space="0" w:color="FFFFFF"/>
            </w:tcBorders>
            <w:shd w:val="clear" w:color="auto" w:fill="FFC000"/>
            <w:vAlign w:val="center"/>
          </w:tcPr>
          <w:p w14:paraId="55E0D175"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9</w:t>
            </w:r>
          </w:p>
        </w:tc>
        <w:tc>
          <w:tcPr>
            <w:tcW w:w="1280" w:type="dxa"/>
            <w:tcBorders>
              <w:top w:val="single" w:sz="4" w:space="0" w:color="FFFFFF"/>
              <w:left w:val="single" w:sz="4" w:space="0" w:color="FFFFFF"/>
              <w:bottom w:val="single" w:sz="4" w:space="0" w:color="FFFFFF"/>
              <w:right w:val="single" w:sz="4" w:space="0" w:color="FFFFFF"/>
            </w:tcBorders>
            <w:shd w:val="clear" w:color="auto" w:fill="FF0000"/>
            <w:vAlign w:val="center"/>
          </w:tcPr>
          <w:p w14:paraId="2CD04F7F"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12</w:t>
            </w:r>
          </w:p>
        </w:tc>
        <w:tc>
          <w:tcPr>
            <w:tcW w:w="1516" w:type="dxa"/>
            <w:tcBorders>
              <w:top w:val="single" w:sz="4" w:space="0" w:color="FFFFFF"/>
              <w:left w:val="single" w:sz="4" w:space="0" w:color="FFFFFF"/>
              <w:bottom w:val="single" w:sz="4" w:space="0" w:color="FFFFFF"/>
            </w:tcBorders>
            <w:shd w:val="clear" w:color="auto" w:fill="FF0000"/>
            <w:vAlign w:val="center"/>
          </w:tcPr>
          <w:p w14:paraId="4E867462"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15</w:t>
            </w:r>
          </w:p>
        </w:tc>
      </w:tr>
      <w:tr w:rsidR="00F337B5" w:rsidRPr="00F337B5" w14:paraId="2505C46C" w14:textId="77777777" w:rsidTr="008D1895">
        <w:trPr>
          <w:trHeight w:val="460"/>
        </w:trPr>
        <w:tc>
          <w:tcPr>
            <w:tcW w:w="561" w:type="dxa"/>
            <w:vMerge/>
            <w:shd w:val="clear" w:color="auto" w:fill="F2F2F2"/>
          </w:tcPr>
          <w:p w14:paraId="005C28BB" w14:textId="77777777" w:rsidR="00B81AE4" w:rsidRPr="00F337B5" w:rsidRDefault="00B81AE4" w:rsidP="00B81AE4">
            <w:pPr>
              <w:tabs>
                <w:tab w:val="left" w:pos="1415"/>
              </w:tabs>
              <w:spacing w:after="0" w:line="240" w:lineRule="auto"/>
              <w:rPr>
                <w:rFonts w:ascii="Times New Roman" w:eastAsia="Times New Roman" w:hAnsi="Times New Roman"/>
                <w:b/>
                <w:sz w:val="22"/>
                <w:lang w:val="bg-BG" w:eastAsia="bg-BG"/>
              </w:rPr>
            </w:pPr>
          </w:p>
        </w:tc>
        <w:tc>
          <w:tcPr>
            <w:tcW w:w="326" w:type="dxa"/>
            <w:shd w:val="clear" w:color="auto" w:fill="F2F2F2"/>
            <w:vAlign w:val="center"/>
          </w:tcPr>
          <w:p w14:paraId="6A932C47"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2</w:t>
            </w:r>
          </w:p>
        </w:tc>
        <w:tc>
          <w:tcPr>
            <w:tcW w:w="1148" w:type="dxa"/>
            <w:shd w:val="clear" w:color="auto" w:fill="F2F2F2"/>
            <w:vAlign w:val="center"/>
          </w:tcPr>
          <w:p w14:paraId="2B168F4A"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Малко вероятно</w:t>
            </w:r>
          </w:p>
        </w:tc>
        <w:tc>
          <w:tcPr>
            <w:tcW w:w="624" w:type="dxa"/>
            <w:shd w:val="clear" w:color="auto" w:fill="F2F2F2"/>
            <w:vAlign w:val="center"/>
          </w:tcPr>
          <w:p w14:paraId="1B83D689" w14:textId="77777777" w:rsidR="00B81AE4" w:rsidRPr="00F337B5" w:rsidRDefault="00B81AE4" w:rsidP="00B81AE4">
            <w:pPr>
              <w:tabs>
                <w:tab w:val="left" w:pos="1415"/>
              </w:tabs>
              <w:spacing w:after="0" w:line="240" w:lineRule="auto"/>
              <w:ind w:right="7"/>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20%</w:t>
            </w:r>
          </w:p>
        </w:tc>
        <w:tc>
          <w:tcPr>
            <w:tcW w:w="1565" w:type="dxa"/>
            <w:tcBorders>
              <w:top w:val="single" w:sz="4" w:space="0" w:color="FFFFFF"/>
              <w:bottom w:val="single" w:sz="4" w:space="0" w:color="FFFFFF"/>
              <w:right w:val="single" w:sz="4" w:space="0" w:color="FFFFFF"/>
            </w:tcBorders>
            <w:shd w:val="clear" w:color="auto" w:fill="00B0F0"/>
            <w:vAlign w:val="center"/>
          </w:tcPr>
          <w:p w14:paraId="2BCA18A4"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2</w:t>
            </w:r>
          </w:p>
        </w:tc>
        <w:tc>
          <w:tcPr>
            <w:tcW w:w="1267" w:type="dxa"/>
            <w:tcBorders>
              <w:top w:val="single" w:sz="4" w:space="0" w:color="FFFFFF"/>
              <w:left w:val="single" w:sz="4" w:space="0" w:color="FFFFFF"/>
              <w:bottom w:val="single" w:sz="4" w:space="0" w:color="FFFFFF"/>
              <w:right w:val="single" w:sz="4" w:space="0" w:color="FFFFFF"/>
            </w:tcBorders>
            <w:shd w:val="clear" w:color="auto" w:fill="00B0F0"/>
            <w:vAlign w:val="center"/>
          </w:tcPr>
          <w:p w14:paraId="03202160"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4</w:t>
            </w:r>
          </w:p>
        </w:tc>
        <w:tc>
          <w:tcPr>
            <w:tcW w:w="1059" w:type="dxa"/>
            <w:tcBorders>
              <w:top w:val="single" w:sz="4" w:space="0" w:color="FFFFFF"/>
              <w:left w:val="single" w:sz="4" w:space="0" w:color="FFFFFF"/>
              <w:bottom w:val="single" w:sz="4" w:space="0" w:color="FFFFFF"/>
              <w:right w:val="single" w:sz="4" w:space="0" w:color="FFFFFF"/>
            </w:tcBorders>
            <w:shd w:val="clear" w:color="auto" w:fill="FFFF00"/>
            <w:vAlign w:val="center"/>
          </w:tcPr>
          <w:p w14:paraId="02AD1288"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6</w:t>
            </w:r>
          </w:p>
        </w:tc>
        <w:tc>
          <w:tcPr>
            <w:tcW w:w="1280" w:type="dxa"/>
            <w:tcBorders>
              <w:top w:val="single" w:sz="4" w:space="0" w:color="FFFFFF"/>
              <w:left w:val="single" w:sz="4" w:space="0" w:color="FFFFFF"/>
              <w:bottom w:val="single" w:sz="4" w:space="0" w:color="FFFFFF"/>
              <w:right w:val="single" w:sz="4" w:space="0" w:color="FFFFFF"/>
            </w:tcBorders>
            <w:shd w:val="clear" w:color="auto" w:fill="FFC000"/>
            <w:vAlign w:val="center"/>
          </w:tcPr>
          <w:p w14:paraId="44AC96CB"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8</w:t>
            </w:r>
          </w:p>
        </w:tc>
        <w:tc>
          <w:tcPr>
            <w:tcW w:w="1516" w:type="dxa"/>
            <w:tcBorders>
              <w:top w:val="single" w:sz="4" w:space="0" w:color="FFFFFF"/>
              <w:left w:val="single" w:sz="4" w:space="0" w:color="FFFFFF"/>
              <w:bottom w:val="single" w:sz="4" w:space="0" w:color="FFFFFF"/>
            </w:tcBorders>
            <w:shd w:val="clear" w:color="auto" w:fill="FF0000"/>
            <w:vAlign w:val="center"/>
          </w:tcPr>
          <w:p w14:paraId="2C21BABE"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10</w:t>
            </w:r>
          </w:p>
        </w:tc>
      </w:tr>
      <w:tr w:rsidR="00F337B5" w:rsidRPr="00F337B5" w14:paraId="34AA64D3" w14:textId="77777777" w:rsidTr="008D1895">
        <w:trPr>
          <w:trHeight w:val="460"/>
        </w:trPr>
        <w:tc>
          <w:tcPr>
            <w:tcW w:w="561" w:type="dxa"/>
            <w:vMerge/>
            <w:shd w:val="clear" w:color="auto" w:fill="F2F2F2"/>
          </w:tcPr>
          <w:p w14:paraId="694D1BF4" w14:textId="77777777" w:rsidR="00B81AE4" w:rsidRPr="00F337B5" w:rsidRDefault="00B81AE4" w:rsidP="00B81AE4">
            <w:pPr>
              <w:tabs>
                <w:tab w:val="left" w:pos="1415"/>
              </w:tabs>
              <w:spacing w:after="0" w:line="240" w:lineRule="auto"/>
              <w:rPr>
                <w:rFonts w:ascii="Times New Roman" w:eastAsia="Times New Roman" w:hAnsi="Times New Roman"/>
                <w:b/>
                <w:sz w:val="22"/>
                <w:lang w:val="bg-BG" w:eastAsia="bg-BG"/>
              </w:rPr>
            </w:pPr>
          </w:p>
        </w:tc>
        <w:tc>
          <w:tcPr>
            <w:tcW w:w="326" w:type="dxa"/>
            <w:shd w:val="clear" w:color="auto" w:fill="F2F2F2"/>
            <w:vAlign w:val="center"/>
          </w:tcPr>
          <w:p w14:paraId="4E364CBC"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1</w:t>
            </w:r>
          </w:p>
        </w:tc>
        <w:tc>
          <w:tcPr>
            <w:tcW w:w="1148" w:type="dxa"/>
            <w:shd w:val="clear" w:color="auto" w:fill="F2F2F2"/>
            <w:vAlign w:val="center"/>
          </w:tcPr>
          <w:p w14:paraId="142AB41F" w14:textId="77777777" w:rsidR="00B81AE4" w:rsidRPr="00F337B5" w:rsidRDefault="00B81AE4" w:rsidP="00B81AE4">
            <w:pPr>
              <w:tabs>
                <w:tab w:val="left" w:pos="1415"/>
              </w:tabs>
              <w:spacing w:after="0" w:line="240" w:lineRule="auto"/>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Рядко</w:t>
            </w:r>
          </w:p>
        </w:tc>
        <w:tc>
          <w:tcPr>
            <w:tcW w:w="624" w:type="dxa"/>
            <w:shd w:val="clear" w:color="auto" w:fill="F2F2F2"/>
            <w:vAlign w:val="center"/>
          </w:tcPr>
          <w:p w14:paraId="454CCB59" w14:textId="77777777" w:rsidR="00B81AE4" w:rsidRPr="00F337B5" w:rsidRDefault="00B81AE4" w:rsidP="00B81AE4">
            <w:pPr>
              <w:tabs>
                <w:tab w:val="left" w:pos="1415"/>
              </w:tabs>
              <w:spacing w:after="0" w:line="240" w:lineRule="auto"/>
              <w:ind w:right="7"/>
              <w:jc w:val="center"/>
              <w:rPr>
                <w:rFonts w:ascii="Times New Roman" w:eastAsia="Times New Roman" w:hAnsi="Times New Roman"/>
                <w:b/>
                <w:sz w:val="22"/>
                <w:lang w:val="bg-BG" w:eastAsia="bg-BG"/>
              </w:rPr>
            </w:pPr>
            <w:r w:rsidRPr="00F337B5">
              <w:rPr>
                <w:rFonts w:ascii="Times New Roman" w:eastAsia="Times New Roman" w:hAnsi="Times New Roman"/>
                <w:b/>
                <w:sz w:val="22"/>
                <w:lang w:val="bg-BG" w:eastAsia="bg-BG"/>
              </w:rPr>
              <w:t>5%</w:t>
            </w:r>
          </w:p>
        </w:tc>
        <w:tc>
          <w:tcPr>
            <w:tcW w:w="1565" w:type="dxa"/>
            <w:tcBorders>
              <w:top w:val="single" w:sz="4" w:space="0" w:color="FFFFFF"/>
              <w:right w:val="single" w:sz="4" w:space="0" w:color="FFFFFF"/>
            </w:tcBorders>
            <w:shd w:val="clear" w:color="auto" w:fill="00B0F0"/>
            <w:vAlign w:val="center"/>
          </w:tcPr>
          <w:p w14:paraId="2E21F71D"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1</w:t>
            </w:r>
          </w:p>
        </w:tc>
        <w:tc>
          <w:tcPr>
            <w:tcW w:w="1267" w:type="dxa"/>
            <w:tcBorders>
              <w:top w:val="single" w:sz="4" w:space="0" w:color="FFFFFF"/>
              <w:left w:val="single" w:sz="4" w:space="0" w:color="FFFFFF"/>
              <w:right w:val="single" w:sz="4" w:space="0" w:color="FFFFFF"/>
            </w:tcBorders>
            <w:shd w:val="clear" w:color="auto" w:fill="00B0F0"/>
            <w:vAlign w:val="center"/>
          </w:tcPr>
          <w:p w14:paraId="6811EEF2"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2</w:t>
            </w:r>
          </w:p>
        </w:tc>
        <w:tc>
          <w:tcPr>
            <w:tcW w:w="1059" w:type="dxa"/>
            <w:tcBorders>
              <w:top w:val="single" w:sz="4" w:space="0" w:color="FFFFFF"/>
              <w:left w:val="single" w:sz="4" w:space="0" w:color="FFFFFF"/>
              <w:right w:val="single" w:sz="4" w:space="0" w:color="FFFFFF"/>
            </w:tcBorders>
            <w:shd w:val="clear" w:color="auto" w:fill="FFFF00"/>
            <w:vAlign w:val="center"/>
          </w:tcPr>
          <w:p w14:paraId="1308AAD6"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3</w:t>
            </w:r>
          </w:p>
        </w:tc>
        <w:tc>
          <w:tcPr>
            <w:tcW w:w="1280" w:type="dxa"/>
            <w:tcBorders>
              <w:top w:val="single" w:sz="4" w:space="0" w:color="FFFFFF"/>
              <w:left w:val="single" w:sz="4" w:space="0" w:color="FFFFFF"/>
              <w:right w:val="single" w:sz="4" w:space="0" w:color="FFFFFF"/>
            </w:tcBorders>
            <w:shd w:val="clear" w:color="auto" w:fill="FFC000"/>
            <w:vAlign w:val="center"/>
          </w:tcPr>
          <w:p w14:paraId="4E8E7CF4"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4</w:t>
            </w:r>
          </w:p>
        </w:tc>
        <w:tc>
          <w:tcPr>
            <w:tcW w:w="1516" w:type="dxa"/>
            <w:tcBorders>
              <w:top w:val="single" w:sz="4" w:space="0" w:color="FFFFFF"/>
              <w:left w:val="single" w:sz="4" w:space="0" w:color="FFFFFF"/>
            </w:tcBorders>
            <w:shd w:val="clear" w:color="auto" w:fill="FFC000"/>
            <w:vAlign w:val="center"/>
          </w:tcPr>
          <w:p w14:paraId="4B5C72BC"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5</w:t>
            </w:r>
          </w:p>
        </w:tc>
      </w:tr>
    </w:tbl>
    <w:p w14:paraId="07EAB3EB" w14:textId="77777777" w:rsidR="00B81AE4" w:rsidRPr="00F337B5" w:rsidRDefault="00B81AE4" w:rsidP="00B81AE4">
      <w:pPr>
        <w:spacing w:after="0" w:line="22" w:lineRule="atLeast"/>
        <w:ind w:firstLine="709"/>
        <w:rPr>
          <w:rFonts w:ascii="Times New Roman" w:eastAsia="Times New Roman" w:hAnsi="Times New Roman"/>
          <w:b/>
          <w:bCs/>
          <w:sz w:val="22"/>
          <w:u w:val="single"/>
          <w:lang w:val="bg-BG" w:eastAsia="bg-B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1552"/>
        <w:gridCol w:w="1553"/>
        <w:gridCol w:w="1552"/>
        <w:gridCol w:w="1551"/>
      </w:tblGrid>
      <w:tr w:rsidR="00F337B5" w:rsidRPr="00F337B5" w14:paraId="2AC72DE4" w14:textId="77777777" w:rsidTr="008D1895">
        <w:tc>
          <w:tcPr>
            <w:tcW w:w="2808" w:type="dxa"/>
            <w:shd w:val="clear" w:color="auto" w:fill="auto"/>
          </w:tcPr>
          <w:p w14:paraId="5204F9DD" w14:textId="77777777" w:rsidR="00B81AE4" w:rsidRPr="00F337B5" w:rsidRDefault="00B81AE4" w:rsidP="00B81AE4">
            <w:pPr>
              <w:tabs>
                <w:tab w:val="left" w:pos="1415"/>
              </w:tabs>
              <w:spacing w:after="0" w:line="240" w:lineRule="auto"/>
              <w:jc w:val="left"/>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Ниво на риска</w:t>
            </w:r>
          </w:p>
        </w:tc>
        <w:tc>
          <w:tcPr>
            <w:tcW w:w="1552" w:type="dxa"/>
            <w:shd w:val="clear" w:color="auto" w:fill="00B0F0"/>
          </w:tcPr>
          <w:p w14:paraId="23F275AB"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 xml:space="preserve">Ниско </w:t>
            </w:r>
          </w:p>
        </w:tc>
        <w:tc>
          <w:tcPr>
            <w:tcW w:w="1553" w:type="dxa"/>
            <w:shd w:val="clear" w:color="auto" w:fill="FFFF00"/>
          </w:tcPr>
          <w:p w14:paraId="2798E78E"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Средно</w:t>
            </w:r>
          </w:p>
        </w:tc>
        <w:tc>
          <w:tcPr>
            <w:tcW w:w="1552" w:type="dxa"/>
            <w:shd w:val="clear" w:color="auto" w:fill="FFC000"/>
          </w:tcPr>
          <w:p w14:paraId="2FF80289"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 xml:space="preserve">Високо </w:t>
            </w:r>
          </w:p>
        </w:tc>
        <w:tc>
          <w:tcPr>
            <w:tcW w:w="1551" w:type="dxa"/>
            <w:shd w:val="clear" w:color="auto" w:fill="FF0000"/>
          </w:tcPr>
          <w:p w14:paraId="58861457" w14:textId="77777777" w:rsidR="00B81AE4" w:rsidRPr="00F337B5" w:rsidRDefault="00B81AE4" w:rsidP="00B81AE4">
            <w:pPr>
              <w:tabs>
                <w:tab w:val="left" w:pos="1415"/>
              </w:tabs>
              <w:spacing w:after="0" w:line="240" w:lineRule="auto"/>
              <w:jc w:val="center"/>
              <w:rPr>
                <w:rFonts w:ascii="Times New Roman" w:eastAsia="Times New Roman" w:hAnsi="Times New Roman"/>
                <w:sz w:val="22"/>
                <w:lang w:val="bg-BG" w:eastAsia="bg-BG"/>
              </w:rPr>
            </w:pPr>
            <w:r w:rsidRPr="00F337B5">
              <w:rPr>
                <w:rFonts w:ascii="Times New Roman" w:eastAsia="Times New Roman" w:hAnsi="Times New Roman"/>
                <w:sz w:val="22"/>
                <w:lang w:val="bg-BG" w:eastAsia="bg-BG"/>
              </w:rPr>
              <w:t>Екстремно</w:t>
            </w:r>
          </w:p>
        </w:tc>
      </w:tr>
    </w:tbl>
    <w:p w14:paraId="363846F7" w14:textId="77777777" w:rsidR="00B81AE4" w:rsidRPr="00F337B5" w:rsidRDefault="00B81AE4" w:rsidP="00B81AE4">
      <w:pPr>
        <w:tabs>
          <w:tab w:val="left" w:pos="1415"/>
        </w:tabs>
        <w:spacing w:after="0" w:line="276" w:lineRule="auto"/>
        <w:ind w:firstLine="709"/>
        <w:rPr>
          <w:rFonts w:ascii="Times New Roman" w:eastAsia="Times New Roman" w:hAnsi="Times New Roman"/>
          <w:sz w:val="22"/>
          <w:lang w:val="bg-BG" w:eastAsia="bg-BG"/>
        </w:rPr>
      </w:pPr>
    </w:p>
    <w:p w14:paraId="280741FB" w14:textId="77777777" w:rsidR="00B81AE4" w:rsidRPr="00F337B5" w:rsidRDefault="00B81AE4" w:rsidP="00B81AE4">
      <w:pPr>
        <w:spacing w:after="120" w:line="24" w:lineRule="atLeast"/>
        <w:ind w:firstLine="720"/>
        <w:rPr>
          <w:rFonts w:ascii="Times New Roman" w:hAnsi="Times New Roman"/>
          <w:sz w:val="22"/>
          <w:lang w:val="bg-BG"/>
        </w:rPr>
      </w:pPr>
    </w:p>
    <w:p w14:paraId="397B0244" w14:textId="77777777" w:rsidR="00B81AE4" w:rsidRPr="00F337B5" w:rsidRDefault="00B81AE4" w:rsidP="00B81AE4">
      <w:pPr>
        <w:spacing w:after="120" w:line="24" w:lineRule="atLeast"/>
        <w:ind w:firstLine="720"/>
        <w:rPr>
          <w:rFonts w:ascii="Times New Roman" w:hAnsi="Times New Roman"/>
          <w:sz w:val="22"/>
          <w:lang w:val="bg-BG"/>
        </w:rPr>
      </w:pPr>
    </w:p>
    <w:p w14:paraId="3F12BA81" w14:textId="77777777" w:rsidR="00B81AE4" w:rsidRPr="00F337B5" w:rsidRDefault="00B81AE4" w:rsidP="00B81AE4">
      <w:pPr>
        <w:spacing w:after="120" w:line="24" w:lineRule="atLeast"/>
        <w:ind w:firstLine="720"/>
        <w:rPr>
          <w:rFonts w:ascii="Times New Roman" w:hAnsi="Times New Roman"/>
          <w:sz w:val="22"/>
          <w:lang w:val="bg-BG"/>
        </w:rPr>
      </w:pPr>
    </w:p>
    <w:p w14:paraId="4C89AB7F" w14:textId="77777777" w:rsidR="00B81AE4" w:rsidRPr="00F337B5" w:rsidRDefault="00B81AE4" w:rsidP="00B81AE4">
      <w:pPr>
        <w:spacing w:after="120" w:line="24" w:lineRule="atLeast"/>
        <w:ind w:firstLine="720"/>
        <w:rPr>
          <w:rFonts w:ascii="Times New Roman" w:hAnsi="Times New Roman"/>
          <w:sz w:val="22"/>
          <w:lang w:val="bg-BG"/>
        </w:rPr>
      </w:pPr>
    </w:p>
    <w:p w14:paraId="64DA338E" w14:textId="77777777" w:rsidR="00B22ED4" w:rsidRPr="00F337B5" w:rsidRDefault="00B22ED4" w:rsidP="00B81AE4">
      <w:pPr>
        <w:spacing w:after="120" w:line="24" w:lineRule="atLeast"/>
        <w:ind w:firstLine="720"/>
        <w:rPr>
          <w:rFonts w:ascii="Times New Roman" w:hAnsi="Times New Roman"/>
          <w:sz w:val="22"/>
          <w:lang w:val="bg-BG"/>
        </w:rPr>
      </w:pPr>
    </w:p>
    <w:p w14:paraId="58850FA9" w14:textId="77777777" w:rsidR="00B81AE4" w:rsidRPr="00F337B5" w:rsidRDefault="00B81AE4" w:rsidP="00B81AE4">
      <w:pPr>
        <w:spacing w:after="120" w:line="24" w:lineRule="atLeast"/>
        <w:ind w:firstLine="720"/>
        <w:rPr>
          <w:rFonts w:ascii="Times New Roman" w:hAnsi="Times New Roman"/>
          <w:sz w:val="22"/>
          <w:lang w:val="bg-BG"/>
        </w:rPr>
      </w:pPr>
    </w:p>
    <w:p w14:paraId="03B6AF26" w14:textId="77777777" w:rsidR="00B81AE4" w:rsidRPr="00F337B5" w:rsidRDefault="00B81AE4" w:rsidP="00B81AE4">
      <w:pPr>
        <w:spacing w:after="120" w:line="24" w:lineRule="atLeast"/>
        <w:ind w:firstLine="720"/>
        <w:rPr>
          <w:rFonts w:ascii="Times New Roman" w:hAnsi="Times New Roman"/>
          <w:sz w:val="22"/>
          <w:lang w:val="bg-BG"/>
        </w:rPr>
      </w:pPr>
    </w:p>
    <w:p w14:paraId="1269F5BC" w14:textId="77777777" w:rsidR="00B81AE4" w:rsidRPr="00F337B5" w:rsidRDefault="00B81AE4" w:rsidP="00B81AE4">
      <w:pPr>
        <w:spacing w:after="120" w:line="24" w:lineRule="atLeast"/>
        <w:jc w:val="center"/>
        <w:rPr>
          <w:rFonts w:ascii="Times New Roman" w:hAnsi="Times New Roman"/>
          <w:b/>
          <w:bCs/>
          <w:i/>
          <w:iCs/>
          <w:sz w:val="22"/>
          <w:lang w:val="bg-BG"/>
        </w:rPr>
      </w:pPr>
      <w:r w:rsidRPr="00F337B5">
        <w:rPr>
          <w:rFonts w:ascii="Times New Roman" w:hAnsi="Times New Roman"/>
          <w:b/>
          <w:bCs/>
          <w:i/>
          <w:iCs/>
          <w:sz w:val="22"/>
          <w:lang w:val="bg-BG"/>
        </w:rPr>
        <w:lastRenderedPageBreak/>
        <w:t>Оценка на уязвимостта на проекта</w:t>
      </w:r>
      <w:r w:rsidRPr="00F337B5">
        <w:rPr>
          <w:rFonts w:ascii="Times New Roman" w:hAnsi="Times New Roman"/>
          <w:sz w:val="22"/>
          <w:lang w:val="bg-BG"/>
        </w:rPr>
        <w:t xml:space="preserve"> </w:t>
      </w:r>
      <w:r w:rsidRPr="00F337B5">
        <w:rPr>
          <w:rFonts w:ascii="Times New Roman" w:hAnsi="Times New Roman"/>
          <w:b/>
          <w:bCs/>
          <w:i/>
          <w:iCs/>
          <w:sz w:val="22"/>
          <w:lang w:val="bg-BG"/>
        </w:rPr>
        <w:t>към изменението на климата</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560"/>
        <w:gridCol w:w="992"/>
        <w:gridCol w:w="992"/>
        <w:gridCol w:w="992"/>
        <w:gridCol w:w="1413"/>
      </w:tblGrid>
      <w:tr w:rsidR="00F337B5" w:rsidRPr="00F337B5" w14:paraId="3B3DF5AE" w14:textId="77777777" w:rsidTr="008D1895">
        <w:trPr>
          <w:trHeight w:val="342"/>
          <w:tblHeader/>
        </w:trPr>
        <w:tc>
          <w:tcPr>
            <w:tcW w:w="3397" w:type="dxa"/>
            <w:vMerge w:val="restart"/>
            <w:shd w:val="clear" w:color="auto" w:fill="auto"/>
          </w:tcPr>
          <w:p w14:paraId="211C2A34"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Основни рискове</w:t>
            </w:r>
          </w:p>
        </w:tc>
        <w:tc>
          <w:tcPr>
            <w:tcW w:w="1560" w:type="dxa"/>
            <w:vMerge w:val="restart"/>
            <w:shd w:val="clear" w:color="auto" w:fill="auto"/>
          </w:tcPr>
          <w:p w14:paraId="508BE3E2"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 xml:space="preserve">Чувствител-ност </w:t>
            </w:r>
          </w:p>
        </w:tc>
        <w:tc>
          <w:tcPr>
            <w:tcW w:w="1984" w:type="dxa"/>
            <w:gridSpan w:val="2"/>
            <w:shd w:val="clear" w:color="auto" w:fill="auto"/>
          </w:tcPr>
          <w:p w14:paraId="21B22A86"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Експозиция</w:t>
            </w:r>
          </w:p>
        </w:tc>
        <w:tc>
          <w:tcPr>
            <w:tcW w:w="992" w:type="dxa"/>
            <w:vMerge w:val="restart"/>
            <w:shd w:val="clear" w:color="auto" w:fill="auto"/>
          </w:tcPr>
          <w:p w14:paraId="4B160CDA"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Уязви</w:t>
            </w:r>
          </w:p>
          <w:p w14:paraId="27F7ED8D"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мост</w:t>
            </w:r>
          </w:p>
        </w:tc>
        <w:tc>
          <w:tcPr>
            <w:tcW w:w="1413" w:type="dxa"/>
            <w:vMerge w:val="restart"/>
            <w:shd w:val="clear" w:color="auto" w:fill="auto"/>
          </w:tcPr>
          <w:p w14:paraId="6D60F257"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Анализ на риска</w:t>
            </w:r>
          </w:p>
        </w:tc>
      </w:tr>
      <w:tr w:rsidR="00F337B5" w:rsidRPr="00F337B5" w14:paraId="3749F177" w14:textId="77777777" w:rsidTr="008D1895">
        <w:trPr>
          <w:trHeight w:val="342"/>
          <w:tblHeader/>
        </w:trPr>
        <w:tc>
          <w:tcPr>
            <w:tcW w:w="3397" w:type="dxa"/>
            <w:vMerge/>
            <w:shd w:val="clear" w:color="auto" w:fill="auto"/>
          </w:tcPr>
          <w:p w14:paraId="5306FAA3"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p>
        </w:tc>
        <w:tc>
          <w:tcPr>
            <w:tcW w:w="1560" w:type="dxa"/>
            <w:vMerge/>
            <w:shd w:val="clear" w:color="auto" w:fill="auto"/>
          </w:tcPr>
          <w:p w14:paraId="4DCA24AB"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p>
        </w:tc>
        <w:tc>
          <w:tcPr>
            <w:tcW w:w="992" w:type="dxa"/>
            <w:shd w:val="clear" w:color="auto" w:fill="auto"/>
          </w:tcPr>
          <w:p w14:paraId="5EED8BB6"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текуща</w:t>
            </w:r>
          </w:p>
        </w:tc>
        <w:tc>
          <w:tcPr>
            <w:tcW w:w="992" w:type="dxa"/>
            <w:shd w:val="clear" w:color="auto" w:fill="auto"/>
          </w:tcPr>
          <w:p w14:paraId="5A15ABEB"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r w:rsidRPr="00F337B5">
              <w:rPr>
                <w:rFonts w:ascii="Times New Roman" w:eastAsia="Times New Roman" w:hAnsi="Times New Roman"/>
                <w:b/>
                <w:bCs/>
                <w:sz w:val="20"/>
                <w:szCs w:val="20"/>
                <w:lang w:val="bg-BG" w:eastAsia="bg-BG"/>
              </w:rPr>
              <w:t>бъдеща</w:t>
            </w:r>
          </w:p>
        </w:tc>
        <w:tc>
          <w:tcPr>
            <w:tcW w:w="992" w:type="dxa"/>
            <w:vMerge/>
            <w:shd w:val="clear" w:color="auto" w:fill="auto"/>
          </w:tcPr>
          <w:p w14:paraId="0C71384E"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p>
        </w:tc>
        <w:tc>
          <w:tcPr>
            <w:tcW w:w="1413" w:type="dxa"/>
            <w:vMerge/>
            <w:shd w:val="clear" w:color="auto" w:fill="auto"/>
          </w:tcPr>
          <w:p w14:paraId="6E89CB52" w14:textId="77777777" w:rsidR="00FB2E9F" w:rsidRPr="00F337B5" w:rsidRDefault="00FB2E9F" w:rsidP="00FB2E9F">
            <w:pPr>
              <w:autoSpaceDE w:val="0"/>
              <w:autoSpaceDN w:val="0"/>
              <w:adjustRightInd w:val="0"/>
              <w:spacing w:after="0" w:line="240" w:lineRule="auto"/>
              <w:jc w:val="center"/>
              <w:rPr>
                <w:rFonts w:ascii="Times New Roman" w:eastAsia="Times New Roman" w:hAnsi="Times New Roman"/>
                <w:b/>
                <w:bCs/>
                <w:sz w:val="20"/>
                <w:szCs w:val="20"/>
                <w:lang w:val="bg-BG" w:eastAsia="bg-BG"/>
              </w:rPr>
            </w:pPr>
          </w:p>
        </w:tc>
      </w:tr>
      <w:tr w:rsidR="00F337B5" w:rsidRPr="00F337B5" w14:paraId="50C02081" w14:textId="77777777" w:rsidTr="008D1895">
        <w:tc>
          <w:tcPr>
            <w:tcW w:w="9346" w:type="dxa"/>
            <w:gridSpan w:val="6"/>
            <w:shd w:val="clear" w:color="auto" w:fill="auto"/>
          </w:tcPr>
          <w:p w14:paraId="2AC132A1" w14:textId="77777777" w:rsidR="00FB2E9F" w:rsidRPr="00F337B5" w:rsidRDefault="00FB2E9F" w:rsidP="00FB2E9F">
            <w:pPr>
              <w:autoSpaceDE w:val="0"/>
              <w:autoSpaceDN w:val="0"/>
              <w:adjustRightInd w:val="0"/>
              <w:spacing w:after="120" w:line="24" w:lineRule="atLeast"/>
              <w:jc w:val="center"/>
              <w:rPr>
                <w:rFonts w:ascii="Times New Roman" w:eastAsia="Times New Roman" w:hAnsi="Times New Roman"/>
                <w:b/>
                <w:bCs/>
                <w:i/>
                <w:iCs/>
                <w:sz w:val="20"/>
                <w:szCs w:val="20"/>
                <w:lang w:val="bg-BG" w:eastAsia="bg-BG"/>
              </w:rPr>
            </w:pPr>
            <w:r w:rsidRPr="00F337B5">
              <w:rPr>
                <w:rFonts w:ascii="Times New Roman" w:eastAsia="Times New Roman" w:hAnsi="Times New Roman"/>
                <w:b/>
                <w:bCs/>
                <w:i/>
                <w:iCs/>
                <w:sz w:val="20"/>
                <w:szCs w:val="20"/>
                <w:lang w:val="bg-BG" w:eastAsia="bg-BG"/>
              </w:rPr>
              <w:t>Сектор „Транспорт“</w:t>
            </w:r>
          </w:p>
        </w:tc>
      </w:tr>
      <w:tr w:rsidR="00F337B5" w:rsidRPr="00F337B5" w14:paraId="7C0B4FF4" w14:textId="77777777" w:rsidTr="008D1895">
        <w:tc>
          <w:tcPr>
            <w:tcW w:w="3397" w:type="dxa"/>
            <w:shd w:val="clear" w:color="auto" w:fill="auto"/>
          </w:tcPr>
          <w:p w14:paraId="75ABE2C8"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Наводнения:</w:t>
            </w:r>
            <w:r w:rsidRPr="00F337B5">
              <w:rPr>
                <w:rFonts w:ascii="Times New Roman" w:eastAsia="Times New Roman" w:hAnsi="Times New Roman"/>
                <w:sz w:val="20"/>
                <w:szCs w:val="20"/>
                <w:lang w:val="bg-BG" w:eastAsia="bg-BG"/>
              </w:rPr>
              <w:t xml:space="preserve"> Водата може да подкопае основите, което може да причини катастрофални повреди на инженерните съоръжения.</w:t>
            </w:r>
          </w:p>
        </w:tc>
        <w:tc>
          <w:tcPr>
            <w:tcW w:w="1560" w:type="dxa"/>
            <w:shd w:val="clear" w:color="auto" w:fill="FFFF00"/>
          </w:tcPr>
          <w:p w14:paraId="5E27FE6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3F57970D"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1E4A9B33"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2F30C653"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FFFF00"/>
          </w:tcPr>
          <w:p w14:paraId="7D352CF9"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F337B5" w14:paraId="13325A06" w14:textId="77777777" w:rsidTr="008D1895">
        <w:tc>
          <w:tcPr>
            <w:tcW w:w="3397" w:type="dxa"/>
            <w:shd w:val="clear" w:color="auto" w:fill="auto"/>
          </w:tcPr>
          <w:p w14:paraId="59073B73"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Виелици и снеговалежи</w:t>
            </w:r>
            <w:r w:rsidRPr="00F337B5">
              <w:rPr>
                <w:rFonts w:ascii="Times New Roman" w:eastAsia="Times New Roman" w:hAnsi="Times New Roman"/>
                <w:sz w:val="20"/>
                <w:szCs w:val="20"/>
                <w:lang w:val="bg-BG" w:eastAsia="bg-BG"/>
              </w:rPr>
              <w:t>:</w:t>
            </w:r>
            <w:r w:rsidRPr="00F337B5">
              <w:rPr>
                <w:rFonts w:ascii="Times New Roman" w:eastAsia="Times New Roman" w:hAnsi="Times New Roman"/>
                <w:sz w:val="22"/>
                <w:lang w:val="bg-BG" w:eastAsia="bg-BG"/>
              </w:rPr>
              <w:t xml:space="preserve"> </w:t>
            </w:r>
            <w:r w:rsidRPr="00F337B5">
              <w:rPr>
                <w:rFonts w:ascii="Times New Roman" w:eastAsia="Times New Roman" w:hAnsi="Times New Roman"/>
                <w:sz w:val="20"/>
                <w:szCs w:val="20"/>
                <w:lang w:val="bg-BG" w:eastAsia="bg-BG"/>
              </w:rPr>
              <w:t>ще продължат да бъдат основен източник на смущения в услугите на всички видове транспорт. Северните части на страната са особено податливи на прекъсване на движението през зимата, поради силни ветрове и снеговалежи.</w:t>
            </w:r>
          </w:p>
        </w:tc>
        <w:tc>
          <w:tcPr>
            <w:tcW w:w="1560" w:type="dxa"/>
            <w:shd w:val="clear" w:color="auto" w:fill="00B050"/>
          </w:tcPr>
          <w:p w14:paraId="058095B4"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30FBD596"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483DA20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7F7CB0EA"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00B0F0"/>
          </w:tcPr>
          <w:p w14:paraId="6D9BF5D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F337B5" w14:paraId="42F1F310" w14:textId="77777777" w:rsidTr="008D1895">
        <w:tc>
          <w:tcPr>
            <w:tcW w:w="3397" w:type="dxa"/>
            <w:shd w:val="clear" w:color="auto" w:fill="auto"/>
          </w:tcPr>
          <w:p w14:paraId="0DB45ED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Екстремни горещини:</w:t>
            </w:r>
            <w:r w:rsidRPr="00F337B5">
              <w:rPr>
                <w:rFonts w:ascii="Times New Roman" w:eastAsia="Times New Roman" w:hAnsi="Times New Roman"/>
                <w:sz w:val="20"/>
                <w:szCs w:val="20"/>
                <w:lang w:val="bg-BG" w:eastAsia="bg-BG"/>
              </w:rPr>
              <w:t xml:space="preserve"> комбинацията от висока температура и силно слънчево греене причинява повърхностни пукнатини и съкращава живота на пътните настилки.</w:t>
            </w:r>
          </w:p>
        </w:tc>
        <w:tc>
          <w:tcPr>
            <w:tcW w:w="1560" w:type="dxa"/>
            <w:shd w:val="clear" w:color="auto" w:fill="FFFF00"/>
          </w:tcPr>
          <w:p w14:paraId="5BA71C98"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3500DFCA"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7D9629C9"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04CE095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FFFF00"/>
          </w:tcPr>
          <w:p w14:paraId="6F4847A8"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F337B5" w14:paraId="31E3F545" w14:textId="77777777" w:rsidTr="008D1895">
        <w:tc>
          <w:tcPr>
            <w:tcW w:w="9346" w:type="dxa"/>
            <w:gridSpan w:val="6"/>
            <w:shd w:val="clear" w:color="auto" w:fill="auto"/>
          </w:tcPr>
          <w:p w14:paraId="5706908A" w14:textId="77777777" w:rsidR="00FB2E9F" w:rsidRPr="00F337B5" w:rsidRDefault="00FB2E9F" w:rsidP="00FB2E9F">
            <w:pPr>
              <w:autoSpaceDE w:val="0"/>
              <w:autoSpaceDN w:val="0"/>
              <w:adjustRightInd w:val="0"/>
              <w:spacing w:after="120" w:line="24" w:lineRule="atLeast"/>
              <w:jc w:val="center"/>
              <w:rPr>
                <w:rFonts w:ascii="Times New Roman" w:eastAsia="Times New Roman" w:hAnsi="Times New Roman"/>
                <w:b/>
                <w:bCs/>
                <w:i/>
                <w:iCs/>
                <w:sz w:val="20"/>
                <w:szCs w:val="20"/>
                <w:lang w:val="bg-BG" w:eastAsia="bg-BG"/>
              </w:rPr>
            </w:pPr>
            <w:r w:rsidRPr="00F337B5">
              <w:rPr>
                <w:rFonts w:ascii="Times New Roman" w:eastAsia="Times New Roman" w:hAnsi="Times New Roman"/>
                <w:b/>
                <w:bCs/>
                <w:i/>
                <w:iCs/>
                <w:sz w:val="20"/>
                <w:szCs w:val="20"/>
                <w:lang w:val="bg-BG" w:eastAsia="bg-BG"/>
              </w:rPr>
              <w:t>Сектор „Води“</w:t>
            </w:r>
          </w:p>
        </w:tc>
      </w:tr>
      <w:tr w:rsidR="00F337B5" w:rsidRPr="00F337B5" w14:paraId="43BAB8B6" w14:textId="77777777" w:rsidTr="008D1895">
        <w:tc>
          <w:tcPr>
            <w:tcW w:w="3397" w:type="dxa"/>
            <w:shd w:val="clear" w:color="auto" w:fill="auto"/>
          </w:tcPr>
          <w:p w14:paraId="11452A91"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Опасностите от наводнения и суша</w:t>
            </w:r>
            <w:r w:rsidRPr="00F337B5">
              <w:rPr>
                <w:rFonts w:ascii="Times New Roman" w:eastAsia="Times New Roman" w:hAnsi="Times New Roman"/>
                <w:sz w:val="20"/>
                <w:szCs w:val="20"/>
                <w:lang w:val="bg-BG" w:eastAsia="bg-BG"/>
              </w:rPr>
              <w:t>:</w:t>
            </w:r>
            <w:r w:rsidRPr="00F337B5">
              <w:rPr>
                <w:rFonts w:ascii="Times New Roman" w:eastAsia="Times New Roman" w:hAnsi="Times New Roman"/>
                <w:sz w:val="22"/>
                <w:lang w:val="bg-BG" w:eastAsia="bg-BG"/>
              </w:rPr>
              <w:t xml:space="preserve"> </w:t>
            </w:r>
            <w:r w:rsidRPr="00F337B5">
              <w:rPr>
                <w:rFonts w:ascii="Times New Roman" w:eastAsia="Times New Roman" w:hAnsi="Times New Roman"/>
                <w:sz w:val="20"/>
                <w:szCs w:val="20"/>
                <w:lang w:val="bg-BG" w:eastAsia="bg-BG"/>
              </w:rPr>
              <w:t>По-високите рискове от наводнения засягат цялата страна, докато по-сериозните засушавания застрашават районите с прогнозиран недостиг на вода.</w:t>
            </w:r>
          </w:p>
        </w:tc>
        <w:tc>
          <w:tcPr>
            <w:tcW w:w="1560" w:type="dxa"/>
            <w:shd w:val="clear" w:color="auto" w:fill="FFFF00"/>
          </w:tcPr>
          <w:p w14:paraId="257EAFA1"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08247AC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7A85C14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7853F2F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FFFF00"/>
          </w:tcPr>
          <w:p w14:paraId="479BEC08"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F337B5" w14:paraId="315833DC" w14:textId="77777777" w:rsidTr="008D1895">
        <w:tc>
          <w:tcPr>
            <w:tcW w:w="3397" w:type="dxa"/>
            <w:shd w:val="clear" w:color="auto" w:fill="auto"/>
          </w:tcPr>
          <w:p w14:paraId="6D4CF4BB" w14:textId="77777777" w:rsidR="00FB2E9F" w:rsidRPr="00F337B5" w:rsidRDefault="00FB2E9F" w:rsidP="00FB2E9F">
            <w:pPr>
              <w:autoSpaceDE w:val="0"/>
              <w:autoSpaceDN w:val="0"/>
              <w:adjustRightInd w:val="0"/>
              <w:spacing w:after="0" w:line="240" w:lineRule="auto"/>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Ключовите уязвимости</w:t>
            </w:r>
            <w:r w:rsidRPr="00F337B5">
              <w:rPr>
                <w:rFonts w:ascii="Times New Roman" w:eastAsia="Times New Roman" w:hAnsi="Times New Roman"/>
                <w:sz w:val="20"/>
                <w:szCs w:val="20"/>
                <w:lang w:val="bg-BG" w:eastAsia="bg-BG"/>
              </w:rPr>
              <w:t xml:space="preserve"> към тези климатични опасности са:</w:t>
            </w:r>
          </w:p>
          <w:p w14:paraId="3C55A93D" w14:textId="77777777" w:rsidR="00FB2E9F" w:rsidRPr="00F337B5" w:rsidRDefault="00FB2E9F" w:rsidP="00FB2E9F">
            <w:pPr>
              <w:autoSpaceDE w:val="0"/>
              <w:autoSpaceDN w:val="0"/>
              <w:adjustRightInd w:val="0"/>
              <w:spacing w:after="0" w:line="240" w:lineRule="auto"/>
              <w:jc w:val="left"/>
              <w:rPr>
                <w:rFonts w:ascii="Times New Roman" w:eastAsia="Times New Roman" w:hAnsi="Times New Roman"/>
                <w:sz w:val="20"/>
                <w:szCs w:val="20"/>
                <w:lang w:val="bg-BG" w:eastAsia="bg-BG"/>
              </w:rPr>
            </w:pPr>
            <w:r w:rsidRPr="00F337B5">
              <w:rPr>
                <w:rFonts w:ascii="Times New Roman" w:eastAsia="Times New Roman" w:hAnsi="Times New Roman"/>
                <w:sz w:val="20"/>
                <w:szCs w:val="20"/>
                <w:lang w:val="bg-BG" w:eastAsia="bg-BG"/>
              </w:rPr>
              <w:t>- Състояние и подготвеност на инфраструктурата: слабо поддържаната инфраструктура е силно уязвима и най-вероятно, неадекватна за справяне с изменението на климата.</w:t>
            </w:r>
          </w:p>
          <w:p w14:paraId="3D4A5404" w14:textId="77777777" w:rsidR="00FB2E9F" w:rsidRPr="00F337B5" w:rsidRDefault="00FB2E9F" w:rsidP="00FB2E9F">
            <w:pPr>
              <w:autoSpaceDE w:val="0"/>
              <w:autoSpaceDN w:val="0"/>
              <w:adjustRightInd w:val="0"/>
              <w:spacing w:after="0" w:line="240" w:lineRule="auto"/>
              <w:jc w:val="left"/>
              <w:rPr>
                <w:rFonts w:ascii="Times New Roman" w:eastAsia="Times New Roman" w:hAnsi="Times New Roman"/>
                <w:sz w:val="20"/>
                <w:szCs w:val="20"/>
                <w:lang w:val="bg-BG" w:eastAsia="bg-BG"/>
              </w:rPr>
            </w:pPr>
            <w:r w:rsidRPr="00F337B5">
              <w:rPr>
                <w:rFonts w:ascii="Times New Roman" w:eastAsia="Times New Roman" w:hAnsi="Times New Roman"/>
                <w:sz w:val="20"/>
                <w:szCs w:val="20"/>
                <w:lang w:val="bg-BG" w:eastAsia="bg-BG"/>
              </w:rPr>
              <w:t>- Готовност на човешкия фактор: неподготвеност, която поражда силна уязвимост.</w:t>
            </w:r>
          </w:p>
          <w:p w14:paraId="6785E289" w14:textId="77777777" w:rsidR="00FB2E9F" w:rsidRPr="00F337B5" w:rsidRDefault="00FB2E9F" w:rsidP="00FB2E9F">
            <w:pPr>
              <w:autoSpaceDE w:val="0"/>
              <w:autoSpaceDN w:val="0"/>
              <w:adjustRightInd w:val="0"/>
              <w:spacing w:after="0" w:line="240" w:lineRule="auto"/>
              <w:jc w:val="left"/>
              <w:rPr>
                <w:rFonts w:ascii="Times New Roman" w:eastAsia="Times New Roman" w:hAnsi="Times New Roman"/>
                <w:sz w:val="20"/>
                <w:szCs w:val="20"/>
                <w:lang w:val="bg-BG" w:eastAsia="bg-BG"/>
              </w:rPr>
            </w:pPr>
          </w:p>
        </w:tc>
        <w:tc>
          <w:tcPr>
            <w:tcW w:w="1560" w:type="dxa"/>
            <w:shd w:val="clear" w:color="auto" w:fill="00B050"/>
          </w:tcPr>
          <w:p w14:paraId="16508DBE"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2B5A820C"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4A3BDFE6"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760956B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00B0F0"/>
          </w:tcPr>
          <w:p w14:paraId="5F50945A"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F337B5" w14:paraId="668CF1A7" w14:textId="77777777" w:rsidTr="008D1895">
        <w:tc>
          <w:tcPr>
            <w:tcW w:w="3397" w:type="dxa"/>
            <w:shd w:val="clear" w:color="auto" w:fill="auto"/>
          </w:tcPr>
          <w:p w14:paraId="1FCA5FBB"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t>Основните рискове за управляваните системи</w:t>
            </w:r>
            <w:r w:rsidRPr="00F337B5">
              <w:rPr>
                <w:rFonts w:ascii="Times New Roman" w:eastAsia="Times New Roman" w:hAnsi="Times New Roman"/>
                <w:sz w:val="20"/>
                <w:szCs w:val="20"/>
                <w:lang w:val="bg-BG" w:eastAsia="bg-BG"/>
              </w:rPr>
              <w:t>, следователно са рискове за инфраструктурата и услугите: Щети, неправилна експлоатация и с ниско ниво или недостатъчни услуги.</w:t>
            </w:r>
          </w:p>
        </w:tc>
        <w:tc>
          <w:tcPr>
            <w:tcW w:w="1560" w:type="dxa"/>
            <w:shd w:val="clear" w:color="auto" w:fill="00B050"/>
          </w:tcPr>
          <w:p w14:paraId="31C7567C"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474DACD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09EB7245"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288B783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00B0F0"/>
          </w:tcPr>
          <w:p w14:paraId="098FA3D6"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F337B5" w14:paraId="0500380C" w14:textId="77777777" w:rsidTr="008D1895">
        <w:tc>
          <w:tcPr>
            <w:tcW w:w="3397" w:type="dxa"/>
            <w:shd w:val="clear" w:color="auto" w:fill="auto"/>
          </w:tcPr>
          <w:p w14:paraId="481F744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r w:rsidRPr="00F337B5">
              <w:rPr>
                <w:rFonts w:ascii="Times New Roman" w:eastAsia="Times New Roman" w:hAnsi="Times New Roman"/>
                <w:b/>
                <w:bCs/>
                <w:i/>
                <w:iCs/>
                <w:sz w:val="20"/>
                <w:szCs w:val="20"/>
                <w:lang w:val="bg-BG" w:eastAsia="bg-BG"/>
              </w:rPr>
              <w:lastRenderedPageBreak/>
              <w:t>Основните рискове за природните системи</w:t>
            </w:r>
            <w:r w:rsidRPr="00F337B5">
              <w:rPr>
                <w:rFonts w:ascii="Times New Roman" w:eastAsia="Times New Roman" w:hAnsi="Times New Roman"/>
                <w:sz w:val="20"/>
                <w:szCs w:val="20"/>
                <w:lang w:val="bg-BG" w:eastAsia="bg-BG"/>
              </w:rPr>
              <w:t xml:space="preserve"> са увреденото биологично разнообразие, което се дължи както на наводненията, така и на сушите.</w:t>
            </w:r>
          </w:p>
        </w:tc>
        <w:tc>
          <w:tcPr>
            <w:tcW w:w="1560" w:type="dxa"/>
            <w:shd w:val="clear" w:color="auto" w:fill="00B050"/>
          </w:tcPr>
          <w:p w14:paraId="79BB9A4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2D19BC1B"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4F522176"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1CDA9AEA"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00B0F0"/>
          </w:tcPr>
          <w:p w14:paraId="0975BDD5"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F337B5" w14:paraId="2F5F2F81" w14:textId="77777777" w:rsidTr="008D1895">
        <w:tc>
          <w:tcPr>
            <w:tcW w:w="3397" w:type="dxa"/>
            <w:shd w:val="clear" w:color="auto" w:fill="auto"/>
          </w:tcPr>
          <w:p w14:paraId="5624033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b/>
                <w:bCs/>
                <w:i/>
                <w:iCs/>
                <w:sz w:val="20"/>
                <w:szCs w:val="20"/>
                <w:lang w:val="bg-BG" w:eastAsia="bg-BG"/>
              </w:rPr>
            </w:pPr>
            <w:r w:rsidRPr="00F337B5">
              <w:rPr>
                <w:rFonts w:ascii="Times New Roman" w:eastAsia="Times New Roman" w:hAnsi="Times New Roman"/>
                <w:b/>
                <w:bCs/>
                <w:i/>
                <w:iCs/>
                <w:sz w:val="20"/>
                <w:szCs w:val="20"/>
                <w:lang w:val="bg-BG" w:eastAsia="bg-BG"/>
              </w:rPr>
              <w:t>Силен вятър</w:t>
            </w:r>
            <w:r w:rsidRPr="00F337B5">
              <w:rPr>
                <w:rFonts w:ascii="Times New Roman" w:eastAsia="Times New Roman" w:hAnsi="Times New Roman"/>
                <w:i/>
                <w:iCs/>
                <w:sz w:val="20"/>
                <w:szCs w:val="20"/>
                <w:lang w:val="bg-BG" w:eastAsia="bg-BG"/>
              </w:rPr>
              <w:t>:</w:t>
            </w:r>
            <w:r w:rsidRPr="00F337B5">
              <w:rPr>
                <w:rFonts w:ascii="Times New Roman" w:eastAsia="Times New Roman" w:hAnsi="Times New Roman"/>
                <w:sz w:val="20"/>
                <w:szCs w:val="20"/>
                <w:lang w:val="bg-BG" w:eastAsia="bg-BG"/>
              </w:rPr>
              <w:t xml:space="preserve"> Отклонения на скоростта на вятъра от средните месечни / годишни стойности. Може да породи повреди в пристанищната инфраструктура.</w:t>
            </w:r>
          </w:p>
        </w:tc>
        <w:tc>
          <w:tcPr>
            <w:tcW w:w="1560" w:type="dxa"/>
            <w:shd w:val="clear" w:color="auto" w:fill="FFFF00"/>
          </w:tcPr>
          <w:p w14:paraId="3E9B84E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6F45A545"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5DE239BB"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FFFF00"/>
          </w:tcPr>
          <w:p w14:paraId="4ACDA9E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FFFF00"/>
          </w:tcPr>
          <w:p w14:paraId="4EFBDD22"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r w:rsidR="00F337B5" w:rsidRPr="00F337B5" w14:paraId="5A979ECA" w14:textId="77777777" w:rsidTr="008D1895">
        <w:tc>
          <w:tcPr>
            <w:tcW w:w="3397" w:type="dxa"/>
            <w:shd w:val="clear" w:color="auto" w:fill="auto"/>
          </w:tcPr>
          <w:p w14:paraId="71AE2CA5"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b/>
                <w:bCs/>
                <w:i/>
                <w:iCs/>
                <w:sz w:val="20"/>
                <w:szCs w:val="20"/>
                <w:lang w:val="bg-BG" w:eastAsia="bg-BG"/>
              </w:rPr>
            </w:pPr>
            <w:r w:rsidRPr="00F337B5">
              <w:rPr>
                <w:rFonts w:ascii="Times New Roman" w:eastAsia="Times New Roman" w:hAnsi="Times New Roman"/>
                <w:b/>
                <w:bCs/>
                <w:i/>
                <w:iCs/>
                <w:sz w:val="20"/>
                <w:szCs w:val="20"/>
                <w:lang w:val="bg-BG" w:eastAsia="bg-BG"/>
              </w:rPr>
              <w:t>Гръмотевична буря:</w:t>
            </w:r>
            <w:r w:rsidRPr="00F337B5">
              <w:rPr>
                <w:rFonts w:ascii="Times New Roman" w:eastAsia="Times New Roman" w:hAnsi="Times New Roman"/>
                <w:i/>
                <w:iCs/>
                <w:sz w:val="20"/>
                <w:szCs w:val="20"/>
                <w:lang w:val="bg-BG" w:eastAsia="bg-BG"/>
              </w:rPr>
              <w:t xml:space="preserve"> </w:t>
            </w:r>
            <w:r w:rsidRPr="00F337B5">
              <w:rPr>
                <w:rFonts w:ascii="Times New Roman" w:eastAsia="Times New Roman" w:hAnsi="Times New Roman"/>
                <w:sz w:val="20"/>
                <w:szCs w:val="20"/>
                <w:lang w:val="bg-BG" w:eastAsia="bg-BG"/>
              </w:rPr>
              <w:t>това е метеорологично явление, състоящо се от дъжд придружен с мълнии и гръмотевици, почти винаги придружени от силен вятър, над 75 km/h, т.е. степен 9 по скалата на Бофорт (74,9 km/h, 20, 8 m/s). Мълниите могат да увредят някой пристанищни съоръжения, които са монтирани на открито.</w:t>
            </w:r>
          </w:p>
        </w:tc>
        <w:tc>
          <w:tcPr>
            <w:tcW w:w="1560" w:type="dxa"/>
            <w:shd w:val="clear" w:color="auto" w:fill="00B050"/>
          </w:tcPr>
          <w:p w14:paraId="41F3AC67"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3C29CC00"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2A83FB03"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992" w:type="dxa"/>
            <w:shd w:val="clear" w:color="auto" w:fill="00B050"/>
          </w:tcPr>
          <w:p w14:paraId="244161DB"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c>
          <w:tcPr>
            <w:tcW w:w="1413" w:type="dxa"/>
            <w:shd w:val="clear" w:color="auto" w:fill="00B0F0"/>
          </w:tcPr>
          <w:p w14:paraId="7B53D823" w14:textId="77777777" w:rsidR="00FB2E9F" w:rsidRPr="00F337B5" w:rsidRDefault="00FB2E9F" w:rsidP="00FB2E9F">
            <w:pPr>
              <w:autoSpaceDE w:val="0"/>
              <w:autoSpaceDN w:val="0"/>
              <w:adjustRightInd w:val="0"/>
              <w:spacing w:after="120" w:line="24" w:lineRule="atLeast"/>
              <w:jc w:val="left"/>
              <w:rPr>
                <w:rFonts w:ascii="Times New Roman" w:eastAsia="Times New Roman" w:hAnsi="Times New Roman"/>
                <w:sz w:val="20"/>
                <w:szCs w:val="20"/>
                <w:lang w:val="bg-BG" w:eastAsia="bg-BG"/>
              </w:rPr>
            </w:pPr>
          </w:p>
        </w:tc>
      </w:tr>
    </w:tbl>
    <w:p w14:paraId="06D2D08B" w14:textId="77777777" w:rsidR="00B81AE4" w:rsidRPr="00F337B5" w:rsidRDefault="00B81AE4" w:rsidP="00B81AE4">
      <w:pPr>
        <w:spacing w:after="120" w:line="24" w:lineRule="atLeast"/>
        <w:ind w:firstLine="720"/>
        <w:rPr>
          <w:rFonts w:ascii="Times New Roman" w:hAnsi="Times New Roman"/>
          <w:sz w:val="22"/>
          <w:lang w:val="bg-BG"/>
        </w:rPr>
      </w:pPr>
    </w:p>
    <w:p w14:paraId="6097174C" w14:textId="77777777" w:rsidR="00B81AE4" w:rsidRPr="00F337B5" w:rsidRDefault="00B81AE4" w:rsidP="00F7022A">
      <w:pPr>
        <w:spacing w:after="0" w:line="360" w:lineRule="auto"/>
        <w:ind w:firstLine="720"/>
        <w:rPr>
          <w:rFonts w:ascii="Times New Roman" w:hAnsi="Times New Roman"/>
          <w:sz w:val="22"/>
          <w:lang w:val="bg-BG"/>
        </w:rPr>
      </w:pPr>
      <w:bookmarkStart w:id="163" w:name="_Hlk147491319"/>
      <w:r w:rsidRPr="00F337B5">
        <w:rPr>
          <w:rFonts w:ascii="Times New Roman" w:hAnsi="Times New Roman"/>
          <w:sz w:val="22"/>
          <w:lang w:val="bg-BG"/>
        </w:rPr>
        <w:t xml:space="preserve">Въз основа на направения анализ по отношение на чувствителността, експозицията и уязвимостта на проекта, във връзка с климата и климатичните рискове и оценката на риска за проекта, може да се направи заключение, че: </w:t>
      </w:r>
    </w:p>
    <w:p w14:paraId="1F659E4C" w14:textId="77777777" w:rsidR="00B81AE4" w:rsidRPr="00F337B5" w:rsidRDefault="00B81AE4" w:rsidP="00F7022A">
      <w:pPr>
        <w:numPr>
          <w:ilvl w:val="0"/>
          <w:numId w:val="80"/>
        </w:numPr>
        <w:spacing w:after="0" w:line="360" w:lineRule="auto"/>
        <w:contextualSpacing/>
        <w:rPr>
          <w:rFonts w:ascii="Times New Roman" w:hAnsi="Times New Roman"/>
          <w:sz w:val="22"/>
          <w:lang w:val="bg-BG"/>
        </w:rPr>
      </w:pPr>
      <w:r w:rsidRPr="00F337B5">
        <w:rPr>
          <w:rFonts w:ascii="Times New Roman" w:hAnsi="Times New Roman"/>
          <w:sz w:val="22"/>
          <w:lang w:val="bg-BG"/>
        </w:rPr>
        <w:t>проектът е със слаба уязвимост;</w:t>
      </w:r>
    </w:p>
    <w:p w14:paraId="18767B5D" w14:textId="77777777" w:rsidR="00B81AE4" w:rsidRPr="00F337B5" w:rsidRDefault="00B81AE4" w:rsidP="00F7022A">
      <w:pPr>
        <w:numPr>
          <w:ilvl w:val="0"/>
          <w:numId w:val="80"/>
        </w:numPr>
        <w:spacing w:after="0" w:line="360" w:lineRule="auto"/>
        <w:contextualSpacing/>
        <w:rPr>
          <w:rFonts w:ascii="Times New Roman" w:hAnsi="Times New Roman"/>
          <w:sz w:val="22"/>
          <w:lang w:val="bg-BG"/>
        </w:rPr>
      </w:pPr>
      <w:r w:rsidRPr="00F337B5">
        <w:rPr>
          <w:rFonts w:ascii="Times New Roman" w:hAnsi="Times New Roman"/>
          <w:sz w:val="22"/>
          <w:lang w:val="bg-BG"/>
        </w:rPr>
        <w:t>проектът е с нисък риск;</w:t>
      </w:r>
    </w:p>
    <w:p w14:paraId="146769A4" w14:textId="77777777" w:rsidR="00B81AE4" w:rsidRPr="00F337B5" w:rsidRDefault="00B81AE4" w:rsidP="00F7022A">
      <w:pPr>
        <w:numPr>
          <w:ilvl w:val="0"/>
          <w:numId w:val="80"/>
        </w:numPr>
        <w:spacing w:after="0" w:line="360" w:lineRule="auto"/>
        <w:contextualSpacing/>
        <w:rPr>
          <w:rFonts w:ascii="Times New Roman" w:hAnsi="Times New Roman"/>
          <w:sz w:val="22"/>
          <w:lang w:val="bg-BG"/>
        </w:rPr>
      </w:pPr>
      <w:r w:rsidRPr="00F337B5">
        <w:rPr>
          <w:rFonts w:ascii="Times New Roman" w:hAnsi="Times New Roman"/>
          <w:sz w:val="22"/>
          <w:lang w:val="bg-BG"/>
        </w:rPr>
        <w:t>не са необходими допълнителни адаптационни мерки за климатичните промени, които да се приложат към проекта;</w:t>
      </w:r>
    </w:p>
    <w:p w14:paraId="267B8378" w14:textId="77ED6DB8" w:rsidR="00A127A2" w:rsidRPr="00F337B5" w:rsidRDefault="00B81AE4" w:rsidP="00080BE1">
      <w:pPr>
        <w:numPr>
          <w:ilvl w:val="0"/>
          <w:numId w:val="80"/>
        </w:numPr>
        <w:spacing w:after="0" w:line="360" w:lineRule="auto"/>
        <w:contextualSpacing/>
        <w:jc w:val="left"/>
        <w:rPr>
          <w:rFonts w:ascii="Times New Roman" w:eastAsiaTheme="minorEastAsia" w:hAnsi="Times New Roman"/>
          <w:b/>
          <w:bCs/>
          <w:sz w:val="22"/>
          <w:lang w:val="bg-BG" w:eastAsia="nl-NL"/>
        </w:rPr>
      </w:pPr>
      <w:r w:rsidRPr="00F337B5">
        <w:rPr>
          <w:rFonts w:ascii="Times New Roman" w:hAnsi="Times New Roman"/>
          <w:sz w:val="22"/>
          <w:lang w:val="bg-BG"/>
        </w:rPr>
        <w:t>проектът е устойчив на климатичните промени и не са необходими последващи анализи.</w:t>
      </w:r>
      <w:bookmarkEnd w:id="163"/>
    </w:p>
    <w:p w14:paraId="40E403C0" w14:textId="77777777" w:rsidR="0026153C" w:rsidRPr="00FB2E9F" w:rsidRDefault="0026153C" w:rsidP="0026153C">
      <w:pPr>
        <w:spacing w:after="0" w:line="360" w:lineRule="auto"/>
        <w:ind w:left="720"/>
        <w:contextualSpacing/>
        <w:jc w:val="left"/>
        <w:rPr>
          <w:rFonts w:ascii="Times New Roman" w:eastAsiaTheme="minorEastAsia" w:hAnsi="Times New Roman"/>
          <w:b/>
          <w:bCs/>
          <w:sz w:val="22"/>
          <w:lang w:val="bg-BG" w:eastAsia="nl-NL"/>
        </w:rPr>
      </w:pPr>
    </w:p>
    <w:p w14:paraId="2529272E" w14:textId="30106926" w:rsidR="00A127A2" w:rsidRPr="00805152" w:rsidRDefault="00A127A2" w:rsidP="00A127A2">
      <w:pPr>
        <w:pStyle w:val="Heading1"/>
        <w:rPr>
          <w:rFonts w:ascii="Times New Roman" w:hAnsi="Times New Roman"/>
          <w:lang w:val="bg-BG"/>
        </w:rPr>
      </w:pPr>
      <w:bookmarkStart w:id="164" w:name="_Toc136961139"/>
      <w:r w:rsidRPr="00805152">
        <w:rPr>
          <w:rFonts w:ascii="Times New Roman" w:hAnsi="Times New Roman"/>
          <w:lang w:val="bg-BG"/>
        </w:rPr>
        <w:t>График за реализацията на проекта</w:t>
      </w:r>
      <w:bookmarkEnd w:id="164"/>
    </w:p>
    <w:p w14:paraId="36D0CC07" w14:textId="60BF75BA" w:rsidR="00A127A2" w:rsidRPr="00805152" w:rsidRDefault="00A127A2" w:rsidP="00A127A2">
      <w:pPr>
        <w:pStyle w:val="Heading2"/>
        <w:rPr>
          <w:rFonts w:ascii="Times New Roman" w:hAnsi="Times New Roman"/>
          <w:lang w:val="bg-BG"/>
        </w:rPr>
      </w:pPr>
      <w:bookmarkStart w:id="165" w:name="_Toc136961140"/>
      <w:r w:rsidRPr="00805152">
        <w:rPr>
          <w:rFonts w:ascii="Times New Roman" w:hAnsi="Times New Roman"/>
          <w:lang w:val="bg-BG"/>
        </w:rPr>
        <w:t>Фактори, които определят реалистичността на графика</w:t>
      </w:r>
      <w:bookmarkEnd w:id="165"/>
    </w:p>
    <w:p w14:paraId="659699FE" w14:textId="2BFBB211" w:rsidR="003F29DC" w:rsidRPr="00565DD3" w:rsidRDefault="003F29DC" w:rsidP="005311DB">
      <w:pPr>
        <w:spacing w:after="120" w:line="360" w:lineRule="auto"/>
        <w:ind w:firstLine="576"/>
        <w:rPr>
          <w:rFonts w:ascii="Times New Roman" w:hAnsi="Times New Roman"/>
          <w:sz w:val="22"/>
          <w:lang w:val="bg-BG" w:eastAsia="ar-SA"/>
        </w:rPr>
      </w:pPr>
      <w:r w:rsidRPr="00565DD3">
        <w:rPr>
          <w:rFonts w:ascii="Times New Roman" w:hAnsi="Times New Roman"/>
          <w:sz w:val="22"/>
          <w:lang w:val="bg-BG" w:eastAsia="ar-SA"/>
        </w:rPr>
        <w:t>Сроковете</w:t>
      </w:r>
      <w:r w:rsidR="005311DB" w:rsidRPr="00565DD3">
        <w:rPr>
          <w:rFonts w:ascii="Times New Roman" w:hAnsi="Times New Roman"/>
          <w:sz w:val="22"/>
          <w:lang w:val="bg-BG" w:eastAsia="ar-SA"/>
        </w:rPr>
        <w:t>,</w:t>
      </w:r>
      <w:r w:rsidRPr="00565DD3">
        <w:rPr>
          <w:rFonts w:ascii="Times New Roman" w:hAnsi="Times New Roman"/>
          <w:sz w:val="22"/>
          <w:lang w:val="bg-BG" w:eastAsia="ar-SA"/>
        </w:rPr>
        <w:t xml:space="preserve"> посочени в план графика на проекта</w:t>
      </w:r>
      <w:r w:rsidR="005311DB" w:rsidRPr="00565DD3">
        <w:rPr>
          <w:rFonts w:ascii="Times New Roman" w:hAnsi="Times New Roman"/>
          <w:sz w:val="22"/>
          <w:lang w:val="bg-BG" w:eastAsia="ar-SA"/>
        </w:rPr>
        <w:t>,</w:t>
      </w:r>
      <w:r w:rsidRPr="00565DD3">
        <w:rPr>
          <w:rFonts w:ascii="Times New Roman" w:hAnsi="Times New Roman"/>
          <w:sz w:val="22"/>
          <w:lang w:val="bg-BG" w:eastAsia="ar-SA"/>
        </w:rPr>
        <w:t xml:space="preserve"> се базират основно на практическия опит с други подобни проекти, както и на нормативно определените срокове за част от дейностите. Единственият фактор, за който не са налични данни към настоящия момент е срокът за одобрение на програма „Транспортна свързаност 2021 - 2027“ и публикуването на поканата за кандидатстване. Той е определен </w:t>
      </w:r>
      <w:r w:rsidRPr="00565DD3">
        <w:rPr>
          <w:rFonts w:ascii="Times New Roman" w:hAnsi="Times New Roman"/>
          <w:sz w:val="22"/>
          <w:lang w:val="bg-BG" w:eastAsia="ar-SA"/>
        </w:rPr>
        <w:lastRenderedPageBreak/>
        <w:t>на база експертна оценка и наличната публична информация относно напредъка в процеса на програмиране.</w:t>
      </w:r>
    </w:p>
    <w:p w14:paraId="5D9E80AF" w14:textId="77777777" w:rsidR="003F29DC" w:rsidRPr="00565DD3" w:rsidRDefault="003F29DC" w:rsidP="003F29DC">
      <w:pPr>
        <w:spacing w:after="120" w:line="360" w:lineRule="auto"/>
        <w:ind w:firstLine="576"/>
        <w:rPr>
          <w:rFonts w:ascii="Times New Roman" w:hAnsi="Times New Roman"/>
          <w:sz w:val="22"/>
          <w:lang w:val="bg-BG" w:eastAsia="ar-SA"/>
        </w:rPr>
      </w:pPr>
      <w:r w:rsidRPr="00565DD3">
        <w:rPr>
          <w:rFonts w:ascii="Times New Roman" w:hAnsi="Times New Roman"/>
          <w:sz w:val="22"/>
          <w:lang w:val="bg-BG" w:eastAsia="ar-SA"/>
        </w:rPr>
        <w:t>Очакваният срок за подаването на проектното предложение и неговата оценка е определен на база нормативните изисквания в Закона за управление на средствата от европейските структурни и инвестиционни фондове</w:t>
      </w:r>
      <w:r w:rsidRPr="00565DD3">
        <w:rPr>
          <w:rFonts w:ascii="Times New Roman" w:hAnsi="Times New Roman"/>
          <w:b/>
          <w:bCs/>
          <w:sz w:val="22"/>
          <w:lang w:val="bg-BG" w:eastAsia="ar-SA"/>
        </w:rPr>
        <w:t xml:space="preserve"> (</w:t>
      </w:r>
      <w:r w:rsidRPr="00565DD3">
        <w:rPr>
          <w:rFonts w:ascii="Times New Roman" w:hAnsi="Times New Roman"/>
          <w:sz w:val="22"/>
          <w:lang w:val="bg-BG" w:eastAsia="ar-SA"/>
        </w:rPr>
        <w:t>ЗУСЕСИФ).</w:t>
      </w:r>
    </w:p>
    <w:p w14:paraId="24BBAA7E" w14:textId="5DB06AB7" w:rsidR="003F29DC" w:rsidRPr="00565DD3" w:rsidRDefault="003F29DC" w:rsidP="003F29DC">
      <w:pPr>
        <w:spacing w:after="120" w:line="360" w:lineRule="auto"/>
        <w:ind w:firstLine="576"/>
        <w:rPr>
          <w:rFonts w:ascii="Times New Roman" w:hAnsi="Times New Roman"/>
          <w:sz w:val="22"/>
          <w:lang w:val="bg-BG" w:eastAsia="ar-SA"/>
        </w:rPr>
      </w:pPr>
      <w:r w:rsidRPr="00565DD3">
        <w:rPr>
          <w:rFonts w:ascii="Times New Roman" w:hAnsi="Times New Roman"/>
          <w:sz w:val="22"/>
          <w:lang w:val="bg-BG" w:eastAsia="ar-SA"/>
        </w:rPr>
        <w:t>Сроковете</w:t>
      </w:r>
      <w:r w:rsidR="005311DB" w:rsidRPr="00565DD3">
        <w:rPr>
          <w:rFonts w:ascii="Times New Roman" w:hAnsi="Times New Roman"/>
          <w:sz w:val="22"/>
          <w:lang w:val="bg-BG" w:eastAsia="ar-SA"/>
        </w:rPr>
        <w:t>,</w:t>
      </w:r>
      <w:r w:rsidRPr="00565DD3">
        <w:rPr>
          <w:rFonts w:ascii="Times New Roman" w:hAnsi="Times New Roman"/>
          <w:sz w:val="22"/>
          <w:lang w:val="bg-BG" w:eastAsia="ar-SA"/>
        </w:rPr>
        <w:t xml:space="preserve"> свързани с процедурите за избор на изпълнител</w:t>
      </w:r>
      <w:r w:rsidR="005311DB" w:rsidRPr="00565DD3">
        <w:rPr>
          <w:rFonts w:ascii="Times New Roman" w:hAnsi="Times New Roman"/>
          <w:sz w:val="22"/>
          <w:lang w:val="bg-BG" w:eastAsia="ar-SA"/>
        </w:rPr>
        <w:t>,</w:t>
      </w:r>
      <w:r w:rsidRPr="00565DD3">
        <w:rPr>
          <w:rFonts w:ascii="Times New Roman" w:hAnsi="Times New Roman"/>
          <w:sz w:val="22"/>
          <w:lang w:val="bg-BG" w:eastAsia="ar-SA"/>
        </w:rPr>
        <w:t xml:space="preserve"> са определени на база законовите изисквания относно провеждането на „открити процедури“ съгласно ЗОП по отношение на сроковете за събиране на оферти, а заложените срокове за оценка са на база нормативни изисквания в ЗОП и практически опит. Индикативният срок за обжалване включва нормативния срок за подаване на жалба и практическия срок за произнасяне на КЗК при обжалване. При определяне на индикативния срок свързан с обжалване на процедура за избор на изпълнител не са отчетени и взети предвид допълнителни забавяния свързани с работата на компетентен орган породени от неговата служебна натовареност.</w:t>
      </w:r>
    </w:p>
    <w:p w14:paraId="0A2F31DA" w14:textId="3BA2E420" w:rsidR="00C9220C" w:rsidRPr="00565DD3" w:rsidRDefault="003F29DC" w:rsidP="005311DB">
      <w:pPr>
        <w:spacing w:after="120" w:line="360" w:lineRule="auto"/>
        <w:ind w:firstLine="576"/>
        <w:rPr>
          <w:rFonts w:ascii="Times New Roman" w:hAnsi="Times New Roman"/>
          <w:sz w:val="22"/>
          <w:lang w:val="bg-BG" w:eastAsia="ar-SA"/>
        </w:rPr>
      </w:pPr>
      <w:r w:rsidRPr="00565DD3">
        <w:rPr>
          <w:rFonts w:ascii="Times New Roman" w:hAnsi="Times New Roman"/>
          <w:sz w:val="22"/>
          <w:lang w:val="bg-BG" w:eastAsia="ar-SA"/>
        </w:rPr>
        <w:t>Сроковете за изпълнение на заложените проектни дейности са определени на база разработените инвестиционни проекти и експертна оценка за необходимо</w:t>
      </w:r>
      <w:r w:rsidR="00F84F63" w:rsidRPr="00565DD3">
        <w:rPr>
          <w:rFonts w:ascii="Times New Roman" w:hAnsi="Times New Roman"/>
          <w:sz w:val="22"/>
          <w:lang w:val="bg-BG" w:eastAsia="ar-SA"/>
        </w:rPr>
        <w:t>то време за тяхната реализация.</w:t>
      </w:r>
    </w:p>
    <w:p w14:paraId="389FC401" w14:textId="54CDC9CF" w:rsidR="00F84F63" w:rsidRPr="00565DD3" w:rsidRDefault="00A127A2" w:rsidP="00F84F63">
      <w:pPr>
        <w:pStyle w:val="Heading2"/>
        <w:rPr>
          <w:rFonts w:ascii="Times New Roman" w:hAnsi="Times New Roman"/>
          <w:lang w:val="bg-BG"/>
        </w:rPr>
      </w:pPr>
      <w:bookmarkStart w:id="166" w:name="_Toc136961141"/>
      <w:r w:rsidRPr="00805152">
        <w:rPr>
          <w:rFonts w:ascii="Times New Roman" w:hAnsi="Times New Roman"/>
          <w:lang w:val="bg-BG"/>
        </w:rPr>
        <w:t>График за реализацията на проекта</w:t>
      </w:r>
      <w:bookmarkStart w:id="167" w:name="_Toc428361727"/>
      <w:bookmarkStart w:id="168" w:name="_Toc462300866"/>
      <w:bookmarkStart w:id="169" w:name="_Toc486693494"/>
      <w:bookmarkEnd w:id="166"/>
    </w:p>
    <w:p w14:paraId="6FCA7B4E" w14:textId="43B3D857" w:rsidR="007E5520" w:rsidRPr="00565DD3" w:rsidRDefault="007E5520" w:rsidP="000574EA">
      <w:pPr>
        <w:spacing w:after="120" w:line="360" w:lineRule="auto"/>
        <w:ind w:firstLine="709"/>
        <w:rPr>
          <w:rFonts w:ascii="Times New Roman" w:hAnsi="Times New Roman"/>
          <w:sz w:val="22"/>
          <w:lang w:val="bg-BG"/>
        </w:rPr>
      </w:pPr>
      <w:r w:rsidRPr="00565DD3">
        <w:rPr>
          <w:rFonts w:ascii="Times New Roman" w:hAnsi="Times New Roman"/>
          <w:sz w:val="22"/>
          <w:lang w:val="bg-BG"/>
        </w:rPr>
        <w:t>Общият срок за изпълнение на инвестиционните дейности (СМР) е 35 месеца след сключване на Договор между Възложителя и Изпълнителя и от датата на съставяне и подписване на Протокол за откриване на строителна площадка и определяне на строителна линия и ниво, съгласно Наредба № 3 от 31.07.2003 г. за съставяне на актове и протоколи по време на строителството, като се приема, че няма да има забавяне между подписването на договора и откриването на строителната площадка.</w:t>
      </w:r>
    </w:p>
    <w:p w14:paraId="40234A24" w14:textId="4931614B" w:rsidR="00C9220C" w:rsidRPr="00565DD3" w:rsidRDefault="00C9220C" w:rsidP="0021547C">
      <w:pPr>
        <w:pStyle w:val="ListParagraph"/>
        <w:numPr>
          <w:ilvl w:val="0"/>
          <w:numId w:val="39"/>
        </w:numPr>
        <w:spacing w:after="0" w:line="360" w:lineRule="auto"/>
        <w:rPr>
          <w:rFonts w:ascii="Times New Roman" w:eastAsia="Times New Roman" w:hAnsi="Times New Roman"/>
          <w:szCs w:val="22"/>
          <w:lang w:val="bg-BG"/>
        </w:rPr>
      </w:pPr>
      <w:bookmarkStart w:id="170" w:name="_Hlk137051201"/>
      <w:r w:rsidRPr="00565DD3">
        <w:rPr>
          <w:rFonts w:ascii="Times New Roman" w:eastAsia="Times New Roman" w:hAnsi="Times New Roman"/>
          <w:b/>
          <w:szCs w:val="22"/>
          <w:lang w:val="bg-BG"/>
        </w:rPr>
        <w:t>І ЕТАП</w:t>
      </w:r>
      <w:r w:rsidRPr="00565DD3">
        <w:rPr>
          <w:rFonts w:ascii="Times New Roman" w:eastAsia="Times New Roman" w:hAnsi="Times New Roman"/>
          <w:szCs w:val="22"/>
          <w:lang w:val="bg-BG"/>
        </w:rPr>
        <w:t xml:space="preserve"> – L=227,00м – От фара до оградата на Яхтклуба – Защита с Тетраподи - 1</w:t>
      </w:r>
      <w:r w:rsidR="00A44845" w:rsidRPr="00565DD3">
        <w:rPr>
          <w:rFonts w:ascii="Times New Roman" w:eastAsia="Times New Roman" w:hAnsi="Times New Roman"/>
          <w:szCs w:val="22"/>
          <w:lang w:val="bg-BG"/>
        </w:rPr>
        <w:t>3</w:t>
      </w:r>
      <w:r w:rsidRPr="00565DD3">
        <w:rPr>
          <w:rFonts w:ascii="Times New Roman" w:hAnsi="Times New Roman"/>
          <w:szCs w:val="22"/>
          <w:lang w:val="bg-BG"/>
        </w:rPr>
        <w:t xml:space="preserve"> </w:t>
      </w:r>
      <w:r w:rsidRPr="00565DD3">
        <w:rPr>
          <w:rFonts w:ascii="Times New Roman" w:eastAsia="Times New Roman" w:hAnsi="Times New Roman"/>
          <w:szCs w:val="22"/>
          <w:lang w:val="bg-BG"/>
        </w:rPr>
        <w:t>месеца;</w:t>
      </w:r>
    </w:p>
    <w:p w14:paraId="24E021AB" w14:textId="5C36C1AE" w:rsidR="00C9220C" w:rsidRPr="00565DD3" w:rsidRDefault="00C9220C" w:rsidP="0021547C">
      <w:pPr>
        <w:pStyle w:val="ListParagraph"/>
        <w:numPr>
          <w:ilvl w:val="0"/>
          <w:numId w:val="39"/>
        </w:numPr>
        <w:spacing w:after="0" w:line="360" w:lineRule="auto"/>
        <w:rPr>
          <w:rFonts w:ascii="Times New Roman" w:eastAsia="Times New Roman" w:hAnsi="Times New Roman"/>
          <w:bCs/>
          <w:szCs w:val="22"/>
          <w:lang w:val="bg-BG"/>
        </w:rPr>
      </w:pPr>
      <w:r w:rsidRPr="00565DD3">
        <w:rPr>
          <w:rFonts w:ascii="Times New Roman" w:eastAsia="Times New Roman" w:hAnsi="Times New Roman"/>
          <w:b/>
          <w:szCs w:val="22"/>
          <w:lang w:val="bg-BG"/>
        </w:rPr>
        <w:t xml:space="preserve">ІІ ЕТАП </w:t>
      </w:r>
      <w:r w:rsidRPr="00565DD3">
        <w:rPr>
          <w:rFonts w:ascii="Times New Roman" w:eastAsia="Times New Roman" w:hAnsi="Times New Roman"/>
          <w:bCs/>
          <w:szCs w:val="22"/>
          <w:lang w:val="bg-BG"/>
        </w:rPr>
        <w:t xml:space="preserve">– L=200,00m – От оградата на Яхтклуба до 50,00m след Морска гара - Защита с Тетраподи - </w:t>
      </w:r>
      <w:r w:rsidR="003C2F8C" w:rsidRPr="00565DD3">
        <w:rPr>
          <w:rFonts w:ascii="Times New Roman" w:eastAsia="Times New Roman" w:hAnsi="Times New Roman"/>
          <w:bCs/>
          <w:szCs w:val="22"/>
          <w:lang w:val="bg-BG"/>
        </w:rPr>
        <w:t>11</w:t>
      </w:r>
      <w:r w:rsidR="003C2F8C" w:rsidRPr="00565DD3">
        <w:rPr>
          <w:rFonts w:ascii="Times New Roman" w:hAnsi="Times New Roman"/>
          <w:szCs w:val="22"/>
          <w:lang w:val="bg-BG"/>
        </w:rPr>
        <w:t xml:space="preserve"> </w:t>
      </w:r>
      <w:r w:rsidRPr="00565DD3">
        <w:rPr>
          <w:rFonts w:ascii="Times New Roman" w:eastAsia="Times New Roman" w:hAnsi="Times New Roman"/>
          <w:bCs/>
          <w:szCs w:val="22"/>
          <w:lang w:val="bg-BG"/>
        </w:rPr>
        <w:t>месеца;</w:t>
      </w:r>
    </w:p>
    <w:p w14:paraId="457867C0" w14:textId="5879FCAF" w:rsidR="00C9220C" w:rsidRPr="00565DD3" w:rsidRDefault="00C9220C" w:rsidP="0021547C">
      <w:pPr>
        <w:pStyle w:val="ListParagraph"/>
        <w:numPr>
          <w:ilvl w:val="0"/>
          <w:numId w:val="39"/>
        </w:numPr>
        <w:spacing w:after="0" w:line="360" w:lineRule="auto"/>
        <w:rPr>
          <w:rFonts w:ascii="Times New Roman" w:eastAsia="Times New Roman" w:hAnsi="Times New Roman"/>
          <w:bCs/>
          <w:szCs w:val="22"/>
          <w:lang w:val="bg-BG"/>
        </w:rPr>
      </w:pPr>
      <w:r w:rsidRPr="00565DD3">
        <w:rPr>
          <w:rFonts w:ascii="Times New Roman" w:eastAsia="Times New Roman" w:hAnsi="Times New Roman"/>
          <w:b/>
          <w:szCs w:val="22"/>
          <w:lang w:val="bg-BG"/>
        </w:rPr>
        <w:t>ІІІ ЕТАП</w:t>
      </w:r>
      <w:r w:rsidRPr="00565DD3">
        <w:rPr>
          <w:rFonts w:ascii="Times New Roman" w:eastAsia="Times New Roman" w:hAnsi="Times New Roman"/>
          <w:bCs/>
          <w:szCs w:val="22"/>
          <w:lang w:val="bg-BG"/>
        </w:rPr>
        <w:t xml:space="preserve"> – L=265,00m – От 50,00m след Морска гара до началото на Магазия І - Защита с Каменни блокове </w:t>
      </w:r>
      <w:r w:rsidR="000574EA" w:rsidRPr="00565DD3">
        <w:rPr>
          <w:rFonts w:ascii="Times New Roman" w:eastAsia="Times New Roman" w:hAnsi="Times New Roman"/>
          <w:bCs/>
          <w:szCs w:val="22"/>
          <w:lang w:val="bg-BG"/>
        </w:rPr>
        <w:t>–</w:t>
      </w:r>
      <w:r w:rsidRPr="00565DD3">
        <w:rPr>
          <w:rFonts w:ascii="Times New Roman" w:eastAsia="Times New Roman" w:hAnsi="Times New Roman"/>
          <w:bCs/>
          <w:szCs w:val="22"/>
          <w:lang w:val="bg-BG"/>
        </w:rPr>
        <w:t xml:space="preserve"> </w:t>
      </w:r>
      <w:r w:rsidR="003C2F8C" w:rsidRPr="00565DD3">
        <w:rPr>
          <w:rFonts w:ascii="Times New Roman" w:eastAsia="Times New Roman" w:hAnsi="Times New Roman"/>
          <w:bCs/>
          <w:szCs w:val="22"/>
          <w:lang w:val="bg-BG"/>
        </w:rPr>
        <w:t>11</w:t>
      </w:r>
      <w:r w:rsidR="000574EA" w:rsidRPr="00565DD3">
        <w:rPr>
          <w:rFonts w:ascii="Times New Roman" w:eastAsia="Times New Roman" w:hAnsi="Times New Roman"/>
          <w:bCs/>
          <w:szCs w:val="22"/>
          <w:lang w:val="bg-BG"/>
        </w:rPr>
        <w:t xml:space="preserve"> </w:t>
      </w:r>
      <w:r w:rsidRPr="00565DD3">
        <w:rPr>
          <w:rFonts w:ascii="Times New Roman" w:eastAsia="Times New Roman" w:hAnsi="Times New Roman"/>
          <w:bCs/>
          <w:szCs w:val="22"/>
          <w:lang w:val="bg-BG"/>
        </w:rPr>
        <w:t>месеца.</w:t>
      </w:r>
    </w:p>
    <w:bookmarkEnd w:id="170"/>
    <w:p w14:paraId="09D10EBA" w14:textId="77777777" w:rsidR="00C9220C" w:rsidRPr="00565DD3" w:rsidRDefault="00C9220C" w:rsidP="00DE5B29">
      <w:pPr>
        <w:spacing w:after="120" w:line="360" w:lineRule="auto"/>
        <w:ind w:firstLine="709"/>
        <w:rPr>
          <w:rFonts w:ascii="Times New Roman" w:hAnsi="Times New Roman"/>
          <w:sz w:val="22"/>
          <w:lang w:val="bg-BG"/>
        </w:rPr>
      </w:pPr>
      <w:r w:rsidRPr="00565DD3">
        <w:rPr>
          <w:rFonts w:ascii="Times New Roman" w:hAnsi="Times New Roman"/>
          <w:sz w:val="22"/>
          <w:lang w:val="bg-BG"/>
        </w:rPr>
        <w:t>В посочените по-горе срокове не се включва времето за спиране работа по причини независещи от изпълнителя, като:</w:t>
      </w:r>
    </w:p>
    <w:p w14:paraId="000EE0E5" w14:textId="5ADFAC3A" w:rsidR="00C9220C" w:rsidRPr="00565DD3" w:rsidRDefault="00C9220C" w:rsidP="00DE5B29">
      <w:pPr>
        <w:spacing w:after="120" w:line="360" w:lineRule="auto"/>
        <w:ind w:firstLine="709"/>
        <w:rPr>
          <w:rFonts w:ascii="Times New Roman" w:hAnsi="Times New Roman"/>
          <w:sz w:val="22"/>
          <w:lang w:val="bg-BG" w:eastAsia="bg-BG"/>
        </w:rPr>
      </w:pPr>
      <w:r w:rsidRPr="00565DD3">
        <w:rPr>
          <w:rFonts w:ascii="Times New Roman" w:hAnsi="Times New Roman"/>
          <w:sz w:val="22"/>
          <w:lang w:val="bg-BG" w:eastAsia="bg-BG"/>
        </w:rPr>
        <w:t xml:space="preserve">а) времето, необходимо за издаване и влизане в сила на съответните разрешителни по ЗООС и ЗВ за ползване на воден обект, за съгласуване и изготвяне доклад – оценка на съответствието от назначеният от Възложителя лицензиран консултант - строителен надзор (чл. 166 от ЗУТ), одобряване </w:t>
      </w:r>
      <w:r w:rsidRPr="00565DD3">
        <w:rPr>
          <w:rFonts w:ascii="Times New Roman" w:hAnsi="Times New Roman"/>
          <w:sz w:val="22"/>
          <w:lang w:val="bg-BG" w:eastAsia="bg-BG"/>
        </w:rPr>
        <w:lastRenderedPageBreak/>
        <w:t>на инвестиционния проект</w:t>
      </w:r>
      <w:r w:rsidR="007E5520" w:rsidRPr="00565DD3">
        <w:rPr>
          <w:rFonts w:ascii="Times New Roman" w:hAnsi="Times New Roman"/>
          <w:sz w:val="22"/>
          <w:lang w:val="bg-BG" w:eastAsia="bg-BG"/>
        </w:rPr>
        <w:t>,</w:t>
      </w:r>
      <w:r w:rsidRPr="00565DD3">
        <w:rPr>
          <w:rFonts w:ascii="Times New Roman" w:hAnsi="Times New Roman"/>
          <w:sz w:val="22"/>
          <w:lang w:val="bg-BG" w:eastAsia="bg-BG"/>
        </w:rPr>
        <w:t xml:space="preserve"> издаване на разрешение за строеж</w:t>
      </w:r>
      <w:r w:rsidR="007E5520" w:rsidRPr="00565DD3">
        <w:rPr>
          <w:rFonts w:ascii="Times New Roman" w:hAnsi="Times New Roman"/>
          <w:sz w:val="22"/>
          <w:lang w:val="bg-BG" w:eastAsia="bg-BG"/>
        </w:rPr>
        <w:t xml:space="preserve"> и</w:t>
      </w:r>
      <w:r w:rsidR="007E5520" w:rsidRPr="00565DD3">
        <w:rPr>
          <w:sz w:val="22"/>
        </w:rPr>
        <w:t xml:space="preserve"> </w:t>
      </w:r>
      <w:r w:rsidR="007E5520" w:rsidRPr="00565DD3">
        <w:rPr>
          <w:rFonts w:ascii="Times New Roman" w:hAnsi="Times New Roman"/>
          <w:sz w:val="22"/>
          <w:lang w:val="bg-BG" w:eastAsia="bg-BG"/>
        </w:rPr>
        <w:t>съставяне и подписване на Протокол за откриване на строителна площадка и определяне на строителна линия и ниво, съгласно Наредба № 3 от 31.07.2003 г. за съставяне на актове и протоколи по време на строителството, като се приема, че няма да има забавяне между подписването на договора и откриването на строителната площадка.</w:t>
      </w:r>
    </w:p>
    <w:p w14:paraId="55D6566E" w14:textId="19BDE081" w:rsidR="00C9220C" w:rsidRPr="00565DD3" w:rsidRDefault="00C9220C" w:rsidP="00DE5B29">
      <w:pPr>
        <w:spacing w:after="120" w:line="360" w:lineRule="auto"/>
        <w:ind w:firstLine="709"/>
        <w:rPr>
          <w:rFonts w:ascii="Times New Roman" w:eastAsia="Times New Roman" w:hAnsi="Times New Roman"/>
          <w:sz w:val="22"/>
          <w:lang w:val="bg-BG" w:eastAsia="bg-BG" w:bidi="en-US"/>
        </w:rPr>
      </w:pPr>
      <w:r w:rsidRPr="00565DD3">
        <w:rPr>
          <w:rFonts w:ascii="Times New Roman" w:hAnsi="Times New Roman"/>
          <w:sz w:val="22"/>
          <w:lang w:val="bg-BG" w:eastAsia="bg-BG"/>
        </w:rPr>
        <w:t xml:space="preserve">б) </w:t>
      </w:r>
      <w:r w:rsidRPr="00565DD3">
        <w:rPr>
          <w:rFonts w:ascii="Times New Roman" w:eastAsia="Times New Roman" w:hAnsi="Times New Roman"/>
          <w:sz w:val="22"/>
          <w:lang w:val="bg-BG" w:eastAsia="bg-BG" w:bidi="en-US"/>
        </w:rPr>
        <w:t>неблагоприятни метеорологични условия за изпълнение на СМР, като валежи от дъжд, сняг, мъгли, ниски температури, вятър и др.;</w:t>
      </w:r>
    </w:p>
    <w:p w14:paraId="1ABE9E5E" w14:textId="3E3602B0" w:rsidR="00C9220C" w:rsidRPr="00565DD3" w:rsidRDefault="00C9220C" w:rsidP="00DE5B29">
      <w:pPr>
        <w:spacing w:after="120" w:line="360" w:lineRule="auto"/>
        <w:ind w:firstLine="709"/>
        <w:rPr>
          <w:rFonts w:ascii="Times New Roman" w:hAnsi="Times New Roman"/>
          <w:sz w:val="22"/>
          <w:lang w:val="bg-BG" w:eastAsia="bg-BG"/>
        </w:rPr>
      </w:pPr>
      <w:r w:rsidRPr="00565DD3">
        <w:rPr>
          <w:rFonts w:ascii="Times New Roman" w:hAnsi="Times New Roman"/>
          <w:sz w:val="22"/>
          <w:lang w:val="bg-BG" w:eastAsia="bg-BG"/>
        </w:rPr>
        <w:t>в) когато на ИЗПЪЛНИТЕЛЯ е отказан достъп до обекта от оправомощени лица и институции по причини, които не се дължат на собственото му виновно поведение;</w:t>
      </w:r>
    </w:p>
    <w:p w14:paraId="1DCE4C8D" w14:textId="00493067" w:rsidR="00C9220C" w:rsidRPr="00565DD3" w:rsidRDefault="00C9220C" w:rsidP="00DE5B29">
      <w:pPr>
        <w:spacing w:after="120" w:line="360" w:lineRule="auto"/>
        <w:ind w:firstLine="709"/>
        <w:rPr>
          <w:rFonts w:ascii="Times New Roman" w:hAnsi="Times New Roman"/>
          <w:sz w:val="22"/>
          <w:lang w:val="bg-BG" w:eastAsia="bg-BG"/>
        </w:rPr>
      </w:pPr>
      <w:r w:rsidRPr="00565DD3">
        <w:rPr>
          <w:rFonts w:ascii="Times New Roman" w:hAnsi="Times New Roman"/>
          <w:sz w:val="22"/>
          <w:lang w:val="bg-BG" w:eastAsia="bg-BG"/>
        </w:rPr>
        <w:t>г) когато изпълнението на възложените работи е било спряно по причини, указани от ВЪЗЛОЖИТЕЛЯ.</w:t>
      </w:r>
    </w:p>
    <w:p w14:paraId="37AE8D2A" w14:textId="274A95B7" w:rsidR="007E5520" w:rsidRPr="00565DD3" w:rsidRDefault="007E5520" w:rsidP="00DE5B29">
      <w:pPr>
        <w:spacing w:after="120" w:line="360" w:lineRule="auto"/>
        <w:ind w:firstLine="709"/>
        <w:rPr>
          <w:rFonts w:ascii="Times New Roman" w:hAnsi="Times New Roman"/>
          <w:sz w:val="22"/>
          <w:lang w:val="bg-BG"/>
        </w:rPr>
      </w:pPr>
      <w:r w:rsidRPr="00565DD3">
        <w:rPr>
          <w:rFonts w:ascii="Times New Roman" w:hAnsi="Times New Roman"/>
          <w:sz w:val="22"/>
          <w:lang w:val="bg-BG"/>
        </w:rPr>
        <w:t>За завършване на възложената работа се счита датата на подписване без забележки на Констативен акт за установяване годността за приемане на строежа по чл. 176, ал. 1 ЗУТ (образец № 15).</w:t>
      </w:r>
    </w:p>
    <w:p w14:paraId="7147D6FD" w14:textId="39D4553A" w:rsidR="00A54E36" w:rsidRPr="00565DD3" w:rsidRDefault="00C9220C" w:rsidP="00565DD3">
      <w:pPr>
        <w:spacing w:after="120" w:line="360" w:lineRule="auto"/>
        <w:ind w:firstLine="709"/>
        <w:rPr>
          <w:rFonts w:ascii="Times New Roman" w:hAnsi="Times New Roman"/>
          <w:sz w:val="22"/>
          <w:lang w:val="bg-BG"/>
        </w:rPr>
      </w:pPr>
      <w:r w:rsidRPr="00565DD3">
        <w:rPr>
          <w:rFonts w:ascii="Times New Roman" w:hAnsi="Times New Roman"/>
          <w:sz w:val="22"/>
          <w:lang w:val="bg-BG"/>
        </w:rPr>
        <w:t>След приключването на СМР дейностите се предвижда 1 месец за приемане на работата на изпълнителя и един месец за финалното приключване на договора за БФП с подготовка и подаване на финалното искане за плащане.</w:t>
      </w:r>
      <w:bookmarkStart w:id="171" w:name="_Toc423607201"/>
      <w:bookmarkStart w:id="172" w:name="_Toc423607220"/>
      <w:bookmarkStart w:id="173" w:name="_Toc423607241"/>
      <w:bookmarkStart w:id="174" w:name="_Toc423607202"/>
      <w:bookmarkStart w:id="175" w:name="_Toc423607221"/>
      <w:bookmarkStart w:id="176" w:name="_Toc423607242"/>
      <w:bookmarkStart w:id="177" w:name="_Toc423607203"/>
      <w:bookmarkStart w:id="178" w:name="_Toc423607222"/>
      <w:bookmarkStart w:id="179" w:name="_Toc423607243"/>
      <w:bookmarkStart w:id="180" w:name="_Toc423607204"/>
      <w:bookmarkStart w:id="181" w:name="_Toc423607223"/>
      <w:bookmarkStart w:id="182" w:name="_Toc423607244"/>
      <w:bookmarkStart w:id="183" w:name="_Toc423607205"/>
      <w:bookmarkStart w:id="184" w:name="_Toc423607224"/>
      <w:bookmarkStart w:id="185" w:name="_Toc423607245"/>
      <w:bookmarkStart w:id="186" w:name="_Dredging_Coastal_Protection_Structu"/>
      <w:bookmarkStart w:id="187" w:name="_Toc428191174"/>
      <w:bookmarkEnd w:id="167"/>
      <w:bookmarkEnd w:id="168"/>
      <w:bookmarkEnd w:id="169"/>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C0F95FA" w14:textId="66EC1F3B" w:rsidR="00A54E36" w:rsidRPr="00805152" w:rsidRDefault="00285160" w:rsidP="00565DD3">
      <w:pPr>
        <w:keepNext/>
        <w:spacing w:before="120" w:after="120" w:line="360" w:lineRule="auto"/>
        <w:jc w:val="left"/>
        <w:outlineLvl w:val="1"/>
        <w:rPr>
          <w:rFonts w:ascii="Times New Roman" w:hAnsi="Times New Roman"/>
          <w:b/>
          <w:sz w:val="22"/>
          <w:lang w:val="bg-BG"/>
        </w:rPr>
      </w:pPr>
      <w:bookmarkStart w:id="188" w:name="_Toc136961142"/>
      <w:r w:rsidRPr="00805152">
        <w:rPr>
          <w:rFonts w:ascii="Times New Roman" w:hAnsi="Times New Roman"/>
          <w:b/>
          <w:sz w:val="22"/>
          <w:lang w:val="bg-BG"/>
        </w:rPr>
        <w:t>ПРИЛОЖЕНИЯ</w:t>
      </w:r>
      <w:bookmarkEnd w:id="187"/>
      <w:r w:rsidRPr="00805152">
        <w:rPr>
          <w:rFonts w:ascii="Times New Roman" w:hAnsi="Times New Roman"/>
          <w:b/>
          <w:sz w:val="22"/>
          <w:lang w:val="bg-BG"/>
        </w:rPr>
        <w:t xml:space="preserve"> – ГРАФИЧНА ЧАСТ – ЧЕРТЕЖИ:</w:t>
      </w:r>
      <w:bookmarkEnd w:id="188"/>
      <w:r w:rsidRPr="00805152">
        <w:rPr>
          <w:rFonts w:ascii="Times New Roman" w:hAnsi="Times New Roman"/>
          <w:b/>
          <w:sz w:val="22"/>
          <w:lang w:val="bg-BG"/>
        </w:rPr>
        <w:t xml:space="preserve"> </w:t>
      </w:r>
    </w:p>
    <w:p w14:paraId="3AF338EB" w14:textId="37EB8ED1" w:rsidR="00192BBB" w:rsidRPr="00805152" w:rsidRDefault="00192BBB" w:rsidP="006B11B1">
      <w:pPr>
        <w:pStyle w:val="ListParagraph"/>
        <w:keepNext/>
        <w:numPr>
          <w:ilvl w:val="0"/>
          <w:numId w:val="29"/>
        </w:numPr>
        <w:spacing w:before="120" w:after="120" w:line="360" w:lineRule="auto"/>
        <w:outlineLvl w:val="1"/>
        <w:rPr>
          <w:rFonts w:ascii="Times New Roman" w:hAnsi="Times New Roman"/>
          <w:lang w:val="bg-BG"/>
        </w:rPr>
      </w:pPr>
      <w:bookmarkStart w:id="189" w:name="_Toc136961143"/>
      <w:bookmarkStart w:id="190" w:name="_Ref519166290"/>
      <w:bookmarkStart w:id="191" w:name="_Hlk137051308"/>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1</w:t>
      </w:r>
      <w:r w:rsidRPr="00805152">
        <w:rPr>
          <w:rFonts w:ascii="Times New Roman" w:hAnsi="Times New Roman"/>
          <w:lang w:val="bg-BG"/>
        </w:rPr>
        <w:fldChar w:fldCharType="end"/>
      </w:r>
      <w:r w:rsidRPr="00805152">
        <w:rPr>
          <w:rFonts w:ascii="Times New Roman" w:hAnsi="Times New Roman"/>
          <w:lang w:val="bg-BG"/>
        </w:rPr>
        <w:t xml:space="preserve"> – Чертеж № </w:t>
      </w:r>
      <w:r w:rsidR="00605F99" w:rsidRPr="00805152">
        <w:rPr>
          <w:rFonts w:ascii="Times New Roman" w:hAnsi="Times New Roman"/>
          <w:lang w:val="bg-BG"/>
        </w:rPr>
        <w:t>01. BURGAS_DD_HTS _R0_Gen-Layout_062015</w:t>
      </w:r>
      <w:bookmarkEnd w:id="189"/>
      <w:r w:rsidR="006B11B1">
        <w:rPr>
          <w:rFonts w:ascii="Times New Roman" w:hAnsi="Times New Roman"/>
          <w:lang w:val="en-US"/>
        </w:rPr>
        <w:t>;</w:t>
      </w:r>
    </w:p>
    <w:p w14:paraId="6629C753" w14:textId="4B1B2578" w:rsidR="00605F99" w:rsidRPr="00805152" w:rsidRDefault="00D73915" w:rsidP="006B11B1">
      <w:pPr>
        <w:pStyle w:val="ListParagraph"/>
        <w:keepNext/>
        <w:numPr>
          <w:ilvl w:val="0"/>
          <w:numId w:val="29"/>
        </w:numPr>
        <w:spacing w:before="120" w:after="120" w:line="360" w:lineRule="auto"/>
        <w:outlineLvl w:val="1"/>
        <w:rPr>
          <w:rFonts w:ascii="Times New Roman" w:hAnsi="Times New Roman"/>
          <w:lang w:val="bg-BG"/>
        </w:rPr>
      </w:pPr>
      <w:bookmarkStart w:id="192" w:name="_Toc136961144"/>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2</w:t>
      </w:r>
      <w:r w:rsidRPr="00805152">
        <w:rPr>
          <w:rFonts w:ascii="Times New Roman" w:hAnsi="Times New Roman"/>
          <w:lang w:val="bg-BG"/>
        </w:rPr>
        <w:fldChar w:fldCharType="end"/>
      </w:r>
      <w:r w:rsidRPr="00805152">
        <w:rPr>
          <w:rFonts w:ascii="Times New Roman" w:hAnsi="Times New Roman"/>
          <w:lang w:val="bg-BG"/>
        </w:rPr>
        <w:t xml:space="preserve"> – Чертеж № </w:t>
      </w:r>
      <w:bookmarkEnd w:id="190"/>
      <w:r w:rsidR="00605F99" w:rsidRPr="00805152">
        <w:rPr>
          <w:rFonts w:ascii="Times New Roman" w:hAnsi="Times New Roman"/>
          <w:lang w:val="bg-BG"/>
        </w:rPr>
        <w:t>04.1. BURGAS_DD_HTS _R0_CrSect-St1_062015</w:t>
      </w:r>
      <w:bookmarkEnd w:id="192"/>
      <w:r w:rsidR="006B11B1">
        <w:rPr>
          <w:rFonts w:ascii="Times New Roman" w:hAnsi="Times New Roman"/>
          <w:lang w:val="en-US"/>
        </w:rPr>
        <w:t>;</w:t>
      </w:r>
    </w:p>
    <w:p w14:paraId="1B9BB94F" w14:textId="6B7946A8" w:rsidR="00605F99" w:rsidRPr="00805152" w:rsidRDefault="00D73915" w:rsidP="006B11B1">
      <w:pPr>
        <w:pStyle w:val="ListParagraph"/>
        <w:keepNext/>
        <w:numPr>
          <w:ilvl w:val="0"/>
          <w:numId w:val="29"/>
        </w:numPr>
        <w:spacing w:before="120" w:after="120" w:line="360" w:lineRule="auto"/>
        <w:outlineLvl w:val="1"/>
        <w:rPr>
          <w:rFonts w:ascii="Times New Roman" w:hAnsi="Times New Roman"/>
          <w:lang w:val="bg-BG"/>
        </w:rPr>
      </w:pPr>
      <w:bookmarkStart w:id="193" w:name="_Toc136961145"/>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3</w:t>
      </w:r>
      <w:r w:rsidRPr="00805152">
        <w:rPr>
          <w:rFonts w:ascii="Times New Roman" w:hAnsi="Times New Roman"/>
          <w:lang w:val="bg-BG"/>
        </w:rPr>
        <w:fldChar w:fldCharType="end"/>
      </w:r>
      <w:r w:rsidR="000166B3" w:rsidRPr="00805152">
        <w:rPr>
          <w:rFonts w:ascii="Times New Roman" w:hAnsi="Times New Roman"/>
          <w:lang w:val="bg-BG"/>
        </w:rPr>
        <w:t xml:space="preserve"> – Чертеж № </w:t>
      </w:r>
      <w:bookmarkStart w:id="194" w:name="_Toc511146272"/>
      <w:r w:rsidR="00605F99" w:rsidRPr="00805152">
        <w:rPr>
          <w:rFonts w:ascii="Times New Roman" w:hAnsi="Times New Roman"/>
          <w:lang w:val="bg-BG"/>
        </w:rPr>
        <w:t>04.2. BURGAS_DD_HTS _R0_CrSect-St2_062015</w:t>
      </w:r>
      <w:bookmarkEnd w:id="193"/>
      <w:r w:rsidR="006B11B1">
        <w:rPr>
          <w:rFonts w:ascii="Times New Roman" w:hAnsi="Times New Roman"/>
          <w:lang w:val="en-US"/>
        </w:rPr>
        <w:t>;</w:t>
      </w:r>
      <w:r w:rsidR="00605F99" w:rsidRPr="00805152">
        <w:rPr>
          <w:rFonts w:ascii="Times New Roman" w:hAnsi="Times New Roman"/>
          <w:lang w:val="bg-BG"/>
        </w:rPr>
        <w:t xml:space="preserve"> </w:t>
      </w:r>
    </w:p>
    <w:p w14:paraId="4DF275FB" w14:textId="19366852" w:rsidR="00BF2BD3" w:rsidRPr="00805152" w:rsidRDefault="00B65AFF" w:rsidP="006B11B1">
      <w:pPr>
        <w:pStyle w:val="ListParagraph"/>
        <w:keepNext/>
        <w:numPr>
          <w:ilvl w:val="0"/>
          <w:numId w:val="29"/>
        </w:numPr>
        <w:spacing w:before="120" w:after="120" w:line="360" w:lineRule="auto"/>
        <w:outlineLvl w:val="1"/>
        <w:rPr>
          <w:rFonts w:ascii="Times New Roman" w:hAnsi="Times New Roman"/>
          <w:lang w:val="bg-BG"/>
        </w:rPr>
      </w:pPr>
      <w:bookmarkStart w:id="195" w:name="_Toc136961146"/>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4</w:t>
      </w:r>
      <w:r w:rsidRPr="00805152">
        <w:rPr>
          <w:rFonts w:ascii="Times New Roman" w:hAnsi="Times New Roman"/>
          <w:lang w:val="bg-BG"/>
        </w:rPr>
        <w:fldChar w:fldCharType="end"/>
      </w:r>
      <w:r w:rsidR="000166B3" w:rsidRPr="00805152">
        <w:rPr>
          <w:rFonts w:ascii="Times New Roman" w:hAnsi="Times New Roman"/>
          <w:lang w:val="bg-BG"/>
        </w:rPr>
        <w:t xml:space="preserve"> – Чертеж № </w:t>
      </w:r>
      <w:bookmarkEnd w:id="194"/>
      <w:r w:rsidR="00BF2BD3" w:rsidRPr="00805152">
        <w:rPr>
          <w:rFonts w:ascii="Times New Roman" w:hAnsi="Times New Roman"/>
          <w:lang w:val="bg-BG"/>
        </w:rPr>
        <w:t>04.3. BURGAS_DD_HTS _R0_CrSect-St2_062015</w:t>
      </w:r>
      <w:bookmarkEnd w:id="195"/>
      <w:r w:rsidR="006B11B1">
        <w:rPr>
          <w:rFonts w:ascii="Times New Roman" w:hAnsi="Times New Roman"/>
          <w:lang w:val="en-US"/>
        </w:rPr>
        <w:t>;</w:t>
      </w:r>
    </w:p>
    <w:p w14:paraId="215386BD" w14:textId="574CC6C3" w:rsidR="009519BC" w:rsidRPr="00805152" w:rsidRDefault="009519BC" w:rsidP="006B11B1">
      <w:pPr>
        <w:pStyle w:val="ListParagraph"/>
        <w:keepNext/>
        <w:numPr>
          <w:ilvl w:val="0"/>
          <w:numId w:val="29"/>
        </w:numPr>
        <w:spacing w:before="120" w:after="120" w:line="360" w:lineRule="auto"/>
        <w:outlineLvl w:val="1"/>
        <w:rPr>
          <w:rFonts w:ascii="Times New Roman" w:hAnsi="Times New Roman"/>
          <w:lang w:val="bg-BG"/>
        </w:rPr>
      </w:pPr>
      <w:bookmarkStart w:id="196" w:name="_Toc136961147"/>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5</w:t>
      </w:r>
      <w:r w:rsidRPr="00805152">
        <w:rPr>
          <w:rFonts w:ascii="Times New Roman" w:hAnsi="Times New Roman"/>
          <w:lang w:val="bg-BG"/>
        </w:rPr>
        <w:fldChar w:fldCharType="end"/>
      </w:r>
      <w:r w:rsidRPr="00805152">
        <w:rPr>
          <w:rFonts w:ascii="Times New Roman" w:hAnsi="Times New Roman"/>
          <w:lang w:val="bg-BG"/>
        </w:rPr>
        <w:t xml:space="preserve"> – Чертеж № </w:t>
      </w:r>
      <w:r w:rsidR="000223A0" w:rsidRPr="00805152">
        <w:rPr>
          <w:rFonts w:ascii="Times New Roman" w:hAnsi="Times New Roman"/>
          <w:lang w:val="bg-BG"/>
        </w:rPr>
        <w:t>04.4. BURGAS_DD_HTS _R0_CrSect-St3_062015</w:t>
      </w:r>
      <w:bookmarkEnd w:id="196"/>
      <w:r w:rsidR="006B11B1">
        <w:rPr>
          <w:rFonts w:ascii="Times New Roman" w:hAnsi="Times New Roman"/>
          <w:lang w:val="en-US"/>
        </w:rPr>
        <w:t>;</w:t>
      </w:r>
    </w:p>
    <w:p w14:paraId="45895485" w14:textId="377210CA" w:rsidR="00D670B0" w:rsidRPr="00805152" w:rsidRDefault="009519BC" w:rsidP="006B11B1">
      <w:pPr>
        <w:pStyle w:val="ListParagraph"/>
        <w:keepNext/>
        <w:numPr>
          <w:ilvl w:val="0"/>
          <w:numId w:val="29"/>
        </w:numPr>
        <w:spacing w:before="120" w:after="120" w:line="360" w:lineRule="auto"/>
        <w:outlineLvl w:val="1"/>
        <w:rPr>
          <w:rFonts w:ascii="Times New Roman" w:hAnsi="Times New Roman"/>
          <w:lang w:val="bg-BG"/>
        </w:rPr>
      </w:pPr>
      <w:bookmarkStart w:id="197" w:name="_Toc136961148"/>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6</w:t>
      </w:r>
      <w:r w:rsidRPr="00805152">
        <w:rPr>
          <w:rFonts w:ascii="Times New Roman" w:hAnsi="Times New Roman"/>
          <w:lang w:val="bg-BG"/>
        </w:rPr>
        <w:fldChar w:fldCharType="end"/>
      </w:r>
      <w:r w:rsidRPr="00805152">
        <w:rPr>
          <w:rFonts w:ascii="Times New Roman" w:hAnsi="Times New Roman"/>
          <w:lang w:val="bg-BG"/>
        </w:rPr>
        <w:t xml:space="preserve"> – Чертеж № </w:t>
      </w:r>
      <w:r w:rsidR="000223A0" w:rsidRPr="00805152">
        <w:rPr>
          <w:rFonts w:ascii="Times New Roman" w:hAnsi="Times New Roman"/>
          <w:lang w:val="bg-BG"/>
        </w:rPr>
        <w:t>04.5. BURGAS_DD_HTS _R0_CrSect-St3_062015</w:t>
      </w:r>
      <w:bookmarkEnd w:id="197"/>
      <w:r w:rsidR="006B11B1">
        <w:rPr>
          <w:rFonts w:ascii="Times New Roman" w:hAnsi="Times New Roman"/>
          <w:lang w:val="en-US"/>
        </w:rPr>
        <w:t>;</w:t>
      </w:r>
    </w:p>
    <w:p w14:paraId="13FCF283" w14:textId="2DFAE914" w:rsidR="00BF2BD3" w:rsidRPr="00805152" w:rsidRDefault="00BF2BD3" w:rsidP="006B11B1">
      <w:pPr>
        <w:pStyle w:val="ListParagraph"/>
        <w:keepNext/>
        <w:numPr>
          <w:ilvl w:val="0"/>
          <w:numId w:val="29"/>
        </w:numPr>
        <w:spacing w:before="120" w:after="120" w:line="360" w:lineRule="auto"/>
        <w:outlineLvl w:val="1"/>
        <w:rPr>
          <w:rFonts w:ascii="Times New Roman" w:hAnsi="Times New Roman"/>
          <w:lang w:val="bg-BG"/>
        </w:rPr>
      </w:pPr>
      <w:bookmarkStart w:id="198" w:name="_Toc136961149"/>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7</w:t>
      </w:r>
      <w:r w:rsidRPr="00805152">
        <w:rPr>
          <w:rFonts w:ascii="Times New Roman" w:hAnsi="Times New Roman"/>
          <w:lang w:val="bg-BG"/>
        </w:rPr>
        <w:fldChar w:fldCharType="end"/>
      </w:r>
      <w:r w:rsidRPr="00805152">
        <w:rPr>
          <w:rFonts w:ascii="Times New Roman" w:hAnsi="Times New Roman"/>
          <w:lang w:val="bg-BG"/>
        </w:rPr>
        <w:t xml:space="preserve"> – Чертеж № </w:t>
      </w:r>
      <w:r w:rsidR="000223A0" w:rsidRPr="00805152">
        <w:rPr>
          <w:rFonts w:ascii="Times New Roman" w:hAnsi="Times New Roman"/>
          <w:lang w:val="bg-BG"/>
        </w:rPr>
        <w:t>04.6. BURGAS_DD_HTS _R0_CrSect_062015</w:t>
      </w:r>
      <w:bookmarkEnd w:id="198"/>
      <w:r w:rsidR="006B11B1">
        <w:rPr>
          <w:rFonts w:ascii="Times New Roman" w:hAnsi="Times New Roman"/>
          <w:lang w:val="en-US"/>
        </w:rPr>
        <w:t>;</w:t>
      </w:r>
    </w:p>
    <w:p w14:paraId="69F04848" w14:textId="6E7931AD" w:rsidR="00BF2BD3" w:rsidRDefault="00BF2BD3" w:rsidP="006B11B1">
      <w:pPr>
        <w:pStyle w:val="ListParagraph"/>
        <w:keepNext/>
        <w:numPr>
          <w:ilvl w:val="0"/>
          <w:numId w:val="29"/>
        </w:numPr>
        <w:spacing w:before="120" w:after="120" w:line="360" w:lineRule="auto"/>
        <w:outlineLvl w:val="1"/>
        <w:rPr>
          <w:rFonts w:ascii="Times New Roman" w:hAnsi="Times New Roman"/>
          <w:lang w:val="bg-BG"/>
        </w:rPr>
      </w:pPr>
      <w:bookmarkStart w:id="199" w:name="_Toc136961150"/>
      <w:r w:rsidRPr="00805152">
        <w:rPr>
          <w:rFonts w:ascii="Times New Roman" w:hAnsi="Times New Roman"/>
          <w:lang w:val="bg-BG"/>
        </w:rPr>
        <w:t xml:space="preserve">Приложение  </w:t>
      </w:r>
      <w:r w:rsidRPr="00805152">
        <w:rPr>
          <w:rFonts w:ascii="Times New Roman" w:hAnsi="Times New Roman"/>
          <w:lang w:val="bg-BG"/>
        </w:rPr>
        <w:fldChar w:fldCharType="begin"/>
      </w:r>
      <w:r w:rsidRPr="00805152">
        <w:rPr>
          <w:rFonts w:ascii="Times New Roman" w:hAnsi="Times New Roman"/>
          <w:lang w:val="bg-BG"/>
        </w:rPr>
        <w:instrText xml:space="preserve"> SEQ Appendix_ \* ARABIC </w:instrText>
      </w:r>
      <w:r w:rsidRPr="00805152">
        <w:rPr>
          <w:rFonts w:ascii="Times New Roman" w:hAnsi="Times New Roman"/>
          <w:lang w:val="bg-BG"/>
        </w:rPr>
        <w:fldChar w:fldCharType="separate"/>
      </w:r>
      <w:r w:rsidR="00490063">
        <w:rPr>
          <w:rFonts w:ascii="Times New Roman" w:hAnsi="Times New Roman"/>
          <w:noProof/>
          <w:lang w:val="bg-BG"/>
        </w:rPr>
        <w:t>8</w:t>
      </w:r>
      <w:r w:rsidRPr="00805152">
        <w:rPr>
          <w:rFonts w:ascii="Times New Roman" w:hAnsi="Times New Roman"/>
          <w:lang w:val="bg-BG"/>
        </w:rPr>
        <w:fldChar w:fldCharType="end"/>
      </w:r>
      <w:r w:rsidRPr="00805152">
        <w:rPr>
          <w:rFonts w:ascii="Times New Roman" w:hAnsi="Times New Roman"/>
          <w:lang w:val="bg-BG"/>
        </w:rPr>
        <w:t xml:space="preserve"> – Чертеж № </w:t>
      </w:r>
      <w:r w:rsidR="000223A0" w:rsidRPr="00805152">
        <w:rPr>
          <w:rFonts w:ascii="Times New Roman" w:hAnsi="Times New Roman"/>
          <w:lang w:val="bg-BG"/>
        </w:rPr>
        <w:t>07. BURGAS_DD_HTS _R0_Breakwater SP Rev 1-7 Вариант 2 и 3</w:t>
      </w:r>
      <w:bookmarkEnd w:id="199"/>
      <w:r w:rsidR="0001167D">
        <w:rPr>
          <w:rFonts w:ascii="Times New Roman" w:hAnsi="Times New Roman"/>
          <w:lang w:val="en-US"/>
        </w:rPr>
        <w:t>;</w:t>
      </w:r>
    </w:p>
    <w:p w14:paraId="3ED8BB81" w14:textId="00C28E54" w:rsidR="00E53833" w:rsidRPr="00805152" w:rsidRDefault="00E53833" w:rsidP="006B11B1">
      <w:pPr>
        <w:pStyle w:val="ListParagraph"/>
        <w:keepNext/>
        <w:numPr>
          <w:ilvl w:val="0"/>
          <w:numId w:val="29"/>
        </w:numPr>
        <w:spacing w:before="120" w:after="120" w:line="360" w:lineRule="auto"/>
        <w:outlineLvl w:val="1"/>
        <w:rPr>
          <w:rFonts w:ascii="Times New Roman" w:hAnsi="Times New Roman"/>
          <w:lang w:val="bg-BG"/>
        </w:rPr>
      </w:pPr>
      <w:r>
        <w:rPr>
          <w:rFonts w:ascii="Times New Roman" w:hAnsi="Times New Roman"/>
          <w:lang w:val="bg-BG"/>
        </w:rPr>
        <w:t>Приложение 9- План График</w:t>
      </w:r>
      <w:r w:rsidR="0001167D">
        <w:rPr>
          <w:rFonts w:ascii="Times New Roman" w:hAnsi="Times New Roman"/>
          <w:lang w:val="en-US"/>
        </w:rPr>
        <w:t>.</w:t>
      </w:r>
    </w:p>
    <w:bookmarkEnd w:id="191"/>
    <w:p w14:paraId="407C3D52" w14:textId="1F3A50B5" w:rsidR="00D670B0" w:rsidRPr="00805152" w:rsidRDefault="00D670B0" w:rsidP="00D670B0">
      <w:pPr>
        <w:rPr>
          <w:rFonts w:ascii="Times New Roman" w:hAnsi="Times New Roman"/>
          <w:sz w:val="22"/>
          <w:lang w:val="bg-BG"/>
        </w:rPr>
      </w:pPr>
    </w:p>
    <w:p w14:paraId="4B34CD15" w14:textId="61C3E6B8" w:rsidR="000223A0" w:rsidRPr="00805152" w:rsidRDefault="000223A0" w:rsidP="00D670B0">
      <w:pPr>
        <w:rPr>
          <w:rFonts w:ascii="Times New Roman" w:hAnsi="Times New Roman"/>
          <w:sz w:val="22"/>
          <w:lang w:val="bg-BG"/>
        </w:rPr>
      </w:pPr>
    </w:p>
    <w:p w14:paraId="32C04DF8" w14:textId="3D2CDB0D" w:rsidR="007B1DCE" w:rsidRPr="00805152" w:rsidRDefault="007B1DCE" w:rsidP="00D670B0">
      <w:pPr>
        <w:rPr>
          <w:rFonts w:ascii="Times New Roman" w:hAnsi="Times New Roman"/>
          <w:sz w:val="22"/>
          <w:lang w:val="bg-BG"/>
        </w:rPr>
      </w:pPr>
    </w:p>
    <w:p w14:paraId="47AC6556" w14:textId="3BB86A8F" w:rsidR="000223A0" w:rsidRPr="00805152" w:rsidRDefault="000223A0" w:rsidP="00D670B0">
      <w:pPr>
        <w:rPr>
          <w:rFonts w:ascii="Times New Roman" w:hAnsi="Times New Roman"/>
          <w:sz w:val="22"/>
          <w:lang w:val="bg-BG"/>
        </w:rPr>
      </w:pPr>
    </w:p>
    <w:p w14:paraId="2CDCD361" w14:textId="77777777" w:rsidR="000223A0" w:rsidRPr="00805152" w:rsidRDefault="000223A0" w:rsidP="00D670B0">
      <w:pPr>
        <w:rPr>
          <w:rFonts w:ascii="Times New Roman" w:hAnsi="Times New Roman"/>
          <w:sz w:val="22"/>
          <w:lang w:val="bg-BG"/>
        </w:rPr>
      </w:pPr>
    </w:p>
    <w:p w14:paraId="794945CE" w14:textId="619D49A2" w:rsidR="00D670B0" w:rsidRPr="00805152" w:rsidRDefault="00D670B0" w:rsidP="00D670B0">
      <w:pPr>
        <w:rPr>
          <w:rFonts w:ascii="Times New Roman" w:hAnsi="Times New Roman"/>
          <w:sz w:val="22"/>
          <w:lang w:val="bg-BG"/>
        </w:rPr>
      </w:pPr>
    </w:p>
    <w:sectPr w:rsidR="00D670B0" w:rsidRPr="00805152" w:rsidSect="00AB6177">
      <w:headerReference w:type="default" r:id="rId83"/>
      <w:footerReference w:type="default" r:id="rId84"/>
      <w:pgSz w:w="11907" w:h="16840" w:code="9"/>
      <w:pgMar w:top="1418" w:right="709" w:bottom="1418" w:left="1418" w:header="198" w:footer="26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C18EF1" w14:textId="77777777" w:rsidR="00802580" w:rsidRDefault="00802580" w:rsidP="00C76A59">
      <w:r>
        <w:separator/>
      </w:r>
    </w:p>
  </w:endnote>
  <w:endnote w:type="continuationSeparator" w:id="0">
    <w:p w14:paraId="3B341983" w14:textId="77777777" w:rsidR="00802580" w:rsidRDefault="00802580" w:rsidP="00C76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HebarU">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WBUTZ+HelenBg-Regular">
    <w:altName w:val="Calibri"/>
    <w:panose1 w:val="00000000000000000000"/>
    <w:charset w:val="CC"/>
    <w:family w:val="swiss"/>
    <w:notTrueType/>
    <w:pitch w:val="default"/>
    <w:sig w:usb0="00000201" w:usb1="00000000" w:usb2="00000000" w:usb3="00000000" w:csb0="00000004" w:csb1="00000000"/>
  </w:font>
  <w:font w:name="MS Sans Serif">
    <w:altName w:val="Arial"/>
    <w:panose1 w:val="00000000000000000000"/>
    <w:charset w:val="00"/>
    <w:family w:val="swiss"/>
    <w:notTrueType/>
    <w:pitch w:val="variable"/>
  </w:font>
  <w:font w:name="UnvCyr">
    <w:altName w:val="Arial"/>
    <w:charset w:val="00"/>
    <w:family w:val="swiss"/>
    <w:pitch w:val="variable"/>
    <w:sig w:usb0="00000287" w:usb1="00000000" w:usb2="00000000" w:usb3="00000000" w:csb0="0000001F" w:csb1="00000000"/>
  </w:font>
  <w:font w:name="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umnst777 Lt BT">
    <w:charset w:val="00"/>
    <w:family w:val="swiss"/>
    <w:pitch w:val="variable"/>
    <w:sig w:usb0="00000087" w:usb1="00000000" w:usb2="00000000" w:usb3="00000000" w:csb0="0000001B" w:csb1="00000000"/>
  </w:font>
  <w:font w:name="Humnst777 BT">
    <w:altName w:val="Lucida Sans Unicode"/>
    <w:charset w:val="00"/>
    <w:family w:val="swiss"/>
    <w:pitch w:val="variable"/>
    <w:sig w:usb0="00000087" w:usb1="00000000" w:usb2="00000000" w:usb3="00000000" w:csb0="0000001B"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rPr>
      <w:id w:val="2125955714"/>
      <w:docPartObj>
        <w:docPartGallery w:val="Page Numbers (Bottom of Page)"/>
        <w:docPartUnique/>
      </w:docPartObj>
    </w:sdtPr>
    <w:sdtEndPr>
      <w:rPr>
        <w:rFonts w:ascii="Arial Narrow" w:hAnsi="Arial Narrow" w:cs="Times New Roman"/>
        <w:noProof/>
      </w:rPr>
    </w:sdtEndPr>
    <w:sdtContent>
      <w:p w14:paraId="27BA1943" w14:textId="77777777" w:rsidR="00E54D2E" w:rsidRPr="00EC5B00" w:rsidRDefault="00E54D2E" w:rsidP="003A71AA">
        <w:pPr>
          <w:tabs>
            <w:tab w:val="center" w:pos="4153"/>
            <w:tab w:val="right" w:pos="8306"/>
          </w:tabs>
          <w:jc w:val="center"/>
          <w:rPr>
            <w:rFonts w:ascii="Times New Roman" w:hAnsi="Times New Roman"/>
            <w:i/>
            <w:sz w:val="20"/>
            <w:szCs w:val="20"/>
            <w:lang w:val="bg-BG"/>
          </w:rPr>
        </w:pPr>
        <w:r w:rsidRPr="00EC5B00">
          <w:rPr>
            <w:rFonts w:ascii="Times New Roman" w:hAnsi="Times New Roman"/>
            <w:i/>
            <w:sz w:val="20"/>
            <w:szCs w:val="20"/>
            <w:lang w:val="bg-BG"/>
          </w:rPr>
          <w:t xml:space="preserve">-------------------------------------------------- </w:t>
        </w:r>
        <w:hyperlink r:id="rId1">
          <w:r w:rsidRPr="00EC5B00">
            <w:rPr>
              <w:rFonts w:ascii="Times New Roman" w:hAnsi="Times New Roman"/>
              <w:i/>
              <w:color w:val="0000FF"/>
              <w:sz w:val="20"/>
              <w:szCs w:val="20"/>
              <w:u w:val="single"/>
              <w:lang w:val="bg-BG"/>
            </w:rPr>
            <w:t>www.eufunds.bg</w:t>
          </w:r>
        </w:hyperlink>
        <w:r w:rsidRPr="00EC5B00">
          <w:rPr>
            <w:rFonts w:ascii="Times New Roman" w:hAnsi="Times New Roman"/>
            <w:i/>
            <w:sz w:val="20"/>
            <w:szCs w:val="20"/>
            <w:lang w:val="bg-BG"/>
          </w:rPr>
          <w:t xml:space="preserve"> -------------------------------------------------</w:t>
        </w:r>
      </w:p>
      <w:p w14:paraId="2967E7DF" w14:textId="77777777" w:rsidR="00E54D2E" w:rsidRPr="00EC5B00" w:rsidRDefault="00E54D2E" w:rsidP="00EC5B00">
        <w:pPr>
          <w:tabs>
            <w:tab w:val="center" w:pos="4153"/>
            <w:tab w:val="right" w:pos="8306"/>
          </w:tabs>
          <w:spacing w:after="0" w:line="276" w:lineRule="auto"/>
          <w:rPr>
            <w:rFonts w:ascii="Times New Roman" w:hAnsi="Times New Roman"/>
            <w:i/>
            <w:sz w:val="20"/>
            <w:szCs w:val="20"/>
            <w:lang w:val="bg-BG"/>
          </w:rPr>
        </w:pPr>
        <w:r w:rsidRPr="00EC5B00">
          <w:rPr>
            <w:rFonts w:ascii="Times New Roman" w:hAnsi="Times New Roman"/>
            <w:i/>
            <w:sz w:val="20"/>
            <w:szCs w:val="20"/>
            <w:lang w:val="bg-BG"/>
          </w:rPr>
          <w:t xml:space="preserve">Този документ е създаден по проект № BG16M1OP001-6.001-0026 „Осигуряване на техническа помощ за подготовка на проекти за следващия програмен период 2021 - 2027 г.“, финансиран по Приоритетна ос 5 „Техническа помощ“ на Оперативна програма „Транспорт и транспортна инфраструктура“ 2014-2020 г.    </w:t>
        </w:r>
      </w:p>
      <w:p w14:paraId="34DC842E" w14:textId="31B2B9AD" w:rsidR="00E54D2E" w:rsidRPr="004653BB" w:rsidRDefault="00E54D2E" w:rsidP="004653BB">
        <w:pPr>
          <w:pStyle w:val="Footer"/>
          <w:jc w:val="center"/>
          <w:rPr>
            <w:noProof/>
          </w:rPr>
        </w:pPr>
        <w:r>
          <w:fldChar w:fldCharType="begin"/>
        </w:r>
        <w:r>
          <w:instrText xml:space="preserve"> PAGE   \* MERGEFORMAT </w:instrText>
        </w:r>
        <w:r>
          <w:fldChar w:fldCharType="separate"/>
        </w:r>
        <w:r w:rsidR="00420C39">
          <w:rPr>
            <w:noProof/>
          </w:rPr>
          <w:t>143</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917A87" w14:textId="77777777" w:rsidR="00802580" w:rsidRDefault="00802580" w:rsidP="00C76A59">
      <w:bookmarkStart w:id="0" w:name="_Hlk518639686"/>
      <w:bookmarkEnd w:id="0"/>
      <w:r>
        <w:separator/>
      </w:r>
    </w:p>
  </w:footnote>
  <w:footnote w:type="continuationSeparator" w:id="0">
    <w:p w14:paraId="22D3BFF5" w14:textId="77777777" w:rsidR="00802580" w:rsidRDefault="00802580" w:rsidP="00C76A59">
      <w:r>
        <w:continuationSeparator/>
      </w:r>
    </w:p>
  </w:footnote>
  <w:footnote w:id="1">
    <w:p w14:paraId="115FD3C6" w14:textId="77777777" w:rsidR="00E54D2E" w:rsidRPr="00D400EB" w:rsidRDefault="00E54D2E" w:rsidP="00E87C4E">
      <w:pPr>
        <w:autoSpaceDE w:val="0"/>
        <w:autoSpaceDN w:val="0"/>
        <w:adjustRightInd w:val="0"/>
        <w:spacing w:line="276" w:lineRule="auto"/>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 5,  т. 31 от Допълнителните разпоредби на ЗУТ (доп. - ДВ, бр. 107 от 2003 г., изм., бр. 41 от 2007 г.) </w:t>
      </w:r>
      <w:r w:rsidRPr="00D400EB">
        <w:rPr>
          <w:rFonts w:ascii="Times New Roman" w:hAnsi="Times New Roman"/>
          <w:b/>
          <w:sz w:val="16"/>
          <w:szCs w:val="16"/>
          <w:lang w:val="bg-BG"/>
        </w:rPr>
        <w:t>"Техническа инфраструктура" е система от</w:t>
      </w:r>
      <w:r w:rsidRPr="00D400EB">
        <w:rPr>
          <w:rFonts w:ascii="Times New Roman" w:hAnsi="Times New Roman"/>
          <w:sz w:val="16"/>
          <w:szCs w:val="16"/>
          <w:lang w:val="bg-BG"/>
        </w:rPr>
        <w:t xml:space="preserve"> сгради, </w:t>
      </w:r>
      <w:r w:rsidRPr="00D400EB">
        <w:rPr>
          <w:rFonts w:ascii="Times New Roman" w:hAnsi="Times New Roman"/>
          <w:b/>
          <w:sz w:val="16"/>
          <w:szCs w:val="16"/>
          <w:lang w:val="bg-BG"/>
        </w:rPr>
        <w:t>съоръжения и линейни инженерни мрежи на транспорта</w:t>
      </w:r>
      <w:r w:rsidRPr="00D400EB">
        <w:rPr>
          <w:rFonts w:ascii="Times New Roman" w:hAnsi="Times New Roman"/>
          <w:sz w:val="16"/>
          <w:szCs w:val="16"/>
          <w:lang w:val="bg-BG"/>
        </w:rPr>
        <w:t>, водоснабдяването и канализацията, електроснабдяването, топлоснабдяването, газоснабдяването, електронните съобщения, хидромелиорациите, третирането на отпадъците и геозащитната дейност.</w:t>
      </w:r>
    </w:p>
    <w:p w14:paraId="244C1146" w14:textId="77777777" w:rsidR="00E54D2E" w:rsidRPr="00150314" w:rsidRDefault="00E54D2E" w:rsidP="00E87C4E">
      <w:pPr>
        <w:pStyle w:val="FootnoteText"/>
        <w:spacing w:line="276" w:lineRule="auto"/>
        <w:rPr>
          <w:rFonts w:ascii="Times New Roman" w:hAnsi="Times New Roman"/>
          <w:sz w:val="16"/>
          <w:szCs w:val="16"/>
        </w:rPr>
      </w:pPr>
    </w:p>
  </w:footnote>
  <w:footnote w:id="2">
    <w:p w14:paraId="153F62B4" w14:textId="77777777" w:rsidR="00E54D2E" w:rsidRPr="00D400EB" w:rsidRDefault="00E54D2E" w:rsidP="00E87C4E">
      <w:pPr>
        <w:autoSpaceDE w:val="0"/>
        <w:autoSpaceDN w:val="0"/>
        <w:adjustRightInd w:val="0"/>
        <w:spacing w:line="276" w:lineRule="auto"/>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 5, т. 47. (Нова - ДВ, бр. 28 от 2013 г.) "Вълнолом" е оградително стационарно или плаващо хидротехническо съоръжение, което е изградено или поставено пред пристанищната акватория без непосредствена връзка с брега и служи за предпазването й от вълнение, наноси или ледоход.</w:t>
      </w:r>
    </w:p>
    <w:p w14:paraId="3BBA56AD" w14:textId="77777777" w:rsidR="00E54D2E" w:rsidRPr="00D400EB" w:rsidRDefault="00E54D2E" w:rsidP="00E87C4E">
      <w:pPr>
        <w:autoSpaceDE w:val="0"/>
        <w:autoSpaceDN w:val="0"/>
        <w:adjustRightInd w:val="0"/>
        <w:spacing w:line="276" w:lineRule="auto"/>
        <w:rPr>
          <w:rFonts w:ascii="Times New Roman" w:hAnsi="Times New Roman"/>
          <w:sz w:val="16"/>
          <w:szCs w:val="16"/>
          <w:lang w:val="bg-BG"/>
        </w:rPr>
      </w:pPr>
      <w:r w:rsidRPr="00D400EB">
        <w:rPr>
          <w:rFonts w:ascii="Times New Roman" w:hAnsi="Times New Roman"/>
          <w:sz w:val="16"/>
          <w:szCs w:val="16"/>
          <w:lang w:val="bg-BG"/>
        </w:rPr>
        <w:t>§ 5, т. 49. (Нова - ДВ, бр. 28 от 2013 г.) "Пирс" е стационарно хидротехническо съоръжение, изградено в оперативната акватория под определен ъгъл спрямо брега, което позволява безопасно приставане, швартоване и обработване на кораби.</w:t>
      </w:r>
    </w:p>
    <w:p w14:paraId="769C0908" w14:textId="77777777" w:rsidR="00E54D2E" w:rsidRPr="00D400EB" w:rsidRDefault="00E54D2E" w:rsidP="00E21053">
      <w:pPr>
        <w:pStyle w:val="FootnoteText"/>
        <w:rPr>
          <w:lang w:val="bg-BG"/>
        </w:rPr>
      </w:pPr>
    </w:p>
  </w:footnote>
  <w:footnote w:id="3">
    <w:p w14:paraId="5B135E1B" w14:textId="77777777" w:rsidR="00E54D2E" w:rsidRPr="00D400EB" w:rsidRDefault="00E54D2E" w:rsidP="00E87C4E">
      <w:pPr>
        <w:autoSpaceDE w:val="0"/>
        <w:autoSpaceDN w:val="0"/>
        <w:adjustRightInd w:val="0"/>
        <w:spacing w:line="276" w:lineRule="auto"/>
        <w:rPr>
          <w:rFonts w:ascii="Times New Roman" w:hAnsi="Times New Roman"/>
          <w:sz w:val="16"/>
          <w:szCs w:val="20"/>
          <w:lang w:val="bg-BG"/>
        </w:rPr>
      </w:pPr>
      <w:r w:rsidRPr="00D400EB">
        <w:rPr>
          <w:rStyle w:val="FootnoteReference"/>
          <w:rFonts w:ascii="Times New Roman" w:hAnsi="Times New Roman"/>
          <w:sz w:val="16"/>
          <w:szCs w:val="20"/>
          <w:lang w:val="bg-BG"/>
        </w:rPr>
        <w:footnoteRef/>
      </w:r>
      <w:r w:rsidRPr="00D400EB">
        <w:rPr>
          <w:rFonts w:ascii="Times New Roman" w:hAnsi="Times New Roman"/>
          <w:sz w:val="16"/>
          <w:szCs w:val="20"/>
          <w:lang w:val="bg-BG"/>
        </w:rPr>
        <w:t xml:space="preserve"> § 5, 44. (Нова - ДВ, бр. 28 от 2013 г.) "Зона за подхождане" е най-външната част от пристанищната акватория, свързваща подходния канал или фарватера със зоната за маневриране на корабите.</w:t>
      </w:r>
    </w:p>
    <w:p w14:paraId="673CFECC" w14:textId="77777777" w:rsidR="00E54D2E" w:rsidRPr="00D400EB" w:rsidRDefault="00E54D2E" w:rsidP="00E87C4E">
      <w:pPr>
        <w:autoSpaceDE w:val="0"/>
        <w:autoSpaceDN w:val="0"/>
        <w:adjustRightInd w:val="0"/>
        <w:spacing w:line="276" w:lineRule="auto"/>
        <w:rPr>
          <w:rFonts w:ascii="Times New Roman" w:hAnsi="Times New Roman"/>
          <w:sz w:val="16"/>
          <w:szCs w:val="20"/>
          <w:lang w:val="bg-BG"/>
        </w:rPr>
      </w:pPr>
      <w:r w:rsidRPr="00D400EB">
        <w:rPr>
          <w:rFonts w:ascii="Times New Roman" w:hAnsi="Times New Roman"/>
          <w:sz w:val="16"/>
          <w:szCs w:val="20"/>
          <w:lang w:val="bg-BG"/>
        </w:rPr>
        <w:t>§ 5, т. 45. (Нова - ДВ, бр. 28 от 2013 г.) "Зона за маневриране на корабите" е част от пристанищната акватория, която свързва зоната за подхождане и оперативната акватория и служи за безопасно извършване на маневри (в т. ч. разминаване) от корабите при придвижването им към оперативната акватория и при излизането им от нея.</w:t>
      </w:r>
    </w:p>
    <w:p w14:paraId="0608B485" w14:textId="77777777" w:rsidR="00E54D2E" w:rsidRPr="00D400EB" w:rsidRDefault="00E54D2E" w:rsidP="00E87C4E">
      <w:pPr>
        <w:autoSpaceDE w:val="0"/>
        <w:autoSpaceDN w:val="0"/>
        <w:adjustRightInd w:val="0"/>
        <w:spacing w:line="276" w:lineRule="auto"/>
        <w:rPr>
          <w:rFonts w:ascii="Times New Roman" w:hAnsi="Times New Roman"/>
          <w:sz w:val="16"/>
          <w:szCs w:val="20"/>
          <w:lang w:val="bg-BG"/>
        </w:rPr>
      </w:pPr>
      <w:r w:rsidRPr="00D400EB">
        <w:rPr>
          <w:rFonts w:ascii="Times New Roman" w:hAnsi="Times New Roman"/>
          <w:sz w:val="16"/>
          <w:szCs w:val="20"/>
          <w:lang w:val="bg-BG"/>
        </w:rPr>
        <w:t>§ 5, т. 46. (Нова - ДВ, бр. 28 от 2013 г.) "Оперативна акватория" е част от пристанищната акватория, прилежаща на съответната кейова стена или друго хидротехническо съоръжение за приставане на кораби и притежаваща нужните площ и дълбочина за безопасно маневриране и приставане на най-големия разчетен кораб.</w:t>
      </w:r>
    </w:p>
    <w:p w14:paraId="17020665" w14:textId="77777777" w:rsidR="00E54D2E" w:rsidRPr="00150314" w:rsidRDefault="00E54D2E" w:rsidP="00E87C4E">
      <w:pPr>
        <w:pStyle w:val="FootnoteText"/>
        <w:spacing w:line="276" w:lineRule="auto"/>
        <w:rPr>
          <w:rFonts w:ascii="Times New Roman" w:hAnsi="Times New Roman"/>
          <w:sz w:val="16"/>
        </w:rPr>
      </w:pPr>
    </w:p>
  </w:footnote>
  <w:footnote w:id="4">
    <w:p w14:paraId="1170FA0B" w14:textId="77777777" w:rsidR="00E54D2E" w:rsidRPr="00D400EB" w:rsidRDefault="00E54D2E" w:rsidP="000C5C5A">
      <w:pPr>
        <w:autoSpaceDE w:val="0"/>
        <w:autoSpaceDN w:val="0"/>
        <w:adjustRightInd w:val="0"/>
        <w:rPr>
          <w:rFonts w:ascii="Times New Roman" w:hAnsi="Times New Roman"/>
          <w:sz w:val="20"/>
          <w:lang w:val="bg-BG"/>
        </w:rPr>
      </w:pPr>
      <w:r w:rsidRPr="00D400EB">
        <w:rPr>
          <w:rStyle w:val="FootnoteReference"/>
          <w:rFonts w:ascii="Times New Roman" w:hAnsi="Times New Roman"/>
          <w:sz w:val="20"/>
          <w:lang w:val="bg-BG"/>
        </w:rPr>
        <w:footnoteRef/>
      </w:r>
      <w:r w:rsidRPr="00D400EB">
        <w:rPr>
          <w:rFonts w:ascii="Times New Roman" w:hAnsi="Times New Roman"/>
          <w:sz w:val="20"/>
          <w:lang w:val="bg-BG"/>
        </w:rPr>
        <w:t xml:space="preserve"> </w:t>
      </w:r>
      <w:r w:rsidRPr="00D400EB">
        <w:rPr>
          <w:rFonts w:ascii="Times New Roman" w:hAnsi="Times New Roman"/>
          <w:caps/>
          <w:sz w:val="16"/>
          <w:szCs w:val="20"/>
          <w:lang w:val="bg-BG"/>
        </w:rPr>
        <w:t xml:space="preserve">§ 5, </w:t>
      </w:r>
      <w:r w:rsidRPr="00D400EB">
        <w:rPr>
          <w:rFonts w:ascii="Times New Roman" w:hAnsi="Times New Roman"/>
          <w:caps/>
          <w:sz w:val="12"/>
          <w:szCs w:val="16"/>
          <w:lang w:val="bg-BG"/>
        </w:rPr>
        <w:t>т</w:t>
      </w:r>
      <w:r w:rsidRPr="00D400EB">
        <w:rPr>
          <w:rFonts w:ascii="Times New Roman" w:hAnsi="Times New Roman"/>
          <w:caps/>
          <w:sz w:val="16"/>
          <w:szCs w:val="20"/>
          <w:lang w:val="bg-BG"/>
        </w:rPr>
        <w:t xml:space="preserve">. </w:t>
      </w:r>
      <w:r w:rsidRPr="00D400EB">
        <w:rPr>
          <w:rFonts w:ascii="Times New Roman" w:hAnsi="Times New Roman"/>
          <w:sz w:val="16"/>
          <w:szCs w:val="20"/>
          <w:lang w:val="bg-BG"/>
        </w:rPr>
        <w:t xml:space="preserve">52. (Нова – ДВ, бр. 104 от 2020 г.) "Обща техническа инфраструктура на пристанището" е съвкупност от сгради, съоръжения и линейни инженерни мрежи на транспорта, водоснабдяването и канализацията, електроснабдяването, топлоснабдяването, газоснабдяването, електронните съобщения, третирането на отпадъците и на геозащитната дейност, които обслужват повече от един терминал от пристанище за обществен транспорт </w:t>
      </w:r>
      <w:r w:rsidRPr="00D400EB">
        <w:rPr>
          <w:rFonts w:ascii="Times New Roman" w:hAnsi="Times New Roman"/>
          <w:b/>
          <w:sz w:val="16"/>
          <w:szCs w:val="20"/>
          <w:lang w:val="bg-BG"/>
        </w:rPr>
        <w:t>и съгласно предвижданията на генералния план на пристанището са предназначени за общо ползване от всички пристанищни оператори и ползватели на пристанището при еднакви условия</w:t>
      </w:r>
      <w:r w:rsidRPr="00D400EB">
        <w:rPr>
          <w:rFonts w:ascii="Times New Roman" w:hAnsi="Times New Roman"/>
          <w:sz w:val="16"/>
          <w:szCs w:val="20"/>
          <w:lang w:val="bg-BG"/>
        </w:rPr>
        <w:t>. Отклоненията от линейните инженерни мрежи до границата на съответния пристанищен терминал се считат за част от общата техническа инфраструктура.</w:t>
      </w:r>
    </w:p>
  </w:footnote>
  <w:footnote w:id="5">
    <w:p w14:paraId="36352E2C" w14:textId="77777777" w:rsidR="00E54D2E" w:rsidRPr="00D400EB" w:rsidRDefault="00E54D2E" w:rsidP="000C5C5A">
      <w:pPr>
        <w:autoSpaceDE w:val="0"/>
        <w:autoSpaceDN w:val="0"/>
        <w:adjustRightInd w:val="0"/>
        <w:spacing w:before="120"/>
        <w:rPr>
          <w:rFonts w:ascii="Times New Roman" w:hAnsi="Times New Roman"/>
          <w:sz w:val="20"/>
          <w:lang w:val="bg-BG"/>
        </w:rPr>
      </w:pPr>
      <w:r w:rsidRPr="00D400EB">
        <w:rPr>
          <w:rStyle w:val="FootnoteReference"/>
          <w:rFonts w:ascii="Times New Roman" w:hAnsi="Times New Roman"/>
          <w:sz w:val="16"/>
          <w:szCs w:val="20"/>
          <w:lang w:val="bg-BG"/>
        </w:rPr>
        <w:footnoteRef/>
      </w:r>
      <w:r w:rsidRPr="00D400EB">
        <w:rPr>
          <w:rFonts w:ascii="Times New Roman" w:hAnsi="Times New Roman"/>
          <w:sz w:val="16"/>
          <w:szCs w:val="20"/>
          <w:lang w:val="bg-BG"/>
        </w:rPr>
        <w:t xml:space="preserve"> </w:t>
      </w:r>
      <w:r w:rsidRPr="00D400EB">
        <w:rPr>
          <w:rFonts w:ascii="Times New Roman" w:hAnsi="Times New Roman"/>
          <w:b/>
          <w:sz w:val="16"/>
          <w:szCs w:val="20"/>
          <w:lang w:val="bg-BG"/>
        </w:rPr>
        <w:t>Чл. 117в.</w:t>
      </w:r>
      <w:r w:rsidRPr="00D400EB">
        <w:rPr>
          <w:rFonts w:ascii="Times New Roman" w:hAnsi="Times New Roman"/>
          <w:sz w:val="16"/>
          <w:szCs w:val="20"/>
          <w:lang w:val="bg-BG"/>
        </w:rPr>
        <w:t xml:space="preserve"> (Нов - ДВ, бр. 24 от 2004 г., изм., бр. 104 от 2005 г., в сила от 1.01.2007 г., бр. 36 от 2006 г., бр. 98 от 2008 г., бр. 28 от 2013 г., бр. 96 от 2017 г., в сила от 1.01.2018 г.) (1) (Изм. – ДВ, бр. 104 от 2020 г.) Предоставянето на пристанищна услуга по чл. 116, ал. 2, т. 2 и 3 и на морско-технически пристанищни услуги в случаите по чл. 117а, ал. 4, т. 1 </w:t>
      </w:r>
      <w:r w:rsidRPr="00D400EB">
        <w:rPr>
          <w:rFonts w:ascii="Times New Roman" w:hAnsi="Times New Roman"/>
          <w:b/>
          <w:sz w:val="16"/>
          <w:szCs w:val="20"/>
          <w:lang w:val="bg-BG"/>
        </w:rPr>
        <w:t>на един или повече терминали – държавна собственост</w:t>
      </w:r>
      <w:r w:rsidRPr="00D400EB">
        <w:rPr>
          <w:rFonts w:ascii="Times New Roman" w:hAnsi="Times New Roman"/>
          <w:sz w:val="16"/>
          <w:szCs w:val="20"/>
          <w:lang w:val="bg-BG"/>
        </w:rPr>
        <w:t>, се възлага с концесия за услуги при условията и по реда на Закона за концесиите.</w:t>
      </w:r>
    </w:p>
  </w:footnote>
  <w:footnote w:id="6">
    <w:p w14:paraId="31390DF9" w14:textId="77777777" w:rsidR="00E54D2E" w:rsidRPr="00150314" w:rsidRDefault="00E54D2E" w:rsidP="000C5C5A">
      <w:pPr>
        <w:autoSpaceDE w:val="0"/>
        <w:autoSpaceDN w:val="0"/>
        <w:adjustRightInd w:val="0"/>
        <w:spacing w:before="120"/>
        <w:rPr>
          <w:rFonts w:ascii="Times New Roman" w:hAnsi="Times New Roman"/>
          <w:sz w:val="16"/>
          <w:szCs w:val="16"/>
          <w:lang w:val="en-US"/>
        </w:rPr>
      </w:pPr>
      <w:r w:rsidRPr="00150314">
        <w:rPr>
          <w:rStyle w:val="FootnoteReference"/>
          <w:rFonts w:ascii="Times New Roman" w:hAnsi="Times New Roman"/>
          <w:sz w:val="16"/>
          <w:szCs w:val="16"/>
        </w:rPr>
        <w:footnoteRef/>
      </w:r>
      <w:r w:rsidRPr="00150314">
        <w:rPr>
          <w:rFonts w:ascii="Times New Roman" w:hAnsi="Times New Roman"/>
          <w:sz w:val="16"/>
          <w:szCs w:val="16"/>
        </w:rPr>
        <w:t xml:space="preserve"> Чл. 7, ал.3 ЗК (обн. ДВ, бр. 96 от 2017 г., посл. изм. и доп. ДВ, бр. 8 от 2023 г.)</w:t>
      </w:r>
    </w:p>
    <w:p w14:paraId="74D9E7F0" w14:textId="77777777" w:rsidR="00E54D2E" w:rsidRPr="00114748" w:rsidRDefault="00E54D2E" w:rsidP="000C5C5A">
      <w:pPr>
        <w:pStyle w:val="FootnoteText"/>
        <w:rPr>
          <w:sz w:val="18"/>
          <w:szCs w:val="18"/>
        </w:rPr>
      </w:pPr>
    </w:p>
  </w:footnote>
  <w:footnote w:id="7">
    <w:p w14:paraId="66A3E443" w14:textId="77777777" w:rsidR="00E54D2E" w:rsidRPr="00D400EB" w:rsidRDefault="00E54D2E" w:rsidP="000C5C5A">
      <w:pPr>
        <w:autoSpaceDE w:val="0"/>
        <w:autoSpaceDN w:val="0"/>
        <w:adjustRightInd w:val="0"/>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Чл. 16, ал. 3 ЗК: Принадлежност е територията, прилежаща към обекта на концесията или към концесионната територия, прилежащата техническа инфраструктура по смисъла на § 5, т. 31 от допълнителните разпоредби на Закона за устройство на територията и всяка друга самостоятелна вещ, които осигуряват безпрепятствено, нормално и </w:t>
      </w:r>
      <w:r w:rsidRPr="00D400EB">
        <w:rPr>
          <w:rFonts w:ascii="Times New Roman" w:hAnsi="Times New Roman"/>
          <w:b/>
          <w:sz w:val="16"/>
          <w:szCs w:val="16"/>
          <w:lang w:val="bg-BG"/>
        </w:rPr>
        <w:t>безопасно функциониране</w:t>
      </w:r>
      <w:r w:rsidRPr="00D400EB">
        <w:rPr>
          <w:rFonts w:ascii="Times New Roman" w:hAnsi="Times New Roman"/>
          <w:sz w:val="16"/>
          <w:szCs w:val="16"/>
          <w:lang w:val="bg-BG"/>
        </w:rPr>
        <w:t xml:space="preserve"> на обекта на концесията или на предоставянето на услугите, както и територии извън обекта на концесията, които не са физически свързани с обекта на концесията, но са необходими за изпълнението на дейностите по концесията.</w:t>
      </w:r>
    </w:p>
    <w:p w14:paraId="3878C4C5" w14:textId="77777777" w:rsidR="00E54D2E" w:rsidRPr="00150314" w:rsidRDefault="00E54D2E" w:rsidP="000C5C5A">
      <w:pPr>
        <w:pStyle w:val="FootnoteText"/>
        <w:rPr>
          <w:rFonts w:ascii="Times New Roman" w:hAnsi="Times New Roman"/>
          <w:sz w:val="16"/>
          <w:szCs w:val="16"/>
        </w:rPr>
      </w:pPr>
    </w:p>
  </w:footnote>
  <w:footnote w:id="8">
    <w:p w14:paraId="0C2178A9" w14:textId="77777777" w:rsidR="00E54D2E" w:rsidRPr="00D400EB" w:rsidRDefault="00E54D2E" w:rsidP="000C5C5A">
      <w:pPr>
        <w:autoSpaceDE w:val="0"/>
        <w:autoSpaceDN w:val="0"/>
        <w:adjustRightInd w:val="0"/>
        <w:spacing w:before="120"/>
        <w:rPr>
          <w:sz w:val="20"/>
          <w:szCs w:val="20"/>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Чл. 34, ал. 1 ЗК (Изм. – ДВ, бр. 17 от 2021 г.) Всяка концесия се възлага за определен срок, който не може да бъде по-дълъг от 35 години, освен ако със специален закон е предвиден друг срок. Срокът на концесията може да се удължава, като общият</w:t>
      </w:r>
      <w:r w:rsidRPr="00D400EB">
        <w:rPr>
          <w:sz w:val="20"/>
          <w:szCs w:val="20"/>
          <w:lang w:val="bg-BG"/>
        </w:rPr>
        <w:t xml:space="preserve"> срок на всички удължавания, </w:t>
      </w:r>
      <w:r w:rsidRPr="00D400EB">
        <w:rPr>
          <w:rFonts w:ascii="Times New Roman" w:hAnsi="Times New Roman"/>
          <w:sz w:val="16"/>
          <w:szCs w:val="16"/>
          <w:lang w:val="bg-BG"/>
        </w:rPr>
        <w:t>независимо от основанието за това, не може да е по-дълъг от една трета от конкретния срок, определен с концесионния договор.</w:t>
      </w:r>
    </w:p>
    <w:p w14:paraId="7B1E9C9F" w14:textId="77777777" w:rsidR="00E54D2E" w:rsidRDefault="00E54D2E" w:rsidP="000C5C5A">
      <w:pPr>
        <w:pStyle w:val="FootnoteText"/>
      </w:pPr>
    </w:p>
  </w:footnote>
  <w:footnote w:id="9">
    <w:p w14:paraId="606B6690" w14:textId="77777777" w:rsidR="00E54D2E" w:rsidRPr="00D400EB" w:rsidRDefault="00E54D2E" w:rsidP="00D400EB">
      <w:pPr>
        <w:pStyle w:val="FootnoteText"/>
        <w:jc w:val="both"/>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Договорът по § 74 от ПЗР на ЗИД на ЗМПВВППРБ (обн. ДВ, бр. 24 от 2004 г.) между министъра на транспорта и „Пристанище Бургас“ ЕАД може да бъде квалифициран не като договор за обществена поръчка, а като договор за концесия, съгласно европейското право и съдебна практика, но след всеки негова анекс продължава да е без срок, съотв. с него не се прехвърлят върху пристанищния оператор основните рискове (молът и понастоящем е в приложенията по този договор)</w:t>
      </w:r>
    </w:p>
  </w:footnote>
  <w:footnote w:id="10">
    <w:p w14:paraId="2CC027E0" w14:textId="5249ED3D" w:rsidR="00E54D2E" w:rsidRPr="00D400EB" w:rsidRDefault="00E54D2E" w:rsidP="00150314">
      <w:pPr>
        <w:autoSpaceDE w:val="0"/>
        <w:autoSpaceDN w:val="0"/>
        <w:adjustRightInd w:val="0"/>
        <w:spacing w:before="120"/>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w:t>
      </w:r>
      <w:r w:rsidRPr="00D400EB">
        <w:rPr>
          <w:rFonts w:ascii="Times New Roman" w:hAnsi="Times New Roman"/>
          <w:b/>
          <w:sz w:val="16"/>
          <w:szCs w:val="16"/>
          <w:lang w:val="bg-BG"/>
        </w:rPr>
        <w:t>Чл. 15</w:t>
      </w:r>
      <w:r w:rsidRPr="00D400EB">
        <w:rPr>
          <w:rFonts w:ascii="Times New Roman" w:hAnsi="Times New Roman"/>
          <w:sz w:val="16"/>
          <w:szCs w:val="16"/>
          <w:lang w:val="bg-BG"/>
        </w:rPr>
        <w:t>. (1) (Изм. и доп. – ДВ, бр. 17 от 2021 г.) Обект на концесия за строителство е един или повече самостоятелни строежи или част от строеж с определено наименование, местоположение и самостоятелно функционално предназначение, за който е възложено конкретното строителство. Към обекта на концесията за строителство може да се включат и един или повече други строежи, които са функционално свързани с използването по предназначение на строежа по изречение първо, както и строежи, чрез които се предоставят услуги или се изпълняват други стопански дейности, включени в предмета на концесията. (2) (Изм. – ДВ, бр. 17 от 2021 г.) Обект на концесия за услуги е конкретната вещ или съвкупност от вещи, чрез които се предоставят услугите. Обект на концесия за услуги може да бъде и един или повече съществуващи строежи.</w:t>
      </w:r>
    </w:p>
    <w:p w14:paraId="62C67EAF" w14:textId="77777777" w:rsidR="00E54D2E" w:rsidRDefault="00E54D2E" w:rsidP="000C5C5A">
      <w:pPr>
        <w:pStyle w:val="FootnoteText"/>
      </w:pPr>
    </w:p>
  </w:footnote>
  <w:footnote w:id="11">
    <w:p w14:paraId="73F6F642" w14:textId="77777777" w:rsidR="00E54D2E" w:rsidRPr="00D400EB" w:rsidRDefault="00E54D2E" w:rsidP="00D400EB">
      <w:pPr>
        <w:shd w:val="clear" w:color="auto" w:fill="FFFFFF"/>
        <w:spacing w:line="240" w:lineRule="auto"/>
        <w:rPr>
          <w:rFonts w:ascii="Times New Roman" w:hAnsi="Times New Roman"/>
          <w:sz w:val="16"/>
          <w:szCs w:val="16"/>
          <w:lang w:val="bg-BG"/>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w:t>
      </w:r>
      <w:r w:rsidRPr="00D400EB">
        <w:rPr>
          <w:rFonts w:ascii="Times New Roman" w:eastAsiaTheme="minorHAnsi" w:hAnsi="Times New Roman"/>
          <w:sz w:val="16"/>
          <w:szCs w:val="16"/>
          <w:shd w:val="clear" w:color="auto" w:fill="FEFEFE"/>
          <w:lang w:val="bg-BG"/>
        </w:rPr>
        <w:t xml:space="preserve">§ 53 от проекта на ЗИД на ЗМПВВППРБ е предвиждал и изменение в § 1 от ДР на ЗДС, като след думата „пристанища“ е следвало да се добави „за обществен транспорт, в това число инфраструктурата за достъп до тях“, а </w:t>
      </w:r>
      <w:r w:rsidRPr="00D400EB">
        <w:rPr>
          <w:rFonts w:ascii="Times New Roman" w:hAnsi="Times New Roman"/>
          <w:sz w:val="16"/>
          <w:szCs w:val="16"/>
          <w:lang w:val="bg-BG"/>
        </w:rPr>
        <w:t>с</w:t>
      </w:r>
      <w:r w:rsidRPr="00D400EB">
        <w:rPr>
          <w:rFonts w:ascii="Times New Roman" w:eastAsiaTheme="minorHAnsi" w:hAnsi="Times New Roman"/>
          <w:sz w:val="16"/>
          <w:szCs w:val="16"/>
          <w:lang w:val="bg-BG"/>
        </w:rPr>
        <w:t>поред § 7 в ал. 3 на чл. 103а се е предвиждало създаването на т. 4: „пристанищата – национални обекти по смисъла на ЗДС.“</w:t>
      </w:r>
    </w:p>
  </w:footnote>
  <w:footnote w:id="12">
    <w:p w14:paraId="64523763" w14:textId="77777777" w:rsidR="00E54D2E" w:rsidRPr="00150314" w:rsidRDefault="00E54D2E" w:rsidP="00D400EB">
      <w:pPr>
        <w:pStyle w:val="FootnoteText"/>
        <w:jc w:val="both"/>
        <w:rPr>
          <w:rFonts w:ascii="Times New Roman" w:hAnsi="Times New Roman"/>
          <w:sz w:val="16"/>
          <w:szCs w:val="16"/>
        </w:rPr>
      </w:pPr>
      <w:r w:rsidRPr="00D400EB">
        <w:rPr>
          <w:rStyle w:val="FootnoteReference"/>
          <w:rFonts w:ascii="Times New Roman" w:hAnsi="Times New Roman"/>
          <w:sz w:val="16"/>
          <w:szCs w:val="16"/>
          <w:lang w:val="bg-BG"/>
        </w:rPr>
        <w:footnoteRef/>
      </w:r>
      <w:r w:rsidRPr="00D400EB">
        <w:rPr>
          <w:rFonts w:ascii="Times New Roman" w:hAnsi="Times New Roman"/>
          <w:sz w:val="16"/>
          <w:szCs w:val="16"/>
          <w:lang w:val="bg-BG"/>
        </w:rPr>
        <w:t xml:space="preserve"> Действащата редакция е от 2010 г. (със ЗИД на ЗДС, обн. ДВ, бр. 87 от 2010 г., т. 62 от § 5 на Допълнителните разпоредби на </w:t>
      </w:r>
      <w:hyperlink r:id="rId1" w:history="1">
        <w:r w:rsidRPr="00D400EB">
          <w:rPr>
            <w:rFonts w:ascii="Times New Roman" w:hAnsi="Times New Roman"/>
            <w:sz w:val="16"/>
            <w:szCs w:val="16"/>
            <w:lang w:val="bg-BG"/>
          </w:rPr>
          <w:t>ЗУТ</w:t>
        </w:r>
      </w:hyperlink>
      <w:r w:rsidRPr="00D400EB">
        <w:rPr>
          <w:rFonts w:ascii="Times New Roman" w:hAnsi="Times New Roman"/>
          <w:sz w:val="16"/>
          <w:szCs w:val="16"/>
          <w:lang w:val="bg-BG"/>
        </w:rPr>
        <w:t> е допълнена, като освен обектите с национално значение, определени с акт на МС, се включват и тези, определени като такива със закон). В </w:t>
      </w:r>
      <w:hyperlink r:id="rId2" w:history="1">
        <w:r w:rsidRPr="00D400EB">
          <w:rPr>
            <w:rFonts w:ascii="Times New Roman" w:hAnsi="Times New Roman"/>
            <w:sz w:val="16"/>
            <w:szCs w:val="16"/>
            <w:lang w:val="bg-BG"/>
          </w:rPr>
          <w:t>ЗУТ</w:t>
        </w:r>
      </w:hyperlink>
      <w:r w:rsidRPr="00D400EB">
        <w:rPr>
          <w:rFonts w:ascii="Times New Roman" w:hAnsi="Times New Roman"/>
          <w:sz w:val="16"/>
          <w:szCs w:val="16"/>
          <w:lang w:val="bg-BG"/>
        </w:rPr>
        <w:t> не се съдържат законови критерии за определянето на обекти като „обект с национално значение“, нито от редакцията на легалното определение следва изводът, че като обекти с национално значение по </w:t>
      </w:r>
      <w:hyperlink r:id="rId3" w:history="1">
        <w:r w:rsidRPr="00D400EB">
          <w:rPr>
            <w:rFonts w:ascii="Times New Roman" w:hAnsi="Times New Roman"/>
            <w:sz w:val="16"/>
            <w:szCs w:val="16"/>
            <w:lang w:val="bg-BG"/>
          </w:rPr>
          <w:t>ЗУТ</w:t>
        </w:r>
      </w:hyperlink>
      <w:r w:rsidRPr="00D400EB">
        <w:rPr>
          <w:rFonts w:ascii="Times New Roman" w:hAnsi="Times New Roman"/>
          <w:sz w:val="16"/>
          <w:szCs w:val="16"/>
          <w:lang w:val="bg-BG"/>
        </w:rPr>
        <w:t> могат да бъдат определени само тези, които служат за задоволяване на държавни и общински нужди, които не могат да бъдат задоволени по друг начин. Нито в ЗДС, нито в </w:t>
      </w:r>
      <w:hyperlink r:id="rId4" w:history="1">
        <w:r w:rsidRPr="00D400EB">
          <w:rPr>
            <w:rFonts w:ascii="Times New Roman" w:hAnsi="Times New Roman"/>
            <w:sz w:val="16"/>
            <w:szCs w:val="16"/>
            <w:lang w:val="bg-BG"/>
          </w:rPr>
          <w:t>ЗУТ</w:t>
        </w:r>
      </w:hyperlink>
      <w:r w:rsidRPr="00D400EB">
        <w:rPr>
          <w:rFonts w:ascii="Times New Roman" w:hAnsi="Times New Roman"/>
          <w:sz w:val="16"/>
          <w:szCs w:val="16"/>
          <w:lang w:val="bg-BG"/>
        </w:rPr>
        <w:t> е уредена процедура за приемане и съобщаване на решенията на МС за определяне на обектите с национално значение и на националните обекти, както и за оспорването на актовете по съдебен ред.</w:t>
      </w:r>
    </w:p>
  </w:footnote>
  <w:footnote w:id="13">
    <w:p w14:paraId="2CA48E53" w14:textId="77777777" w:rsidR="00E54D2E" w:rsidRPr="0019251E" w:rsidRDefault="00E54D2E" w:rsidP="00AD6203">
      <w:pPr>
        <w:pStyle w:val="FootnoteText"/>
      </w:pPr>
      <w:r w:rsidRPr="0019251E">
        <w:rPr>
          <w:rStyle w:val="FootnoteReference"/>
          <w:rFonts w:eastAsia="Segoe UI"/>
        </w:rPr>
        <w:footnoteRef/>
      </w:r>
      <w:r w:rsidRPr="0019251E">
        <w:t xml:space="preserve"> </w:t>
      </w:r>
      <w:hyperlink r:id="rId5" w:history="1">
        <w:r w:rsidRPr="0019251E">
          <w:rPr>
            <w:rStyle w:val="Hyperlink"/>
          </w:rPr>
          <w:t>https://nsi.bg/bg/content/806/българия-и-европейския-съюз</w:t>
        </w:r>
      </w:hyperlink>
      <w:r w:rsidRPr="0019251E">
        <w:t xml:space="preserve"> </w:t>
      </w:r>
    </w:p>
  </w:footnote>
  <w:footnote w:id="14">
    <w:p w14:paraId="3FF4D401" w14:textId="77777777" w:rsidR="00E54D2E" w:rsidRPr="0019251E" w:rsidRDefault="00E54D2E" w:rsidP="00AD6203">
      <w:pPr>
        <w:pStyle w:val="FootnoteText"/>
        <w:rPr>
          <w:rStyle w:val="Hyperlink"/>
        </w:rPr>
      </w:pPr>
      <w:r w:rsidRPr="0019251E">
        <w:rPr>
          <w:rStyle w:val="FootnoteReference"/>
          <w:rFonts w:eastAsia="Segoe UI"/>
        </w:rPr>
        <w:footnoteRef/>
      </w:r>
      <w:r w:rsidRPr="0019251E">
        <w:rPr>
          <w:rStyle w:val="Hyperlink"/>
        </w:rPr>
        <w:t xml:space="preserve"> </w:t>
      </w:r>
      <w:hyperlink r:id="rId6" w:history="1">
        <w:r w:rsidRPr="0019251E">
          <w:rPr>
            <w:rStyle w:val="Hyperlink"/>
          </w:rPr>
          <w:t>https://ec.europa.eu/eurostat/databrowser/view/tec00115/default/line?lang=en</w:t>
        </w:r>
      </w:hyperlink>
      <w:r w:rsidRPr="0019251E">
        <w:rPr>
          <w:rStyle w:val="Hyperlink"/>
        </w:rPr>
        <w:t xml:space="preserve"> </w:t>
      </w:r>
    </w:p>
  </w:footnote>
  <w:footnote w:id="15">
    <w:p w14:paraId="48EF9F67" w14:textId="77777777" w:rsidR="00E54D2E" w:rsidRPr="0019251E" w:rsidRDefault="00E54D2E" w:rsidP="0072757D">
      <w:pPr>
        <w:pStyle w:val="FootnoteText"/>
      </w:pPr>
      <w:r w:rsidRPr="0019251E">
        <w:rPr>
          <w:rStyle w:val="FootnoteReference"/>
          <w:rFonts w:eastAsia="Segoe UI"/>
        </w:rPr>
        <w:footnoteRef/>
      </w:r>
      <w:r w:rsidRPr="0019251E">
        <w:t xml:space="preserve"> </w:t>
      </w:r>
      <w:hyperlink r:id="rId7" w:history="1">
        <w:r w:rsidRPr="0019251E">
          <w:rPr>
            <w:rStyle w:val="Hyperlink"/>
          </w:rPr>
          <w:t>https://ec.europa.eu/eurostat/databrowser/view/tec00118/default/line?lang=en</w:t>
        </w:r>
      </w:hyperlink>
      <w:r w:rsidRPr="0019251E">
        <w:t xml:space="preserve"> </w:t>
      </w:r>
    </w:p>
  </w:footnote>
  <w:footnote w:id="16">
    <w:p w14:paraId="7EF6C2CB" w14:textId="77777777" w:rsidR="00E54D2E" w:rsidRPr="0019251E" w:rsidRDefault="00E54D2E" w:rsidP="00AD6203">
      <w:pPr>
        <w:pStyle w:val="FootnoteText"/>
      </w:pPr>
      <w:r w:rsidRPr="0019251E">
        <w:rPr>
          <w:rStyle w:val="FootnoteReference"/>
          <w:rFonts w:eastAsia="Segoe UI"/>
        </w:rPr>
        <w:footnoteRef/>
      </w:r>
      <w:r w:rsidRPr="0019251E">
        <w:t xml:space="preserve"> </w:t>
      </w:r>
      <w:hyperlink r:id="rId8" w:history="1">
        <w:r w:rsidRPr="0019251E">
          <w:rPr>
            <w:rStyle w:val="Hyperlink"/>
          </w:rPr>
          <w:t>https://ec.europa.eu/eurostat/web/euro-indicators</w:t>
        </w:r>
      </w:hyperlink>
      <w:r w:rsidRPr="0019251E">
        <w:t xml:space="preserve"> </w:t>
      </w:r>
    </w:p>
  </w:footnote>
  <w:footnote w:id="17">
    <w:p w14:paraId="4A38D092" w14:textId="77777777" w:rsidR="00E54D2E" w:rsidRPr="0019251E" w:rsidRDefault="00E54D2E" w:rsidP="0072757D">
      <w:pPr>
        <w:pStyle w:val="FootnoteText"/>
        <w:rPr>
          <w:lang w:val="en-US"/>
        </w:rPr>
      </w:pPr>
      <w:r w:rsidRPr="0019251E">
        <w:rPr>
          <w:rStyle w:val="FootnoteReference"/>
          <w:rFonts w:eastAsia="Segoe UI"/>
        </w:rPr>
        <w:footnoteRef/>
      </w:r>
      <w:r w:rsidRPr="0019251E">
        <w:t xml:space="preserve"> </w:t>
      </w:r>
      <w:hyperlink r:id="rId9" w:history="1">
        <w:r w:rsidRPr="0019251E">
          <w:rPr>
            <w:rStyle w:val="Hyperlink"/>
          </w:rPr>
          <w:t>https://ec.europa.eu/eurostat/databrowser/view/tps00203/default/line?lang=en</w:t>
        </w:r>
      </w:hyperlink>
      <w:r w:rsidRPr="0019251E">
        <w:t xml:space="preserve"> </w:t>
      </w:r>
    </w:p>
  </w:footnote>
  <w:footnote w:id="18">
    <w:p w14:paraId="0797C408" w14:textId="77777777" w:rsidR="00E54D2E" w:rsidRPr="00FB5D0D" w:rsidRDefault="00E54D2E" w:rsidP="00AD6203">
      <w:pPr>
        <w:pStyle w:val="FootnoteText"/>
      </w:pPr>
      <w:r>
        <w:rPr>
          <w:rStyle w:val="FootnoteReference"/>
          <w:rFonts w:eastAsia="Segoe UI"/>
        </w:rPr>
        <w:footnoteRef/>
      </w:r>
      <w:r>
        <w:t xml:space="preserve"> </w:t>
      </w:r>
      <w:hyperlink r:id="rId10" w:history="1">
        <w:r w:rsidRPr="00F81CF4">
          <w:rPr>
            <w:rStyle w:val="Hyperlink"/>
          </w:rPr>
          <w:t>https://ec.europa.eu/eurostat/documents/2995521/11563339/2-22102021-BP-EN.pdf/5adc2494-bacd-999e-19b9-adcda427cdc5?t=1634897043682</w:t>
        </w:r>
      </w:hyperlink>
      <w:r>
        <w:t xml:space="preserve"> </w:t>
      </w:r>
    </w:p>
  </w:footnote>
  <w:footnote w:id="19">
    <w:p w14:paraId="64480A1F" w14:textId="77777777" w:rsidR="00E54D2E" w:rsidRPr="00C71AC6" w:rsidRDefault="00E54D2E" w:rsidP="00AD6203">
      <w:pPr>
        <w:pStyle w:val="FootnoteText"/>
      </w:pPr>
      <w:r>
        <w:rPr>
          <w:rStyle w:val="FootnoteReference"/>
          <w:rFonts w:eastAsia="Segoe UI"/>
        </w:rPr>
        <w:footnoteRef/>
      </w:r>
      <w:r>
        <w:t xml:space="preserve"> </w:t>
      </w:r>
      <w:hyperlink r:id="rId11" w:history="1">
        <w:r w:rsidRPr="00F81CF4">
          <w:rPr>
            <w:rStyle w:val="Hyperlink"/>
          </w:rPr>
          <w:t>https://www.nsi.bg/bg/content/11474брутен-вътрешен-продукт-по-пазарни-цени</w:t>
        </w:r>
      </w:hyperlink>
      <w:r>
        <w:t xml:space="preserve"> </w:t>
      </w:r>
    </w:p>
  </w:footnote>
  <w:footnote w:id="20">
    <w:p w14:paraId="3AB92F56" w14:textId="77777777" w:rsidR="00E54D2E" w:rsidRPr="00C57D35" w:rsidRDefault="00E54D2E" w:rsidP="00AD6203">
      <w:pPr>
        <w:pStyle w:val="FootnoteText"/>
      </w:pPr>
      <w:r>
        <w:rPr>
          <w:rStyle w:val="FootnoteReference"/>
          <w:rFonts w:eastAsia="Segoe UI"/>
        </w:rPr>
        <w:footnoteRef/>
      </w:r>
      <w:r>
        <w:t xml:space="preserve"> </w:t>
      </w:r>
      <w:hyperlink r:id="rId12" w:history="1">
        <w:r w:rsidRPr="00F81CF4">
          <w:rPr>
            <w:rStyle w:val="Hyperlink"/>
          </w:rPr>
          <w:t>https://www.bnb.bg/bnbweb/groups/public/documents/bnb_download/s_macro_indicators_a1_pdf_bg.pdf</w:t>
        </w:r>
      </w:hyperlink>
      <w:r>
        <w:t xml:space="preserve"> </w:t>
      </w:r>
    </w:p>
  </w:footnote>
  <w:footnote w:id="21">
    <w:p w14:paraId="6D59DB8B" w14:textId="77777777" w:rsidR="00E54D2E" w:rsidRPr="00FD3FEA" w:rsidRDefault="00E54D2E" w:rsidP="00AD6203">
      <w:pPr>
        <w:pStyle w:val="FootnoteText"/>
        <w:rPr>
          <w:lang w:val="bg-BG"/>
        </w:rPr>
      </w:pPr>
      <w:r>
        <w:rPr>
          <w:rStyle w:val="FootnoteReference"/>
        </w:rPr>
        <w:footnoteRef/>
      </w:r>
      <w:r>
        <w:t xml:space="preserve"> </w:t>
      </w:r>
      <w:hyperlink r:id="rId13" w:history="1">
        <w:r w:rsidRPr="00FE1536">
          <w:rPr>
            <w:rStyle w:val="Hyperlink"/>
          </w:rPr>
          <w:t>https://www.burgas.bg/uploads/posts/2022/plan-za-integrirano-razvitie-na-obshtina-burgas-2021-2027-g1.pdf</w:t>
        </w:r>
      </w:hyperlink>
      <w:r>
        <w:rPr>
          <w:lang w:val="bg-BG"/>
        </w:rPr>
        <w:t xml:space="preserve"> </w:t>
      </w:r>
    </w:p>
  </w:footnote>
  <w:footnote w:id="22">
    <w:p w14:paraId="60D7B3C0" w14:textId="77777777" w:rsidR="00E54D2E" w:rsidRPr="00FD3FEA" w:rsidRDefault="00E54D2E" w:rsidP="00D86E60">
      <w:pPr>
        <w:pStyle w:val="FootnoteText"/>
        <w:rPr>
          <w:lang w:val="bg-BG"/>
        </w:rPr>
      </w:pPr>
      <w:r>
        <w:rPr>
          <w:rStyle w:val="FootnoteReference"/>
        </w:rPr>
        <w:footnoteRef/>
      </w:r>
      <w:r>
        <w:t xml:space="preserve"> </w:t>
      </w:r>
      <w:hyperlink r:id="rId14" w:history="1">
        <w:r w:rsidRPr="00FE1536">
          <w:rPr>
            <w:rStyle w:val="Hyperlink"/>
          </w:rPr>
          <w:t>https://nsi.bg/bg/content/11406/област-бургас</w:t>
        </w:r>
      </w:hyperlink>
      <w:r>
        <w:rPr>
          <w:lang w:val="bg-BG"/>
        </w:rPr>
        <w:t xml:space="preserve"> </w:t>
      </w:r>
    </w:p>
  </w:footnote>
  <w:footnote w:id="23">
    <w:p w14:paraId="10B8B7B6" w14:textId="77777777" w:rsidR="00E54D2E" w:rsidRPr="00A67527" w:rsidRDefault="00E54D2E" w:rsidP="00AD6203">
      <w:pPr>
        <w:pStyle w:val="FootnoteText"/>
        <w:rPr>
          <w:lang w:val="bg-BG"/>
        </w:rPr>
      </w:pPr>
      <w:r>
        <w:rPr>
          <w:rStyle w:val="FootnoteReference"/>
        </w:rPr>
        <w:footnoteRef/>
      </w:r>
      <w:r>
        <w:t xml:space="preserve"> </w:t>
      </w:r>
      <w:hyperlink r:id="rId15" w:history="1">
        <w:r w:rsidRPr="00FE1536">
          <w:rPr>
            <w:rStyle w:val="Hyperlink"/>
          </w:rPr>
          <w:t>https://nsi.bg/bg/content/11406/област-бургас</w:t>
        </w:r>
      </w:hyperlink>
      <w:r>
        <w:t xml:space="preserve"> </w:t>
      </w:r>
      <w:r>
        <w:rPr>
          <w:lang w:val="bg-BG"/>
        </w:rPr>
        <w:t xml:space="preserve"> </w:t>
      </w:r>
    </w:p>
  </w:footnote>
  <w:footnote w:id="24">
    <w:p w14:paraId="196C82E8" w14:textId="77777777" w:rsidR="00E54D2E" w:rsidRPr="005D63A8" w:rsidRDefault="00E54D2E" w:rsidP="00AD6203">
      <w:pPr>
        <w:pStyle w:val="FootnoteText"/>
      </w:pPr>
      <w:r>
        <w:rPr>
          <w:rStyle w:val="FootnoteReference"/>
          <w:rFonts w:eastAsia="Segoe UI"/>
        </w:rPr>
        <w:footnoteRef/>
      </w:r>
      <w:r>
        <w:t xml:space="preserve"> </w:t>
      </w:r>
      <w:hyperlink r:id="rId16" w:history="1">
        <w:r w:rsidRPr="00AE171F">
          <w:rPr>
            <w:rStyle w:val="Hyperlink"/>
          </w:rPr>
          <w:t>https://reader.elsevier.com/reader/sd/pii/S2352146521003756?token=7A0174D662D2620ED8225DE675F4C 306096695B0D007209F7984CBBE1DBA83A4BD3F43CB780C8739D2205076DEAC56BF&amp;originRegion=eu-west-1&amp;originCreation=20211029054241</w:t>
        </w:r>
      </w:hyperlink>
      <w:r>
        <w:t xml:space="preserve"> </w:t>
      </w:r>
    </w:p>
  </w:footnote>
  <w:footnote w:id="25">
    <w:p w14:paraId="72E6C430" w14:textId="77777777" w:rsidR="00E54D2E" w:rsidRPr="00216C65" w:rsidRDefault="00E54D2E" w:rsidP="00AD6203">
      <w:r w:rsidRPr="00216C65">
        <w:rPr>
          <w:rStyle w:val="FootnoteReference"/>
        </w:rPr>
        <w:footnoteRef/>
      </w:r>
      <w:r w:rsidRPr="00216C65">
        <w:rPr>
          <w:sz w:val="20"/>
          <w:szCs w:val="20"/>
        </w:rPr>
        <w:t xml:space="preserve"> </w:t>
      </w:r>
      <w:hyperlink r:id="rId17" w:history="1">
        <w:r w:rsidRPr="00216C65">
          <w:rPr>
            <w:rFonts w:eastAsia="Times New Roman"/>
            <w:sz w:val="20"/>
            <w:szCs w:val="20"/>
            <w:u w:val="single"/>
          </w:rPr>
          <w:t>http://www.nsi.bg/bg/content/1755/морски-транспорт</w:t>
        </w:r>
      </w:hyperlink>
    </w:p>
  </w:footnote>
  <w:footnote w:id="26">
    <w:p w14:paraId="1A015156" w14:textId="77777777" w:rsidR="00E54D2E" w:rsidRPr="00345DA6" w:rsidRDefault="00E54D2E" w:rsidP="00AD6203">
      <w:pPr>
        <w:pStyle w:val="FootnoteText"/>
      </w:pPr>
      <w:r>
        <w:rPr>
          <w:rStyle w:val="FootnoteReference"/>
          <w:rFonts w:eastAsia="Segoe UI"/>
        </w:rPr>
        <w:footnoteRef/>
      </w:r>
      <w:r>
        <w:t xml:space="preserve"> </w:t>
      </w:r>
      <w:hyperlink r:id="rId18" w:history="1">
        <w:r w:rsidRPr="00194F3C">
          <w:rPr>
            <w:rStyle w:val="Hyperlink"/>
          </w:rPr>
          <w:t>https://www.nsi.bg/bg/content/1753/215-речен-транспорт</w:t>
        </w:r>
      </w:hyperlink>
      <w:r>
        <w:t xml:space="preserve"> </w:t>
      </w:r>
    </w:p>
  </w:footnote>
  <w:footnote w:id="27">
    <w:p w14:paraId="3F9A194C" w14:textId="77777777" w:rsidR="00E54D2E" w:rsidRPr="00CE6388" w:rsidRDefault="00E54D2E" w:rsidP="00AD6203">
      <w:pPr>
        <w:pStyle w:val="FootnoteText"/>
      </w:pPr>
      <w:r>
        <w:rPr>
          <w:rStyle w:val="FootnoteReference"/>
          <w:rFonts w:eastAsia="Segoe UI"/>
        </w:rPr>
        <w:footnoteRef/>
      </w:r>
      <w:r>
        <w:t xml:space="preserve"> </w:t>
      </w:r>
      <w:hyperlink r:id="rId19" w:history="1">
        <w:r w:rsidRPr="00194F3C">
          <w:rPr>
            <w:rStyle w:val="Hyperlink"/>
          </w:rPr>
          <w:t>https://nsi.bg/sites/default/files/files/pressreleases/Transport2021q2_T1R7MTK.pdf</w:t>
        </w:r>
      </w:hyperlink>
      <w:r>
        <w:t xml:space="preserve"> </w:t>
      </w:r>
    </w:p>
  </w:footnote>
  <w:footnote w:id="28">
    <w:p w14:paraId="0B07E2B7" w14:textId="77777777" w:rsidR="00E54D2E" w:rsidRPr="00150314" w:rsidRDefault="00E54D2E" w:rsidP="00EA7FF7">
      <w:pPr>
        <w:pStyle w:val="FootnoteText"/>
        <w:rPr>
          <w:rFonts w:ascii="Times New Roman" w:hAnsi="Times New Roman"/>
          <w:sz w:val="16"/>
          <w:szCs w:val="16"/>
          <w:lang w:val="bg-BG"/>
        </w:rPr>
      </w:pPr>
      <w:r>
        <w:rPr>
          <w:rStyle w:val="FootnoteReference"/>
        </w:rPr>
        <w:footnoteRef/>
      </w:r>
      <w:r>
        <w:t xml:space="preserve"> </w:t>
      </w:r>
      <w:hyperlink r:id="rId20" w:history="1">
        <w:r w:rsidRPr="00150314">
          <w:rPr>
            <w:rStyle w:val="Hyperlink"/>
            <w:rFonts w:ascii="Times New Roman" w:hAnsi="Times New Roman"/>
            <w:sz w:val="16"/>
            <w:szCs w:val="16"/>
          </w:rPr>
          <w:t>https://ec.europa.eu/regional_policy/en/information/publications/guides/2021/economic-appraisal-vademecum-2021-2027-general-principles-and-sector-applications</w:t>
        </w:r>
      </w:hyperlink>
    </w:p>
  </w:footnote>
  <w:footnote w:id="29">
    <w:p w14:paraId="6043D7A2" w14:textId="77777777" w:rsidR="00E54D2E" w:rsidRPr="00AA26C5" w:rsidRDefault="00E54D2E" w:rsidP="00DE19E4">
      <w:pPr>
        <w:pStyle w:val="FootnoteText"/>
        <w:rPr>
          <w:rFonts w:ascii="Arial" w:hAnsi="Arial" w:cs="Arial"/>
          <w:sz w:val="16"/>
          <w:szCs w:val="16"/>
          <w:lang w:val="bg-BG"/>
        </w:rPr>
      </w:pPr>
      <w:r w:rsidRPr="00AA26C5">
        <w:rPr>
          <w:rStyle w:val="FootnoteReference"/>
          <w:rFonts w:ascii="Arial" w:hAnsi="Arial" w:cs="Arial"/>
          <w:sz w:val="16"/>
          <w:szCs w:val="16"/>
        </w:rPr>
        <w:footnoteRef/>
      </w:r>
      <w:r w:rsidRPr="00AA26C5">
        <w:rPr>
          <w:rFonts w:ascii="Arial" w:hAnsi="Arial" w:cs="Arial"/>
          <w:sz w:val="16"/>
          <w:szCs w:val="16"/>
        </w:rPr>
        <w:t xml:space="preserve"> </w:t>
      </w:r>
      <w:hyperlink r:id="rId21" w:history="1">
        <w:r w:rsidRPr="00AA26C5">
          <w:rPr>
            <w:rStyle w:val="Hyperlink"/>
            <w:rFonts w:ascii="Arial" w:hAnsi="Arial" w:cs="Arial"/>
            <w:sz w:val="16"/>
            <w:szCs w:val="16"/>
          </w:rPr>
          <w:t>https://eur-lex.europa.eu/legal-content/BG/TXT/?uri=CELEX%3A32015R0207</w:t>
        </w:r>
      </w:hyperlink>
      <w:r w:rsidRPr="00AA26C5">
        <w:rPr>
          <w:rFonts w:ascii="Arial" w:hAnsi="Arial" w:cs="Arial"/>
          <w:sz w:val="16"/>
          <w:szCs w:val="16"/>
          <w:lang w:val="bg-BG"/>
        </w:rPr>
        <w:t xml:space="preserve"> </w:t>
      </w:r>
    </w:p>
  </w:footnote>
  <w:footnote w:id="30">
    <w:p w14:paraId="25B45CD0" w14:textId="77777777" w:rsidR="00E54D2E" w:rsidRPr="00AA26C5" w:rsidRDefault="00E54D2E" w:rsidP="00DE19E4">
      <w:pPr>
        <w:pStyle w:val="FootnoteText"/>
        <w:rPr>
          <w:rFonts w:ascii="Arial" w:hAnsi="Arial" w:cs="Arial"/>
          <w:sz w:val="16"/>
          <w:szCs w:val="16"/>
          <w:lang w:val="bg-BG"/>
        </w:rPr>
      </w:pPr>
      <w:r w:rsidRPr="00AA26C5">
        <w:rPr>
          <w:rStyle w:val="FootnoteReference"/>
          <w:rFonts w:ascii="Arial" w:hAnsi="Arial" w:cs="Arial"/>
          <w:sz w:val="16"/>
          <w:szCs w:val="16"/>
        </w:rPr>
        <w:footnoteRef/>
      </w:r>
      <w:r w:rsidRPr="00AA26C5">
        <w:rPr>
          <w:rFonts w:ascii="Arial" w:hAnsi="Arial" w:cs="Arial"/>
          <w:sz w:val="16"/>
          <w:szCs w:val="16"/>
        </w:rPr>
        <w:t xml:space="preserve"> </w:t>
      </w:r>
      <w:hyperlink r:id="rId22" w:history="1">
        <w:r w:rsidRPr="00AA26C5">
          <w:rPr>
            <w:rStyle w:val="Hyperlink"/>
            <w:rFonts w:ascii="Arial" w:hAnsi="Arial" w:cs="Arial"/>
            <w:sz w:val="16"/>
            <w:szCs w:val="16"/>
          </w:rPr>
          <w:t>https://ec.europa.eu/regional_policy/sources/docgener/studies/pdf/cba_guide.pdf</w:t>
        </w:r>
      </w:hyperlink>
      <w:r w:rsidRPr="00AA26C5">
        <w:rPr>
          <w:rFonts w:ascii="Arial" w:hAnsi="Arial" w:cs="Arial"/>
          <w:sz w:val="16"/>
          <w:szCs w:val="16"/>
          <w:lang w:val="bg-BG"/>
        </w:rPr>
        <w:t xml:space="preserve"> </w:t>
      </w:r>
    </w:p>
  </w:footnote>
  <w:footnote w:id="31">
    <w:p w14:paraId="13594DD0" w14:textId="77777777" w:rsidR="00E54D2E" w:rsidRPr="00AA26C5" w:rsidRDefault="00E54D2E" w:rsidP="00DE19E4">
      <w:pPr>
        <w:pStyle w:val="FootnoteText"/>
        <w:ind w:left="90" w:hanging="90"/>
        <w:rPr>
          <w:rFonts w:ascii="Arial" w:hAnsi="Arial" w:cs="Arial"/>
          <w:sz w:val="16"/>
          <w:szCs w:val="16"/>
        </w:rPr>
      </w:pPr>
      <w:r w:rsidRPr="00AA26C5">
        <w:rPr>
          <w:rStyle w:val="FootnoteReference"/>
          <w:rFonts w:ascii="Arial" w:hAnsi="Arial" w:cs="Arial"/>
          <w:sz w:val="16"/>
          <w:szCs w:val="16"/>
        </w:rPr>
        <w:footnoteRef/>
      </w:r>
      <w:r w:rsidRPr="00AA26C5">
        <w:rPr>
          <w:rFonts w:ascii="Arial" w:hAnsi="Arial" w:cs="Arial"/>
          <w:sz w:val="16"/>
          <w:szCs w:val="16"/>
        </w:rPr>
        <w:t xml:space="preserve"> </w:t>
      </w:r>
      <w:hyperlink r:id="rId23" w:history="1">
        <w:r w:rsidRPr="00AA26C5">
          <w:rPr>
            <w:rStyle w:val="Hyperlink"/>
            <w:rFonts w:ascii="Arial" w:hAnsi="Arial" w:cs="Arial"/>
            <w:sz w:val="16"/>
            <w:szCs w:val="16"/>
          </w:rPr>
          <w:t>https://ec.europa.eu/regional_policy/en/information/publications/guides/2021/economic-appraisal-vademecum-2021-2027-general-principles-and-sector-applications</w:t>
        </w:r>
      </w:hyperlink>
      <w:r w:rsidRPr="00AA26C5">
        <w:rPr>
          <w:rFonts w:ascii="Arial" w:hAnsi="Arial" w:cs="Arial"/>
          <w:sz w:val="16"/>
          <w:szCs w:val="16"/>
        </w:rPr>
        <w:t xml:space="preserve"> </w:t>
      </w:r>
    </w:p>
  </w:footnote>
  <w:footnote w:id="32">
    <w:p w14:paraId="640AEB85" w14:textId="77777777" w:rsidR="00E54D2E" w:rsidRPr="00AA26C5" w:rsidRDefault="00E54D2E" w:rsidP="00DE19E4">
      <w:pPr>
        <w:pStyle w:val="FootnoteText"/>
        <w:rPr>
          <w:rFonts w:ascii="Arial" w:hAnsi="Arial" w:cs="Arial"/>
          <w:sz w:val="16"/>
          <w:szCs w:val="16"/>
          <w:lang w:val="bg-BG"/>
        </w:rPr>
      </w:pPr>
      <w:r w:rsidRPr="00AA26C5">
        <w:rPr>
          <w:rStyle w:val="FootnoteReference"/>
          <w:rFonts w:ascii="Arial" w:hAnsi="Arial" w:cs="Arial"/>
          <w:sz w:val="16"/>
          <w:szCs w:val="16"/>
        </w:rPr>
        <w:footnoteRef/>
      </w:r>
      <w:r w:rsidRPr="00AA26C5">
        <w:rPr>
          <w:rFonts w:ascii="Arial" w:hAnsi="Arial" w:cs="Arial"/>
          <w:sz w:val="16"/>
          <w:szCs w:val="16"/>
        </w:rPr>
        <w:t xml:space="preserve"> </w:t>
      </w:r>
      <w:hyperlink r:id="rId24" w:history="1">
        <w:r w:rsidRPr="00AA26C5">
          <w:rPr>
            <w:rStyle w:val="Hyperlink"/>
            <w:rFonts w:ascii="Arial" w:hAnsi="Arial" w:cs="Arial"/>
            <w:sz w:val="16"/>
            <w:szCs w:val="16"/>
          </w:rPr>
          <w:t>https://eur-lex.europa.eu/legal-content/bg/TXT/?uri=celex%3A32013R1303</w:t>
        </w:r>
      </w:hyperlink>
      <w:r w:rsidRPr="00AA26C5">
        <w:rPr>
          <w:rFonts w:ascii="Arial" w:hAnsi="Arial" w:cs="Arial"/>
          <w:sz w:val="16"/>
          <w:szCs w:val="16"/>
          <w:lang w:val="bg-BG"/>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72810" w14:textId="322737E1" w:rsidR="00E54D2E" w:rsidRDefault="00E54D2E" w:rsidP="00ED6035">
    <w:pPr>
      <w:pStyle w:val="Header"/>
      <w:jc w:val="left"/>
    </w:pPr>
  </w:p>
  <w:p w14:paraId="56C43E2F" w14:textId="37D0E2C8" w:rsidR="00E54D2E" w:rsidRPr="00ED6035" w:rsidRDefault="00E54D2E" w:rsidP="00457184">
    <w:pPr>
      <w:pStyle w:val="Header"/>
      <w:rPr>
        <w:lang w:val="bg-BG"/>
      </w:rPr>
    </w:pPr>
    <w:r>
      <w:rPr>
        <w:noProof/>
        <w:lang w:val="en-US"/>
      </w:rPr>
      <mc:AlternateContent>
        <mc:Choice Requires="wps">
          <w:drawing>
            <wp:anchor distT="4294967295" distB="4294967295" distL="114300" distR="114300" simplePos="0" relativeHeight="251655168" behindDoc="0" locked="0" layoutInCell="1" allowOverlap="1" wp14:anchorId="67D87D32" wp14:editId="0638458D">
              <wp:simplePos x="0" y="0"/>
              <wp:positionH relativeFrom="column">
                <wp:posOffset>-574675</wp:posOffset>
              </wp:positionH>
              <wp:positionV relativeFrom="paragraph">
                <wp:posOffset>945514</wp:posOffset>
              </wp:positionV>
              <wp:extent cx="6901180" cy="0"/>
              <wp:effectExtent l="0" t="0" r="0" b="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11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18679A8" id="Straight Connector 10" o:spid="_x0000_s1026" style="position:absolute;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5.25pt,74.45pt" to="498.15pt,7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" strokecolor="#4579b8 [3044]">
              <o:lock v:ext="edit" shapetype="f"/>
            </v:line>
          </w:pict>
        </mc:Fallback>
      </mc:AlternateContent>
    </w:r>
    <w:r w:rsidRPr="00EC5B00">
      <w:rPr>
        <w:rFonts w:ascii="Times New Roman" w:hAnsi="Times New Roman"/>
        <w:noProof/>
        <w:sz w:val="24"/>
        <w:szCs w:val="24"/>
        <w:lang w:val="en-US"/>
      </w:rPr>
      <w:drawing>
        <wp:inline distT="0" distB="0" distL="0" distR="0" wp14:anchorId="422119A1" wp14:editId="0AE0FB8D">
          <wp:extent cx="2191407" cy="842587"/>
          <wp:effectExtent l="0" t="0" r="0" b="0"/>
          <wp:docPr id="2401316" name="Picture 240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videnova\Desktop\brand-all\eu-esf.png"/>
                  <pic:cNvPicPr>
                    <a:picLocks noChangeAspect="1" noChangeArrowheads="1"/>
                  </pic:cNvPicPr>
                </pic:nvPicPr>
                <pic:blipFill>
                  <a:blip r:embed="rId1" cstate="screen">
                    <a:extLst>
                      <a:ext uri="{28A0092B-C50C-407E-A947-70E740481C1C}">
                        <a14:useLocalDpi xmlns:a14="http://schemas.microsoft.com/office/drawing/2010/main"/>
                      </a:ext>
                    </a:extLst>
                  </a:blip>
                  <a:stretch>
                    <a:fillRect/>
                  </a:stretch>
                </pic:blipFill>
                <pic:spPr bwMode="auto">
                  <a:xfrm>
                    <a:off x="0" y="0"/>
                    <a:ext cx="2191407" cy="842587"/>
                  </a:xfrm>
                  <a:prstGeom prst="rect">
                    <a:avLst/>
                  </a:prstGeom>
                  <a:noFill/>
                  <a:ln>
                    <a:noFill/>
                  </a:ln>
                  <a:extLst>
                    <a:ext uri="{53640926-AAD7-44D8-BBD7-CCE9431645EC}">
                      <a14:shadowObscured xmlns:a14="http://schemas.microsoft.com/office/drawing/2010/main"/>
                    </a:ext>
                  </a:extLst>
                </pic:spPr>
              </pic:pic>
            </a:graphicData>
          </a:graphic>
        </wp:inline>
      </w:drawing>
    </w:r>
    <w:r>
      <w:rPr>
        <w:lang w:val="bg-BG"/>
      </w:rPr>
      <w:tab/>
    </w:r>
    <w:r>
      <w:rPr>
        <w:lang w:val="bg-BG"/>
      </w:rPr>
      <w:tab/>
    </w:r>
    <w:r w:rsidRPr="00EC5B00">
      <w:rPr>
        <w:rFonts w:ascii="Times New Roman" w:hAnsi="Times New Roman"/>
        <w:noProof/>
        <w:sz w:val="24"/>
        <w:szCs w:val="24"/>
        <w:lang w:val="en-US"/>
      </w:rPr>
      <w:drawing>
        <wp:inline distT="0" distB="0" distL="0" distR="0" wp14:anchorId="307B4474" wp14:editId="474705DC">
          <wp:extent cx="2511261" cy="879316"/>
          <wp:effectExtent l="0" t="0" r="0" b="0"/>
          <wp:docPr id="2401317" name="Picture 240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videnova\Desktop\brand-all\opgg\logo-bg-right.png"/>
                  <pic:cNvPicPr>
                    <a:picLocks noChangeAspect="1" noChangeArrowheads="1"/>
                  </pic:cNvPicPr>
                </pic:nvPicPr>
                <pic:blipFill>
                  <a:blip r:embed="rId2" cstate="screen">
                    <a:extLst>
                      <a:ext uri="{28A0092B-C50C-407E-A947-70E740481C1C}">
                        <a14:useLocalDpi xmlns:a14="http://schemas.microsoft.com/office/drawing/2010/main"/>
                      </a:ext>
                    </a:extLst>
                  </a:blip>
                  <a:stretch>
                    <a:fillRect/>
                  </a:stretch>
                </pic:blipFill>
                <pic:spPr bwMode="auto">
                  <a:xfrm>
                    <a:off x="0" y="0"/>
                    <a:ext cx="2524075" cy="883803"/>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1A1"/>
      </v:shape>
    </w:pict>
  </w:numPicBullet>
  <w:abstractNum w:abstractNumId="0" w15:restartNumberingAfterBreak="0">
    <w:nsid w:val="FFFFFF7C"/>
    <w:multiLevelType w:val="singleLevel"/>
    <w:tmpl w:val="EA964466"/>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8B62AA32"/>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02035CB7"/>
    <w:multiLevelType w:val="multilevel"/>
    <w:tmpl w:val="0413001F"/>
    <w:styleLink w:val="Style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28F47AC"/>
    <w:multiLevelType w:val="hybridMultilevel"/>
    <w:tmpl w:val="922AC7D0"/>
    <w:lvl w:ilvl="0" w:tplc="54022014">
      <w:start w:val="1"/>
      <w:numFmt w:val="decimal"/>
      <w:pStyle w:val="Reflist"/>
      <w:lvlText w:val="[Ref .%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58C760F"/>
    <w:multiLevelType w:val="hybridMultilevel"/>
    <w:tmpl w:val="320EB3E0"/>
    <w:lvl w:ilvl="0" w:tplc="25940C9C">
      <w:start w:val="1"/>
      <w:numFmt w:val="bullet"/>
      <w:pStyle w:val="Bullettext"/>
      <w:lvlText w:val=""/>
      <w:lvlJc w:val="left"/>
      <w:pPr>
        <w:tabs>
          <w:tab w:val="num" w:pos="502"/>
        </w:tabs>
        <w:ind w:left="502" w:hanging="360"/>
      </w:pPr>
      <w:rPr>
        <w:rFonts w:ascii="Symbol" w:hAnsi="Symbol" w:hint="default"/>
      </w:rPr>
    </w:lvl>
    <w:lvl w:ilvl="1" w:tplc="04090003">
      <w:start w:val="1"/>
      <w:numFmt w:val="bullet"/>
      <w:lvlText w:val="o"/>
      <w:lvlJc w:val="left"/>
      <w:pPr>
        <w:tabs>
          <w:tab w:val="num" w:pos="1399"/>
        </w:tabs>
        <w:ind w:left="1399" w:hanging="360"/>
      </w:pPr>
      <w:rPr>
        <w:rFonts w:ascii="Courier New" w:hAnsi="Courier New" w:hint="default"/>
      </w:rPr>
    </w:lvl>
    <w:lvl w:ilvl="2" w:tplc="04090005" w:tentative="1">
      <w:start w:val="1"/>
      <w:numFmt w:val="bullet"/>
      <w:lvlText w:val=""/>
      <w:lvlJc w:val="left"/>
      <w:pPr>
        <w:tabs>
          <w:tab w:val="num" w:pos="2119"/>
        </w:tabs>
        <w:ind w:left="2119" w:hanging="360"/>
      </w:pPr>
      <w:rPr>
        <w:rFonts w:ascii="Wingdings" w:hAnsi="Wingdings" w:hint="default"/>
      </w:rPr>
    </w:lvl>
    <w:lvl w:ilvl="3" w:tplc="04090001" w:tentative="1">
      <w:start w:val="1"/>
      <w:numFmt w:val="bullet"/>
      <w:lvlText w:val=""/>
      <w:lvlJc w:val="left"/>
      <w:pPr>
        <w:tabs>
          <w:tab w:val="num" w:pos="2839"/>
        </w:tabs>
        <w:ind w:left="2839" w:hanging="360"/>
      </w:pPr>
      <w:rPr>
        <w:rFonts w:ascii="Symbol" w:hAnsi="Symbol" w:hint="default"/>
      </w:rPr>
    </w:lvl>
    <w:lvl w:ilvl="4" w:tplc="04090003" w:tentative="1">
      <w:start w:val="1"/>
      <w:numFmt w:val="bullet"/>
      <w:lvlText w:val="o"/>
      <w:lvlJc w:val="left"/>
      <w:pPr>
        <w:tabs>
          <w:tab w:val="num" w:pos="3559"/>
        </w:tabs>
        <w:ind w:left="3559" w:hanging="360"/>
      </w:pPr>
      <w:rPr>
        <w:rFonts w:ascii="Courier New" w:hAnsi="Courier New" w:hint="default"/>
      </w:rPr>
    </w:lvl>
    <w:lvl w:ilvl="5" w:tplc="04090005" w:tentative="1">
      <w:start w:val="1"/>
      <w:numFmt w:val="bullet"/>
      <w:lvlText w:val=""/>
      <w:lvlJc w:val="left"/>
      <w:pPr>
        <w:tabs>
          <w:tab w:val="num" w:pos="4279"/>
        </w:tabs>
        <w:ind w:left="4279" w:hanging="360"/>
      </w:pPr>
      <w:rPr>
        <w:rFonts w:ascii="Wingdings" w:hAnsi="Wingdings" w:hint="default"/>
      </w:rPr>
    </w:lvl>
    <w:lvl w:ilvl="6" w:tplc="04090001" w:tentative="1">
      <w:start w:val="1"/>
      <w:numFmt w:val="bullet"/>
      <w:lvlText w:val=""/>
      <w:lvlJc w:val="left"/>
      <w:pPr>
        <w:tabs>
          <w:tab w:val="num" w:pos="4999"/>
        </w:tabs>
        <w:ind w:left="4999" w:hanging="360"/>
      </w:pPr>
      <w:rPr>
        <w:rFonts w:ascii="Symbol" w:hAnsi="Symbol" w:hint="default"/>
      </w:rPr>
    </w:lvl>
    <w:lvl w:ilvl="7" w:tplc="04090003" w:tentative="1">
      <w:start w:val="1"/>
      <w:numFmt w:val="bullet"/>
      <w:lvlText w:val="o"/>
      <w:lvlJc w:val="left"/>
      <w:pPr>
        <w:tabs>
          <w:tab w:val="num" w:pos="5719"/>
        </w:tabs>
        <w:ind w:left="5719" w:hanging="360"/>
      </w:pPr>
      <w:rPr>
        <w:rFonts w:ascii="Courier New" w:hAnsi="Courier New" w:hint="default"/>
      </w:rPr>
    </w:lvl>
    <w:lvl w:ilvl="8" w:tplc="04090005" w:tentative="1">
      <w:start w:val="1"/>
      <w:numFmt w:val="bullet"/>
      <w:lvlText w:val=""/>
      <w:lvlJc w:val="left"/>
      <w:pPr>
        <w:tabs>
          <w:tab w:val="num" w:pos="6439"/>
        </w:tabs>
        <w:ind w:left="6439" w:hanging="360"/>
      </w:pPr>
      <w:rPr>
        <w:rFonts w:ascii="Wingdings" w:hAnsi="Wingdings" w:hint="default"/>
      </w:rPr>
    </w:lvl>
  </w:abstractNum>
  <w:abstractNum w:abstractNumId="5" w15:restartNumberingAfterBreak="0">
    <w:nsid w:val="06081D4F"/>
    <w:multiLevelType w:val="multilevel"/>
    <w:tmpl w:val="C1E4F52C"/>
    <w:styleLink w:val="StyleBulletedBold"/>
    <w:lvl w:ilvl="0">
      <w:start w:val="1"/>
      <w:numFmt w:val="bullet"/>
      <w:lvlText w:val=""/>
      <w:lvlJc w:val="left"/>
      <w:pPr>
        <w:tabs>
          <w:tab w:val="num" w:pos="720"/>
        </w:tabs>
        <w:ind w:left="720" w:hanging="360"/>
      </w:pPr>
      <w:rPr>
        <w:rFonts w:ascii="Symbol" w:hAnsi="Symbol"/>
        <w:bCs/>
        <w:sz w:val="21"/>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133401"/>
    <w:multiLevelType w:val="hybridMultilevel"/>
    <w:tmpl w:val="87E4BBB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B150CA"/>
    <w:multiLevelType w:val="hybridMultilevel"/>
    <w:tmpl w:val="39C24C8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7E3392E"/>
    <w:multiLevelType w:val="hybridMultilevel"/>
    <w:tmpl w:val="BD529960"/>
    <w:lvl w:ilvl="0" w:tplc="04130001">
      <w:start w:val="1"/>
      <w:numFmt w:val="bullet"/>
      <w:pStyle w:val="BWBOD"/>
      <w:lvlText w:val=""/>
      <w:lvlJc w:val="left"/>
      <w:pPr>
        <w:ind w:left="720" w:hanging="360"/>
      </w:pPr>
      <w:rPr>
        <w:rFonts w:ascii="Symbol" w:hAnsi="Symbol" w:hint="default"/>
      </w:rPr>
    </w:lvl>
    <w:lvl w:ilvl="1" w:tplc="04130003" w:tentative="1">
      <w:start w:val="1"/>
      <w:numFmt w:val="bullet"/>
      <w:pStyle w:val="BWBOD"/>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08054757"/>
    <w:multiLevelType w:val="hybridMultilevel"/>
    <w:tmpl w:val="D9CAA03A"/>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0" w15:restartNumberingAfterBreak="0">
    <w:nsid w:val="09232391"/>
    <w:multiLevelType w:val="multilevel"/>
    <w:tmpl w:val="45BA72E4"/>
    <w:lvl w:ilvl="0">
      <w:start w:val="1"/>
      <w:numFmt w:val="bullet"/>
      <w:lvlText w:val=""/>
      <w:lvlJc w:val="left"/>
      <w:pPr>
        <w:tabs>
          <w:tab w:val="num" w:pos="0"/>
        </w:tabs>
        <w:ind w:left="774" w:hanging="360"/>
      </w:pPr>
      <w:rPr>
        <w:rFonts w:ascii="Symbol" w:hAnsi="Symbol" w:cs="Symbol" w:hint="default"/>
      </w:rPr>
    </w:lvl>
    <w:lvl w:ilvl="1">
      <w:start w:val="1"/>
      <w:numFmt w:val="bullet"/>
      <w:lvlText w:val="o"/>
      <w:lvlJc w:val="left"/>
      <w:pPr>
        <w:tabs>
          <w:tab w:val="num" w:pos="0"/>
        </w:tabs>
        <w:ind w:left="1494" w:hanging="360"/>
      </w:pPr>
      <w:rPr>
        <w:rFonts w:ascii="Courier New" w:hAnsi="Courier New" w:cs="Courier New" w:hint="default"/>
      </w:rPr>
    </w:lvl>
    <w:lvl w:ilvl="2">
      <w:start w:val="1"/>
      <w:numFmt w:val="bullet"/>
      <w:lvlText w:val=""/>
      <w:lvlJc w:val="left"/>
      <w:pPr>
        <w:tabs>
          <w:tab w:val="num" w:pos="0"/>
        </w:tabs>
        <w:ind w:left="2214" w:hanging="360"/>
      </w:pPr>
      <w:rPr>
        <w:rFonts w:ascii="Wingdings" w:hAnsi="Wingdings" w:cs="Wingdings" w:hint="default"/>
      </w:rPr>
    </w:lvl>
    <w:lvl w:ilvl="3">
      <w:start w:val="1"/>
      <w:numFmt w:val="bullet"/>
      <w:lvlText w:val=""/>
      <w:lvlJc w:val="left"/>
      <w:pPr>
        <w:tabs>
          <w:tab w:val="num" w:pos="0"/>
        </w:tabs>
        <w:ind w:left="2934" w:hanging="360"/>
      </w:pPr>
      <w:rPr>
        <w:rFonts w:ascii="Symbol" w:hAnsi="Symbol" w:cs="Symbol" w:hint="default"/>
      </w:rPr>
    </w:lvl>
    <w:lvl w:ilvl="4">
      <w:start w:val="1"/>
      <w:numFmt w:val="bullet"/>
      <w:lvlText w:val="o"/>
      <w:lvlJc w:val="left"/>
      <w:pPr>
        <w:tabs>
          <w:tab w:val="num" w:pos="0"/>
        </w:tabs>
        <w:ind w:left="3654" w:hanging="360"/>
      </w:pPr>
      <w:rPr>
        <w:rFonts w:ascii="Courier New" w:hAnsi="Courier New" w:cs="Courier New" w:hint="default"/>
      </w:rPr>
    </w:lvl>
    <w:lvl w:ilvl="5">
      <w:start w:val="1"/>
      <w:numFmt w:val="bullet"/>
      <w:lvlText w:val=""/>
      <w:lvlJc w:val="left"/>
      <w:pPr>
        <w:tabs>
          <w:tab w:val="num" w:pos="0"/>
        </w:tabs>
        <w:ind w:left="4374" w:hanging="360"/>
      </w:pPr>
      <w:rPr>
        <w:rFonts w:ascii="Wingdings" w:hAnsi="Wingdings" w:cs="Wingdings" w:hint="default"/>
      </w:rPr>
    </w:lvl>
    <w:lvl w:ilvl="6">
      <w:start w:val="1"/>
      <w:numFmt w:val="bullet"/>
      <w:lvlText w:val=""/>
      <w:lvlJc w:val="left"/>
      <w:pPr>
        <w:tabs>
          <w:tab w:val="num" w:pos="0"/>
        </w:tabs>
        <w:ind w:left="5094" w:hanging="360"/>
      </w:pPr>
      <w:rPr>
        <w:rFonts w:ascii="Symbol" w:hAnsi="Symbol" w:cs="Symbol" w:hint="default"/>
      </w:rPr>
    </w:lvl>
    <w:lvl w:ilvl="7">
      <w:start w:val="1"/>
      <w:numFmt w:val="bullet"/>
      <w:lvlText w:val="o"/>
      <w:lvlJc w:val="left"/>
      <w:pPr>
        <w:tabs>
          <w:tab w:val="num" w:pos="0"/>
        </w:tabs>
        <w:ind w:left="5814" w:hanging="360"/>
      </w:pPr>
      <w:rPr>
        <w:rFonts w:ascii="Courier New" w:hAnsi="Courier New" w:cs="Courier New" w:hint="default"/>
      </w:rPr>
    </w:lvl>
    <w:lvl w:ilvl="8">
      <w:start w:val="1"/>
      <w:numFmt w:val="bullet"/>
      <w:lvlText w:val=""/>
      <w:lvlJc w:val="left"/>
      <w:pPr>
        <w:tabs>
          <w:tab w:val="num" w:pos="0"/>
        </w:tabs>
        <w:ind w:left="6534" w:hanging="360"/>
      </w:pPr>
      <w:rPr>
        <w:rFonts w:ascii="Wingdings" w:hAnsi="Wingdings" w:cs="Wingdings" w:hint="default"/>
      </w:rPr>
    </w:lvl>
  </w:abstractNum>
  <w:abstractNum w:abstractNumId="11" w15:restartNumberingAfterBreak="0">
    <w:nsid w:val="0945418A"/>
    <w:multiLevelType w:val="hybridMultilevel"/>
    <w:tmpl w:val="2766F5AE"/>
    <w:lvl w:ilvl="0" w:tplc="3A8A2732">
      <w:start w:val="1"/>
      <w:numFmt w:val="decimal"/>
      <w:pStyle w:val="I-3"/>
      <w:lvlText w:val="Таблица I-3.%1"/>
      <w:lvlJc w:val="left"/>
      <w:rPr>
        <w:rFonts w:hint="default"/>
        <w:b/>
        <w:bCs w:val="0"/>
        <w:i/>
        <w:iCs w:val="0"/>
        <w:caps w:val="0"/>
        <w:smallCaps w:val="0"/>
        <w:strike w:val="0"/>
        <w:dstrike w:val="0"/>
        <w:vanish w:val="0"/>
        <w:color w:val="000000"/>
        <w:spacing w:val="0"/>
        <w:kern w:val="0"/>
        <w:position w:val="0"/>
        <w:u w:val="none"/>
        <w:effect w:val="none"/>
        <w:vertAlign w:val="baseline"/>
        <w:em w:val="none"/>
      </w:rPr>
    </w:lvl>
    <w:lvl w:ilvl="1" w:tplc="04020019" w:tentative="1">
      <w:start w:val="1"/>
      <w:numFmt w:val="lowerLetter"/>
      <w:lvlText w:val="%2."/>
      <w:lvlJc w:val="left"/>
      <w:pPr>
        <w:ind w:left="2148" w:hanging="360"/>
      </w:pPr>
    </w:lvl>
    <w:lvl w:ilvl="2" w:tplc="0402001B" w:tentative="1">
      <w:start w:val="1"/>
      <w:numFmt w:val="lowerRoman"/>
      <w:lvlText w:val="%3."/>
      <w:lvlJc w:val="right"/>
      <w:pPr>
        <w:ind w:left="2868" w:hanging="180"/>
      </w:pPr>
    </w:lvl>
    <w:lvl w:ilvl="3" w:tplc="0402000F" w:tentative="1">
      <w:start w:val="1"/>
      <w:numFmt w:val="decimal"/>
      <w:lvlText w:val="%4."/>
      <w:lvlJc w:val="left"/>
      <w:pPr>
        <w:ind w:left="3588" w:hanging="360"/>
      </w:pPr>
    </w:lvl>
    <w:lvl w:ilvl="4" w:tplc="04020019" w:tentative="1">
      <w:start w:val="1"/>
      <w:numFmt w:val="lowerLetter"/>
      <w:lvlText w:val="%5."/>
      <w:lvlJc w:val="left"/>
      <w:pPr>
        <w:ind w:left="4308" w:hanging="360"/>
      </w:pPr>
    </w:lvl>
    <w:lvl w:ilvl="5" w:tplc="0402001B" w:tentative="1">
      <w:start w:val="1"/>
      <w:numFmt w:val="lowerRoman"/>
      <w:lvlText w:val="%6."/>
      <w:lvlJc w:val="right"/>
      <w:pPr>
        <w:ind w:left="5028" w:hanging="180"/>
      </w:pPr>
    </w:lvl>
    <w:lvl w:ilvl="6" w:tplc="0402000F" w:tentative="1">
      <w:start w:val="1"/>
      <w:numFmt w:val="decimal"/>
      <w:lvlText w:val="%7."/>
      <w:lvlJc w:val="left"/>
      <w:pPr>
        <w:ind w:left="5748" w:hanging="360"/>
      </w:pPr>
    </w:lvl>
    <w:lvl w:ilvl="7" w:tplc="04020019" w:tentative="1">
      <w:start w:val="1"/>
      <w:numFmt w:val="lowerLetter"/>
      <w:lvlText w:val="%8."/>
      <w:lvlJc w:val="left"/>
      <w:pPr>
        <w:ind w:left="6468" w:hanging="360"/>
      </w:pPr>
    </w:lvl>
    <w:lvl w:ilvl="8" w:tplc="0402001B" w:tentative="1">
      <w:start w:val="1"/>
      <w:numFmt w:val="lowerRoman"/>
      <w:lvlText w:val="%9."/>
      <w:lvlJc w:val="right"/>
      <w:pPr>
        <w:ind w:left="7188" w:hanging="180"/>
      </w:pPr>
    </w:lvl>
  </w:abstractNum>
  <w:abstractNum w:abstractNumId="12" w15:restartNumberingAfterBreak="0">
    <w:nsid w:val="09507617"/>
    <w:multiLevelType w:val="multilevel"/>
    <w:tmpl w:val="2078F396"/>
    <w:styleLink w:val="LFO31"/>
    <w:lvl w:ilvl="0">
      <w:numFmt w:val="bullet"/>
      <w:pStyle w:val="TableBullet"/>
      <w:lvlText w:val=""/>
      <w:lvlJc w:val="left"/>
      <w:pPr>
        <w:ind w:left="1068" w:hanging="360"/>
      </w:pPr>
      <w:rPr>
        <w:rFonts w:ascii="Symbol" w:eastAsia="Times New Roman" w:hAnsi="Symbol"/>
        <w:sz w:val="24"/>
      </w:rPr>
    </w:lvl>
    <w:lvl w:ilvl="1">
      <w:numFmt w:val="bullet"/>
      <w:lvlText w:val="o"/>
      <w:lvlJc w:val="left"/>
      <w:pPr>
        <w:ind w:left="1788" w:hanging="360"/>
      </w:pPr>
      <w:rPr>
        <w:rFonts w:ascii="Courier New" w:hAnsi="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rPr>
    </w:lvl>
    <w:lvl w:ilvl="8">
      <w:numFmt w:val="bullet"/>
      <w:lvlText w:val=""/>
      <w:lvlJc w:val="left"/>
      <w:pPr>
        <w:ind w:left="6828" w:hanging="360"/>
      </w:pPr>
      <w:rPr>
        <w:rFonts w:ascii="Wingdings" w:hAnsi="Wingdings"/>
      </w:rPr>
    </w:lvl>
  </w:abstractNum>
  <w:abstractNum w:abstractNumId="13" w15:restartNumberingAfterBreak="0">
    <w:nsid w:val="0AB97ED4"/>
    <w:multiLevelType w:val="singleLevel"/>
    <w:tmpl w:val="EA509A22"/>
    <w:lvl w:ilvl="0">
      <w:start w:val="1"/>
      <w:numFmt w:val="decimal"/>
      <w:pStyle w:val="SecDivider"/>
      <w:lvlText w:val="%1"/>
      <w:lvlJc w:val="left"/>
      <w:pPr>
        <w:tabs>
          <w:tab w:val="num" w:pos="567"/>
        </w:tabs>
        <w:ind w:left="567" w:hanging="567"/>
      </w:pPr>
    </w:lvl>
  </w:abstractNum>
  <w:abstractNum w:abstractNumId="14" w15:restartNumberingAfterBreak="0">
    <w:nsid w:val="0D231DFC"/>
    <w:multiLevelType w:val="multilevel"/>
    <w:tmpl w:val="3EACC1B6"/>
    <w:numStyleLink w:val="ListAppendices"/>
  </w:abstractNum>
  <w:abstractNum w:abstractNumId="15" w15:restartNumberingAfterBreak="0">
    <w:nsid w:val="0F197352"/>
    <w:multiLevelType w:val="hybridMultilevel"/>
    <w:tmpl w:val="C9A2D5E4"/>
    <w:lvl w:ilvl="0" w:tplc="84BA420E">
      <w:start w:val="1"/>
      <w:numFmt w:val="bullet"/>
      <w:lvlText w:val="-"/>
      <w:lvlJc w:val="left"/>
      <w:pPr>
        <w:ind w:left="1429" w:hanging="360"/>
      </w:pPr>
      <w:rPr>
        <w:rFonts w:ascii="Times New Roman" w:eastAsia="Times New Roman" w:hAnsi="Times New Roman" w:cs="Times New Roman" w:hint="default"/>
      </w:rPr>
    </w:lvl>
    <w:lvl w:ilvl="1" w:tplc="04070003">
      <w:start w:val="1"/>
      <w:numFmt w:val="bullet"/>
      <w:lvlText w:val="o"/>
      <w:lvlJc w:val="left"/>
      <w:pPr>
        <w:ind w:left="2149" w:hanging="360"/>
      </w:pPr>
      <w:rPr>
        <w:rFonts w:ascii="Courier New" w:hAnsi="Courier New" w:cs="Times New Roman"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Times New Roman"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Times New Roman" w:hint="default"/>
      </w:rPr>
    </w:lvl>
    <w:lvl w:ilvl="8" w:tplc="04070005">
      <w:start w:val="1"/>
      <w:numFmt w:val="bullet"/>
      <w:lvlText w:val=""/>
      <w:lvlJc w:val="left"/>
      <w:pPr>
        <w:ind w:left="7189" w:hanging="360"/>
      </w:pPr>
      <w:rPr>
        <w:rFonts w:ascii="Wingdings" w:hAnsi="Wingdings" w:hint="default"/>
      </w:rPr>
    </w:lvl>
  </w:abstractNum>
  <w:abstractNum w:abstractNumId="16" w15:restartNumberingAfterBreak="0">
    <w:nsid w:val="0F3B7D2F"/>
    <w:multiLevelType w:val="singleLevel"/>
    <w:tmpl w:val="559CA8EA"/>
    <w:lvl w:ilvl="0">
      <w:start w:val="1"/>
      <w:numFmt w:val="bullet"/>
      <w:pStyle w:val="bullet1"/>
      <w:lvlText w:val=""/>
      <w:lvlJc w:val="left"/>
      <w:pPr>
        <w:tabs>
          <w:tab w:val="num" w:pos="360"/>
        </w:tabs>
        <w:ind w:left="360" w:hanging="360"/>
      </w:pPr>
      <w:rPr>
        <w:rFonts w:ascii="Wingdings" w:hAnsi="Wingdings" w:hint="default"/>
      </w:rPr>
    </w:lvl>
  </w:abstractNum>
  <w:abstractNum w:abstractNumId="17" w15:restartNumberingAfterBreak="0">
    <w:nsid w:val="111C2511"/>
    <w:multiLevelType w:val="hybridMultilevel"/>
    <w:tmpl w:val="3B64F5E2"/>
    <w:lvl w:ilvl="0" w:tplc="FFFFFFFF">
      <w:start w:val="1"/>
      <w:numFmt w:val="decimal"/>
      <w:lvlText w:val="%1."/>
      <w:lvlJc w:val="left"/>
      <w:pPr>
        <w:ind w:left="1069" w:hanging="360"/>
      </w:pPr>
    </w:lvl>
    <w:lvl w:ilvl="1" w:tplc="FFFFFFFF">
      <w:start w:val="1"/>
      <w:numFmt w:val="lowerLetter"/>
      <w:lvlText w:val="%2."/>
      <w:lvlJc w:val="left"/>
      <w:pPr>
        <w:ind w:left="1789" w:hanging="360"/>
      </w:pPr>
    </w:lvl>
    <w:lvl w:ilvl="2" w:tplc="FFFFFFFF">
      <w:start w:val="1"/>
      <w:numFmt w:val="lowerRoman"/>
      <w:lvlText w:val="%3."/>
      <w:lvlJc w:val="right"/>
      <w:pPr>
        <w:ind w:left="2509" w:hanging="180"/>
      </w:pPr>
    </w:lvl>
    <w:lvl w:ilvl="3" w:tplc="FFFFFFFF">
      <w:start w:val="1"/>
      <w:numFmt w:val="decimal"/>
      <w:lvlText w:val="%4."/>
      <w:lvlJc w:val="left"/>
      <w:pPr>
        <w:ind w:left="3229" w:hanging="360"/>
      </w:pPr>
    </w:lvl>
    <w:lvl w:ilvl="4" w:tplc="FFFFFFFF">
      <w:start w:val="1"/>
      <w:numFmt w:val="lowerLetter"/>
      <w:lvlText w:val="%5."/>
      <w:lvlJc w:val="left"/>
      <w:pPr>
        <w:ind w:left="3949" w:hanging="360"/>
      </w:pPr>
    </w:lvl>
    <w:lvl w:ilvl="5" w:tplc="FFFFFFFF">
      <w:start w:val="1"/>
      <w:numFmt w:val="lowerRoman"/>
      <w:lvlText w:val="%6."/>
      <w:lvlJc w:val="right"/>
      <w:pPr>
        <w:ind w:left="4669" w:hanging="180"/>
      </w:pPr>
    </w:lvl>
    <w:lvl w:ilvl="6" w:tplc="FFFFFFFF">
      <w:start w:val="1"/>
      <w:numFmt w:val="decimal"/>
      <w:lvlText w:val="%7."/>
      <w:lvlJc w:val="left"/>
      <w:pPr>
        <w:ind w:left="5389" w:hanging="360"/>
      </w:pPr>
    </w:lvl>
    <w:lvl w:ilvl="7" w:tplc="FFFFFFFF">
      <w:start w:val="1"/>
      <w:numFmt w:val="lowerLetter"/>
      <w:lvlText w:val="%8."/>
      <w:lvlJc w:val="left"/>
      <w:pPr>
        <w:ind w:left="6109" w:hanging="360"/>
      </w:pPr>
    </w:lvl>
    <w:lvl w:ilvl="8" w:tplc="FFFFFFFF">
      <w:start w:val="1"/>
      <w:numFmt w:val="lowerRoman"/>
      <w:lvlText w:val="%9."/>
      <w:lvlJc w:val="right"/>
      <w:pPr>
        <w:ind w:left="6829" w:hanging="180"/>
      </w:pPr>
    </w:lvl>
  </w:abstractNum>
  <w:abstractNum w:abstractNumId="18" w15:restartNumberingAfterBreak="0">
    <w:nsid w:val="13C9280A"/>
    <w:multiLevelType w:val="singleLevel"/>
    <w:tmpl w:val="1F24186C"/>
    <w:lvl w:ilvl="0">
      <w:start w:val="1"/>
      <w:numFmt w:val="bullet"/>
      <w:pStyle w:val="Bullet10"/>
      <w:lvlText w:val="•"/>
      <w:lvlJc w:val="left"/>
      <w:pPr>
        <w:tabs>
          <w:tab w:val="num" w:pos="1040"/>
        </w:tabs>
        <w:ind w:left="1021" w:hanging="341"/>
      </w:pPr>
      <w:rPr>
        <w:rFonts w:ascii="Arial" w:hAnsi="Arial" w:hint="default"/>
      </w:rPr>
    </w:lvl>
  </w:abstractNum>
  <w:abstractNum w:abstractNumId="19" w15:restartNumberingAfterBreak="0">
    <w:nsid w:val="13C93F01"/>
    <w:multiLevelType w:val="hybridMultilevel"/>
    <w:tmpl w:val="765E79BE"/>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72A4BCA"/>
    <w:multiLevelType w:val="multilevel"/>
    <w:tmpl w:val="77D25466"/>
    <w:lvl w:ilvl="0">
      <w:start w:val="1"/>
      <w:numFmt w:val="decimal"/>
      <w:pStyle w:val="Heading1"/>
      <w:lvlText w:val="%1"/>
      <w:lvlJc w:val="left"/>
      <w:pPr>
        <w:ind w:left="432" w:hanging="432"/>
      </w:pPr>
      <w:rPr>
        <w:sz w:val="28"/>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19EE6759"/>
    <w:multiLevelType w:val="hybridMultilevel"/>
    <w:tmpl w:val="02D4CFBE"/>
    <w:lvl w:ilvl="0" w:tplc="0409000B">
      <w:start w:val="1"/>
      <w:numFmt w:val="bullet"/>
      <w:lvlText w:val=""/>
      <w:lvlJc w:val="left"/>
      <w:pPr>
        <w:ind w:left="720" w:hanging="360"/>
      </w:pPr>
      <w:rPr>
        <w:rFonts w:ascii="Wingdings" w:hAnsi="Wingding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15:restartNumberingAfterBreak="0">
    <w:nsid w:val="1C2D189D"/>
    <w:multiLevelType w:val="hybridMultilevel"/>
    <w:tmpl w:val="4A646AEA"/>
    <w:lvl w:ilvl="0" w:tplc="0402000B">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23" w15:restartNumberingAfterBreak="0">
    <w:nsid w:val="1D0D29CE"/>
    <w:multiLevelType w:val="hybridMultilevel"/>
    <w:tmpl w:val="72D6F422"/>
    <w:lvl w:ilvl="0" w:tplc="8D4C181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9043A5"/>
    <w:multiLevelType w:val="hybridMultilevel"/>
    <w:tmpl w:val="A378E49A"/>
    <w:lvl w:ilvl="0" w:tplc="D2E2BD12">
      <w:numFmt w:val="bullet"/>
      <w:lvlText w:val="-"/>
      <w:lvlJc w:val="left"/>
      <w:pPr>
        <w:ind w:left="1835" w:hanging="360"/>
      </w:pPr>
      <w:rPr>
        <w:rFonts w:ascii="Arial Narrow" w:eastAsia="Calibri" w:hAnsi="Arial Narrow"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5" w15:restartNumberingAfterBreak="0">
    <w:nsid w:val="1EDF7A1D"/>
    <w:multiLevelType w:val="hybridMultilevel"/>
    <w:tmpl w:val="07B2A020"/>
    <w:lvl w:ilvl="0" w:tplc="B19299DA">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20A63E9E"/>
    <w:multiLevelType w:val="hybridMultilevel"/>
    <w:tmpl w:val="3A2ADC9E"/>
    <w:lvl w:ilvl="0" w:tplc="E0D83CBA">
      <w:start w:val="3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10C73ED"/>
    <w:multiLevelType w:val="hybridMultilevel"/>
    <w:tmpl w:val="5AF02C0E"/>
    <w:lvl w:ilvl="0" w:tplc="B19299DA">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28" w15:restartNumberingAfterBreak="0">
    <w:nsid w:val="21B26D58"/>
    <w:multiLevelType w:val="hybridMultilevel"/>
    <w:tmpl w:val="414C6A48"/>
    <w:lvl w:ilvl="0" w:tplc="04130001">
      <w:start w:val="1"/>
      <w:numFmt w:val="bullet"/>
      <w:pStyle w:val="List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33F58C4"/>
    <w:multiLevelType w:val="multilevel"/>
    <w:tmpl w:val="DEE248C2"/>
    <w:styleLink w:val="ListNumbers"/>
    <w:lvl w:ilvl="0">
      <w:start w:val="1"/>
      <w:numFmt w:val="decimal"/>
      <w:pStyle w:val="ListNumber"/>
      <w:lvlText w:val="%1"/>
      <w:lvlJc w:val="left"/>
      <w:pPr>
        <w:ind w:left="284" w:hanging="284"/>
      </w:pPr>
      <w:rPr>
        <w:rFonts w:hint="default"/>
        <w:color w:val="4F81BD" w:themeColor="accent1"/>
      </w:rPr>
    </w:lvl>
    <w:lvl w:ilvl="1">
      <w:start w:val="1"/>
      <w:numFmt w:val="decimal"/>
      <w:pStyle w:val="ListNumber2"/>
      <w:lvlText w:val="%1.%2"/>
      <w:lvlJc w:val="left"/>
      <w:pPr>
        <w:ind w:left="851" w:hanging="567"/>
      </w:pPr>
      <w:rPr>
        <w:rFonts w:hint="default"/>
        <w:color w:val="4F81BD" w:themeColor="accent1"/>
      </w:rPr>
    </w:lvl>
    <w:lvl w:ilvl="2">
      <w:start w:val="1"/>
      <w:numFmt w:val="decimal"/>
      <w:pStyle w:val="ListNumber3"/>
      <w:lvlText w:val="%1.%2.%3"/>
      <w:lvlJc w:val="left"/>
      <w:pPr>
        <w:ind w:left="1418" w:hanging="567"/>
      </w:pPr>
      <w:rPr>
        <w:rFonts w:hint="default"/>
        <w:color w:val="4F81BD" w:themeColor="accent1"/>
      </w:rPr>
    </w:lvl>
    <w:lvl w:ilvl="3">
      <w:start w:val="1"/>
      <w:numFmt w:val="decimal"/>
      <w:pStyle w:val="ListNumber4"/>
      <w:lvlText w:val="%1.%2.%3.%4"/>
      <w:lvlJc w:val="left"/>
      <w:pPr>
        <w:ind w:left="1985" w:hanging="567"/>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30" w15:restartNumberingAfterBreak="0">
    <w:nsid w:val="2371666A"/>
    <w:multiLevelType w:val="hybridMultilevel"/>
    <w:tmpl w:val="9398D944"/>
    <w:lvl w:ilvl="0" w:tplc="E65E5C4E">
      <w:start w:val="1"/>
      <w:numFmt w:val="decimal"/>
      <w:lvlText w:val="%1."/>
      <w:lvlJc w:val="left"/>
      <w:pPr>
        <w:ind w:left="720" w:hanging="360"/>
      </w:pPr>
      <w:rPr>
        <w:rFonts w:hint="default"/>
      </w:rPr>
    </w:lvl>
    <w:lvl w:ilvl="1" w:tplc="C6E6D9CA">
      <w:start w:val="1"/>
      <w:numFmt w:val="decimal"/>
      <w:lvlText w:val="%2."/>
      <w:lvlJc w:val="left"/>
      <w:pPr>
        <w:ind w:left="1440" w:hanging="360"/>
      </w:pPr>
      <w:rPr>
        <w:rFonts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1" w15:restartNumberingAfterBreak="0">
    <w:nsid w:val="26BB1484"/>
    <w:multiLevelType w:val="hybridMultilevel"/>
    <w:tmpl w:val="6F56CC3C"/>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32" w15:restartNumberingAfterBreak="0">
    <w:nsid w:val="27687E77"/>
    <w:multiLevelType w:val="hybridMultilevel"/>
    <w:tmpl w:val="0030AA14"/>
    <w:lvl w:ilvl="0" w:tplc="4502B752">
      <w:start w:val="1"/>
      <w:numFmt w:val="bullet"/>
      <w:lvlText w:val="•"/>
      <w:lvlJc w:val="left"/>
      <w:pPr>
        <w:tabs>
          <w:tab w:val="num" w:pos="1080"/>
        </w:tabs>
        <w:ind w:firstLine="1080"/>
      </w:pPr>
      <w:rPr>
        <w:rFonts w:ascii="Arial" w:hAnsi="Arial" w:hint="default"/>
        <w:b/>
        <w:i w:val="0"/>
        <w:color w:val="auto"/>
        <w:sz w:val="28"/>
      </w:rPr>
    </w:lvl>
    <w:lvl w:ilvl="1" w:tplc="04020003">
      <w:start w:val="1"/>
      <w:numFmt w:val="bullet"/>
      <w:pStyle w:val="Appendix2"/>
      <w:lvlText w:val="o"/>
      <w:lvlJc w:val="left"/>
      <w:pPr>
        <w:tabs>
          <w:tab w:val="num" w:pos="2160"/>
        </w:tabs>
        <w:ind w:left="2160" w:hanging="360"/>
      </w:pPr>
      <w:rPr>
        <w:rFonts w:ascii="Courier New" w:hAnsi="Courier New" w:hint="default"/>
      </w:rPr>
    </w:lvl>
    <w:lvl w:ilvl="2" w:tplc="04020005" w:tentative="1">
      <w:start w:val="1"/>
      <w:numFmt w:val="bullet"/>
      <w:pStyle w:val="Appendix1"/>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33" w15:restartNumberingAfterBreak="0">
    <w:nsid w:val="27FC1A2B"/>
    <w:multiLevelType w:val="hybridMultilevel"/>
    <w:tmpl w:val="54F218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6209CE"/>
    <w:multiLevelType w:val="hybridMultilevel"/>
    <w:tmpl w:val="B89E2DE4"/>
    <w:lvl w:ilvl="0" w:tplc="F6B8B61A">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5" w15:restartNumberingAfterBreak="0">
    <w:nsid w:val="2B7F6AE6"/>
    <w:multiLevelType w:val="hybridMultilevel"/>
    <w:tmpl w:val="86666258"/>
    <w:lvl w:ilvl="0" w:tplc="0409000B">
      <w:start w:val="1"/>
      <w:numFmt w:val="bullet"/>
      <w:lvlText w:val=""/>
      <w:lvlJc w:val="left"/>
      <w:pPr>
        <w:ind w:left="630" w:hanging="360"/>
      </w:pPr>
      <w:rPr>
        <w:rFonts w:ascii="Wingdings" w:hAnsi="Wingdings" w:hint="default"/>
      </w:rPr>
    </w:lvl>
    <w:lvl w:ilvl="1" w:tplc="04090003">
      <w:start w:val="1"/>
      <w:numFmt w:val="bullet"/>
      <w:lvlText w:val="o"/>
      <w:lvlJc w:val="left"/>
      <w:pPr>
        <w:ind w:left="1350" w:hanging="360"/>
      </w:pPr>
      <w:rPr>
        <w:rFonts w:ascii="Courier New" w:hAnsi="Courier New" w:cs="Courier New" w:hint="default"/>
      </w:rPr>
    </w:lvl>
    <w:lvl w:ilvl="2" w:tplc="04090005">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start w:val="1"/>
      <w:numFmt w:val="bullet"/>
      <w:lvlText w:val="o"/>
      <w:lvlJc w:val="left"/>
      <w:pPr>
        <w:ind w:left="3510" w:hanging="360"/>
      </w:pPr>
      <w:rPr>
        <w:rFonts w:ascii="Courier New" w:hAnsi="Courier New" w:cs="Courier New" w:hint="default"/>
      </w:rPr>
    </w:lvl>
    <w:lvl w:ilvl="5" w:tplc="04090005">
      <w:start w:val="1"/>
      <w:numFmt w:val="bullet"/>
      <w:lvlText w:val=""/>
      <w:lvlJc w:val="left"/>
      <w:pPr>
        <w:ind w:left="4230" w:hanging="360"/>
      </w:pPr>
      <w:rPr>
        <w:rFonts w:ascii="Wingdings" w:hAnsi="Wingdings" w:hint="default"/>
      </w:rPr>
    </w:lvl>
    <w:lvl w:ilvl="6" w:tplc="04090001">
      <w:start w:val="1"/>
      <w:numFmt w:val="bullet"/>
      <w:lvlText w:val=""/>
      <w:lvlJc w:val="left"/>
      <w:pPr>
        <w:ind w:left="4950" w:hanging="360"/>
      </w:pPr>
      <w:rPr>
        <w:rFonts w:ascii="Symbol" w:hAnsi="Symbol" w:hint="default"/>
      </w:rPr>
    </w:lvl>
    <w:lvl w:ilvl="7" w:tplc="04090003">
      <w:start w:val="1"/>
      <w:numFmt w:val="bullet"/>
      <w:lvlText w:val="o"/>
      <w:lvlJc w:val="left"/>
      <w:pPr>
        <w:ind w:left="5670" w:hanging="360"/>
      </w:pPr>
      <w:rPr>
        <w:rFonts w:ascii="Courier New" w:hAnsi="Courier New" w:cs="Courier New" w:hint="default"/>
      </w:rPr>
    </w:lvl>
    <w:lvl w:ilvl="8" w:tplc="04090005">
      <w:start w:val="1"/>
      <w:numFmt w:val="bullet"/>
      <w:lvlText w:val=""/>
      <w:lvlJc w:val="left"/>
      <w:pPr>
        <w:ind w:left="6390" w:hanging="360"/>
      </w:pPr>
      <w:rPr>
        <w:rFonts w:ascii="Wingdings" w:hAnsi="Wingdings" w:hint="default"/>
      </w:rPr>
    </w:lvl>
  </w:abstractNum>
  <w:abstractNum w:abstractNumId="36" w15:restartNumberingAfterBreak="0">
    <w:nsid w:val="2C67218A"/>
    <w:multiLevelType w:val="hybridMultilevel"/>
    <w:tmpl w:val="EA100178"/>
    <w:lvl w:ilvl="0" w:tplc="FCD07A60">
      <w:start w:val="1"/>
      <w:numFmt w:val="bullet"/>
      <w:lvlText w:val=""/>
      <w:lvlJc w:val="left"/>
      <w:pPr>
        <w:ind w:left="1080" w:hanging="360"/>
      </w:pPr>
      <w:rPr>
        <w:rFonts w:ascii="Symbol" w:hAnsi="Symbol" w:hint="default"/>
      </w:rPr>
    </w:lvl>
    <w:lvl w:ilvl="1" w:tplc="04020003">
      <w:start w:val="1"/>
      <w:numFmt w:val="bullet"/>
      <w:lvlText w:val="o"/>
      <w:lvlJc w:val="left"/>
      <w:pPr>
        <w:ind w:left="1440" w:hanging="360"/>
      </w:pPr>
      <w:rPr>
        <w:rFonts w:ascii="Courier New" w:hAnsi="Courier New" w:hint="default"/>
      </w:rPr>
    </w:lvl>
    <w:lvl w:ilvl="2" w:tplc="4FACECE4">
      <w:start w:val="1"/>
      <w:numFmt w:val="bullet"/>
      <w:lvlText w:val=""/>
      <w:lvlJc w:val="left"/>
      <w:pPr>
        <w:ind w:left="2160" w:hanging="360"/>
      </w:pPr>
      <w:rPr>
        <w:rFonts w:ascii="Symbol" w:hAnsi="Symbol" w:hint="default"/>
      </w:rPr>
    </w:lvl>
    <w:lvl w:ilvl="3" w:tplc="0402000B">
      <w:start w:val="1"/>
      <w:numFmt w:val="bullet"/>
      <w:lvlText w:val=""/>
      <w:lvlJc w:val="left"/>
      <w:pPr>
        <w:tabs>
          <w:tab w:val="num" w:pos="2880"/>
        </w:tabs>
        <w:ind w:left="2880" w:hanging="360"/>
      </w:pPr>
      <w:rPr>
        <w:rFonts w:ascii="Wingdings" w:hAnsi="Wingdings"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15:restartNumberingAfterBreak="0">
    <w:nsid w:val="2EB46C95"/>
    <w:multiLevelType w:val="multilevel"/>
    <w:tmpl w:val="DA9C4A5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1"/>
        <w:szCs w:val="21"/>
        <w:u w:val="none"/>
        <w:effect w:val="none"/>
        <w:lang w:val="bg-BG" w:eastAsia="bg-BG" w:bidi="bg-BG"/>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8" w15:restartNumberingAfterBreak="0">
    <w:nsid w:val="2F2B4056"/>
    <w:multiLevelType w:val="multilevel"/>
    <w:tmpl w:val="6F22FCA0"/>
    <w:styleLink w:val="Bulleted1"/>
    <w:lvl w:ilvl="0">
      <w:start w:val="1"/>
      <w:numFmt w:val="bullet"/>
      <w:lvlText w:val=""/>
      <w:lvlJc w:val="left"/>
      <w:pPr>
        <w:tabs>
          <w:tab w:val="num" w:pos="720"/>
        </w:tabs>
        <w:ind w:left="720" w:hanging="363"/>
      </w:pPr>
      <w:rPr>
        <w:rFonts w:ascii="Symbol" w:hAnsi="Symbol" w:hint="default"/>
        <w:sz w:val="21"/>
      </w:rPr>
    </w:lvl>
    <w:lvl w:ilvl="1">
      <w:start w:val="1"/>
      <w:numFmt w:val="bullet"/>
      <w:lvlText w:val=""/>
      <w:lvlJc w:val="left"/>
      <w:pPr>
        <w:tabs>
          <w:tab w:val="num" w:pos="1440"/>
        </w:tabs>
        <w:ind w:left="1440" w:hanging="360"/>
      </w:pPr>
      <w:rPr>
        <w:rFonts w:ascii="Symbol" w:hAnsi="Symbol" w:hint="default"/>
        <w:color w:val="auto"/>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3A16983"/>
    <w:multiLevelType w:val="singleLevel"/>
    <w:tmpl w:val="5AD040E0"/>
    <w:lvl w:ilvl="0">
      <w:start w:val="1"/>
      <w:numFmt w:val="bullet"/>
      <w:pStyle w:val="Bulets"/>
      <w:lvlText w:val=""/>
      <w:lvlJc w:val="left"/>
      <w:pPr>
        <w:tabs>
          <w:tab w:val="num" w:pos="1247"/>
        </w:tabs>
        <w:ind w:left="1247" w:hanging="396"/>
      </w:pPr>
      <w:rPr>
        <w:rFonts w:ascii="Symbol" w:hAnsi="Symbol" w:hint="default"/>
        <w:lang w:val="bg-BG"/>
      </w:rPr>
    </w:lvl>
  </w:abstractNum>
  <w:abstractNum w:abstractNumId="40" w15:restartNumberingAfterBreak="0">
    <w:nsid w:val="33F02CBE"/>
    <w:multiLevelType w:val="hybridMultilevel"/>
    <w:tmpl w:val="75F48430"/>
    <w:lvl w:ilvl="0" w:tplc="0809000F">
      <w:start w:val="1"/>
      <w:numFmt w:val="decimal"/>
      <w:lvlText w:val="%1."/>
      <w:lvlJc w:val="left"/>
      <w:pPr>
        <w:tabs>
          <w:tab w:val="num" w:pos="360"/>
        </w:tabs>
        <w:ind w:left="360" w:hanging="360"/>
      </w:pPr>
      <w:rPr>
        <w:rFonts w:cs="Times New Roman"/>
      </w:rPr>
    </w:lvl>
    <w:lvl w:ilvl="1" w:tplc="04090007">
      <w:start w:val="1"/>
      <w:numFmt w:val="bullet"/>
      <w:lvlText w:val=""/>
      <w:lvlPicBulletId w:val="0"/>
      <w:lvlJc w:val="left"/>
      <w:pPr>
        <w:tabs>
          <w:tab w:val="num" w:pos="1080"/>
        </w:tabs>
        <w:ind w:left="1080" w:hanging="360"/>
      </w:pPr>
      <w:rPr>
        <w:rFonts w:ascii="Symbol" w:hAnsi="Symbol" w:hint="default"/>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41" w15:restartNumberingAfterBreak="0">
    <w:nsid w:val="381B246A"/>
    <w:multiLevelType w:val="singleLevel"/>
    <w:tmpl w:val="5C1AE66E"/>
    <w:lvl w:ilvl="0">
      <w:start w:val="1"/>
      <w:numFmt w:val="decimal"/>
      <w:pStyle w:val="Header1IPC"/>
      <w:lvlText w:val="%1"/>
      <w:legacy w:legacy="1" w:legacySpace="0" w:legacyIndent="360"/>
      <w:lvlJc w:val="left"/>
      <w:rPr>
        <w:rFonts w:ascii="HebarU" w:hAnsi="HebarU" w:cs="HebarU" w:hint="default"/>
      </w:rPr>
    </w:lvl>
  </w:abstractNum>
  <w:abstractNum w:abstractNumId="42" w15:restartNumberingAfterBreak="0">
    <w:nsid w:val="3A2C7258"/>
    <w:multiLevelType w:val="hybridMultilevel"/>
    <w:tmpl w:val="F378F1A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A3E2CEF"/>
    <w:multiLevelType w:val="hybridMultilevel"/>
    <w:tmpl w:val="659EDEE2"/>
    <w:lvl w:ilvl="0" w:tplc="C5CA83CA">
      <w:start w:val="1"/>
      <w:numFmt w:val="bullet"/>
      <w:pStyle w:val="Bullets"/>
      <w:lvlText w:val=""/>
      <w:lvlJc w:val="left"/>
      <w:pPr>
        <w:ind w:left="720" w:hanging="360"/>
      </w:pPr>
      <w:rPr>
        <w:rFonts w:ascii="Wingdings" w:hAnsi="Wingdings" w:hint="default"/>
        <w:color w:val="D0BE00"/>
        <w:sz w:val="15"/>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4" w15:restartNumberingAfterBreak="0">
    <w:nsid w:val="3D245BE8"/>
    <w:multiLevelType w:val="hybridMultilevel"/>
    <w:tmpl w:val="F73A2D00"/>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5" w15:restartNumberingAfterBreak="0">
    <w:nsid w:val="3D954923"/>
    <w:multiLevelType w:val="hybridMultilevel"/>
    <w:tmpl w:val="33E8CF48"/>
    <w:name w:val="rhList"/>
    <w:lvl w:ilvl="0" w:tplc="28349C2A">
      <w:start w:val="5"/>
      <w:numFmt w:val="bullet"/>
      <w:lvlText w:val="-"/>
      <w:lvlJc w:val="left"/>
      <w:pPr>
        <w:ind w:left="720" w:hanging="360"/>
      </w:pPr>
      <w:rPr>
        <w:rFonts w:ascii="Arial Narrow" w:eastAsia="Times New Roman" w:hAnsi="Arial Narrow"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DD4221D"/>
    <w:multiLevelType w:val="multilevel"/>
    <w:tmpl w:val="9E9C3054"/>
    <w:styleLink w:val="ListBullets"/>
    <w:lvl w:ilvl="0">
      <w:start w:val="1"/>
      <w:numFmt w:val="bullet"/>
      <w:lvlText w:val=""/>
      <w:lvlJc w:val="left"/>
      <w:pPr>
        <w:ind w:left="284" w:hanging="284"/>
      </w:pPr>
      <w:rPr>
        <w:rFonts w:ascii="Wingdings" w:hAnsi="Wingdings" w:hint="default"/>
        <w:color w:val="4F81BD" w:themeColor="accent1"/>
        <w:sz w:val="14"/>
      </w:rPr>
    </w:lvl>
    <w:lvl w:ilvl="1">
      <w:start w:val="1"/>
      <w:numFmt w:val="bullet"/>
      <w:lvlText w:val=""/>
      <w:lvlJc w:val="left"/>
      <w:pPr>
        <w:ind w:left="568" w:hanging="284"/>
      </w:pPr>
      <w:rPr>
        <w:rFonts w:ascii="Wingdings" w:hAnsi="Wingdings" w:hint="default"/>
        <w:color w:val="4F81BD" w:themeColor="accent1"/>
        <w:sz w:val="14"/>
      </w:rPr>
    </w:lvl>
    <w:lvl w:ilvl="2">
      <w:start w:val="1"/>
      <w:numFmt w:val="bullet"/>
      <w:lvlText w:val=""/>
      <w:lvlJc w:val="left"/>
      <w:pPr>
        <w:ind w:left="852" w:hanging="284"/>
      </w:pPr>
      <w:rPr>
        <w:rFonts w:ascii="Wingdings" w:hAnsi="Wingdings" w:hint="default"/>
        <w:color w:val="4F81BD" w:themeColor="accent1"/>
        <w:sz w:val="12"/>
      </w:rPr>
    </w:lvl>
    <w:lvl w:ilvl="3">
      <w:start w:val="1"/>
      <w:numFmt w:val="bullet"/>
      <w:lvlText w:val=""/>
      <w:lvlJc w:val="left"/>
      <w:pPr>
        <w:ind w:left="1136" w:hanging="284"/>
      </w:pPr>
      <w:rPr>
        <w:rFonts w:ascii="Wingdings" w:hAnsi="Wingdings" w:hint="default"/>
        <w:color w:val="4F81BD" w:themeColor="accent1"/>
        <w:sz w:val="14"/>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47" w15:restartNumberingAfterBreak="0">
    <w:nsid w:val="3E0B6A56"/>
    <w:multiLevelType w:val="hybridMultilevel"/>
    <w:tmpl w:val="FB8CF55C"/>
    <w:lvl w:ilvl="0" w:tplc="6E5C3FA6">
      <w:start w:val="1"/>
      <w:numFmt w:val="decimal"/>
      <w:lvlText w:val="%1."/>
      <w:lvlJc w:val="left"/>
      <w:pPr>
        <w:ind w:left="720" w:hanging="360"/>
      </w:pPr>
      <w:rPr>
        <w:rFonts w:hint="default"/>
        <w:b w:val="0"/>
        <w:bCs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8" w15:restartNumberingAfterBreak="0">
    <w:nsid w:val="3FFD0090"/>
    <w:multiLevelType w:val="hybridMultilevel"/>
    <w:tmpl w:val="DD360BD6"/>
    <w:lvl w:ilvl="0" w:tplc="D2E2BD12">
      <w:numFmt w:val="bullet"/>
      <w:lvlText w:val="-"/>
      <w:lvlJc w:val="left"/>
      <w:pPr>
        <w:ind w:left="1126" w:hanging="360"/>
      </w:pPr>
      <w:rPr>
        <w:rFonts w:ascii="Arial Narrow" w:eastAsia="Calibri" w:hAnsi="Arial Narrow" w:cs="Times New Roman" w:hint="default"/>
      </w:rPr>
    </w:lvl>
    <w:lvl w:ilvl="1" w:tplc="04020003">
      <w:start w:val="1"/>
      <w:numFmt w:val="bullet"/>
      <w:lvlText w:val="o"/>
      <w:lvlJc w:val="left"/>
      <w:pPr>
        <w:ind w:left="1846" w:hanging="360"/>
      </w:pPr>
      <w:rPr>
        <w:rFonts w:ascii="Courier New" w:hAnsi="Courier New" w:cs="Courier New" w:hint="default"/>
      </w:rPr>
    </w:lvl>
    <w:lvl w:ilvl="2" w:tplc="04020005">
      <w:start w:val="1"/>
      <w:numFmt w:val="bullet"/>
      <w:lvlText w:val=""/>
      <w:lvlJc w:val="left"/>
      <w:pPr>
        <w:ind w:left="2566" w:hanging="360"/>
      </w:pPr>
      <w:rPr>
        <w:rFonts w:ascii="Wingdings" w:hAnsi="Wingdings" w:hint="default"/>
      </w:rPr>
    </w:lvl>
    <w:lvl w:ilvl="3" w:tplc="04020001">
      <w:start w:val="1"/>
      <w:numFmt w:val="bullet"/>
      <w:lvlText w:val=""/>
      <w:lvlJc w:val="left"/>
      <w:pPr>
        <w:ind w:left="3286" w:hanging="360"/>
      </w:pPr>
      <w:rPr>
        <w:rFonts w:ascii="Symbol" w:hAnsi="Symbol" w:hint="default"/>
      </w:rPr>
    </w:lvl>
    <w:lvl w:ilvl="4" w:tplc="04020003">
      <w:start w:val="1"/>
      <w:numFmt w:val="bullet"/>
      <w:lvlText w:val="o"/>
      <w:lvlJc w:val="left"/>
      <w:pPr>
        <w:ind w:left="4006" w:hanging="360"/>
      </w:pPr>
      <w:rPr>
        <w:rFonts w:ascii="Courier New" w:hAnsi="Courier New" w:cs="Courier New" w:hint="default"/>
      </w:rPr>
    </w:lvl>
    <w:lvl w:ilvl="5" w:tplc="04020005">
      <w:start w:val="1"/>
      <w:numFmt w:val="bullet"/>
      <w:lvlText w:val=""/>
      <w:lvlJc w:val="left"/>
      <w:pPr>
        <w:ind w:left="4726" w:hanging="360"/>
      </w:pPr>
      <w:rPr>
        <w:rFonts w:ascii="Wingdings" w:hAnsi="Wingdings" w:hint="default"/>
      </w:rPr>
    </w:lvl>
    <w:lvl w:ilvl="6" w:tplc="04020001">
      <w:start w:val="1"/>
      <w:numFmt w:val="bullet"/>
      <w:lvlText w:val=""/>
      <w:lvlJc w:val="left"/>
      <w:pPr>
        <w:ind w:left="5446" w:hanging="360"/>
      </w:pPr>
      <w:rPr>
        <w:rFonts w:ascii="Symbol" w:hAnsi="Symbol" w:hint="default"/>
      </w:rPr>
    </w:lvl>
    <w:lvl w:ilvl="7" w:tplc="04020003">
      <w:start w:val="1"/>
      <w:numFmt w:val="bullet"/>
      <w:lvlText w:val="o"/>
      <w:lvlJc w:val="left"/>
      <w:pPr>
        <w:ind w:left="6166" w:hanging="360"/>
      </w:pPr>
      <w:rPr>
        <w:rFonts w:ascii="Courier New" w:hAnsi="Courier New" w:cs="Courier New" w:hint="default"/>
      </w:rPr>
    </w:lvl>
    <w:lvl w:ilvl="8" w:tplc="04020005">
      <w:start w:val="1"/>
      <w:numFmt w:val="bullet"/>
      <w:lvlText w:val=""/>
      <w:lvlJc w:val="left"/>
      <w:pPr>
        <w:ind w:left="6886" w:hanging="360"/>
      </w:pPr>
      <w:rPr>
        <w:rFonts w:ascii="Wingdings" w:hAnsi="Wingdings" w:hint="default"/>
      </w:rPr>
    </w:lvl>
  </w:abstractNum>
  <w:abstractNum w:abstractNumId="49" w15:restartNumberingAfterBreak="0">
    <w:nsid w:val="405840AF"/>
    <w:multiLevelType w:val="multilevel"/>
    <w:tmpl w:val="0402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0" w15:restartNumberingAfterBreak="0">
    <w:nsid w:val="407C2205"/>
    <w:multiLevelType w:val="hybridMultilevel"/>
    <w:tmpl w:val="27E603B0"/>
    <w:lvl w:ilvl="0" w:tplc="EDAC83A4">
      <w:start w:val="1"/>
      <w:numFmt w:val="bullet"/>
      <w:lvlText w:val=""/>
      <w:lvlJc w:val="left"/>
      <w:pPr>
        <w:ind w:left="1713" w:hanging="360"/>
      </w:pPr>
      <w:rPr>
        <w:rFonts w:ascii="Wingdings" w:hAnsi="Wingdings" w:hint="default"/>
      </w:rPr>
    </w:lvl>
    <w:lvl w:ilvl="1" w:tplc="04020003" w:tentative="1">
      <w:start w:val="1"/>
      <w:numFmt w:val="bullet"/>
      <w:lvlText w:val="o"/>
      <w:lvlJc w:val="left"/>
      <w:pPr>
        <w:ind w:left="2433" w:hanging="360"/>
      </w:pPr>
      <w:rPr>
        <w:rFonts w:ascii="Courier New" w:hAnsi="Courier New" w:cs="Courier New" w:hint="default"/>
      </w:rPr>
    </w:lvl>
    <w:lvl w:ilvl="2" w:tplc="04020005" w:tentative="1">
      <w:start w:val="1"/>
      <w:numFmt w:val="bullet"/>
      <w:lvlText w:val=""/>
      <w:lvlJc w:val="left"/>
      <w:pPr>
        <w:ind w:left="3153" w:hanging="360"/>
      </w:pPr>
      <w:rPr>
        <w:rFonts w:ascii="Wingdings" w:hAnsi="Wingdings" w:hint="default"/>
      </w:rPr>
    </w:lvl>
    <w:lvl w:ilvl="3" w:tplc="04020001" w:tentative="1">
      <w:start w:val="1"/>
      <w:numFmt w:val="bullet"/>
      <w:lvlText w:val=""/>
      <w:lvlJc w:val="left"/>
      <w:pPr>
        <w:ind w:left="3873" w:hanging="360"/>
      </w:pPr>
      <w:rPr>
        <w:rFonts w:ascii="Symbol" w:hAnsi="Symbol" w:hint="default"/>
      </w:rPr>
    </w:lvl>
    <w:lvl w:ilvl="4" w:tplc="04020003" w:tentative="1">
      <w:start w:val="1"/>
      <w:numFmt w:val="bullet"/>
      <w:lvlText w:val="o"/>
      <w:lvlJc w:val="left"/>
      <w:pPr>
        <w:ind w:left="4593" w:hanging="360"/>
      </w:pPr>
      <w:rPr>
        <w:rFonts w:ascii="Courier New" w:hAnsi="Courier New" w:cs="Courier New" w:hint="default"/>
      </w:rPr>
    </w:lvl>
    <w:lvl w:ilvl="5" w:tplc="04020005" w:tentative="1">
      <w:start w:val="1"/>
      <w:numFmt w:val="bullet"/>
      <w:lvlText w:val=""/>
      <w:lvlJc w:val="left"/>
      <w:pPr>
        <w:ind w:left="5313" w:hanging="360"/>
      </w:pPr>
      <w:rPr>
        <w:rFonts w:ascii="Wingdings" w:hAnsi="Wingdings" w:hint="default"/>
      </w:rPr>
    </w:lvl>
    <w:lvl w:ilvl="6" w:tplc="04020001" w:tentative="1">
      <w:start w:val="1"/>
      <w:numFmt w:val="bullet"/>
      <w:lvlText w:val=""/>
      <w:lvlJc w:val="left"/>
      <w:pPr>
        <w:ind w:left="6033" w:hanging="360"/>
      </w:pPr>
      <w:rPr>
        <w:rFonts w:ascii="Symbol" w:hAnsi="Symbol" w:hint="default"/>
      </w:rPr>
    </w:lvl>
    <w:lvl w:ilvl="7" w:tplc="04020003" w:tentative="1">
      <w:start w:val="1"/>
      <w:numFmt w:val="bullet"/>
      <w:lvlText w:val="o"/>
      <w:lvlJc w:val="left"/>
      <w:pPr>
        <w:ind w:left="6753" w:hanging="360"/>
      </w:pPr>
      <w:rPr>
        <w:rFonts w:ascii="Courier New" w:hAnsi="Courier New" w:cs="Courier New" w:hint="default"/>
      </w:rPr>
    </w:lvl>
    <w:lvl w:ilvl="8" w:tplc="04020005" w:tentative="1">
      <w:start w:val="1"/>
      <w:numFmt w:val="bullet"/>
      <w:lvlText w:val=""/>
      <w:lvlJc w:val="left"/>
      <w:pPr>
        <w:ind w:left="7473" w:hanging="360"/>
      </w:pPr>
      <w:rPr>
        <w:rFonts w:ascii="Wingdings" w:hAnsi="Wingdings" w:hint="default"/>
      </w:rPr>
    </w:lvl>
  </w:abstractNum>
  <w:abstractNum w:abstractNumId="51" w15:restartNumberingAfterBreak="0">
    <w:nsid w:val="42305AAB"/>
    <w:multiLevelType w:val="hybridMultilevel"/>
    <w:tmpl w:val="4F5E37E8"/>
    <w:lvl w:ilvl="0" w:tplc="289AFD06">
      <w:start w:val="1"/>
      <w:numFmt w:val="decimal"/>
      <w:pStyle w:val="I-4"/>
      <w:lvlText w:val="Таблица I-4.%1"/>
      <w:lvlJc w:val="left"/>
      <w:rPr>
        <w:rFonts w:hint="default"/>
        <w:b/>
        <w:bCs w:val="0"/>
        <w:i/>
        <w:iCs w:val="0"/>
        <w:caps w:val="0"/>
        <w:smallCaps w:val="0"/>
        <w:strike w:val="0"/>
        <w:dstrike w:val="0"/>
        <w:vanish w:val="0"/>
        <w:color w:val="000000"/>
        <w:spacing w:val="0"/>
        <w:kern w:val="0"/>
        <w:position w:val="0"/>
        <w:u w:val="none"/>
        <w:effect w:val="none"/>
        <w:vertAlign w:val="baseline"/>
        <w:em w:val="none"/>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2" w15:restartNumberingAfterBreak="0">
    <w:nsid w:val="42E34D9A"/>
    <w:multiLevelType w:val="hybridMultilevel"/>
    <w:tmpl w:val="2CDE8898"/>
    <w:lvl w:ilvl="0" w:tplc="B19299DA">
      <w:start w:val="1"/>
      <w:numFmt w:val="bullet"/>
      <w:lvlText w:val=""/>
      <w:lvlJc w:val="left"/>
      <w:pPr>
        <w:ind w:left="720" w:hanging="360"/>
      </w:pPr>
      <w:rPr>
        <w:rFonts w:ascii="Symbol" w:hAnsi="Symbol" w:hint="default"/>
      </w:rPr>
    </w:lvl>
    <w:lvl w:ilvl="1" w:tplc="B19299DA">
      <w:start w:val="1"/>
      <w:numFmt w:val="bullet"/>
      <w:lvlText w:val=""/>
      <w:lvlJc w:val="left"/>
      <w:pPr>
        <w:ind w:left="1440" w:hanging="360"/>
      </w:pPr>
      <w:rPr>
        <w:rFonts w:ascii="Symbol" w:hAnsi="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3" w15:restartNumberingAfterBreak="0">
    <w:nsid w:val="42EA48A8"/>
    <w:multiLevelType w:val="multilevel"/>
    <w:tmpl w:val="A454D15A"/>
    <w:styleLink w:val="ListHeadings"/>
    <w:lvl w:ilvl="0">
      <w:start w:val="1"/>
      <w:numFmt w:val="decimal"/>
      <w:lvlText w:val="%1"/>
      <w:lvlJc w:val="left"/>
      <w:pPr>
        <w:ind w:left="851" w:hanging="851"/>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851" w:hanging="851"/>
      </w:pPr>
      <w:rPr>
        <w:rFonts w:hint="default"/>
      </w:rPr>
    </w:lvl>
    <w:lvl w:ilvl="4">
      <w:start w:val="1"/>
      <w:numFmt w:val="none"/>
      <w:lvlText w:val=""/>
      <w:lvlJc w:val="left"/>
      <w:pPr>
        <w:ind w:left="851" w:hanging="851"/>
      </w:pPr>
      <w:rPr>
        <w:rFonts w:hint="default"/>
      </w:rPr>
    </w:lvl>
    <w:lvl w:ilvl="5">
      <w:start w:val="1"/>
      <w:numFmt w:val="none"/>
      <w:lvlText w:val=""/>
      <w:lvlJc w:val="left"/>
      <w:pPr>
        <w:ind w:left="851" w:hanging="851"/>
      </w:pPr>
      <w:rPr>
        <w:rFonts w:hint="default"/>
      </w:rPr>
    </w:lvl>
    <w:lvl w:ilvl="6">
      <w:start w:val="1"/>
      <w:numFmt w:val="none"/>
      <w:lvlText w:val=""/>
      <w:lvlJc w:val="left"/>
      <w:pPr>
        <w:ind w:left="851" w:hanging="851"/>
      </w:pPr>
      <w:rPr>
        <w:rFonts w:hint="default"/>
      </w:rPr>
    </w:lvl>
    <w:lvl w:ilvl="7">
      <w:start w:val="1"/>
      <w:numFmt w:val="none"/>
      <w:lvlText w:val=""/>
      <w:lvlJc w:val="left"/>
      <w:pPr>
        <w:ind w:left="851" w:hanging="851"/>
      </w:pPr>
      <w:rPr>
        <w:rFonts w:hint="default"/>
      </w:rPr>
    </w:lvl>
    <w:lvl w:ilvl="8">
      <w:start w:val="1"/>
      <w:numFmt w:val="none"/>
      <w:lvlText w:val=""/>
      <w:lvlJc w:val="left"/>
      <w:pPr>
        <w:ind w:left="851" w:hanging="851"/>
      </w:pPr>
      <w:rPr>
        <w:rFonts w:hint="default"/>
      </w:rPr>
    </w:lvl>
  </w:abstractNum>
  <w:abstractNum w:abstractNumId="54" w15:restartNumberingAfterBreak="0">
    <w:nsid w:val="44A645E0"/>
    <w:multiLevelType w:val="hybridMultilevel"/>
    <w:tmpl w:val="A770E314"/>
    <w:lvl w:ilvl="0" w:tplc="0402000B">
      <w:start w:val="1"/>
      <w:numFmt w:val="bullet"/>
      <w:lvlText w:val=""/>
      <w:lvlJc w:val="left"/>
      <w:pPr>
        <w:tabs>
          <w:tab w:val="num" w:pos="840"/>
        </w:tabs>
        <w:ind w:left="840" w:hanging="360"/>
      </w:pPr>
      <w:rPr>
        <w:rFonts w:ascii="Wingdings" w:hAnsi="Wingdings" w:hint="default"/>
      </w:rPr>
    </w:lvl>
    <w:lvl w:ilvl="1" w:tplc="04020003" w:tentative="1">
      <w:start w:val="1"/>
      <w:numFmt w:val="bullet"/>
      <w:lvlText w:val="o"/>
      <w:lvlJc w:val="left"/>
      <w:pPr>
        <w:tabs>
          <w:tab w:val="num" w:pos="1560"/>
        </w:tabs>
        <w:ind w:left="1560" w:hanging="360"/>
      </w:pPr>
      <w:rPr>
        <w:rFonts w:ascii="Courier New" w:hAnsi="Courier New" w:cs="Courier New" w:hint="default"/>
      </w:rPr>
    </w:lvl>
    <w:lvl w:ilvl="2" w:tplc="04020005" w:tentative="1">
      <w:start w:val="1"/>
      <w:numFmt w:val="bullet"/>
      <w:lvlText w:val=""/>
      <w:lvlJc w:val="left"/>
      <w:pPr>
        <w:tabs>
          <w:tab w:val="num" w:pos="2280"/>
        </w:tabs>
        <w:ind w:left="2280" w:hanging="360"/>
      </w:pPr>
      <w:rPr>
        <w:rFonts w:ascii="Wingdings" w:hAnsi="Wingdings" w:hint="default"/>
      </w:rPr>
    </w:lvl>
    <w:lvl w:ilvl="3" w:tplc="04020001" w:tentative="1">
      <w:start w:val="1"/>
      <w:numFmt w:val="bullet"/>
      <w:lvlText w:val=""/>
      <w:lvlJc w:val="left"/>
      <w:pPr>
        <w:tabs>
          <w:tab w:val="num" w:pos="3000"/>
        </w:tabs>
        <w:ind w:left="3000" w:hanging="360"/>
      </w:pPr>
      <w:rPr>
        <w:rFonts w:ascii="Symbol" w:hAnsi="Symbol" w:hint="default"/>
      </w:rPr>
    </w:lvl>
    <w:lvl w:ilvl="4" w:tplc="04020003" w:tentative="1">
      <w:start w:val="1"/>
      <w:numFmt w:val="bullet"/>
      <w:lvlText w:val="o"/>
      <w:lvlJc w:val="left"/>
      <w:pPr>
        <w:tabs>
          <w:tab w:val="num" w:pos="3720"/>
        </w:tabs>
        <w:ind w:left="3720" w:hanging="360"/>
      </w:pPr>
      <w:rPr>
        <w:rFonts w:ascii="Courier New" w:hAnsi="Courier New" w:cs="Courier New" w:hint="default"/>
      </w:rPr>
    </w:lvl>
    <w:lvl w:ilvl="5" w:tplc="04020005" w:tentative="1">
      <w:start w:val="1"/>
      <w:numFmt w:val="bullet"/>
      <w:lvlText w:val=""/>
      <w:lvlJc w:val="left"/>
      <w:pPr>
        <w:tabs>
          <w:tab w:val="num" w:pos="4440"/>
        </w:tabs>
        <w:ind w:left="4440" w:hanging="360"/>
      </w:pPr>
      <w:rPr>
        <w:rFonts w:ascii="Wingdings" w:hAnsi="Wingdings" w:hint="default"/>
      </w:rPr>
    </w:lvl>
    <w:lvl w:ilvl="6" w:tplc="04020001" w:tentative="1">
      <w:start w:val="1"/>
      <w:numFmt w:val="bullet"/>
      <w:lvlText w:val=""/>
      <w:lvlJc w:val="left"/>
      <w:pPr>
        <w:tabs>
          <w:tab w:val="num" w:pos="5160"/>
        </w:tabs>
        <w:ind w:left="5160" w:hanging="360"/>
      </w:pPr>
      <w:rPr>
        <w:rFonts w:ascii="Symbol" w:hAnsi="Symbol" w:hint="default"/>
      </w:rPr>
    </w:lvl>
    <w:lvl w:ilvl="7" w:tplc="04020003" w:tentative="1">
      <w:start w:val="1"/>
      <w:numFmt w:val="bullet"/>
      <w:lvlText w:val="o"/>
      <w:lvlJc w:val="left"/>
      <w:pPr>
        <w:tabs>
          <w:tab w:val="num" w:pos="5880"/>
        </w:tabs>
        <w:ind w:left="5880" w:hanging="360"/>
      </w:pPr>
      <w:rPr>
        <w:rFonts w:ascii="Courier New" w:hAnsi="Courier New" w:cs="Courier New" w:hint="default"/>
      </w:rPr>
    </w:lvl>
    <w:lvl w:ilvl="8" w:tplc="04020005" w:tentative="1">
      <w:start w:val="1"/>
      <w:numFmt w:val="bullet"/>
      <w:lvlText w:val=""/>
      <w:lvlJc w:val="left"/>
      <w:pPr>
        <w:tabs>
          <w:tab w:val="num" w:pos="6600"/>
        </w:tabs>
        <w:ind w:left="6600" w:hanging="360"/>
      </w:pPr>
      <w:rPr>
        <w:rFonts w:ascii="Wingdings" w:hAnsi="Wingdings" w:hint="default"/>
      </w:rPr>
    </w:lvl>
  </w:abstractNum>
  <w:abstractNum w:abstractNumId="55" w15:restartNumberingAfterBreak="0">
    <w:nsid w:val="46E874F0"/>
    <w:multiLevelType w:val="multilevel"/>
    <w:tmpl w:val="A454D15A"/>
    <w:name w:val="rhList222"/>
    <w:numStyleLink w:val="ListHeadings"/>
  </w:abstractNum>
  <w:abstractNum w:abstractNumId="56" w15:restartNumberingAfterBreak="0">
    <w:nsid w:val="47973DD9"/>
    <w:multiLevelType w:val="hybridMultilevel"/>
    <w:tmpl w:val="B716555C"/>
    <w:lvl w:ilvl="0" w:tplc="04090001">
      <w:start w:val="1"/>
      <w:numFmt w:val="bullet"/>
      <w:pStyle w:val="List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BE67C88"/>
    <w:multiLevelType w:val="hybridMultilevel"/>
    <w:tmpl w:val="A252D6E0"/>
    <w:lvl w:ilvl="0" w:tplc="78361122">
      <w:start w:val="1"/>
      <w:numFmt w:val="decimal"/>
      <w:pStyle w:val="I-5"/>
      <w:lvlText w:val="Таблица I-5.%1"/>
      <w:lvlJc w:val="left"/>
      <w:rPr>
        <w:rFonts w:hint="default"/>
        <w:b/>
        <w:bCs w:val="0"/>
        <w:i/>
        <w:iCs w:val="0"/>
        <w:caps w:val="0"/>
        <w:smallCaps w:val="0"/>
        <w:strike w:val="0"/>
        <w:dstrike w:val="0"/>
        <w:vanish w:val="0"/>
        <w:color w:val="000000"/>
        <w:spacing w:val="0"/>
        <w:kern w:val="0"/>
        <w:position w:val="0"/>
        <w:u w:val="none"/>
        <w:effect w:val="none"/>
        <w:vertAlign w:val="baseline"/>
        <w:em w:val="none"/>
      </w:rPr>
    </w:lvl>
    <w:lvl w:ilvl="1" w:tplc="04020019" w:tentative="1">
      <w:start w:val="1"/>
      <w:numFmt w:val="lowerLetter"/>
      <w:lvlText w:val="%2."/>
      <w:lvlJc w:val="left"/>
      <w:pPr>
        <w:ind w:left="1435" w:hanging="360"/>
      </w:pPr>
    </w:lvl>
    <w:lvl w:ilvl="2" w:tplc="0402001B" w:tentative="1">
      <w:start w:val="1"/>
      <w:numFmt w:val="lowerRoman"/>
      <w:lvlText w:val="%3."/>
      <w:lvlJc w:val="right"/>
      <w:pPr>
        <w:ind w:left="2155" w:hanging="180"/>
      </w:pPr>
    </w:lvl>
    <w:lvl w:ilvl="3" w:tplc="0402000F" w:tentative="1">
      <w:start w:val="1"/>
      <w:numFmt w:val="decimal"/>
      <w:lvlText w:val="%4."/>
      <w:lvlJc w:val="left"/>
      <w:pPr>
        <w:ind w:left="2875" w:hanging="360"/>
      </w:pPr>
    </w:lvl>
    <w:lvl w:ilvl="4" w:tplc="04020019" w:tentative="1">
      <w:start w:val="1"/>
      <w:numFmt w:val="lowerLetter"/>
      <w:lvlText w:val="%5."/>
      <w:lvlJc w:val="left"/>
      <w:pPr>
        <w:ind w:left="3595" w:hanging="360"/>
      </w:pPr>
    </w:lvl>
    <w:lvl w:ilvl="5" w:tplc="0402001B" w:tentative="1">
      <w:start w:val="1"/>
      <w:numFmt w:val="lowerRoman"/>
      <w:lvlText w:val="%6."/>
      <w:lvlJc w:val="right"/>
      <w:pPr>
        <w:ind w:left="4315" w:hanging="180"/>
      </w:pPr>
    </w:lvl>
    <w:lvl w:ilvl="6" w:tplc="0402000F" w:tentative="1">
      <w:start w:val="1"/>
      <w:numFmt w:val="decimal"/>
      <w:lvlText w:val="%7."/>
      <w:lvlJc w:val="left"/>
      <w:pPr>
        <w:ind w:left="5035" w:hanging="360"/>
      </w:pPr>
    </w:lvl>
    <w:lvl w:ilvl="7" w:tplc="04020019" w:tentative="1">
      <w:start w:val="1"/>
      <w:numFmt w:val="lowerLetter"/>
      <w:lvlText w:val="%8."/>
      <w:lvlJc w:val="left"/>
      <w:pPr>
        <w:ind w:left="5755" w:hanging="360"/>
      </w:pPr>
    </w:lvl>
    <w:lvl w:ilvl="8" w:tplc="0402001B" w:tentative="1">
      <w:start w:val="1"/>
      <w:numFmt w:val="lowerRoman"/>
      <w:lvlText w:val="%9."/>
      <w:lvlJc w:val="right"/>
      <w:pPr>
        <w:ind w:left="6475" w:hanging="180"/>
      </w:pPr>
    </w:lvl>
  </w:abstractNum>
  <w:abstractNum w:abstractNumId="58" w15:restartNumberingAfterBreak="0">
    <w:nsid w:val="4CAC20F0"/>
    <w:multiLevelType w:val="multilevel"/>
    <w:tmpl w:val="98A697BA"/>
    <w:styleLink w:val="AppendixHeadings"/>
    <w:lvl w:ilvl="0">
      <w:start w:val="1"/>
      <w:numFmt w:val="upperLetter"/>
      <w:pStyle w:val="AppendixH1"/>
      <w:lvlText w:val="APPENDIX %1"/>
      <w:lvlJc w:val="left"/>
      <w:pPr>
        <w:tabs>
          <w:tab w:val="num" w:pos="1080"/>
        </w:tabs>
        <w:ind w:left="0" w:firstLine="0"/>
      </w:pPr>
      <w:rPr>
        <w:rFonts w:ascii="Arial" w:hAnsi="Arial" w:hint="default"/>
        <w:sz w:val="22"/>
      </w:rPr>
    </w:lvl>
    <w:lvl w:ilvl="1">
      <w:start w:val="1"/>
      <w:numFmt w:val="decimal"/>
      <w:lvlText w:val="%1.%2"/>
      <w:lvlJc w:val="left"/>
      <w:pPr>
        <w:ind w:left="0" w:firstLine="0"/>
      </w:pPr>
      <w:rPr>
        <w:rFonts w:ascii="Arial" w:hAnsi="Arial" w:hint="default"/>
        <w:sz w:val="22"/>
      </w:rPr>
    </w:lvl>
    <w:lvl w:ilvl="2">
      <w:start w:val="1"/>
      <w:numFmt w:val="decimal"/>
      <w:lvlText w:val="%1.%2.%3"/>
      <w:lvlJc w:val="left"/>
      <w:pPr>
        <w:tabs>
          <w:tab w:val="num" w:pos="1639"/>
        </w:tabs>
        <w:ind w:left="0" w:firstLine="0"/>
      </w:pPr>
      <w:rPr>
        <w:rFonts w:ascii="Arial" w:hAnsi="Arial" w:hint="default"/>
        <w:sz w:val="22"/>
      </w:rPr>
    </w:lvl>
    <w:lvl w:ilvl="3">
      <w:start w:val="1"/>
      <w:numFmt w:val="decimal"/>
      <w:pStyle w:val="AppendixH4"/>
      <w:lvlText w:val="%1.%2.%3.%4"/>
      <w:lvlJc w:val="left"/>
      <w:pPr>
        <w:ind w:left="0" w:firstLine="0"/>
      </w:pPr>
      <w:rPr>
        <w:rFonts w:asciiTheme="majorHAnsi" w:hAnsiTheme="majorHAnsi" w:hint="default"/>
        <w:sz w:val="24"/>
      </w:rPr>
    </w:lvl>
    <w:lvl w:ilvl="4">
      <w:start w:val="1"/>
      <w:numFmt w:val="lowerLetter"/>
      <w:lvlText w:val="(%5)"/>
      <w:lvlJc w:val="left"/>
      <w:pPr>
        <w:ind w:left="4320" w:hanging="360"/>
      </w:pPr>
      <w:rPr>
        <w:rFonts w:hint="default"/>
      </w:rPr>
    </w:lvl>
    <w:lvl w:ilvl="5">
      <w:start w:val="1"/>
      <w:numFmt w:val="lowerRoman"/>
      <w:lvlText w:val="(%6)"/>
      <w:lvlJc w:val="left"/>
      <w:pPr>
        <w:ind w:left="4680" w:hanging="36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left"/>
      <w:pPr>
        <w:ind w:left="5760" w:hanging="360"/>
      </w:pPr>
      <w:rPr>
        <w:rFonts w:hint="default"/>
      </w:rPr>
    </w:lvl>
  </w:abstractNum>
  <w:abstractNum w:abstractNumId="59" w15:restartNumberingAfterBreak="0">
    <w:nsid w:val="4E6E0ADC"/>
    <w:multiLevelType w:val="singleLevel"/>
    <w:tmpl w:val="74DCC16E"/>
    <w:lvl w:ilvl="0">
      <w:start w:val="1"/>
      <w:numFmt w:val="bullet"/>
      <w:pStyle w:val="Bullet2"/>
      <w:lvlText w:val=""/>
      <w:lvlJc w:val="left"/>
      <w:pPr>
        <w:tabs>
          <w:tab w:val="num" w:pos="700"/>
        </w:tabs>
        <w:ind w:left="680" w:hanging="340"/>
      </w:pPr>
      <w:rPr>
        <w:rFonts w:ascii="Symbol" w:hAnsi="Symbol" w:hint="default"/>
        <w:sz w:val="18"/>
        <w:szCs w:val="18"/>
      </w:rPr>
    </w:lvl>
  </w:abstractNum>
  <w:abstractNum w:abstractNumId="60" w15:restartNumberingAfterBreak="0">
    <w:nsid w:val="4FF40121"/>
    <w:multiLevelType w:val="hybridMultilevel"/>
    <w:tmpl w:val="3EB4CE80"/>
    <w:lvl w:ilvl="0" w:tplc="0409000B">
      <w:start w:val="1"/>
      <w:numFmt w:val="bullet"/>
      <w:lvlText w:val=""/>
      <w:lvlJc w:val="left"/>
      <w:pPr>
        <w:ind w:left="780" w:hanging="360"/>
      </w:pPr>
      <w:rPr>
        <w:rFonts w:ascii="Wingdings" w:hAnsi="Wingdings"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61" w15:restartNumberingAfterBreak="0">
    <w:nsid w:val="509C4221"/>
    <w:multiLevelType w:val="hybridMultilevel"/>
    <w:tmpl w:val="FB8CF55C"/>
    <w:lvl w:ilvl="0" w:tplc="3208A3EA">
      <w:start w:val="1"/>
      <w:numFmt w:val="decimal"/>
      <w:lvlText w:val="%1."/>
      <w:lvlJc w:val="left"/>
      <w:pPr>
        <w:ind w:left="720" w:hanging="360"/>
      </w:pPr>
      <w:rPr>
        <w:rFonts w:hint="default"/>
        <w:b w:val="0"/>
        <w:bCs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2" w15:restartNumberingAfterBreak="0">
    <w:nsid w:val="514E5D87"/>
    <w:multiLevelType w:val="hybridMultilevel"/>
    <w:tmpl w:val="87100D54"/>
    <w:lvl w:ilvl="0" w:tplc="04020001">
      <w:start w:val="1"/>
      <w:numFmt w:val="bullet"/>
      <w:pStyle w:val="Note"/>
      <w:lvlText w:val="-"/>
      <w:lvlJc w:val="left"/>
      <w:pPr>
        <w:tabs>
          <w:tab w:val="num" w:pos="1443"/>
        </w:tabs>
        <w:ind w:left="1443" w:hanging="363"/>
      </w:pPr>
      <w:rPr>
        <w:rFonts w:ascii="Times New Roman" w:hAnsi="Times New Roman" w:hint="default"/>
        <w:b/>
        <w:i w:val="0"/>
        <w:color w:val="auto"/>
        <w:sz w:val="28"/>
      </w:rPr>
    </w:lvl>
    <w:lvl w:ilvl="1" w:tplc="04020003">
      <w:start w:val="1"/>
      <w:numFmt w:val="bullet"/>
      <w:lvlText w:val="o"/>
      <w:lvlJc w:val="left"/>
      <w:pPr>
        <w:tabs>
          <w:tab w:val="num" w:pos="1593"/>
        </w:tabs>
        <w:ind w:left="1593" w:hanging="363"/>
      </w:pPr>
      <w:rPr>
        <w:rFonts w:ascii="Courier New" w:hAnsi="Courier New" w:hint="default"/>
        <w:b/>
        <w:i w:val="0"/>
        <w:color w:val="auto"/>
        <w:sz w:val="28"/>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63" w15:restartNumberingAfterBreak="0">
    <w:nsid w:val="52402211"/>
    <w:multiLevelType w:val="multilevel"/>
    <w:tmpl w:val="4DC271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52804C77"/>
    <w:multiLevelType w:val="hybridMultilevel"/>
    <w:tmpl w:val="496AD81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3373519"/>
    <w:multiLevelType w:val="hybridMultilevel"/>
    <w:tmpl w:val="7EF895E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6" w15:restartNumberingAfterBreak="0">
    <w:nsid w:val="552A7C5C"/>
    <w:multiLevelType w:val="hybridMultilevel"/>
    <w:tmpl w:val="46E42302"/>
    <w:lvl w:ilvl="0" w:tplc="08090001">
      <w:start w:val="1"/>
      <w:numFmt w:val="bullet"/>
      <w:lvlText w:val=""/>
      <w:lvlJc w:val="left"/>
      <w:pPr>
        <w:ind w:left="690" w:hanging="360"/>
      </w:pPr>
      <w:rPr>
        <w:rFonts w:ascii="Symbol"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55DE5FED"/>
    <w:multiLevelType w:val="hybridMultilevel"/>
    <w:tmpl w:val="80689ABE"/>
    <w:lvl w:ilvl="0" w:tplc="491AC8D8">
      <w:start w:val="13"/>
      <w:numFmt w:val="bullet"/>
      <w:lvlText w:val="-"/>
      <w:lvlJc w:val="left"/>
      <w:pPr>
        <w:ind w:left="1069" w:hanging="360"/>
      </w:pPr>
      <w:rPr>
        <w:rFonts w:ascii="Arial Narrow" w:eastAsia="Times New Roman" w:hAnsi="Arial Narrow" w:cs="Times New Roman"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68" w15:restartNumberingAfterBreak="0">
    <w:nsid w:val="563165A1"/>
    <w:multiLevelType w:val="hybridMultilevel"/>
    <w:tmpl w:val="C7E894AA"/>
    <w:lvl w:ilvl="0" w:tplc="1AB85C7E">
      <w:numFmt w:val="bullet"/>
      <w:lvlText w:val="-"/>
      <w:lvlJc w:val="left"/>
      <w:pPr>
        <w:ind w:left="720" w:hanging="360"/>
      </w:pPr>
      <w:rPr>
        <w:rFonts w:ascii="Calibri" w:eastAsiaTheme="minorHAnsi" w:hAnsi="Calibri" w:cs="Calibri"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7E35A9D"/>
    <w:multiLevelType w:val="hybridMultilevel"/>
    <w:tmpl w:val="97449916"/>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70" w15:restartNumberingAfterBreak="0">
    <w:nsid w:val="590D1386"/>
    <w:multiLevelType w:val="multilevel"/>
    <w:tmpl w:val="3EACC1B6"/>
    <w:styleLink w:val="ListAppendices"/>
    <w:lvl w:ilvl="0">
      <w:start w:val="1"/>
      <w:numFmt w:val="decimal"/>
      <w:pStyle w:val="AppendixHeading1Numbered"/>
      <w:lvlText w:val="A%1"/>
      <w:lvlJc w:val="left"/>
      <w:pPr>
        <w:ind w:left="964" w:hanging="964"/>
      </w:pPr>
      <w:rPr>
        <w:rFonts w:hint="default"/>
      </w:rPr>
    </w:lvl>
    <w:lvl w:ilvl="1">
      <w:start w:val="1"/>
      <w:numFmt w:val="decimal"/>
      <w:pStyle w:val="AppendixHeading2Numbered"/>
      <w:lvlText w:val="A%1.%2"/>
      <w:lvlJc w:val="left"/>
      <w:pPr>
        <w:ind w:left="964" w:hanging="964"/>
      </w:pPr>
      <w:rPr>
        <w:rFonts w:hint="default"/>
      </w:rPr>
    </w:lvl>
    <w:lvl w:ilvl="2">
      <w:start w:val="1"/>
      <w:numFmt w:val="decimal"/>
      <w:pStyle w:val="AppendixHeading3Numbered"/>
      <w:lvlText w:val="A%1.%2.%3"/>
      <w:lvlJc w:val="left"/>
      <w:pPr>
        <w:ind w:left="964" w:hanging="964"/>
      </w:pPr>
      <w:rPr>
        <w:rFonts w:hint="default"/>
      </w:rPr>
    </w:lvl>
    <w:lvl w:ilvl="3">
      <w:start w:val="1"/>
      <w:numFmt w:val="none"/>
      <w:lvlText w:val=""/>
      <w:lvlJc w:val="left"/>
      <w:pPr>
        <w:ind w:left="964" w:hanging="964"/>
      </w:pPr>
      <w:rPr>
        <w:rFonts w:hint="default"/>
      </w:rPr>
    </w:lvl>
    <w:lvl w:ilvl="4">
      <w:start w:val="1"/>
      <w:numFmt w:val="none"/>
      <w:lvlText w:val=""/>
      <w:lvlJc w:val="left"/>
      <w:pPr>
        <w:ind w:left="964" w:hanging="964"/>
      </w:pPr>
      <w:rPr>
        <w:rFonts w:hint="default"/>
      </w:rPr>
    </w:lvl>
    <w:lvl w:ilvl="5">
      <w:start w:val="1"/>
      <w:numFmt w:val="none"/>
      <w:lvlText w:val=""/>
      <w:lvlJc w:val="left"/>
      <w:pPr>
        <w:ind w:left="964" w:hanging="964"/>
      </w:pPr>
      <w:rPr>
        <w:rFonts w:hint="default"/>
      </w:rPr>
    </w:lvl>
    <w:lvl w:ilvl="6">
      <w:start w:val="1"/>
      <w:numFmt w:val="none"/>
      <w:lvlText w:val=""/>
      <w:lvlJc w:val="left"/>
      <w:pPr>
        <w:ind w:left="964" w:hanging="964"/>
      </w:pPr>
      <w:rPr>
        <w:rFonts w:hint="default"/>
      </w:rPr>
    </w:lvl>
    <w:lvl w:ilvl="7">
      <w:start w:val="1"/>
      <w:numFmt w:val="none"/>
      <w:lvlText w:val=""/>
      <w:lvlJc w:val="left"/>
      <w:pPr>
        <w:ind w:left="964" w:hanging="964"/>
      </w:pPr>
      <w:rPr>
        <w:rFonts w:hint="default"/>
      </w:rPr>
    </w:lvl>
    <w:lvl w:ilvl="8">
      <w:start w:val="1"/>
      <w:numFmt w:val="none"/>
      <w:lvlText w:val=""/>
      <w:lvlJc w:val="left"/>
      <w:pPr>
        <w:ind w:left="964" w:hanging="964"/>
      </w:pPr>
      <w:rPr>
        <w:rFonts w:hint="default"/>
      </w:rPr>
    </w:lvl>
  </w:abstractNum>
  <w:abstractNum w:abstractNumId="71" w15:restartNumberingAfterBreak="0">
    <w:nsid w:val="59497CF8"/>
    <w:multiLevelType w:val="hybridMultilevel"/>
    <w:tmpl w:val="24E0EBCC"/>
    <w:lvl w:ilvl="0" w:tplc="B4C8F850">
      <w:start w:val="1"/>
      <w:numFmt w:val="decimal"/>
      <w:pStyle w:val="I-1"/>
      <w:lvlText w:val="Таблица I-1.%1"/>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2" w15:restartNumberingAfterBreak="0">
    <w:nsid w:val="5AC742EA"/>
    <w:multiLevelType w:val="hybridMultilevel"/>
    <w:tmpl w:val="B0AC24C2"/>
    <w:lvl w:ilvl="0" w:tplc="04090003">
      <w:start w:val="11"/>
      <w:numFmt w:val="bullet"/>
      <w:pStyle w:val="ListBullet3"/>
      <w:lvlText w:val="-"/>
      <w:lvlJc w:val="left"/>
      <w:pPr>
        <w:ind w:left="1080" w:hanging="360"/>
      </w:pPr>
      <w:rPr>
        <w:rFonts w:ascii="Arial" w:eastAsia="Times New Roman" w:hAnsi="Aria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3" w15:restartNumberingAfterBreak="0">
    <w:nsid w:val="5CCD6C12"/>
    <w:multiLevelType w:val="hybridMultilevel"/>
    <w:tmpl w:val="F00465DC"/>
    <w:lvl w:ilvl="0" w:tplc="0220C85E">
      <w:start w:val="1"/>
      <w:numFmt w:val="decimal"/>
      <w:lvlText w:val="%1."/>
      <w:lvlJc w:val="left"/>
      <w:pPr>
        <w:ind w:left="690" w:hanging="360"/>
      </w:pPr>
      <w:rPr>
        <w:rFonts w:hint="default"/>
        <w:b/>
      </w:rPr>
    </w:lvl>
    <w:lvl w:ilvl="1" w:tplc="04020019" w:tentative="1">
      <w:start w:val="1"/>
      <w:numFmt w:val="lowerLetter"/>
      <w:lvlText w:val="%2."/>
      <w:lvlJc w:val="left"/>
      <w:pPr>
        <w:ind w:left="1410" w:hanging="360"/>
      </w:pPr>
    </w:lvl>
    <w:lvl w:ilvl="2" w:tplc="0402001B" w:tentative="1">
      <w:start w:val="1"/>
      <w:numFmt w:val="lowerRoman"/>
      <w:lvlText w:val="%3."/>
      <w:lvlJc w:val="right"/>
      <w:pPr>
        <w:ind w:left="2130" w:hanging="180"/>
      </w:pPr>
    </w:lvl>
    <w:lvl w:ilvl="3" w:tplc="0402000F" w:tentative="1">
      <w:start w:val="1"/>
      <w:numFmt w:val="decimal"/>
      <w:lvlText w:val="%4."/>
      <w:lvlJc w:val="left"/>
      <w:pPr>
        <w:ind w:left="2850" w:hanging="360"/>
      </w:pPr>
    </w:lvl>
    <w:lvl w:ilvl="4" w:tplc="04020019" w:tentative="1">
      <w:start w:val="1"/>
      <w:numFmt w:val="lowerLetter"/>
      <w:lvlText w:val="%5."/>
      <w:lvlJc w:val="left"/>
      <w:pPr>
        <w:ind w:left="3570" w:hanging="360"/>
      </w:pPr>
    </w:lvl>
    <w:lvl w:ilvl="5" w:tplc="0402001B" w:tentative="1">
      <w:start w:val="1"/>
      <w:numFmt w:val="lowerRoman"/>
      <w:lvlText w:val="%6."/>
      <w:lvlJc w:val="right"/>
      <w:pPr>
        <w:ind w:left="4290" w:hanging="180"/>
      </w:pPr>
    </w:lvl>
    <w:lvl w:ilvl="6" w:tplc="0402000F" w:tentative="1">
      <w:start w:val="1"/>
      <w:numFmt w:val="decimal"/>
      <w:lvlText w:val="%7."/>
      <w:lvlJc w:val="left"/>
      <w:pPr>
        <w:ind w:left="5010" w:hanging="360"/>
      </w:pPr>
    </w:lvl>
    <w:lvl w:ilvl="7" w:tplc="04020019" w:tentative="1">
      <w:start w:val="1"/>
      <w:numFmt w:val="lowerLetter"/>
      <w:lvlText w:val="%8."/>
      <w:lvlJc w:val="left"/>
      <w:pPr>
        <w:ind w:left="5730" w:hanging="360"/>
      </w:pPr>
    </w:lvl>
    <w:lvl w:ilvl="8" w:tplc="0402001B" w:tentative="1">
      <w:start w:val="1"/>
      <w:numFmt w:val="lowerRoman"/>
      <w:lvlText w:val="%9."/>
      <w:lvlJc w:val="right"/>
      <w:pPr>
        <w:ind w:left="6450" w:hanging="180"/>
      </w:pPr>
    </w:lvl>
  </w:abstractNum>
  <w:abstractNum w:abstractNumId="74" w15:restartNumberingAfterBreak="0">
    <w:nsid w:val="5DD92378"/>
    <w:multiLevelType w:val="hybridMultilevel"/>
    <w:tmpl w:val="1E7E38D0"/>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115290C"/>
    <w:multiLevelType w:val="hybridMultilevel"/>
    <w:tmpl w:val="FAE4B2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6" w15:restartNumberingAfterBreak="0">
    <w:nsid w:val="61960839"/>
    <w:multiLevelType w:val="hybridMultilevel"/>
    <w:tmpl w:val="4DC87C7C"/>
    <w:lvl w:ilvl="0" w:tplc="04130001">
      <w:start w:val="1"/>
      <w:numFmt w:val="bullet"/>
      <w:lvlText w:val=""/>
      <w:lvlJc w:val="left"/>
      <w:pPr>
        <w:ind w:left="1296" w:hanging="360"/>
      </w:pPr>
      <w:rPr>
        <w:rFonts w:ascii="Symbol" w:hAnsi="Symbol" w:hint="default"/>
      </w:rPr>
    </w:lvl>
    <w:lvl w:ilvl="1" w:tplc="04130003" w:tentative="1">
      <w:start w:val="1"/>
      <w:numFmt w:val="bullet"/>
      <w:lvlText w:val="o"/>
      <w:lvlJc w:val="left"/>
      <w:pPr>
        <w:ind w:left="2016" w:hanging="360"/>
      </w:pPr>
      <w:rPr>
        <w:rFonts w:ascii="Courier New" w:hAnsi="Courier New" w:cs="Courier New" w:hint="default"/>
      </w:rPr>
    </w:lvl>
    <w:lvl w:ilvl="2" w:tplc="04130005" w:tentative="1">
      <w:start w:val="1"/>
      <w:numFmt w:val="bullet"/>
      <w:lvlText w:val=""/>
      <w:lvlJc w:val="left"/>
      <w:pPr>
        <w:ind w:left="2736" w:hanging="360"/>
      </w:pPr>
      <w:rPr>
        <w:rFonts w:ascii="Wingdings" w:hAnsi="Wingdings" w:hint="default"/>
      </w:rPr>
    </w:lvl>
    <w:lvl w:ilvl="3" w:tplc="04130001" w:tentative="1">
      <w:start w:val="1"/>
      <w:numFmt w:val="bullet"/>
      <w:lvlText w:val=""/>
      <w:lvlJc w:val="left"/>
      <w:pPr>
        <w:ind w:left="3456" w:hanging="360"/>
      </w:pPr>
      <w:rPr>
        <w:rFonts w:ascii="Symbol" w:hAnsi="Symbol" w:hint="default"/>
      </w:rPr>
    </w:lvl>
    <w:lvl w:ilvl="4" w:tplc="04130003" w:tentative="1">
      <w:start w:val="1"/>
      <w:numFmt w:val="bullet"/>
      <w:lvlText w:val="o"/>
      <w:lvlJc w:val="left"/>
      <w:pPr>
        <w:ind w:left="4176" w:hanging="360"/>
      </w:pPr>
      <w:rPr>
        <w:rFonts w:ascii="Courier New" w:hAnsi="Courier New" w:cs="Courier New" w:hint="default"/>
      </w:rPr>
    </w:lvl>
    <w:lvl w:ilvl="5" w:tplc="04130005" w:tentative="1">
      <w:start w:val="1"/>
      <w:numFmt w:val="bullet"/>
      <w:lvlText w:val=""/>
      <w:lvlJc w:val="left"/>
      <w:pPr>
        <w:ind w:left="4896" w:hanging="360"/>
      </w:pPr>
      <w:rPr>
        <w:rFonts w:ascii="Wingdings" w:hAnsi="Wingdings" w:hint="default"/>
      </w:rPr>
    </w:lvl>
    <w:lvl w:ilvl="6" w:tplc="04130001" w:tentative="1">
      <w:start w:val="1"/>
      <w:numFmt w:val="bullet"/>
      <w:lvlText w:val=""/>
      <w:lvlJc w:val="left"/>
      <w:pPr>
        <w:ind w:left="5616" w:hanging="360"/>
      </w:pPr>
      <w:rPr>
        <w:rFonts w:ascii="Symbol" w:hAnsi="Symbol" w:hint="default"/>
      </w:rPr>
    </w:lvl>
    <w:lvl w:ilvl="7" w:tplc="04130003" w:tentative="1">
      <w:start w:val="1"/>
      <w:numFmt w:val="bullet"/>
      <w:lvlText w:val="o"/>
      <w:lvlJc w:val="left"/>
      <w:pPr>
        <w:ind w:left="6336" w:hanging="360"/>
      </w:pPr>
      <w:rPr>
        <w:rFonts w:ascii="Courier New" w:hAnsi="Courier New" w:cs="Courier New" w:hint="default"/>
      </w:rPr>
    </w:lvl>
    <w:lvl w:ilvl="8" w:tplc="04130005" w:tentative="1">
      <w:start w:val="1"/>
      <w:numFmt w:val="bullet"/>
      <w:lvlText w:val=""/>
      <w:lvlJc w:val="left"/>
      <w:pPr>
        <w:ind w:left="7056" w:hanging="360"/>
      </w:pPr>
      <w:rPr>
        <w:rFonts w:ascii="Wingdings" w:hAnsi="Wingdings" w:hint="default"/>
      </w:rPr>
    </w:lvl>
  </w:abstractNum>
  <w:abstractNum w:abstractNumId="77" w15:restartNumberingAfterBreak="0">
    <w:nsid w:val="61C63047"/>
    <w:multiLevelType w:val="hybridMultilevel"/>
    <w:tmpl w:val="B20AE07C"/>
    <w:lvl w:ilvl="0" w:tplc="0402000B">
      <w:start w:val="1"/>
      <w:numFmt w:val="bullet"/>
      <w:lvlText w:val=""/>
      <w:lvlJc w:val="left"/>
      <w:pPr>
        <w:ind w:left="1296" w:hanging="360"/>
      </w:pPr>
      <w:rPr>
        <w:rFonts w:ascii="Wingdings" w:hAnsi="Wingdings" w:hint="default"/>
      </w:rPr>
    </w:lvl>
    <w:lvl w:ilvl="1" w:tplc="04020003" w:tentative="1">
      <w:start w:val="1"/>
      <w:numFmt w:val="bullet"/>
      <w:lvlText w:val="o"/>
      <w:lvlJc w:val="left"/>
      <w:pPr>
        <w:ind w:left="2016" w:hanging="360"/>
      </w:pPr>
      <w:rPr>
        <w:rFonts w:ascii="Courier New" w:hAnsi="Courier New" w:cs="Courier New" w:hint="default"/>
      </w:rPr>
    </w:lvl>
    <w:lvl w:ilvl="2" w:tplc="04020005" w:tentative="1">
      <w:start w:val="1"/>
      <w:numFmt w:val="bullet"/>
      <w:lvlText w:val=""/>
      <w:lvlJc w:val="left"/>
      <w:pPr>
        <w:ind w:left="2736" w:hanging="360"/>
      </w:pPr>
      <w:rPr>
        <w:rFonts w:ascii="Wingdings" w:hAnsi="Wingdings" w:hint="default"/>
      </w:rPr>
    </w:lvl>
    <w:lvl w:ilvl="3" w:tplc="04020001" w:tentative="1">
      <w:start w:val="1"/>
      <w:numFmt w:val="bullet"/>
      <w:lvlText w:val=""/>
      <w:lvlJc w:val="left"/>
      <w:pPr>
        <w:ind w:left="3456" w:hanging="360"/>
      </w:pPr>
      <w:rPr>
        <w:rFonts w:ascii="Symbol" w:hAnsi="Symbol" w:hint="default"/>
      </w:rPr>
    </w:lvl>
    <w:lvl w:ilvl="4" w:tplc="04020003" w:tentative="1">
      <w:start w:val="1"/>
      <w:numFmt w:val="bullet"/>
      <w:lvlText w:val="o"/>
      <w:lvlJc w:val="left"/>
      <w:pPr>
        <w:ind w:left="4176" w:hanging="360"/>
      </w:pPr>
      <w:rPr>
        <w:rFonts w:ascii="Courier New" w:hAnsi="Courier New" w:cs="Courier New" w:hint="default"/>
      </w:rPr>
    </w:lvl>
    <w:lvl w:ilvl="5" w:tplc="04020005" w:tentative="1">
      <w:start w:val="1"/>
      <w:numFmt w:val="bullet"/>
      <w:lvlText w:val=""/>
      <w:lvlJc w:val="left"/>
      <w:pPr>
        <w:ind w:left="4896" w:hanging="360"/>
      </w:pPr>
      <w:rPr>
        <w:rFonts w:ascii="Wingdings" w:hAnsi="Wingdings" w:hint="default"/>
      </w:rPr>
    </w:lvl>
    <w:lvl w:ilvl="6" w:tplc="04020001" w:tentative="1">
      <w:start w:val="1"/>
      <w:numFmt w:val="bullet"/>
      <w:lvlText w:val=""/>
      <w:lvlJc w:val="left"/>
      <w:pPr>
        <w:ind w:left="5616" w:hanging="360"/>
      </w:pPr>
      <w:rPr>
        <w:rFonts w:ascii="Symbol" w:hAnsi="Symbol" w:hint="default"/>
      </w:rPr>
    </w:lvl>
    <w:lvl w:ilvl="7" w:tplc="04020003" w:tentative="1">
      <w:start w:val="1"/>
      <w:numFmt w:val="bullet"/>
      <w:lvlText w:val="o"/>
      <w:lvlJc w:val="left"/>
      <w:pPr>
        <w:ind w:left="6336" w:hanging="360"/>
      </w:pPr>
      <w:rPr>
        <w:rFonts w:ascii="Courier New" w:hAnsi="Courier New" w:cs="Courier New" w:hint="default"/>
      </w:rPr>
    </w:lvl>
    <w:lvl w:ilvl="8" w:tplc="04020005" w:tentative="1">
      <w:start w:val="1"/>
      <w:numFmt w:val="bullet"/>
      <w:lvlText w:val=""/>
      <w:lvlJc w:val="left"/>
      <w:pPr>
        <w:ind w:left="7056" w:hanging="360"/>
      </w:pPr>
      <w:rPr>
        <w:rFonts w:ascii="Wingdings" w:hAnsi="Wingdings" w:hint="default"/>
      </w:rPr>
    </w:lvl>
  </w:abstractNum>
  <w:abstractNum w:abstractNumId="78" w15:restartNumberingAfterBreak="0">
    <w:nsid w:val="61FE136D"/>
    <w:multiLevelType w:val="hybridMultilevel"/>
    <w:tmpl w:val="EDC08040"/>
    <w:lvl w:ilvl="0" w:tplc="04090007">
      <w:start w:val="1"/>
      <w:numFmt w:val="bullet"/>
      <w:lvlText w:val=""/>
      <w:lvlPicBulletId w:val="0"/>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32A01BD"/>
    <w:multiLevelType w:val="hybridMultilevel"/>
    <w:tmpl w:val="2DA0B848"/>
    <w:lvl w:ilvl="0" w:tplc="EEC0039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80" w15:restartNumberingAfterBreak="0">
    <w:nsid w:val="656341DC"/>
    <w:multiLevelType w:val="hybridMultilevel"/>
    <w:tmpl w:val="CD68B3DE"/>
    <w:lvl w:ilvl="0" w:tplc="04020001">
      <w:start w:val="1"/>
      <w:numFmt w:val="bullet"/>
      <w:lvlText w:val=""/>
      <w:lvlJc w:val="left"/>
      <w:pPr>
        <w:ind w:left="1080" w:hanging="360"/>
      </w:pPr>
      <w:rPr>
        <w:rFonts w:ascii="Symbol" w:hAnsi="Symbol" w:hint="default"/>
      </w:rPr>
    </w:lvl>
    <w:lvl w:ilvl="1" w:tplc="F0D00E52">
      <w:numFmt w:val="bullet"/>
      <w:lvlText w:val="•"/>
      <w:lvlJc w:val="left"/>
      <w:pPr>
        <w:ind w:left="1800" w:hanging="360"/>
      </w:pPr>
      <w:rPr>
        <w:rFonts w:ascii="Arial" w:eastAsia="Times New Roman" w:hAnsi="Arial" w:hint="default"/>
      </w:rPr>
    </w:lvl>
    <w:lvl w:ilvl="2" w:tplc="04020005">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1" w15:restartNumberingAfterBreak="0">
    <w:nsid w:val="65792415"/>
    <w:multiLevelType w:val="hybridMultilevel"/>
    <w:tmpl w:val="B0263E18"/>
    <w:lvl w:ilvl="0" w:tplc="04020001">
      <w:start w:val="1"/>
      <w:numFmt w:val="bullet"/>
      <w:lvlText w:val=""/>
      <w:lvlJc w:val="left"/>
      <w:pPr>
        <w:ind w:left="1491" w:hanging="360"/>
      </w:pPr>
      <w:rPr>
        <w:rFonts w:ascii="Symbol" w:hAnsi="Symbol" w:hint="default"/>
      </w:rPr>
    </w:lvl>
    <w:lvl w:ilvl="1" w:tplc="04020003" w:tentative="1">
      <w:start w:val="1"/>
      <w:numFmt w:val="bullet"/>
      <w:lvlText w:val="o"/>
      <w:lvlJc w:val="left"/>
      <w:pPr>
        <w:ind w:left="2211" w:hanging="360"/>
      </w:pPr>
      <w:rPr>
        <w:rFonts w:ascii="Courier New" w:hAnsi="Courier New" w:cs="Courier New" w:hint="default"/>
      </w:rPr>
    </w:lvl>
    <w:lvl w:ilvl="2" w:tplc="04020005" w:tentative="1">
      <w:start w:val="1"/>
      <w:numFmt w:val="bullet"/>
      <w:lvlText w:val=""/>
      <w:lvlJc w:val="left"/>
      <w:pPr>
        <w:ind w:left="2931" w:hanging="360"/>
      </w:pPr>
      <w:rPr>
        <w:rFonts w:ascii="Wingdings" w:hAnsi="Wingdings" w:hint="default"/>
      </w:rPr>
    </w:lvl>
    <w:lvl w:ilvl="3" w:tplc="04020001" w:tentative="1">
      <w:start w:val="1"/>
      <w:numFmt w:val="bullet"/>
      <w:lvlText w:val=""/>
      <w:lvlJc w:val="left"/>
      <w:pPr>
        <w:ind w:left="3651" w:hanging="360"/>
      </w:pPr>
      <w:rPr>
        <w:rFonts w:ascii="Symbol" w:hAnsi="Symbol" w:hint="default"/>
      </w:rPr>
    </w:lvl>
    <w:lvl w:ilvl="4" w:tplc="04020003" w:tentative="1">
      <w:start w:val="1"/>
      <w:numFmt w:val="bullet"/>
      <w:lvlText w:val="o"/>
      <w:lvlJc w:val="left"/>
      <w:pPr>
        <w:ind w:left="4371" w:hanging="360"/>
      </w:pPr>
      <w:rPr>
        <w:rFonts w:ascii="Courier New" w:hAnsi="Courier New" w:cs="Courier New" w:hint="default"/>
      </w:rPr>
    </w:lvl>
    <w:lvl w:ilvl="5" w:tplc="04020005" w:tentative="1">
      <w:start w:val="1"/>
      <w:numFmt w:val="bullet"/>
      <w:lvlText w:val=""/>
      <w:lvlJc w:val="left"/>
      <w:pPr>
        <w:ind w:left="5091" w:hanging="360"/>
      </w:pPr>
      <w:rPr>
        <w:rFonts w:ascii="Wingdings" w:hAnsi="Wingdings" w:hint="default"/>
      </w:rPr>
    </w:lvl>
    <w:lvl w:ilvl="6" w:tplc="04020001" w:tentative="1">
      <w:start w:val="1"/>
      <w:numFmt w:val="bullet"/>
      <w:lvlText w:val=""/>
      <w:lvlJc w:val="left"/>
      <w:pPr>
        <w:ind w:left="5811" w:hanging="360"/>
      </w:pPr>
      <w:rPr>
        <w:rFonts w:ascii="Symbol" w:hAnsi="Symbol" w:hint="default"/>
      </w:rPr>
    </w:lvl>
    <w:lvl w:ilvl="7" w:tplc="04020003" w:tentative="1">
      <w:start w:val="1"/>
      <w:numFmt w:val="bullet"/>
      <w:lvlText w:val="o"/>
      <w:lvlJc w:val="left"/>
      <w:pPr>
        <w:ind w:left="6531" w:hanging="360"/>
      </w:pPr>
      <w:rPr>
        <w:rFonts w:ascii="Courier New" w:hAnsi="Courier New" w:cs="Courier New" w:hint="default"/>
      </w:rPr>
    </w:lvl>
    <w:lvl w:ilvl="8" w:tplc="04020005" w:tentative="1">
      <w:start w:val="1"/>
      <w:numFmt w:val="bullet"/>
      <w:lvlText w:val=""/>
      <w:lvlJc w:val="left"/>
      <w:pPr>
        <w:ind w:left="7251" w:hanging="360"/>
      </w:pPr>
      <w:rPr>
        <w:rFonts w:ascii="Wingdings" w:hAnsi="Wingdings" w:hint="default"/>
      </w:rPr>
    </w:lvl>
  </w:abstractNum>
  <w:abstractNum w:abstractNumId="82" w15:restartNumberingAfterBreak="0">
    <w:nsid w:val="66DE1A9B"/>
    <w:multiLevelType w:val="multilevel"/>
    <w:tmpl w:val="1FC8B784"/>
    <w:lvl w:ilvl="0">
      <w:start w:val="1"/>
      <w:numFmt w:val="decimal"/>
      <w:pStyle w:val="A1"/>
      <w:lvlText w:val="%1."/>
      <w:lvlJc w:val="left"/>
      <w:pPr>
        <w:snapToGrid w:val="0"/>
        <w:ind w:left="360" w:hanging="360"/>
      </w:pPr>
      <w:rPr>
        <w:rFonts w:ascii="Times New Roman" w:hAnsi="Times New Roman" w:cs="Times New Roman" w:hint="default"/>
        <w:b w:val="0"/>
        <w:bCs w:val="0"/>
        <w:i w:val="0"/>
        <w:iCs w:val="0"/>
        <w:caps w:val="0"/>
        <w:smallCaps w:val="0"/>
        <w:strike w:val="0"/>
        <w:dstrike w:val="0"/>
        <w:vanish w:val="0"/>
        <w:webHidden w:val="0"/>
        <w:color w:val="000000"/>
        <w:spacing w:val="0"/>
        <w:w w:val="1"/>
        <w:kern w:val="0"/>
        <w:position w:val="0"/>
        <w:sz w:val="24"/>
        <w:szCs w:val="24"/>
        <w:u w:val="none" w:color="000000"/>
        <w:effect w:val="none"/>
        <w:vertAlign w:val="baseline"/>
        <w:specVanish w:val="0"/>
      </w:rPr>
    </w:lvl>
    <w:lvl w:ilvl="1">
      <w:start w:val="1"/>
      <w:numFmt w:val="decimal"/>
      <w:pStyle w:val="A2"/>
      <w:lvlText w:val="%1.%2."/>
      <w:lvlJc w:val="left"/>
      <w:pPr>
        <w:ind w:left="792" w:hanging="432"/>
      </w:pPr>
      <w:rPr>
        <w:rFonts w:cs="Times New Roman"/>
      </w:rPr>
    </w:lvl>
    <w:lvl w:ilvl="2">
      <w:start w:val="1"/>
      <w:numFmt w:val="decimal"/>
      <w:pStyle w:val="A3"/>
      <w:lvlText w:val="%1.%2.%3."/>
      <w:lvlJc w:val="left"/>
      <w:pPr>
        <w:ind w:left="1355" w:hanging="504"/>
      </w:pPr>
      <w:rPr>
        <w:rFonts w:cs="Times New Roman"/>
      </w:rPr>
    </w:lvl>
    <w:lvl w:ilvl="3">
      <w:start w:val="1"/>
      <w:numFmt w:val="decimal"/>
      <w:pStyle w:val="A4"/>
      <w:lvlText w:val="%1.%2.%3.%4."/>
      <w:lvlJc w:val="left"/>
      <w:pPr>
        <w:ind w:left="1728" w:hanging="648"/>
      </w:pPr>
      <w:rPr>
        <w:rFonts w:cs="Times New Roman"/>
      </w:rPr>
    </w:lvl>
    <w:lvl w:ilvl="4">
      <w:start w:val="1"/>
      <w:numFmt w:val="decimal"/>
      <w:pStyle w:val="A5"/>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3" w15:restartNumberingAfterBreak="0">
    <w:nsid w:val="673C326A"/>
    <w:multiLevelType w:val="hybridMultilevel"/>
    <w:tmpl w:val="B122E734"/>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4" w15:restartNumberingAfterBreak="0">
    <w:nsid w:val="6947099C"/>
    <w:multiLevelType w:val="hybridMultilevel"/>
    <w:tmpl w:val="B24805B2"/>
    <w:lvl w:ilvl="0" w:tplc="8D9294D8">
      <w:start w:val="22"/>
      <w:numFmt w:val="bullet"/>
      <w:lvlText w:val="-"/>
      <w:lvlJc w:val="left"/>
      <w:pPr>
        <w:ind w:left="720" w:hanging="360"/>
      </w:pPr>
      <w:rPr>
        <w:rFonts w:ascii="Arial Narrow" w:eastAsia="Times New Roman" w:hAnsi="Arial Narro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15:restartNumberingAfterBreak="0">
    <w:nsid w:val="6A656525"/>
    <w:multiLevelType w:val="hybridMultilevel"/>
    <w:tmpl w:val="EF12431E"/>
    <w:name w:val="rhList2"/>
    <w:lvl w:ilvl="0" w:tplc="28349C2A">
      <w:start w:val="5"/>
      <w:numFmt w:val="bullet"/>
      <w:lvlText w:val="-"/>
      <w:lvlJc w:val="left"/>
      <w:pPr>
        <w:ind w:left="720" w:hanging="360"/>
      </w:pPr>
      <w:rPr>
        <w:rFonts w:ascii="Arial Narrow" w:eastAsia="Times New Roman" w:hAnsi="Arial Narrow"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6D61744D"/>
    <w:multiLevelType w:val="multilevel"/>
    <w:tmpl w:val="98A697BA"/>
    <w:numStyleLink w:val="AppendixHeadings"/>
  </w:abstractNum>
  <w:abstractNum w:abstractNumId="87" w15:restartNumberingAfterBreak="0">
    <w:nsid w:val="6DCB44BB"/>
    <w:multiLevelType w:val="hybridMultilevel"/>
    <w:tmpl w:val="911C8600"/>
    <w:lvl w:ilvl="0" w:tplc="43D82E30">
      <w:start w:val="1"/>
      <w:numFmt w:val="decimal"/>
      <w:pStyle w:val="BP-Figure"/>
      <w:lvlText w:val="Фигура %1"/>
      <w:lvlJc w:val="center"/>
      <w:pPr>
        <w:ind w:left="4330" w:hanging="360"/>
      </w:pPr>
      <w:rPr>
        <w:rFonts w:ascii="Cambria" w:hAnsi="Cambria" w:hint="default"/>
        <w:b/>
        <w:i/>
        <w:color w:val="auto"/>
        <w:sz w:val="18"/>
      </w:rPr>
    </w:lvl>
    <w:lvl w:ilvl="1" w:tplc="C8D08A14">
      <w:numFmt w:val="bullet"/>
      <w:lvlText w:val="•"/>
      <w:lvlJc w:val="left"/>
      <w:pPr>
        <w:ind w:left="1785" w:hanging="705"/>
      </w:pPr>
      <w:rPr>
        <w:rFonts w:ascii="Arial" w:eastAsia="Times New Roman" w:hAnsi="Arial" w:cs="Arial" w:hint="default"/>
      </w:rPr>
    </w:lvl>
    <w:lvl w:ilvl="2" w:tplc="041F001B" w:tentative="1">
      <w:start w:val="1"/>
      <w:numFmt w:val="lowerRoman"/>
      <w:lvlText w:val="%3."/>
      <w:lvlJc w:val="right"/>
      <w:pPr>
        <w:ind w:left="2160" w:hanging="180"/>
      </w:pPr>
    </w:lvl>
    <w:lvl w:ilvl="3" w:tplc="041F000F">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8" w15:restartNumberingAfterBreak="0">
    <w:nsid w:val="6E7010C1"/>
    <w:multiLevelType w:val="hybridMultilevel"/>
    <w:tmpl w:val="654C795C"/>
    <w:lvl w:ilvl="0" w:tplc="614406F0">
      <w:start w:val="1"/>
      <w:numFmt w:val="decimal"/>
      <w:lvlText w:val="%1."/>
      <w:lvlJc w:val="left"/>
      <w:pPr>
        <w:ind w:left="1080" w:hanging="360"/>
      </w:pPr>
    </w:lvl>
    <w:lvl w:ilvl="1" w:tplc="04020019">
      <w:start w:val="1"/>
      <w:numFmt w:val="lowerLetter"/>
      <w:lvlText w:val="%2."/>
      <w:lvlJc w:val="left"/>
      <w:pPr>
        <w:ind w:left="1800" w:hanging="360"/>
      </w:pPr>
    </w:lvl>
    <w:lvl w:ilvl="2" w:tplc="0402001B">
      <w:start w:val="1"/>
      <w:numFmt w:val="lowerRoman"/>
      <w:lvlText w:val="%3."/>
      <w:lvlJc w:val="right"/>
      <w:pPr>
        <w:ind w:left="2520" w:hanging="180"/>
      </w:pPr>
    </w:lvl>
    <w:lvl w:ilvl="3" w:tplc="0402000F">
      <w:start w:val="1"/>
      <w:numFmt w:val="decimal"/>
      <w:lvlText w:val="%4."/>
      <w:lvlJc w:val="left"/>
      <w:pPr>
        <w:ind w:left="3240" w:hanging="360"/>
      </w:pPr>
    </w:lvl>
    <w:lvl w:ilvl="4" w:tplc="04020019">
      <w:start w:val="1"/>
      <w:numFmt w:val="lowerLetter"/>
      <w:lvlText w:val="%5."/>
      <w:lvlJc w:val="left"/>
      <w:pPr>
        <w:ind w:left="3960" w:hanging="360"/>
      </w:pPr>
    </w:lvl>
    <w:lvl w:ilvl="5" w:tplc="0402001B">
      <w:start w:val="1"/>
      <w:numFmt w:val="lowerRoman"/>
      <w:lvlText w:val="%6."/>
      <w:lvlJc w:val="right"/>
      <w:pPr>
        <w:ind w:left="4680" w:hanging="180"/>
      </w:pPr>
    </w:lvl>
    <w:lvl w:ilvl="6" w:tplc="0402000F">
      <w:start w:val="1"/>
      <w:numFmt w:val="decimal"/>
      <w:lvlText w:val="%7."/>
      <w:lvlJc w:val="left"/>
      <w:pPr>
        <w:ind w:left="5400" w:hanging="360"/>
      </w:pPr>
    </w:lvl>
    <w:lvl w:ilvl="7" w:tplc="04020019">
      <w:start w:val="1"/>
      <w:numFmt w:val="lowerLetter"/>
      <w:lvlText w:val="%8."/>
      <w:lvlJc w:val="left"/>
      <w:pPr>
        <w:ind w:left="6120" w:hanging="360"/>
      </w:pPr>
    </w:lvl>
    <w:lvl w:ilvl="8" w:tplc="0402001B">
      <w:start w:val="1"/>
      <w:numFmt w:val="lowerRoman"/>
      <w:lvlText w:val="%9."/>
      <w:lvlJc w:val="right"/>
      <w:pPr>
        <w:ind w:left="6840" w:hanging="180"/>
      </w:pPr>
    </w:lvl>
  </w:abstractNum>
  <w:abstractNum w:abstractNumId="89" w15:restartNumberingAfterBreak="0">
    <w:nsid w:val="6FEF0180"/>
    <w:multiLevelType w:val="hybridMultilevel"/>
    <w:tmpl w:val="7C48780A"/>
    <w:lvl w:ilvl="0" w:tplc="42B6C5F4">
      <w:start w:val="1"/>
      <w:numFmt w:val="bullet"/>
      <w:pStyle w:val="BulletLevel1"/>
      <w:lvlText w:val=""/>
      <w:lvlJc w:val="left"/>
      <w:pPr>
        <w:tabs>
          <w:tab w:val="num" w:pos="227"/>
        </w:tabs>
        <w:ind w:left="227" w:hanging="227"/>
      </w:pPr>
      <w:rPr>
        <w:rFonts w:ascii="Wingdings" w:hAnsi="Wingdings" w:hint="default"/>
        <w:color w:val="auto"/>
        <w:sz w:val="12"/>
      </w:rPr>
    </w:lvl>
    <w:lvl w:ilvl="1" w:tplc="04020003">
      <w:start w:val="1"/>
      <w:numFmt w:val="bullet"/>
      <w:lvlText w:val="o"/>
      <w:lvlJc w:val="left"/>
      <w:pPr>
        <w:tabs>
          <w:tab w:val="num" w:pos="1440"/>
        </w:tabs>
        <w:ind w:left="1440" w:hanging="360"/>
      </w:pPr>
      <w:rPr>
        <w:rFonts w:ascii="Courier New" w:hAnsi="Courier New" w:hint="default"/>
      </w:rPr>
    </w:lvl>
    <w:lvl w:ilvl="2" w:tplc="04020005">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16F7FB7"/>
    <w:multiLevelType w:val="singleLevel"/>
    <w:tmpl w:val="05225352"/>
    <w:lvl w:ilvl="0">
      <w:start w:val="1"/>
      <w:numFmt w:val="bullet"/>
      <w:pStyle w:val="Textwithbulletc"/>
      <w:lvlText w:val=""/>
      <w:lvlJc w:val="left"/>
      <w:pPr>
        <w:tabs>
          <w:tab w:val="num" w:pos="360"/>
        </w:tabs>
        <w:ind w:left="360" w:hanging="360"/>
      </w:pPr>
      <w:rPr>
        <w:rFonts w:ascii="Symbol" w:hAnsi="Symbol" w:hint="default"/>
      </w:rPr>
    </w:lvl>
  </w:abstractNum>
  <w:abstractNum w:abstractNumId="91" w15:restartNumberingAfterBreak="0">
    <w:nsid w:val="77AB3D02"/>
    <w:multiLevelType w:val="hybridMultilevel"/>
    <w:tmpl w:val="6616D30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92" w15:restartNumberingAfterBreak="0">
    <w:nsid w:val="7A3A474B"/>
    <w:multiLevelType w:val="hybridMultilevel"/>
    <w:tmpl w:val="332C65F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3" w15:restartNumberingAfterBreak="0">
    <w:nsid w:val="7CC85986"/>
    <w:multiLevelType w:val="multilevel"/>
    <w:tmpl w:val="0413001F"/>
    <w:name w:val="rhList2222"/>
    <w:numStyleLink w:val="Style1"/>
  </w:abstractNum>
  <w:abstractNum w:abstractNumId="94" w15:restartNumberingAfterBreak="0">
    <w:nsid w:val="7D70080D"/>
    <w:multiLevelType w:val="hybridMultilevel"/>
    <w:tmpl w:val="3B64F5E2"/>
    <w:lvl w:ilvl="0" w:tplc="6D30518E">
      <w:start w:val="1"/>
      <w:numFmt w:val="decimal"/>
      <w:lvlText w:val="%1."/>
      <w:lvlJc w:val="left"/>
      <w:pPr>
        <w:ind w:left="1069" w:hanging="360"/>
      </w:pPr>
    </w:lvl>
    <w:lvl w:ilvl="1" w:tplc="04020019">
      <w:start w:val="1"/>
      <w:numFmt w:val="lowerLetter"/>
      <w:lvlText w:val="%2."/>
      <w:lvlJc w:val="left"/>
      <w:pPr>
        <w:ind w:left="1789" w:hanging="360"/>
      </w:pPr>
    </w:lvl>
    <w:lvl w:ilvl="2" w:tplc="0402001B">
      <w:start w:val="1"/>
      <w:numFmt w:val="lowerRoman"/>
      <w:lvlText w:val="%3."/>
      <w:lvlJc w:val="right"/>
      <w:pPr>
        <w:ind w:left="2509" w:hanging="180"/>
      </w:pPr>
    </w:lvl>
    <w:lvl w:ilvl="3" w:tplc="0402000F">
      <w:start w:val="1"/>
      <w:numFmt w:val="decimal"/>
      <w:lvlText w:val="%4."/>
      <w:lvlJc w:val="left"/>
      <w:pPr>
        <w:ind w:left="3229" w:hanging="360"/>
      </w:pPr>
    </w:lvl>
    <w:lvl w:ilvl="4" w:tplc="04020019">
      <w:start w:val="1"/>
      <w:numFmt w:val="lowerLetter"/>
      <w:lvlText w:val="%5."/>
      <w:lvlJc w:val="left"/>
      <w:pPr>
        <w:ind w:left="3949" w:hanging="360"/>
      </w:pPr>
    </w:lvl>
    <w:lvl w:ilvl="5" w:tplc="0402001B">
      <w:start w:val="1"/>
      <w:numFmt w:val="lowerRoman"/>
      <w:lvlText w:val="%6."/>
      <w:lvlJc w:val="right"/>
      <w:pPr>
        <w:ind w:left="4669" w:hanging="180"/>
      </w:pPr>
    </w:lvl>
    <w:lvl w:ilvl="6" w:tplc="0402000F">
      <w:start w:val="1"/>
      <w:numFmt w:val="decimal"/>
      <w:lvlText w:val="%7."/>
      <w:lvlJc w:val="left"/>
      <w:pPr>
        <w:ind w:left="5389" w:hanging="360"/>
      </w:pPr>
    </w:lvl>
    <w:lvl w:ilvl="7" w:tplc="04020019">
      <w:start w:val="1"/>
      <w:numFmt w:val="lowerLetter"/>
      <w:lvlText w:val="%8."/>
      <w:lvlJc w:val="left"/>
      <w:pPr>
        <w:ind w:left="6109" w:hanging="360"/>
      </w:pPr>
    </w:lvl>
    <w:lvl w:ilvl="8" w:tplc="0402001B">
      <w:start w:val="1"/>
      <w:numFmt w:val="lowerRoman"/>
      <w:lvlText w:val="%9."/>
      <w:lvlJc w:val="right"/>
      <w:pPr>
        <w:ind w:left="6829" w:hanging="180"/>
      </w:pPr>
    </w:lvl>
  </w:abstractNum>
  <w:abstractNum w:abstractNumId="95" w15:restartNumberingAfterBreak="0">
    <w:nsid w:val="7EFD01E3"/>
    <w:multiLevelType w:val="hybridMultilevel"/>
    <w:tmpl w:val="1B6A03F6"/>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16cid:durableId="661197131">
    <w:abstractNumId w:val="12"/>
  </w:num>
  <w:num w:numId="2" w16cid:durableId="1018770203">
    <w:abstractNumId w:val="43"/>
  </w:num>
  <w:num w:numId="3" w16cid:durableId="1776711694">
    <w:abstractNumId w:val="2"/>
  </w:num>
  <w:num w:numId="4" w16cid:durableId="785081209">
    <w:abstractNumId w:val="18"/>
  </w:num>
  <w:num w:numId="5" w16cid:durableId="854421213">
    <w:abstractNumId w:val="59"/>
  </w:num>
  <w:num w:numId="6" w16cid:durableId="395007535">
    <w:abstractNumId w:val="8"/>
  </w:num>
  <w:num w:numId="7" w16cid:durableId="1952743139">
    <w:abstractNumId w:val="3"/>
  </w:num>
  <w:num w:numId="8" w16cid:durableId="899286374">
    <w:abstractNumId w:val="28"/>
  </w:num>
  <w:num w:numId="9" w16cid:durableId="2097825835">
    <w:abstractNumId w:val="56"/>
  </w:num>
  <w:num w:numId="10" w16cid:durableId="865599870">
    <w:abstractNumId w:val="72"/>
  </w:num>
  <w:num w:numId="11" w16cid:durableId="608051797">
    <w:abstractNumId w:val="4"/>
  </w:num>
  <w:num w:numId="12" w16cid:durableId="621040270">
    <w:abstractNumId w:val="38"/>
  </w:num>
  <w:num w:numId="13" w16cid:durableId="297609666">
    <w:abstractNumId w:val="5"/>
  </w:num>
  <w:num w:numId="14" w16cid:durableId="1821994303">
    <w:abstractNumId w:val="90"/>
  </w:num>
  <w:num w:numId="15" w16cid:durableId="2010476717">
    <w:abstractNumId w:val="58"/>
  </w:num>
  <w:num w:numId="16" w16cid:durableId="1021054131">
    <w:abstractNumId w:val="86"/>
  </w:num>
  <w:num w:numId="17" w16cid:durableId="1684815192">
    <w:abstractNumId w:val="46"/>
  </w:num>
  <w:num w:numId="18" w16cid:durableId="251473340">
    <w:abstractNumId w:val="53"/>
  </w:num>
  <w:num w:numId="19" w16cid:durableId="600065351">
    <w:abstractNumId w:val="29"/>
  </w:num>
  <w:num w:numId="20" w16cid:durableId="1215508735">
    <w:abstractNumId w:val="1"/>
  </w:num>
  <w:num w:numId="21" w16cid:durableId="288560680">
    <w:abstractNumId w:val="0"/>
  </w:num>
  <w:num w:numId="22" w16cid:durableId="364139309">
    <w:abstractNumId w:val="70"/>
  </w:num>
  <w:num w:numId="23" w16cid:durableId="1256980490">
    <w:abstractNumId w:val="14"/>
  </w:num>
  <w:num w:numId="24" w16cid:durableId="656767730">
    <w:abstractNumId w:val="71"/>
  </w:num>
  <w:num w:numId="25" w16cid:durableId="1283420244">
    <w:abstractNumId w:val="11"/>
  </w:num>
  <w:num w:numId="26" w16cid:durableId="1583946797">
    <w:abstractNumId w:val="51"/>
  </w:num>
  <w:num w:numId="27" w16cid:durableId="1944723677">
    <w:abstractNumId w:val="57"/>
  </w:num>
  <w:num w:numId="28" w16cid:durableId="37168203">
    <w:abstractNumId w:val="20"/>
  </w:num>
  <w:num w:numId="29" w16cid:durableId="299462054">
    <w:abstractNumId w:val="74"/>
  </w:num>
  <w:num w:numId="30" w16cid:durableId="1829712088">
    <w:abstractNumId w:val="69"/>
  </w:num>
  <w:num w:numId="31" w16cid:durableId="1677001379">
    <w:abstractNumId w:val="10"/>
  </w:num>
  <w:num w:numId="32" w16cid:durableId="941692500">
    <w:abstractNumId w:val="67"/>
  </w:num>
  <w:num w:numId="33" w16cid:durableId="2071271861">
    <w:abstractNumId w:val="41"/>
  </w:num>
  <w:num w:numId="34" w16cid:durableId="1268653618">
    <w:abstractNumId w:val="9"/>
  </w:num>
  <w:num w:numId="35" w16cid:durableId="1172791494">
    <w:abstractNumId w:val="84"/>
  </w:num>
  <w:num w:numId="36" w16cid:durableId="98023300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0090734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416245540">
    <w:abstractNumId w:val="48"/>
  </w:num>
  <w:num w:numId="39" w16cid:durableId="1334797146">
    <w:abstractNumId w:val="75"/>
  </w:num>
  <w:num w:numId="40" w16cid:durableId="367606791">
    <w:abstractNumId w:val="76"/>
  </w:num>
  <w:num w:numId="41" w16cid:durableId="441268125">
    <w:abstractNumId w:val="87"/>
  </w:num>
  <w:num w:numId="42" w16cid:durableId="194656742">
    <w:abstractNumId w:val="37"/>
  </w:num>
  <w:num w:numId="43" w16cid:durableId="409960268">
    <w:abstractNumId w:val="63"/>
  </w:num>
  <w:num w:numId="44" w16cid:durableId="1308239181">
    <w:abstractNumId w:val="92"/>
  </w:num>
  <w:num w:numId="45" w16cid:durableId="189536178">
    <w:abstractNumId w:val="16"/>
  </w:num>
  <w:num w:numId="46" w16cid:durableId="2061435667">
    <w:abstractNumId w:val="89"/>
  </w:num>
  <w:num w:numId="47" w16cid:durableId="1448769245">
    <w:abstractNumId w:val="13"/>
  </w:num>
  <w:num w:numId="48" w16cid:durableId="1307777429">
    <w:abstractNumId w:val="32"/>
  </w:num>
  <w:num w:numId="49" w16cid:durableId="1204514958">
    <w:abstractNumId w:val="62"/>
  </w:num>
  <w:num w:numId="50" w16cid:durableId="1799489436">
    <w:abstractNumId w:val="39"/>
  </w:num>
  <w:num w:numId="51" w16cid:durableId="8454437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68851497">
    <w:abstractNumId w:val="44"/>
  </w:num>
  <w:num w:numId="53" w16cid:durableId="724987633">
    <w:abstractNumId w:val="54"/>
  </w:num>
  <w:num w:numId="54" w16cid:durableId="225843955">
    <w:abstractNumId w:val="33"/>
  </w:num>
  <w:num w:numId="55" w16cid:durableId="2063748838">
    <w:abstractNumId w:val="6"/>
  </w:num>
  <w:num w:numId="56" w16cid:durableId="1869634568">
    <w:abstractNumId w:val="35"/>
  </w:num>
  <w:num w:numId="57" w16cid:durableId="737899133">
    <w:abstractNumId w:val="64"/>
  </w:num>
  <w:num w:numId="58" w16cid:durableId="545332593">
    <w:abstractNumId w:val="7"/>
  </w:num>
  <w:num w:numId="59" w16cid:durableId="1708946822">
    <w:abstractNumId w:val="42"/>
  </w:num>
  <w:num w:numId="60" w16cid:durableId="530804258">
    <w:abstractNumId w:val="60"/>
  </w:num>
  <w:num w:numId="61" w16cid:durableId="1115712881">
    <w:abstractNumId w:val="66"/>
  </w:num>
  <w:num w:numId="62" w16cid:durableId="1886939735">
    <w:abstractNumId w:val="73"/>
  </w:num>
  <w:num w:numId="63" w16cid:durableId="2140952146">
    <w:abstractNumId w:val="21"/>
  </w:num>
  <w:num w:numId="64" w16cid:durableId="657422833">
    <w:abstractNumId w:val="79"/>
  </w:num>
  <w:num w:numId="65" w16cid:durableId="46951377">
    <w:abstractNumId w:val="30"/>
  </w:num>
  <w:num w:numId="66" w16cid:durableId="2131970084">
    <w:abstractNumId w:val="61"/>
  </w:num>
  <w:num w:numId="67" w16cid:durableId="1475412594">
    <w:abstractNumId w:val="47"/>
  </w:num>
  <w:num w:numId="68" w16cid:durableId="1101411065">
    <w:abstractNumId w:val="34"/>
  </w:num>
  <w:num w:numId="69" w16cid:durableId="839932173">
    <w:abstractNumId w:val="81"/>
  </w:num>
  <w:num w:numId="70" w16cid:durableId="1950432623">
    <w:abstractNumId w:val="15"/>
  </w:num>
  <w:num w:numId="71" w16cid:durableId="1572620611">
    <w:abstractNumId w:val="77"/>
  </w:num>
  <w:num w:numId="72" w16cid:durableId="1282955930">
    <w:abstractNumId w:val="52"/>
  </w:num>
  <w:num w:numId="73" w16cid:durableId="1752849013">
    <w:abstractNumId w:val="95"/>
  </w:num>
  <w:num w:numId="74" w16cid:durableId="722101248">
    <w:abstractNumId w:val="25"/>
  </w:num>
  <w:num w:numId="75" w16cid:durableId="1191383534">
    <w:abstractNumId w:val="91"/>
  </w:num>
  <w:num w:numId="76" w16cid:durableId="394865003">
    <w:abstractNumId w:val="31"/>
  </w:num>
  <w:num w:numId="77" w16cid:durableId="299656955">
    <w:abstractNumId w:val="22"/>
  </w:num>
  <w:num w:numId="78" w16cid:durableId="1750346963">
    <w:abstractNumId w:val="27"/>
  </w:num>
  <w:num w:numId="79" w16cid:durableId="407306681">
    <w:abstractNumId w:val="24"/>
  </w:num>
  <w:num w:numId="80" w16cid:durableId="1373727746">
    <w:abstractNumId w:val="23"/>
  </w:num>
  <w:num w:numId="81" w16cid:durableId="236791778">
    <w:abstractNumId w:val="68"/>
  </w:num>
  <w:num w:numId="82" w16cid:durableId="1817213891">
    <w:abstractNumId w:val="19"/>
  </w:num>
  <w:num w:numId="83" w16cid:durableId="407307754">
    <w:abstractNumId w:val="50"/>
  </w:num>
  <w:num w:numId="84" w16cid:durableId="1085691926">
    <w:abstractNumId w:val="78"/>
  </w:num>
  <w:num w:numId="85" w16cid:durableId="459299519">
    <w:abstractNumId w:val="40"/>
  </w:num>
  <w:num w:numId="86" w16cid:durableId="1122456094">
    <w:abstractNumId w:val="49"/>
  </w:num>
  <w:num w:numId="87" w16cid:durableId="402409163">
    <w:abstractNumId w:val="80"/>
  </w:num>
  <w:num w:numId="88" w16cid:durableId="600381992">
    <w:abstractNumId w:val="36"/>
  </w:num>
  <w:num w:numId="89" w16cid:durableId="643854159">
    <w:abstractNumId w:val="26"/>
  </w:num>
  <w:num w:numId="90" w16cid:durableId="1180386292">
    <w:abstractNumId w:val="83"/>
  </w:num>
  <w:num w:numId="91" w16cid:durableId="1558541619">
    <w:abstractNumId w:val="65"/>
  </w:num>
  <w:num w:numId="92" w16cid:durableId="777138244">
    <w:abstractNumId w:val="94"/>
  </w:num>
  <w:num w:numId="93" w16cid:durableId="822548306">
    <w:abstractNumId w:val="17"/>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0FCA"/>
    <w:rsid w:val="00000CDF"/>
    <w:rsid w:val="0000104D"/>
    <w:rsid w:val="00001128"/>
    <w:rsid w:val="00002A11"/>
    <w:rsid w:val="000030EB"/>
    <w:rsid w:val="0000365F"/>
    <w:rsid w:val="00004405"/>
    <w:rsid w:val="00004801"/>
    <w:rsid w:val="000060A7"/>
    <w:rsid w:val="00006F63"/>
    <w:rsid w:val="00007138"/>
    <w:rsid w:val="0000774B"/>
    <w:rsid w:val="000100A9"/>
    <w:rsid w:val="000105B7"/>
    <w:rsid w:val="00010A8A"/>
    <w:rsid w:val="00011269"/>
    <w:rsid w:val="0001167D"/>
    <w:rsid w:val="00011989"/>
    <w:rsid w:val="00011EE9"/>
    <w:rsid w:val="00012E57"/>
    <w:rsid w:val="000131CD"/>
    <w:rsid w:val="00013E25"/>
    <w:rsid w:val="00014C7E"/>
    <w:rsid w:val="000156C8"/>
    <w:rsid w:val="00015DF5"/>
    <w:rsid w:val="000166B3"/>
    <w:rsid w:val="00016A01"/>
    <w:rsid w:val="00017457"/>
    <w:rsid w:val="000200DF"/>
    <w:rsid w:val="00020894"/>
    <w:rsid w:val="00020C29"/>
    <w:rsid w:val="000222D0"/>
    <w:rsid w:val="000223A0"/>
    <w:rsid w:val="00022A96"/>
    <w:rsid w:val="000236B2"/>
    <w:rsid w:val="00023E79"/>
    <w:rsid w:val="00024515"/>
    <w:rsid w:val="00025162"/>
    <w:rsid w:val="000254E3"/>
    <w:rsid w:val="000265A0"/>
    <w:rsid w:val="00027371"/>
    <w:rsid w:val="000274FA"/>
    <w:rsid w:val="0003065F"/>
    <w:rsid w:val="000309B2"/>
    <w:rsid w:val="00032523"/>
    <w:rsid w:val="00032751"/>
    <w:rsid w:val="00032985"/>
    <w:rsid w:val="00032D28"/>
    <w:rsid w:val="00034D8A"/>
    <w:rsid w:val="000356A3"/>
    <w:rsid w:val="00035884"/>
    <w:rsid w:val="000362FD"/>
    <w:rsid w:val="000363C9"/>
    <w:rsid w:val="000365D4"/>
    <w:rsid w:val="000368EF"/>
    <w:rsid w:val="00036D5D"/>
    <w:rsid w:val="00037C08"/>
    <w:rsid w:val="00040F9B"/>
    <w:rsid w:val="0004338C"/>
    <w:rsid w:val="000443B1"/>
    <w:rsid w:val="00044480"/>
    <w:rsid w:val="00044731"/>
    <w:rsid w:val="00044AEA"/>
    <w:rsid w:val="00047617"/>
    <w:rsid w:val="000476BB"/>
    <w:rsid w:val="00047E60"/>
    <w:rsid w:val="00050577"/>
    <w:rsid w:val="00050D43"/>
    <w:rsid w:val="000514DE"/>
    <w:rsid w:val="00052409"/>
    <w:rsid w:val="00052512"/>
    <w:rsid w:val="00052C63"/>
    <w:rsid w:val="0005402E"/>
    <w:rsid w:val="00056C3D"/>
    <w:rsid w:val="00056E70"/>
    <w:rsid w:val="000574EA"/>
    <w:rsid w:val="00060A13"/>
    <w:rsid w:val="00060B57"/>
    <w:rsid w:val="000626F5"/>
    <w:rsid w:val="0006305A"/>
    <w:rsid w:val="00063187"/>
    <w:rsid w:val="0006601E"/>
    <w:rsid w:val="00066107"/>
    <w:rsid w:val="000675DD"/>
    <w:rsid w:val="00067E9B"/>
    <w:rsid w:val="00070011"/>
    <w:rsid w:val="00070910"/>
    <w:rsid w:val="00070B7C"/>
    <w:rsid w:val="00070F82"/>
    <w:rsid w:val="00071610"/>
    <w:rsid w:val="00071639"/>
    <w:rsid w:val="00073412"/>
    <w:rsid w:val="00073C64"/>
    <w:rsid w:val="00073E9E"/>
    <w:rsid w:val="00073ED4"/>
    <w:rsid w:val="00074198"/>
    <w:rsid w:val="00074C91"/>
    <w:rsid w:val="000760FA"/>
    <w:rsid w:val="00076AE5"/>
    <w:rsid w:val="00077CDF"/>
    <w:rsid w:val="0008143F"/>
    <w:rsid w:val="00081EE2"/>
    <w:rsid w:val="00082067"/>
    <w:rsid w:val="000823D8"/>
    <w:rsid w:val="00082F94"/>
    <w:rsid w:val="000844AB"/>
    <w:rsid w:val="00084686"/>
    <w:rsid w:val="00084B4B"/>
    <w:rsid w:val="000850A2"/>
    <w:rsid w:val="00086309"/>
    <w:rsid w:val="0008631D"/>
    <w:rsid w:val="00086420"/>
    <w:rsid w:val="0008662D"/>
    <w:rsid w:val="0008683C"/>
    <w:rsid w:val="00087EF6"/>
    <w:rsid w:val="000905C7"/>
    <w:rsid w:val="000909AC"/>
    <w:rsid w:val="0009112C"/>
    <w:rsid w:val="000917F0"/>
    <w:rsid w:val="000919D4"/>
    <w:rsid w:val="00092696"/>
    <w:rsid w:val="00093DFB"/>
    <w:rsid w:val="000942F2"/>
    <w:rsid w:val="00094F1F"/>
    <w:rsid w:val="000957D2"/>
    <w:rsid w:val="00096C3C"/>
    <w:rsid w:val="00096F4A"/>
    <w:rsid w:val="00097111"/>
    <w:rsid w:val="00097541"/>
    <w:rsid w:val="000978CD"/>
    <w:rsid w:val="000A022D"/>
    <w:rsid w:val="000A10D2"/>
    <w:rsid w:val="000A118A"/>
    <w:rsid w:val="000A1A2D"/>
    <w:rsid w:val="000A1E0C"/>
    <w:rsid w:val="000A2CB8"/>
    <w:rsid w:val="000A2DDE"/>
    <w:rsid w:val="000A33D1"/>
    <w:rsid w:val="000A36FF"/>
    <w:rsid w:val="000A48D5"/>
    <w:rsid w:val="000A4D45"/>
    <w:rsid w:val="000A515B"/>
    <w:rsid w:val="000A56F8"/>
    <w:rsid w:val="000A62FA"/>
    <w:rsid w:val="000A7B56"/>
    <w:rsid w:val="000B0915"/>
    <w:rsid w:val="000B0950"/>
    <w:rsid w:val="000B0AD6"/>
    <w:rsid w:val="000B1378"/>
    <w:rsid w:val="000B1DB3"/>
    <w:rsid w:val="000B2145"/>
    <w:rsid w:val="000B2AF6"/>
    <w:rsid w:val="000B4468"/>
    <w:rsid w:val="000B46BD"/>
    <w:rsid w:val="000B514F"/>
    <w:rsid w:val="000B51DF"/>
    <w:rsid w:val="000B63FF"/>
    <w:rsid w:val="000B6B8E"/>
    <w:rsid w:val="000C1296"/>
    <w:rsid w:val="000C1A10"/>
    <w:rsid w:val="000C1EAF"/>
    <w:rsid w:val="000C1F4D"/>
    <w:rsid w:val="000C24D9"/>
    <w:rsid w:val="000C3144"/>
    <w:rsid w:val="000C3835"/>
    <w:rsid w:val="000C3AD8"/>
    <w:rsid w:val="000C41FF"/>
    <w:rsid w:val="000C44A2"/>
    <w:rsid w:val="000C44F6"/>
    <w:rsid w:val="000C491B"/>
    <w:rsid w:val="000C5C5A"/>
    <w:rsid w:val="000C6B1E"/>
    <w:rsid w:val="000C7A44"/>
    <w:rsid w:val="000D0549"/>
    <w:rsid w:val="000D0D64"/>
    <w:rsid w:val="000D11BC"/>
    <w:rsid w:val="000D12E5"/>
    <w:rsid w:val="000D1450"/>
    <w:rsid w:val="000D183E"/>
    <w:rsid w:val="000D2538"/>
    <w:rsid w:val="000D3CA4"/>
    <w:rsid w:val="000D4080"/>
    <w:rsid w:val="000D437A"/>
    <w:rsid w:val="000D47B6"/>
    <w:rsid w:val="000D499D"/>
    <w:rsid w:val="000D51B9"/>
    <w:rsid w:val="000D5B67"/>
    <w:rsid w:val="000D5CD8"/>
    <w:rsid w:val="000D5E33"/>
    <w:rsid w:val="000D5FC9"/>
    <w:rsid w:val="000D651F"/>
    <w:rsid w:val="000E1644"/>
    <w:rsid w:val="000E18F3"/>
    <w:rsid w:val="000E232E"/>
    <w:rsid w:val="000E2858"/>
    <w:rsid w:val="000E2BA0"/>
    <w:rsid w:val="000E329F"/>
    <w:rsid w:val="000E38B8"/>
    <w:rsid w:val="000E40AB"/>
    <w:rsid w:val="000E4DC3"/>
    <w:rsid w:val="000E50DD"/>
    <w:rsid w:val="000E5286"/>
    <w:rsid w:val="000E5B5F"/>
    <w:rsid w:val="000E5EF9"/>
    <w:rsid w:val="000E65E8"/>
    <w:rsid w:val="000E6A46"/>
    <w:rsid w:val="000E7CEB"/>
    <w:rsid w:val="000F068E"/>
    <w:rsid w:val="000F0948"/>
    <w:rsid w:val="000F0EED"/>
    <w:rsid w:val="000F1187"/>
    <w:rsid w:val="000F1363"/>
    <w:rsid w:val="000F14BD"/>
    <w:rsid w:val="000F16AA"/>
    <w:rsid w:val="000F1B15"/>
    <w:rsid w:val="000F3FA6"/>
    <w:rsid w:val="000F4A27"/>
    <w:rsid w:val="000F4BCF"/>
    <w:rsid w:val="000F4D82"/>
    <w:rsid w:val="000F619F"/>
    <w:rsid w:val="000F7DD3"/>
    <w:rsid w:val="000F7FCC"/>
    <w:rsid w:val="00102F15"/>
    <w:rsid w:val="00103514"/>
    <w:rsid w:val="00104C85"/>
    <w:rsid w:val="00104D07"/>
    <w:rsid w:val="001053D0"/>
    <w:rsid w:val="0010672B"/>
    <w:rsid w:val="00106B67"/>
    <w:rsid w:val="0010751F"/>
    <w:rsid w:val="001078F4"/>
    <w:rsid w:val="00107B9E"/>
    <w:rsid w:val="00107D8E"/>
    <w:rsid w:val="00110988"/>
    <w:rsid w:val="00111629"/>
    <w:rsid w:val="00111A3D"/>
    <w:rsid w:val="00112824"/>
    <w:rsid w:val="00112A5E"/>
    <w:rsid w:val="00114B90"/>
    <w:rsid w:val="001157B7"/>
    <w:rsid w:val="00116B08"/>
    <w:rsid w:val="00117F8C"/>
    <w:rsid w:val="00122869"/>
    <w:rsid w:val="001228A9"/>
    <w:rsid w:val="00122A4E"/>
    <w:rsid w:val="00122A9E"/>
    <w:rsid w:val="00122F24"/>
    <w:rsid w:val="0012351B"/>
    <w:rsid w:val="00123860"/>
    <w:rsid w:val="00123979"/>
    <w:rsid w:val="00123D0E"/>
    <w:rsid w:val="00123ECA"/>
    <w:rsid w:val="001245F1"/>
    <w:rsid w:val="0012513D"/>
    <w:rsid w:val="001254BC"/>
    <w:rsid w:val="001262D2"/>
    <w:rsid w:val="00127805"/>
    <w:rsid w:val="00127B9C"/>
    <w:rsid w:val="0013030B"/>
    <w:rsid w:val="00132236"/>
    <w:rsid w:val="001322C6"/>
    <w:rsid w:val="001323F0"/>
    <w:rsid w:val="0013255D"/>
    <w:rsid w:val="00133615"/>
    <w:rsid w:val="00133939"/>
    <w:rsid w:val="00133EA1"/>
    <w:rsid w:val="00136941"/>
    <w:rsid w:val="00137453"/>
    <w:rsid w:val="00140CC4"/>
    <w:rsid w:val="00141A64"/>
    <w:rsid w:val="0014353D"/>
    <w:rsid w:val="0014390A"/>
    <w:rsid w:val="00143973"/>
    <w:rsid w:val="0014455A"/>
    <w:rsid w:val="00144E46"/>
    <w:rsid w:val="00146C88"/>
    <w:rsid w:val="001472C0"/>
    <w:rsid w:val="00147E7E"/>
    <w:rsid w:val="0015012B"/>
    <w:rsid w:val="00150314"/>
    <w:rsid w:val="00150B72"/>
    <w:rsid w:val="00150DAA"/>
    <w:rsid w:val="00151812"/>
    <w:rsid w:val="001561C4"/>
    <w:rsid w:val="0015647B"/>
    <w:rsid w:val="00156F94"/>
    <w:rsid w:val="001572DD"/>
    <w:rsid w:val="001601F1"/>
    <w:rsid w:val="00161E0A"/>
    <w:rsid w:val="0016232F"/>
    <w:rsid w:val="00162387"/>
    <w:rsid w:val="001628D3"/>
    <w:rsid w:val="00166678"/>
    <w:rsid w:val="00166E3A"/>
    <w:rsid w:val="001671CB"/>
    <w:rsid w:val="00167356"/>
    <w:rsid w:val="001679E0"/>
    <w:rsid w:val="00170348"/>
    <w:rsid w:val="00170CD0"/>
    <w:rsid w:val="0017258E"/>
    <w:rsid w:val="00175419"/>
    <w:rsid w:val="0017576E"/>
    <w:rsid w:val="00176A57"/>
    <w:rsid w:val="001779C0"/>
    <w:rsid w:val="00180709"/>
    <w:rsid w:val="00181C68"/>
    <w:rsid w:val="0018650E"/>
    <w:rsid w:val="00187B30"/>
    <w:rsid w:val="001903A5"/>
    <w:rsid w:val="0019098A"/>
    <w:rsid w:val="00191412"/>
    <w:rsid w:val="001914D0"/>
    <w:rsid w:val="00191E77"/>
    <w:rsid w:val="00192A65"/>
    <w:rsid w:val="00192BBB"/>
    <w:rsid w:val="001931F1"/>
    <w:rsid w:val="0019457F"/>
    <w:rsid w:val="001952FA"/>
    <w:rsid w:val="001958BF"/>
    <w:rsid w:val="001962CE"/>
    <w:rsid w:val="001968A0"/>
    <w:rsid w:val="001969D6"/>
    <w:rsid w:val="001A0677"/>
    <w:rsid w:val="001A0697"/>
    <w:rsid w:val="001A0FCE"/>
    <w:rsid w:val="001A13E7"/>
    <w:rsid w:val="001A2113"/>
    <w:rsid w:val="001A2452"/>
    <w:rsid w:val="001A31D9"/>
    <w:rsid w:val="001A5F38"/>
    <w:rsid w:val="001A7086"/>
    <w:rsid w:val="001A78AC"/>
    <w:rsid w:val="001A7E1E"/>
    <w:rsid w:val="001B096B"/>
    <w:rsid w:val="001B190A"/>
    <w:rsid w:val="001B24D9"/>
    <w:rsid w:val="001B269F"/>
    <w:rsid w:val="001B2C38"/>
    <w:rsid w:val="001B332E"/>
    <w:rsid w:val="001B45C9"/>
    <w:rsid w:val="001B4984"/>
    <w:rsid w:val="001B540B"/>
    <w:rsid w:val="001B55F2"/>
    <w:rsid w:val="001B5840"/>
    <w:rsid w:val="001B5CF4"/>
    <w:rsid w:val="001B6578"/>
    <w:rsid w:val="001B7070"/>
    <w:rsid w:val="001B7541"/>
    <w:rsid w:val="001C07B5"/>
    <w:rsid w:val="001C0893"/>
    <w:rsid w:val="001C14A8"/>
    <w:rsid w:val="001C1DD6"/>
    <w:rsid w:val="001C2ED0"/>
    <w:rsid w:val="001C3DF9"/>
    <w:rsid w:val="001C546B"/>
    <w:rsid w:val="001C5F05"/>
    <w:rsid w:val="001D018F"/>
    <w:rsid w:val="001D01FC"/>
    <w:rsid w:val="001D0968"/>
    <w:rsid w:val="001D0E24"/>
    <w:rsid w:val="001D1390"/>
    <w:rsid w:val="001D294F"/>
    <w:rsid w:val="001D31C1"/>
    <w:rsid w:val="001D396F"/>
    <w:rsid w:val="001D3C3C"/>
    <w:rsid w:val="001D43A2"/>
    <w:rsid w:val="001D4400"/>
    <w:rsid w:val="001D48C2"/>
    <w:rsid w:val="001D4A9A"/>
    <w:rsid w:val="001D5AD5"/>
    <w:rsid w:val="001D6757"/>
    <w:rsid w:val="001D6C22"/>
    <w:rsid w:val="001D79F4"/>
    <w:rsid w:val="001D7A02"/>
    <w:rsid w:val="001D7D2D"/>
    <w:rsid w:val="001E041B"/>
    <w:rsid w:val="001E14BD"/>
    <w:rsid w:val="001E1671"/>
    <w:rsid w:val="001E272F"/>
    <w:rsid w:val="001E2B77"/>
    <w:rsid w:val="001E345F"/>
    <w:rsid w:val="001E37A6"/>
    <w:rsid w:val="001E4419"/>
    <w:rsid w:val="001E5125"/>
    <w:rsid w:val="001E6897"/>
    <w:rsid w:val="001E75F7"/>
    <w:rsid w:val="001E7E7C"/>
    <w:rsid w:val="001F0913"/>
    <w:rsid w:val="001F0F92"/>
    <w:rsid w:val="001F2B1E"/>
    <w:rsid w:val="001F2B77"/>
    <w:rsid w:val="001F2D58"/>
    <w:rsid w:val="001F476D"/>
    <w:rsid w:val="001F5ED8"/>
    <w:rsid w:val="0020098F"/>
    <w:rsid w:val="00201A5A"/>
    <w:rsid w:val="002022C2"/>
    <w:rsid w:val="002022CA"/>
    <w:rsid w:val="00202489"/>
    <w:rsid w:val="00202D20"/>
    <w:rsid w:val="00202E5F"/>
    <w:rsid w:val="002047E4"/>
    <w:rsid w:val="00204D59"/>
    <w:rsid w:val="00204F5D"/>
    <w:rsid w:val="00205361"/>
    <w:rsid w:val="00205E1D"/>
    <w:rsid w:val="002066B5"/>
    <w:rsid w:val="00206854"/>
    <w:rsid w:val="00206C3E"/>
    <w:rsid w:val="0021110D"/>
    <w:rsid w:val="002113F2"/>
    <w:rsid w:val="0021480F"/>
    <w:rsid w:val="0021547C"/>
    <w:rsid w:val="0021672F"/>
    <w:rsid w:val="00217312"/>
    <w:rsid w:val="00217793"/>
    <w:rsid w:val="002202A8"/>
    <w:rsid w:val="0022199F"/>
    <w:rsid w:val="002225B5"/>
    <w:rsid w:val="0022270E"/>
    <w:rsid w:val="00222BDE"/>
    <w:rsid w:val="00223C2E"/>
    <w:rsid w:val="00224698"/>
    <w:rsid w:val="00225AC5"/>
    <w:rsid w:val="00225B54"/>
    <w:rsid w:val="0022626F"/>
    <w:rsid w:val="00226DA1"/>
    <w:rsid w:val="00227657"/>
    <w:rsid w:val="00230808"/>
    <w:rsid w:val="00230AB7"/>
    <w:rsid w:val="00230F09"/>
    <w:rsid w:val="002312E7"/>
    <w:rsid w:val="0023189D"/>
    <w:rsid w:val="00232336"/>
    <w:rsid w:val="00233324"/>
    <w:rsid w:val="00233B42"/>
    <w:rsid w:val="0023505A"/>
    <w:rsid w:val="0023576E"/>
    <w:rsid w:val="00235BBF"/>
    <w:rsid w:val="00235E8E"/>
    <w:rsid w:val="00236418"/>
    <w:rsid w:val="002370FB"/>
    <w:rsid w:val="0024050E"/>
    <w:rsid w:val="00241706"/>
    <w:rsid w:val="00241DCD"/>
    <w:rsid w:val="00242010"/>
    <w:rsid w:val="00242FA0"/>
    <w:rsid w:val="00243D3A"/>
    <w:rsid w:val="00244EAF"/>
    <w:rsid w:val="0024567C"/>
    <w:rsid w:val="00245917"/>
    <w:rsid w:val="00246300"/>
    <w:rsid w:val="0024638A"/>
    <w:rsid w:val="00246425"/>
    <w:rsid w:val="002464E5"/>
    <w:rsid w:val="00246EBE"/>
    <w:rsid w:val="0024751E"/>
    <w:rsid w:val="00247B76"/>
    <w:rsid w:val="00247E0D"/>
    <w:rsid w:val="002500DE"/>
    <w:rsid w:val="002529FC"/>
    <w:rsid w:val="00254654"/>
    <w:rsid w:val="00254D5A"/>
    <w:rsid w:val="002554A0"/>
    <w:rsid w:val="00256093"/>
    <w:rsid w:val="00256D52"/>
    <w:rsid w:val="00260F47"/>
    <w:rsid w:val="00260FCE"/>
    <w:rsid w:val="00261339"/>
    <w:rsid w:val="0026153C"/>
    <w:rsid w:val="0026192B"/>
    <w:rsid w:val="002620D0"/>
    <w:rsid w:val="0026231E"/>
    <w:rsid w:val="00262709"/>
    <w:rsid w:val="0026350B"/>
    <w:rsid w:val="002635A0"/>
    <w:rsid w:val="00263B14"/>
    <w:rsid w:val="00264539"/>
    <w:rsid w:val="00265AE3"/>
    <w:rsid w:val="00265FCD"/>
    <w:rsid w:val="002665BC"/>
    <w:rsid w:val="00266C8D"/>
    <w:rsid w:val="00267B32"/>
    <w:rsid w:val="00271D34"/>
    <w:rsid w:val="00272BBA"/>
    <w:rsid w:val="002731BB"/>
    <w:rsid w:val="00273AA3"/>
    <w:rsid w:val="00273D15"/>
    <w:rsid w:val="00273E26"/>
    <w:rsid w:val="0027419B"/>
    <w:rsid w:val="00274597"/>
    <w:rsid w:val="002747FD"/>
    <w:rsid w:val="002748F7"/>
    <w:rsid w:val="00275CEB"/>
    <w:rsid w:val="002762D0"/>
    <w:rsid w:val="002770CD"/>
    <w:rsid w:val="00277470"/>
    <w:rsid w:val="00277BDD"/>
    <w:rsid w:val="00277D5D"/>
    <w:rsid w:val="00277EAA"/>
    <w:rsid w:val="00280081"/>
    <w:rsid w:val="0028056A"/>
    <w:rsid w:val="00282248"/>
    <w:rsid w:val="00282C40"/>
    <w:rsid w:val="00282E70"/>
    <w:rsid w:val="002830D6"/>
    <w:rsid w:val="0028463A"/>
    <w:rsid w:val="00285160"/>
    <w:rsid w:val="0028642B"/>
    <w:rsid w:val="00286DD1"/>
    <w:rsid w:val="0028737E"/>
    <w:rsid w:val="0029081A"/>
    <w:rsid w:val="00291B61"/>
    <w:rsid w:val="00292C33"/>
    <w:rsid w:val="00292F11"/>
    <w:rsid w:val="00293ACB"/>
    <w:rsid w:val="00293BEB"/>
    <w:rsid w:val="0029467A"/>
    <w:rsid w:val="002949BE"/>
    <w:rsid w:val="00295796"/>
    <w:rsid w:val="002A019B"/>
    <w:rsid w:val="002A11BF"/>
    <w:rsid w:val="002A209C"/>
    <w:rsid w:val="002A26AA"/>
    <w:rsid w:val="002A29CE"/>
    <w:rsid w:val="002A2F93"/>
    <w:rsid w:val="002A35A2"/>
    <w:rsid w:val="002A3D06"/>
    <w:rsid w:val="002A575E"/>
    <w:rsid w:val="002A576B"/>
    <w:rsid w:val="002A627C"/>
    <w:rsid w:val="002A6BEF"/>
    <w:rsid w:val="002B0FC1"/>
    <w:rsid w:val="002B12F4"/>
    <w:rsid w:val="002B145B"/>
    <w:rsid w:val="002B1AC5"/>
    <w:rsid w:val="002B211A"/>
    <w:rsid w:val="002B2CF7"/>
    <w:rsid w:val="002B3311"/>
    <w:rsid w:val="002B34BD"/>
    <w:rsid w:val="002B3C79"/>
    <w:rsid w:val="002B41DD"/>
    <w:rsid w:val="002B490B"/>
    <w:rsid w:val="002B4D6D"/>
    <w:rsid w:val="002B4FFF"/>
    <w:rsid w:val="002B6300"/>
    <w:rsid w:val="002B72C3"/>
    <w:rsid w:val="002B7659"/>
    <w:rsid w:val="002B7A0A"/>
    <w:rsid w:val="002B7B6D"/>
    <w:rsid w:val="002C22B0"/>
    <w:rsid w:val="002C2989"/>
    <w:rsid w:val="002C5009"/>
    <w:rsid w:val="002C54CB"/>
    <w:rsid w:val="002C5850"/>
    <w:rsid w:val="002C63CF"/>
    <w:rsid w:val="002C6A1D"/>
    <w:rsid w:val="002C6D2E"/>
    <w:rsid w:val="002C6FF0"/>
    <w:rsid w:val="002D23D5"/>
    <w:rsid w:val="002D2E85"/>
    <w:rsid w:val="002D34F1"/>
    <w:rsid w:val="002D3DDF"/>
    <w:rsid w:val="002D4D38"/>
    <w:rsid w:val="002D6037"/>
    <w:rsid w:val="002D61A1"/>
    <w:rsid w:val="002D6999"/>
    <w:rsid w:val="002D7629"/>
    <w:rsid w:val="002E0259"/>
    <w:rsid w:val="002E0E98"/>
    <w:rsid w:val="002E17D6"/>
    <w:rsid w:val="002E2164"/>
    <w:rsid w:val="002E25FC"/>
    <w:rsid w:val="002E2DE7"/>
    <w:rsid w:val="002E2F58"/>
    <w:rsid w:val="002E357A"/>
    <w:rsid w:val="002E40FE"/>
    <w:rsid w:val="002E444A"/>
    <w:rsid w:val="002E4686"/>
    <w:rsid w:val="002E4918"/>
    <w:rsid w:val="002E5112"/>
    <w:rsid w:val="002E56E8"/>
    <w:rsid w:val="002E6FF7"/>
    <w:rsid w:val="002E7430"/>
    <w:rsid w:val="002E7C83"/>
    <w:rsid w:val="002E7DF3"/>
    <w:rsid w:val="002E7F4D"/>
    <w:rsid w:val="002F02AD"/>
    <w:rsid w:val="002F145B"/>
    <w:rsid w:val="002F1F1A"/>
    <w:rsid w:val="002F2400"/>
    <w:rsid w:val="002F2645"/>
    <w:rsid w:val="002F2851"/>
    <w:rsid w:val="002F2E72"/>
    <w:rsid w:val="002F33CB"/>
    <w:rsid w:val="002F40F1"/>
    <w:rsid w:val="002F484E"/>
    <w:rsid w:val="002F5414"/>
    <w:rsid w:val="002F5CA0"/>
    <w:rsid w:val="002F6D47"/>
    <w:rsid w:val="00300F11"/>
    <w:rsid w:val="00301B2C"/>
    <w:rsid w:val="00301F3B"/>
    <w:rsid w:val="00302474"/>
    <w:rsid w:val="00303C1D"/>
    <w:rsid w:val="00304002"/>
    <w:rsid w:val="00304B7C"/>
    <w:rsid w:val="003065AD"/>
    <w:rsid w:val="003074DB"/>
    <w:rsid w:val="00307975"/>
    <w:rsid w:val="00307A73"/>
    <w:rsid w:val="00307F61"/>
    <w:rsid w:val="00310912"/>
    <w:rsid w:val="00310982"/>
    <w:rsid w:val="00310E22"/>
    <w:rsid w:val="003112E1"/>
    <w:rsid w:val="00311E24"/>
    <w:rsid w:val="00312203"/>
    <w:rsid w:val="00312361"/>
    <w:rsid w:val="003128C2"/>
    <w:rsid w:val="00312A51"/>
    <w:rsid w:val="003140CF"/>
    <w:rsid w:val="0031501F"/>
    <w:rsid w:val="003154AD"/>
    <w:rsid w:val="003154FC"/>
    <w:rsid w:val="003169D8"/>
    <w:rsid w:val="00317444"/>
    <w:rsid w:val="003176C1"/>
    <w:rsid w:val="00320016"/>
    <w:rsid w:val="00320189"/>
    <w:rsid w:val="00321195"/>
    <w:rsid w:val="00321D24"/>
    <w:rsid w:val="00322BC9"/>
    <w:rsid w:val="003232B6"/>
    <w:rsid w:val="00323BFD"/>
    <w:rsid w:val="00323F8D"/>
    <w:rsid w:val="00325033"/>
    <w:rsid w:val="0032553A"/>
    <w:rsid w:val="0032582C"/>
    <w:rsid w:val="00326003"/>
    <w:rsid w:val="003263FC"/>
    <w:rsid w:val="0032705C"/>
    <w:rsid w:val="00330307"/>
    <w:rsid w:val="0033267C"/>
    <w:rsid w:val="003346D2"/>
    <w:rsid w:val="00334B70"/>
    <w:rsid w:val="00335984"/>
    <w:rsid w:val="00335B92"/>
    <w:rsid w:val="00335F19"/>
    <w:rsid w:val="00335F2C"/>
    <w:rsid w:val="00336752"/>
    <w:rsid w:val="00336C60"/>
    <w:rsid w:val="0033771E"/>
    <w:rsid w:val="003404E0"/>
    <w:rsid w:val="00340B5F"/>
    <w:rsid w:val="00341BCF"/>
    <w:rsid w:val="00341D16"/>
    <w:rsid w:val="0034218A"/>
    <w:rsid w:val="003427C5"/>
    <w:rsid w:val="00342F22"/>
    <w:rsid w:val="00343916"/>
    <w:rsid w:val="00343B69"/>
    <w:rsid w:val="0034454D"/>
    <w:rsid w:val="0034496C"/>
    <w:rsid w:val="003455FF"/>
    <w:rsid w:val="00345F6D"/>
    <w:rsid w:val="003461E3"/>
    <w:rsid w:val="00347ADF"/>
    <w:rsid w:val="00350F11"/>
    <w:rsid w:val="0035296E"/>
    <w:rsid w:val="00352B85"/>
    <w:rsid w:val="00352FC0"/>
    <w:rsid w:val="003533D8"/>
    <w:rsid w:val="0035472C"/>
    <w:rsid w:val="0035551D"/>
    <w:rsid w:val="00355DE5"/>
    <w:rsid w:val="00357FC1"/>
    <w:rsid w:val="0036091C"/>
    <w:rsid w:val="0036161F"/>
    <w:rsid w:val="0036275D"/>
    <w:rsid w:val="00362963"/>
    <w:rsid w:val="00362CF6"/>
    <w:rsid w:val="00362EED"/>
    <w:rsid w:val="0036308B"/>
    <w:rsid w:val="0036372F"/>
    <w:rsid w:val="00364222"/>
    <w:rsid w:val="0036466B"/>
    <w:rsid w:val="00364740"/>
    <w:rsid w:val="00365D46"/>
    <w:rsid w:val="00366272"/>
    <w:rsid w:val="00366CD4"/>
    <w:rsid w:val="00366DE7"/>
    <w:rsid w:val="0036755B"/>
    <w:rsid w:val="0036775A"/>
    <w:rsid w:val="0037018C"/>
    <w:rsid w:val="003703D7"/>
    <w:rsid w:val="00370B9E"/>
    <w:rsid w:val="00371061"/>
    <w:rsid w:val="00371A63"/>
    <w:rsid w:val="00371F08"/>
    <w:rsid w:val="00371FDA"/>
    <w:rsid w:val="003737E8"/>
    <w:rsid w:val="003738C8"/>
    <w:rsid w:val="003739A3"/>
    <w:rsid w:val="00373AF3"/>
    <w:rsid w:val="003741FC"/>
    <w:rsid w:val="00374720"/>
    <w:rsid w:val="00375C54"/>
    <w:rsid w:val="00375CA6"/>
    <w:rsid w:val="003760E4"/>
    <w:rsid w:val="00376893"/>
    <w:rsid w:val="00377185"/>
    <w:rsid w:val="0037719B"/>
    <w:rsid w:val="00377BF6"/>
    <w:rsid w:val="00381EDE"/>
    <w:rsid w:val="00382CD8"/>
    <w:rsid w:val="003837A0"/>
    <w:rsid w:val="003837BB"/>
    <w:rsid w:val="003838E8"/>
    <w:rsid w:val="00383D50"/>
    <w:rsid w:val="00383FB0"/>
    <w:rsid w:val="00385F23"/>
    <w:rsid w:val="0038613D"/>
    <w:rsid w:val="00387C8E"/>
    <w:rsid w:val="00387EA3"/>
    <w:rsid w:val="003916F0"/>
    <w:rsid w:val="00391FD6"/>
    <w:rsid w:val="003928B0"/>
    <w:rsid w:val="00393524"/>
    <w:rsid w:val="00393F91"/>
    <w:rsid w:val="003943D3"/>
    <w:rsid w:val="00394760"/>
    <w:rsid w:val="00394B66"/>
    <w:rsid w:val="00394BBC"/>
    <w:rsid w:val="00396235"/>
    <w:rsid w:val="00397CB1"/>
    <w:rsid w:val="003A05A1"/>
    <w:rsid w:val="003A07B7"/>
    <w:rsid w:val="003A0EA1"/>
    <w:rsid w:val="003A0EF5"/>
    <w:rsid w:val="003A1DE9"/>
    <w:rsid w:val="003A2D70"/>
    <w:rsid w:val="003A31A9"/>
    <w:rsid w:val="003A3A57"/>
    <w:rsid w:val="003A71AA"/>
    <w:rsid w:val="003A7A17"/>
    <w:rsid w:val="003B0E11"/>
    <w:rsid w:val="003B11AB"/>
    <w:rsid w:val="003B1C13"/>
    <w:rsid w:val="003B1CE2"/>
    <w:rsid w:val="003B1E72"/>
    <w:rsid w:val="003B261A"/>
    <w:rsid w:val="003B2620"/>
    <w:rsid w:val="003B2A6C"/>
    <w:rsid w:val="003B3C4B"/>
    <w:rsid w:val="003B4AE7"/>
    <w:rsid w:val="003B5624"/>
    <w:rsid w:val="003B7137"/>
    <w:rsid w:val="003B780F"/>
    <w:rsid w:val="003C1DBD"/>
    <w:rsid w:val="003C2F8C"/>
    <w:rsid w:val="003C48FA"/>
    <w:rsid w:val="003C50EB"/>
    <w:rsid w:val="003C5C50"/>
    <w:rsid w:val="003C7C93"/>
    <w:rsid w:val="003D03BF"/>
    <w:rsid w:val="003D1574"/>
    <w:rsid w:val="003D2126"/>
    <w:rsid w:val="003D2967"/>
    <w:rsid w:val="003D3085"/>
    <w:rsid w:val="003D3981"/>
    <w:rsid w:val="003D3A4A"/>
    <w:rsid w:val="003D3F9C"/>
    <w:rsid w:val="003D6875"/>
    <w:rsid w:val="003D6B10"/>
    <w:rsid w:val="003D7AC9"/>
    <w:rsid w:val="003E0203"/>
    <w:rsid w:val="003E0C9C"/>
    <w:rsid w:val="003E1602"/>
    <w:rsid w:val="003E1ADC"/>
    <w:rsid w:val="003E2062"/>
    <w:rsid w:val="003E20D9"/>
    <w:rsid w:val="003E297D"/>
    <w:rsid w:val="003E5703"/>
    <w:rsid w:val="003E642D"/>
    <w:rsid w:val="003E73D6"/>
    <w:rsid w:val="003E76C3"/>
    <w:rsid w:val="003E785F"/>
    <w:rsid w:val="003F0281"/>
    <w:rsid w:val="003F29DC"/>
    <w:rsid w:val="003F3154"/>
    <w:rsid w:val="003F33C9"/>
    <w:rsid w:val="003F40DA"/>
    <w:rsid w:val="003F4162"/>
    <w:rsid w:val="003F50B9"/>
    <w:rsid w:val="003F5613"/>
    <w:rsid w:val="003F57C3"/>
    <w:rsid w:val="003F67DC"/>
    <w:rsid w:val="003F6841"/>
    <w:rsid w:val="003F68BE"/>
    <w:rsid w:val="003F68D7"/>
    <w:rsid w:val="003F72BF"/>
    <w:rsid w:val="004007A3"/>
    <w:rsid w:val="00400928"/>
    <w:rsid w:val="00400CB2"/>
    <w:rsid w:val="00401110"/>
    <w:rsid w:val="0040282C"/>
    <w:rsid w:val="00404196"/>
    <w:rsid w:val="004044BC"/>
    <w:rsid w:val="0040512B"/>
    <w:rsid w:val="00405396"/>
    <w:rsid w:val="0040582F"/>
    <w:rsid w:val="00405F8C"/>
    <w:rsid w:val="004072D9"/>
    <w:rsid w:val="004114D5"/>
    <w:rsid w:val="00413080"/>
    <w:rsid w:val="004139DF"/>
    <w:rsid w:val="00413DFC"/>
    <w:rsid w:val="00413FE1"/>
    <w:rsid w:val="00414200"/>
    <w:rsid w:val="00414954"/>
    <w:rsid w:val="00414D92"/>
    <w:rsid w:val="00415984"/>
    <w:rsid w:val="0041639E"/>
    <w:rsid w:val="00416E0E"/>
    <w:rsid w:val="00420C39"/>
    <w:rsid w:val="00421B41"/>
    <w:rsid w:val="00421CCA"/>
    <w:rsid w:val="004222B4"/>
    <w:rsid w:val="00423D75"/>
    <w:rsid w:val="00423DCB"/>
    <w:rsid w:val="004244E6"/>
    <w:rsid w:val="004244F0"/>
    <w:rsid w:val="00424968"/>
    <w:rsid w:val="0042543A"/>
    <w:rsid w:val="00425760"/>
    <w:rsid w:val="0042620D"/>
    <w:rsid w:val="0042674C"/>
    <w:rsid w:val="0042689A"/>
    <w:rsid w:val="004270C8"/>
    <w:rsid w:val="004273FB"/>
    <w:rsid w:val="004276FD"/>
    <w:rsid w:val="00427888"/>
    <w:rsid w:val="00430014"/>
    <w:rsid w:val="00431D4A"/>
    <w:rsid w:val="0043210D"/>
    <w:rsid w:val="00432230"/>
    <w:rsid w:val="0043262F"/>
    <w:rsid w:val="004332F4"/>
    <w:rsid w:val="004346C5"/>
    <w:rsid w:val="0043511E"/>
    <w:rsid w:val="00436059"/>
    <w:rsid w:val="004360FB"/>
    <w:rsid w:val="00436FF5"/>
    <w:rsid w:val="00437DA8"/>
    <w:rsid w:val="00441EE3"/>
    <w:rsid w:val="00442EB7"/>
    <w:rsid w:val="0044435E"/>
    <w:rsid w:val="004448B7"/>
    <w:rsid w:val="00445459"/>
    <w:rsid w:val="00445F39"/>
    <w:rsid w:val="00445FC0"/>
    <w:rsid w:val="00446D5D"/>
    <w:rsid w:val="00446F8C"/>
    <w:rsid w:val="004500D8"/>
    <w:rsid w:val="00450704"/>
    <w:rsid w:val="00450A31"/>
    <w:rsid w:val="00450B61"/>
    <w:rsid w:val="004524E6"/>
    <w:rsid w:val="00452882"/>
    <w:rsid w:val="00452EA2"/>
    <w:rsid w:val="00453747"/>
    <w:rsid w:val="004537BD"/>
    <w:rsid w:val="00456621"/>
    <w:rsid w:val="00456BF5"/>
    <w:rsid w:val="00457184"/>
    <w:rsid w:val="00460C7A"/>
    <w:rsid w:val="004624DB"/>
    <w:rsid w:val="004639AA"/>
    <w:rsid w:val="004647C0"/>
    <w:rsid w:val="00464976"/>
    <w:rsid w:val="00464ABF"/>
    <w:rsid w:val="004653BB"/>
    <w:rsid w:val="004661CF"/>
    <w:rsid w:val="004665AD"/>
    <w:rsid w:val="00466A5E"/>
    <w:rsid w:val="004677DE"/>
    <w:rsid w:val="004731FB"/>
    <w:rsid w:val="0047374A"/>
    <w:rsid w:val="00473CA8"/>
    <w:rsid w:val="00475551"/>
    <w:rsid w:val="00475A6A"/>
    <w:rsid w:val="004765C6"/>
    <w:rsid w:val="0047746F"/>
    <w:rsid w:val="00477C5B"/>
    <w:rsid w:val="004818DC"/>
    <w:rsid w:val="00481A1F"/>
    <w:rsid w:val="00481C89"/>
    <w:rsid w:val="00481E5F"/>
    <w:rsid w:val="004822D7"/>
    <w:rsid w:val="00482A3D"/>
    <w:rsid w:val="00482C67"/>
    <w:rsid w:val="00483321"/>
    <w:rsid w:val="004839C7"/>
    <w:rsid w:val="00484FEA"/>
    <w:rsid w:val="00485042"/>
    <w:rsid w:val="00485874"/>
    <w:rsid w:val="00485FCE"/>
    <w:rsid w:val="00486051"/>
    <w:rsid w:val="00486130"/>
    <w:rsid w:val="00486437"/>
    <w:rsid w:val="00486F81"/>
    <w:rsid w:val="00487BA0"/>
    <w:rsid w:val="00487DF7"/>
    <w:rsid w:val="00490003"/>
    <w:rsid w:val="00490063"/>
    <w:rsid w:val="00490514"/>
    <w:rsid w:val="004915AA"/>
    <w:rsid w:val="004939F6"/>
    <w:rsid w:val="00493F16"/>
    <w:rsid w:val="00493FB9"/>
    <w:rsid w:val="00494169"/>
    <w:rsid w:val="004950B4"/>
    <w:rsid w:val="00495A4E"/>
    <w:rsid w:val="00496107"/>
    <w:rsid w:val="00496336"/>
    <w:rsid w:val="004965DD"/>
    <w:rsid w:val="00497772"/>
    <w:rsid w:val="004979B4"/>
    <w:rsid w:val="00497EFF"/>
    <w:rsid w:val="004A0DC2"/>
    <w:rsid w:val="004A1531"/>
    <w:rsid w:val="004A1BCD"/>
    <w:rsid w:val="004A1D90"/>
    <w:rsid w:val="004A2DD1"/>
    <w:rsid w:val="004A2FDA"/>
    <w:rsid w:val="004A31BE"/>
    <w:rsid w:val="004A3E4C"/>
    <w:rsid w:val="004A42A6"/>
    <w:rsid w:val="004A47C4"/>
    <w:rsid w:val="004A5E65"/>
    <w:rsid w:val="004A5F06"/>
    <w:rsid w:val="004A6305"/>
    <w:rsid w:val="004B076E"/>
    <w:rsid w:val="004B1D26"/>
    <w:rsid w:val="004B273C"/>
    <w:rsid w:val="004B2DAB"/>
    <w:rsid w:val="004B3DEB"/>
    <w:rsid w:val="004B3E12"/>
    <w:rsid w:val="004B4398"/>
    <w:rsid w:val="004B4D3E"/>
    <w:rsid w:val="004B5A2D"/>
    <w:rsid w:val="004B634C"/>
    <w:rsid w:val="004B6CE3"/>
    <w:rsid w:val="004B6F51"/>
    <w:rsid w:val="004B73E4"/>
    <w:rsid w:val="004B7BC0"/>
    <w:rsid w:val="004C0CB7"/>
    <w:rsid w:val="004C0DAC"/>
    <w:rsid w:val="004C1E27"/>
    <w:rsid w:val="004C2A99"/>
    <w:rsid w:val="004C3A2E"/>
    <w:rsid w:val="004C3E14"/>
    <w:rsid w:val="004C4D6C"/>
    <w:rsid w:val="004C54D3"/>
    <w:rsid w:val="004C5B5C"/>
    <w:rsid w:val="004C5DDC"/>
    <w:rsid w:val="004C5F2A"/>
    <w:rsid w:val="004C60DE"/>
    <w:rsid w:val="004C6236"/>
    <w:rsid w:val="004C722D"/>
    <w:rsid w:val="004D0378"/>
    <w:rsid w:val="004D1C61"/>
    <w:rsid w:val="004D1C86"/>
    <w:rsid w:val="004D1DDE"/>
    <w:rsid w:val="004D23D6"/>
    <w:rsid w:val="004D28F2"/>
    <w:rsid w:val="004D3519"/>
    <w:rsid w:val="004D53F1"/>
    <w:rsid w:val="004D5D45"/>
    <w:rsid w:val="004D6E41"/>
    <w:rsid w:val="004D76AE"/>
    <w:rsid w:val="004E095F"/>
    <w:rsid w:val="004E0B99"/>
    <w:rsid w:val="004E1318"/>
    <w:rsid w:val="004E22CE"/>
    <w:rsid w:val="004E2793"/>
    <w:rsid w:val="004E3286"/>
    <w:rsid w:val="004E357D"/>
    <w:rsid w:val="004E3911"/>
    <w:rsid w:val="004E3949"/>
    <w:rsid w:val="004E3F66"/>
    <w:rsid w:val="004E4113"/>
    <w:rsid w:val="004E4186"/>
    <w:rsid w:val="004E46EF"/>
    <w:rsid w:val="004E4B73"/>
    <w:rsid w:val="004E4D07"/>
    <w:rsid w:val="004E5821"/>
    <w:rsid w:val="004E7A50"/>
    <w:rsid w:val="004F0598"/>
    <w:rsid w:val="004F0879"/>
    <w:rsid w:val="004F0EAE"/>
    <w:rsid w:val="004F1372"/>
    <w:rsid w:val="004F1A4D"/>
    <w:rsid w:val="004F2756"/>
    <w:rsid w:val="004F4C04"/>
    <w:rsid w:val="004F4FEE"/>
    <w:rsid w:val="004F5D41"/>
    <w:rsid w:val="004F6E5B"/>
    <w:rsid w:val="00500FF6"/>
    <w:rsid w:val="0050127A"/>
    <w:rsid w:val="0050166B"/>
    <w:rsid w:val="0050306B"/>
    <w:rsid w:val="005043A8"/>
    <w:rsid w:val="005047ED"/>
    <w:rsid w:val="00504AF8"/>
    <w:rsid w:val="00504BB4"/>
    <w:rsid w:val="00504BD3"/>
    <w:rsid w:val="00505754"/>
    <w:rsid w:val="0050715C"/>
    <w:rsid w:val="00507D66"/>
    <w:rsid w:val="00510475"/>
    <w:rsid w:val="005111B2"/>
    <w:rsid w:val="0051129A"/>
    <w:rsid w:val="0051259F"/>
    <w:rsid w:val="0051297E"/>
    <w:rsid w:val="00514375"/>
    <w:rsid w:val="00514C55"/>
    <w:rsid w:val="00515751"/>
    <w:rsid w:val="00516BE8"/>
    <w:rsid w:val="00516EEB"/>
    <w:rsid w:val="00523720"/>
    <w:rsid w:val="005237CF"/>
    <w:rsid w:val="00523CF0"/>
    <w:rsid w:val="00524773"/>
    <w:rsid w:val="00525FEA"/>
    <w:rsid w:val="00526C0D"/>
    <w:rsid w:val="00526DD8"/>
    <w:rsid w:val="0052703B"/>
    <w:rsid w:val="005311DB"/>
    <w:rsid w:val="005313C6"/>
    <w:rsid w:val="0053156B"/>
    <w:rsid w:val="00532265"/>
    <w:rsid w:val="00532D61"/>
    <w:rsid w:val="00532EDA"/>
    <w:rsid w:val="0053373F"/>
    <w:rsid w:val="00534365"/>
    <w:rsid w:val="0053488B"/>
    <w:rsid w:val="00535ED3"/>
    <w:rsid w:val="00535ED8"/>
    <w:rsid w:val="00536E95"/>
    <w:rsid w:val="00541785"/>
    <w:rsid w:val="005424D1"/>
    <w:rsid w:val="0054298E"/>
    <w:rsid w:val="005429A2"/>
    <w:rsid w:val="005435BB"/>
    <w:rsid w:val="00543AB0"/>
    <w:rsid w:val="00543C23"/>
    <w:rsid w:val="00543C2F"/>
    <w:rsid w:val="00544991"/>
    <w:rsid w:val="00544BE4"/>
    <w:rsid w:val="00545AE7"/>
    <w:rsid w:val="0054701F"/>
    <w:rsid w:val="0055172C"/>
    <w:rsid w:val="005520AF"/>
    <w:rsid w:val="00553416"/>
    <w:rsid w:val="0055371F"/>
    <w:rsid w:val="0055379C"/>
    <w:rsid w:val="005554E8"/>
    <w:rsid w:val="00555A49"/>
    <w:rsid w:val="0055651A"/>
    <w:rsid w:val="005571AB"/>
    <w:rsid w:val="00557918"/>
    <w:rsid w:val="00560430"/>
    <w:rsid w:val="00560873"/>
    <w:rsid w:val="00560D9F"/>
    <w:rsid w:val="00560FB3"/>
    <w:rsid w:val="00561341"/>
    <w:rsid w:val="005618DC"/>
    <w:rsid w:val="00562189"/>
    <w:rsid w:val="00562FB6"/>
    <w:rsid w:val="00563A4F"/>
    <w:rsid w:val="00564606"/>
    <w:rsid w:val="00565DD3"/>
    <w:rsid w:val="005669A1"/>
    <w:rsid w:val="00566E93"/>
    <w:rsid w:val="0056754A"/>
    <w:rsid w:val="005719F7"/>
    <w:rsid w:val="00571C37"/>
    <w:rsid w:val="00571E5E"/>
    <w:rsid w:val="0057265A"/>
    <w:rsid w:val="005739FC"/>
    <w:rsid w:val="0057471C"/>
    <w:rsid w:val="0057496A"/>
    <w:rsid w:val="00574EF2"/>
    <w:rsid w:val="00575C24"/>
    <w:rsid w:val="0057608C"/>
    <w:rsid w:val="005761FD"/>
    <w:rsid w:val="005762DC"/>
    <w:rsid w:val="005764B0"/>
    <w:rsid w:val="00580103"/>
    <w:rsid w:val="005801A5"/>
    <w:rsid w:val="005804CB"/>
    <w:rsid w:val="00580AF3"/>
    <w:rsid w:val="00580B99"/>
    <w:rsid w:val="00581318"/>
    <w:rsid w:val="00581508"/>
    <w:rsid w:val="005815AC"/>
    <w:rsid w:val="00581710"/>
    <w:rsid w:val="0058196A"/>
    <w:rsid w:val="00582999"/>
    <w:rsid w:val="00583A3D"/>
    <w:rsid w:val="00583B70"/>
    <w:rsid w:val="00584343"/>
    <w:rsid w:val="00584444"/>
    <w:rsid w:val="0058452A"/>
    <w:rsid w:val="005852BF"/>
    <w:rsid w:val="005865B4"/>
    <w:rsid w:val="00586AE3"/>
    <w:rsid w:val="00591A0C"/>
    <w:rsid w:val="0059229E"/>
    <w:rsid w:val="005935BE"/>
    <w:rsid w:val="00593A2C"/>
    <w:rsid w:val="0059429C"/>
    <w:rsid w:val="0059558C"/>
    <w:rsid w:val="00595F55"/>
    <w:rsid w:val="005969B7"/>
    <w:rsid w:val="00596F6B"/>
    <w:rsid w:val="005A14A4"/>
    <w:rsid w:val="005A2552"/>
    <w:rsid w:val="005A2A0E"/>
    <w:rsid w:val="005A4B9E"/>
    <w:rsid w:val="005A520B"/>
    <w:rsid w:val="005B1DB7"/>
    <w:rsid w:val="005B1DD1"/>
    <w:rsid w:val="005B221E"/>
    <w:rsid w:val="005B2BFF"/>
    <w:rsid w:val="005B3074"/>
    <w:rsid w:val="005B339C"/>
    <w:rsid w:val="005B367E"/>
    <w:rsid w:val="005B4314"/>
    <w:rsid w:val="005B49DC"/>
    <w:rsid w:val="005B59FD"/>
    <w:rsid w:val="005B6472"/>
    <w:rsid w:val="005B6DCB"/>
    <w:rsid w:val="005B7DE7"/>
    <w:rsid w:val="005C02CB"/>
    <w:rsid w:val="005C2511"/>
    <w:rsid w:val="005C2949"/>
    <w:rsid w:val="005C2CA9"/>
    <w:rsid w:val="005C2CC0"/>
    <w:rsid w:val="005C4CB4"/>
    <w:rsid w:val="005C4E71"/>
    <w:rsid w:val="005C51C2"/>
    <w:rsid w:val="005C5BB4"/>
    <w:rsid w:val="005C5EEB"/>
    <w:rsid w:val="005C6FD2"/>
    <w:rsid w:val="005C72A3"/>
    <w:rsid w:val="005C7603"/>
    <w:rsid w:val="005D061A"/>
    <w:rsid w:val="005D066F"/>
    <w:rsid w:val="005D1180"/>
    <w:rsid w:val="005D1BA3"/>
    <w:rsid w:val="005D490D"/>
    <w:rsid w:val="005D4B9C"/>
    <w:rsid w:val="005D5155"/>
    <w:rsid w:val="005D5804"/>
    <w:rsid w:val="005D6246"/>
    <w:rsid w:val="005D7B75"/>
    <w:rsid w:val="005E046F"/>
    <w:rsid w:val="005E0845"/>
    <w:rsid w:val="005E0F1F"/>
    <w:rsid w:val="005E2C91"/>
    <w:rsid w:val="005E2D5B"/>
    <w:rsid w:val="005E2FB1"/>
    <w:rsid w:val="005E3458"/>
    <w:rsid w:val="005E34F2"/>
    <w:rsid w:val="005E48E4"/>
    <w:rsid w:val="005E6039"/>
    <w:rsid w:val="005E6D67"/>
    <w:rsid w:val="005E78A4"/>
    <w:rsid w:val="005E7AF3"/>
    <w:rsid w:val="005E7BEB"/>
    <w:rsid w:val="005F0056"/>
    <w:rsid w:val="005F0542"/>
    <w:rsid w:val="005F0817"/>
    <w:rsid w:val="005F2328"/>
    <w:rsid w:val="005F27DB"/>
    <w:rsid w:val="005F2CFD"/>
    <w:rsid w:val="005F2ED8"/>
    <w:rsid w:val="005F31AE"/>
    <w:rsid w:val="005F3B6B"/>
    <w:rsid w:val="005F3E8D"/>
    <w:rsid w:val="005F5790"/>
    <w:rsid w:val="005F5859"/>
    <w:rsid w:val="005F608D"/>
    <w:rsid w:val="005F7D77"/>
    <w:rsid w:val="005F7FCD"/>
    <w:rsid w:val="0060005F"/>
    <w:rsid w:val="006021CA"/>
    <w:rsid w:val="006027DE"/>
    <w:rsid w:val="00602C2A"/>
    <w:rsid w:val="00602C76"/>
    <w:rsid w:val="00602C90"/>
    <w:rsid w:val="006047DE"/>
    <w:rsid w:val="00604E5B"/>
    <w:rsid w:val="00604FAC"/>
    <w:rsid w:val="0060504A"/>
    <w:rsid w:val="00605EEE"/>
    <w:rsid w:val="00605F99"/>
    <w:rsid w:val="00606C2C"/>
    <w:rsid w:val="006072A9"/>
    <w:rsid w:val="00607367"/>
    <w:rsid w:val="00612411"/>
    <w:rsid w:val="00614205"/>
    <w:rsid w:val="006150E9"/>
    <w:rsid w:val="006163CF"/>
    <w:rsid w:val="0061672E"/>
    <w:rsid w:val="006172BA"/>
    <w:rsid w:val="00617A87"/>
    <w:rsid w:val="00617BBB"/>
    <w:rsid w:val="006202E2"/>
    <w:rsid w:val="006208AA"/>
    <w:rsid w:val="00620979"/>
    <w:rsid w:val="00621379"/>
    <w:rsid w:val="0062173A"/>
    <w:rsid w:val="006218A5"/>
    <w:rsid w:val="006226BC"/>
    <w:rsid w:val="006233DA"/>
    <w:rsid w:val="006233F7"/>
    <w:rsid w:val="00623B67"/>
    <w:rsid w:val="00623D38"/>
    <w:rsid w:val="006252DF"/>
    <w:rsid w:val="006262E7"/>
    <w:rsid w:val="00627B39"/>
    <w:rsid w:val="006305E4"/>
    <w:rsid w:val="006312B2"/>
    <w:rsid w:val="00631A0D"/>
    <w:rsid w:val="006326A6"/>
    <w:rsid w:val="00632FB0"/>
    <w:rsid w:val="00634419"/>
    <w:rsid w:val="006349C1"/>
    <w:rsid w:val="00634C08"/>
    <w:rsid w:val="0063579A"/>
    <w:rsid w:val="00636810"/>
    <w:rsid w:val="006372F1"/>
    <w:rsid w:val="00637A3F"/>
    <w:rsid w:val="006401A5"/>
    <w:rsid w:val="00640EB5"/>
    <w:rsid w:val="00641D80"/>
    <w:rsid w:val="00641E02"/>
    <w:rsid w:val="00642151"/>
    <w:rsid w:val="00642653"/>
    <w:rsid w:val="0064302E"/>
    <w:rsid w:val="00645782"/>
    <w:rsid w:val="00647576"/>
    <w:rsid w:val="006476F1"/>
    <w:rsid w:val="00650399"/>
    <w:rsid w:val="0065141E"/>
    <w:rsid w:val="00651A45"/>
    <w:rsid w:val="00651C7E"/>
    <w:rsid w:val="00653436"/>
    <w:rsid w:val="006537D8"/>
    <w:rsid w:val="00653A00"/>
    <w:rsid w:val="006549A0"/>
    <w:rsid w:val="00654B08"/>
    <w:rsid w:val="00654E23"/>
    <w:rsid w:val="00655218"/>
    <w:rsid w:val="006553C3"/>
    <w:rsid w:val="0065577A"/>
    <w:rsid w:val="00655F42"/>
    <w:rsid w:val="0065634C"/>
    <w:rsid w:val="00656DEE"/>
    <w:rsid w:val="006573A5"/>
    <w:rsid w:val="00657BC5"/>
    <w:rsid w:val="0066074A"/>
    <w:rsid w:val="00661853"/>
    <w:rsid w:val="00661D07"/>
    <w:rsid w:val="0066284E"/>
    <w:rsid w:val="0066392F"/>
    <w:rsid w:val="00664005"/>
    <w:rsid w:val="0066503E"/>
    <w:rsid w:val="00665492"/>
    <w:rsid w:val="00665D27"/>
    <w:rsid w:val="00666983"/>
    <w:rsid w:val="006669FE"/>
    <w:rsid w:val="00666C7C"/>
    <w:rsid w:val="00666DBF"/>
    <w:rsid w:val="00667551"/>
    <w:rsid w:val="0066771D"/>
    <w:rsid w:val="00671CF4"/>
    <w:rsid w:val="00672CE4"/>
    <w:rsid w:val="00673450"/>
    <w:rsid w:val="006737C7"/>
    <w:rsid w:val="006740D0"/>
    <w:rsid w:val="00674B70"/>
    <w:rsid w:val="006772CD"/>
    <w:rsid w:val="006776D7"/>
    <w:rsid w:val="00680E7B"/>
    <w:rsid w:val="006812B8"/>
    <w:rsid w:val="00681734"/>
    <w:rsid w:val="00681C8B"/>
    <w:rsid w:val="00681F09"/>
    <w:rsid w:val="006829C3"/>
    <w:rsid w:val="006829F3"/>
    <w:rsid w:val="00683182"/>
    <w:rsid w:val="00683418"/>
    <w:rsid w:val="0068380E"/>
    <w:rsid w:val="00683FC4"/>
    <w:rsid w:val="00684315"/>
    <w:rsid w:val="006849D5"/>
    <w:rsid w:val="00686CE8"/>
    <w:rsid w:val="0068719E"/>
    <w:rsid w:val="00687843"/>
    <w:rsid w:val="0069284B"/>
    <w:rsid w:val="00693540"/>
    <w:rsid w:val="00693789"/>
    <w:rsid w:val="00693808"/>
    <w:rsid w:val="0069473B"/>
    <w:rsid w:val="00694CB2"/>
    <w:rsid w:val="00695959"/>
    <w:rsid w:val="00695A9E"/>
    <w:rsid w:val="00695D51"/>
    <w:rsid w:val="00696139"/>
    <w:rsid w:val="006965E7"/>
    <w:rsid w:val="0069671A"/>
    <w:rsid w:val="006A0A52"/>
    <w:rsid w:val="006A118B"/>
    <w:rsid w:val="006A1415"/>
    <w:rsid w:val="006A1F15"/>
    <w:rsid w:val="006A20F5"/>
    <w:rsid w:val="006A38FE"/>
    <w:rsid w:val="006A4340"/>
    <w:rsid w:val="006A459B"/>
    <w:rsid w:val="006A467A"/>
    <w:rsid w:val="006A474B"/>
    <w:rsid w:val="006A4ECE"/>
    <w:rsid w:val="006A6151"/>
    <w:rsid w:val="006B11B1"/>
    <w:rsid w:val="006B13BF"/>
    <w:rsid w:val="006B2FEA"/>
    <w:rsid w:val="006B31A4"/>
    <w:rsid w:val="006B3362"/>
    <w:rsid w:val="006B4708"/>
    <w:rsid w:val="006B47B2"/>
    <w:rsid w:val="006B4A2C"/>
    <w:rsid w:val="006B638F"/>
    <w:rsid w:val="006B660E"/>
    <w:rsid w:val="006B6B4C"/>
    <w:rsid w:val="006B6F31"/>
    <w:rsid w:val="006B725C"/>
    <w:rsid w:val="006B72C7"/>
    <w:rsid w:val="006C2B96"/>
    <w:rsid w:val="006C38E7"/>
    <w:rsid w:val="006C3924"/>
    <w:rsid w:val="006C3BAB"/>
    <w:rsid w:val="006C3EC0"/>
    <w:rsid w:val="006C5526"/>
    <w:rsid w:val="006C6A3D"/>
    <w:rsid w:val="006C79B1"/>
    <w:rsid w:val="006D0011"/>
    <w:rsid w:val="006D0391"/>
    <w:rsid w:val="006D100F"/>
    <w:rsid w:val="006D1276"/>
    <w:rsid w:val="006D1C1B"/>
    <w:rsid w:val="006D1FA1"/>
    <w:rsid w:val="006D258D"/>
    <w:rsid w:val="006D2B78"/>
    <w:rsid w:val="006D32A8"/>
    <w:rsid w:val="006D361E"/>
    <w:rsid w:val="006D4834"/>
    <w:rsid w:val="006D55A8"/>
    <w:rsid w:val="006D5879"/>
    <w:rsid w:val="006D723D"/>
    <w:rsid w:val="006E0F76"/>
    <w:rsid w:val="006E1971"/>
    <w:rsid w:val="006E1D9F"/>
    <w:rsid w:val="006E416F"/>
    <w:rsid w:val="006E5237"/>
    <w:rsid w:val="006E572E"/>
    <w:rsid w:val="006E7109"/>
    <w:rsid w:val="006E71E1"/>
    <w:rsid w:val="006F0175"/>
    <w:rsid w:val="006F10C5"/>
    <w:rsid w:val="006F116C"/>
    <w:rsid w:val="006F1A00"/>
    <w:rsid w:val="006F484A"/>
    <w:rsid w:val="006F4F0F"/>
    <w:rsid w:val="006F6B77"/>
    <w:rsid w:val="006F7996"/>
    <w:rsid w:val="00701119"/>
    <w:rsid w:val="00701CD8"/>
    <w:rsid w:val="0070392B"/>
    <w:rsid w:val="007039F0"/>
    <w:rsid w:val="00704437"/>
    <w:rsid w:val="00704C0F"/>
    <w:rsid w:val="00705168"/>
    <w:rsid w:val="007051FE"/>
    <w:rsid w:val="00706000"/>
    <w:rsid w:val="00706B59"/>
    <w:rsid w:val="00706C2A"/>
    <w:rsid w:val="007076D2"/>
    <w:rsid w:val="00707838"/>
    <w:rsid w:val="007107A6"/>
    <w:rsid w:val="00710BDB"/>
    <w:rsid w:val="00710D25"/>
    <w:rsid w:val="007112C5"/>
    <w:rsid w:val="00711602"/>
    <w:rsid w:val="0071309E"/>
    <w:rsid w:val="007131B3"/>
    <w:rsid w:val="00713292"/>
    <w:rsid w:val="00713A25"/>
    <w:rsid w:val="00714615"/>
    <w:rsid w:val="00714ED1"/>
    <w:rsid w:val="007152E3"/>
    <w:rsid w:val="0071553B"/>
    <w:rsid w:val="00715962"/>
    <w:rsid w:val="007169EA"/>
    <w:rsid w:val="00717691"/>
    <w:rsid w:val="00717A49"/>
    <w:rsid w:val="00720723"/>
    <w:rsid w:val="00721B2F"/>
    <w:rsid w:val="00721C7D"/>
    <w:rsid w:val="00721E5B"/>
    <w:rsid w:val="007239ED"/>
    <w:rsid w:val="00723A5C"/>
    <w:rsid w:val="00723B15"/>
    <w:rsid w:val="00724356"/>
    <w:rsid w:val="00724555"/>
    <w:rsid w:val="007246E7"/>
    <w:rsid w:val="0072522C"/>
    <w:rsid w:val="007253E4"/>
    <w:rsid w:val="00725BA7"/>
    <w:rsid w:val="00725DF8"/>
    <w:rsid w:val="00725E66"/>
    <w:rsid w:val="0072632E"/>
    <w:rsid w:val="00726C42"/>
    <w:rsid w:val="0072711A"/>
    <w:rsid w:val="0072757D"/>
    <w:rsid w:val="0072770A"/>
    <w:rsid w:val="007300D3"/>
    <w:rsid w:val="00730C44"/>
    <w:rsid w:val="00733A8C"/>
    <w:rsid w:val="00734116"/>
    <w:rsid w:val="0073450D"/>
    <w:rsid w:val="00734B04"/>
    <w:rsid w:val="007358EF"/>
    <w:rsid w:val="00736082"/>
    <w:rsid w:val="0073723F"/>
    <w:rsid w:val="00737B07"/>
    <w:rsid w:val="00737F00"/>
    <w:rsid w:val="00742D9F"/>
    <w:rsid w:val="007438D8"/>
    <w:rsid w:val="00743C36"/>
    <w:rsid w:val="00744234"/>
    <w:rsid w:val="0074465E"/>
    <w:rsid w:val="00744F1A"/>
    <w:rsid w:val="00744FA9"/>
    <w:rsid w:val="007457D6"/>
    <w:rsid w:val="00745A21"/>
    <w:rsid w:val="00745E38"/>
    <w:rsid w:val="00746486"/>
    <w:rsid w:val="007469C8"/>
    <w:rsid w:val="00746CC1"/>
    <w:rsid w:val="007473A3"/>
    <w:rsid w:val="00747542"/>
    <w:rsid w:val="00750423"/>
    <w:rsid w:val="007511CE"/>
    <w:rsid w:val="00751242"/>
    <w:rsid w:val="00751250"/>
    <w:rsid w:val="00751F33"/>
    <w:rsid w:val="0075224C"/>
    <w:rsid w:val="00752FBE"/>
    <w:rsid w:val="0075312B"/>
    <w:rsid w:val="007532E9"/>
    <w:rsid w:val="007544C4"/>
    <w:rsid w:val="0075615A"/>
    <w:rsid w:val="007564FC"/>
    <w:rsid w:val="007569C4"/>
    <w:rsid w:val="007570C3"/>
    <w:rsid w:val="00757B09"/>
    <w:rsid w:val="007607D5"/>
    <w:rsid w:val="00761199"/>
    <w:rsid w:val="0076318A"/>
    <w:rsid w:val="00763415"/>
    <w:rsid w:val="007637DE"/>
    <w:rsid w:val="00763E16"/>
    <w:rsid w:val="00763EB1"/>
    <w:rsid w:val="00766187"/>
    <w:rsid w:val="00766367"/>
    <w:rsid w:val="0076663E"/>
    <w:rsid w:val="007669EF"/>
    <w:rsid w:val="0076707D"/>
    <w:rsid w:val="0076736D"/>
    <w:rsid w:val="00767608"/>
    <w:rsid w:val="007702F5"/>
    <w:rsid w:val="00770E08"/>
    <w:rsid w:val="0077149A"/>
    <w:rsid w:val="0077195E"/>
    <w:rsid w:val="00772918"/>
    <w:rsid w:val="00772DE5"/>
    <w:rsid w:val="00772F56"/>
    <w:rsid w:val="007738FF"/>
    <w:rsid w:val="00774536"/>
    <w:rsid w:val="00774893"/>
    <w:rsid w:val="00774BDB"/>
    <w:rsid w:val="00775236"/>
    <w:rsid w:val="00775ED7"/>
    <w:rsid w:val="00775FF0"/>
    <w:rsid w:val="00776CE2"/>
    <w:rsid w:val="00776CE4"/>
    <w:rsid w:val="007775B6"/>
    <w:rsid w:val="007776EE"/>
    <w:rsid w:val="00777958"/>
    <w:rsid w:val="00780781"/>
    <w:rsid w:val="00781DC7"/>
    <w:rsid w:val="0078231B"/>
    <w:rsid w:val="00782367"/>
    <w:rsid w:val="00782A65"/>
    <w:rsid w:val="007836F0"/>
    <w:rsid w:val="007836F3"/>
    <w:rsid w:val="00784540"/>
    <w:rsid w:val="0078488F"/>
    <w:rsid w:val="00784C8E"/>
    <w:rsid w:val="00784DEA"/>
    <w:rsid w:val="007862C0"/>
    <w:rsid w:val="007864B4"/>
    <w:rsid w:val="00786DE5"/>
    <w:rsid w:val="00787D01"/>
    <w:rsid w:val="007905DE"/>
    <w:rsid w:val="00790E9E"/>
    <w:rsid w:val="00792A91"/>
    <w:rsid w:val="00792B9E"/>
    <w:rsid w:val="00792DCD"/>
    <w:rsid w:val="00793F32"/>
    <w:rsid w:val="00793F90"/>
    <w:rsid w:val="0079637E"/>
    <w:rsid w:val="00796DB4"/>
    <w:rsid w:val="00796FCE"/>
    <w:rsid w:val="007976AB"/>
    <w:rsid w:val="007A00D0"/>
    <w:rsid w:val="007A17A6"/>
    <w:rsid w:val="007A1AAA"/>
    <w:rsid w:val="007A4383"/>
    <w:rsid w:val="007A52E8"/>
    <w:rsid w:val="007A5F74"/>
    <w:rsid w:val="007A6293"/>
    <w:rsid w:val="007A66D4"/>
    <w:rsid w:val="007A7418"/>
    <w:rsid w:val="007A77D7"/>
    <w:rsid w:val="007B1BA9"/>
    <w:rsid w:val="007B1DCE"/>
    <w:rsid w:val="007B1FD8"/>
    <w:rsid w:val="007B2A9D"/>
    <w:rsid w:val="007B2DFD"/>
    <w:rsid w:val="007B3BD3"/>
    <w:rsid w:val="007B3E37"/>
    <w:rsid w:val="007B4CA1"/>
    <w:rsid w:val="007B66AE"/>
    <w:rsid w:val="007C236C"/>
    <w:rsid w:val="007C248D"/>
    <w:rsid w:val="007C3277"/>
    <w:rsid w:val="007C468B"/>
    <w:rsid w:val="007C4B2D"/>
    <w:rsid w:val="007C51C1"/>
    <w:rsid w:val="007C5C26"/>
    <w:rsid w:val="007C5D22"/>
    <w:rsid w:val="007C67D8"/>
    <w:rsid w:val="007C6ABE"/>
    <w:rsid w:val="007C7B1F"/>
    <w:rsid w:val="007D0279"/>
    <w:rsid w:val="007D3201"/>
    <w:rsid w:val="007D367E"/>
    <w:rsid w:val="007D49E5"/>
    <w:rsid w:val="007D507F"/>
    <w:rsid w:val="007D5DCA"/>
    <w:rsid w:val="007D67F0"/>
    <w:rsid w:val="007E070A"/>
    <w:rsid w:val="007E11BC"/>
    <w:rsid w:val="007E32B2"/>
    <w:rsid w:val="007E373E"/>
    <w:rsid w:val="007E3B1B"/>
    <w:rsid w:val="007E5520"/>
    <w:rsid w:val="007E56FC"/>
    <w:rsid w:val="007E7D7D"/>
    <w:rsid w:val="007F2C02"/>
    <w:rsid w:val="007F3AF7"/>
    <w:rsid w:val="007F5CB9"/>
    <w:rsid w:val="007F6A3B"/>
    <w:rsid w:val="007F6C03"/>
    <w:rsid w:val="007F6F1F"/>
    <w:rsid w:val="007F71E1"/>
    <w:rsid w:val="007F7E2D"/>
    <w:rsid w:val="00800C1A"/>
    <w:rsid w:val="00801444"/>
    <w:rsid w:val="00802028"/>
    <w:rsid w:val="00802580"/>
    <w:rsid w:val="00803073"/>
    <w:rsid w:val="00803357"/>
    <w:rsid w:val="008043C0"/>
    <w:rsid w:val="008050B8"/>
    <w:rsid w:val="00805152"/>
    <w:rsid w:val="0080519A"/>
    <w:rsid w:val="008051B6"/>
    <w:rsid w:val="00805B3D"/>
    <w:rsid w:val="00806278"/>
    <w:rsid w:val="008066F3"/>
    <w:rsid w:val="00806F0C"/>
    <w:rsid w:val="008075AB"/>
    <w:rsid w:val="00810A86"/>
    <w:rsid w:val="00811740"/>
    <w:rsid w:val="008117F4"/>
    <w:rsid w:val="008131AE"/>
    <w:rsid w:val="00813758"/>
    <w:rsid w:val="008137B5"/>
    <w:rsid w:val="00813FF8"/>
    <w:rsid w:val="00815252"/>
    <w:rsid w:val="008153D2"/>
    <w:rsid w:val="00816CDF"/>
    <w:rsid w:val="008173E0"/>
    <w:rsid w:val="0081751B"/>
    <w:rsid w:val="00820421"/>
    <w:rsid w:val="008204E0"/>
    <w:rsid w:val="00823038"/>
    <w:rsid w:val="0082339C"/>
    <w:rsid w:val="00823AA7"/>
    <w:rsid w:val="008240F8"/>
    <w:rsid w:val="00824879"/>
    <w:rsid w:val="00830783"/>
    <w:rsid w:val="008308D1"/>
    <w:rsid w:val="00830EAC"/>
    <w:rsid w:val="008310DC"/>
    <w:rsid w:val="00831C97"/>
    <w:rsid w:val="00831E47"/>
    <w:rsid w:val="00832719"/>
    <w:rsid w:val="00832CC3"/>
    <w:rsid w:val="00833C96"/>
    <w:rsid w:val="00834310"/>
    <w:rsid w:val="00834950"/>
    <w:rsid w:val="0083648A"/>
    <w:rsid w:val="008373EF"/>
    <w:rsid w:val="00837F25"/>
    <w:rsid w:val="008400E9"/>
    <w:rsid w:val="0084040F"/>
    <w:rsid w:val="00840C30"/>
    <w:rsid w:val="0084125A"/>
    <w:rsid w:val="008418E2"/>
    <w:rsid w:val="00841CAB"/>
    <w:rsid w:val="00843A55"/>
    <w:rsid w:val="008442CE"/>
    <w:rsid w:val="008445AA"/>
    <w:rsid w:val="00844832"/>
    <w:rsid w:val="008448A6"/>
    <w:rsid w:val="00845119"/>
    <w:rsid w:val="00845B4C"/>
    <w:rsid w:val="00845F8B"/>
    <w:rsid w:val="0085003F"/>
    <w:rsid w:val="00850BFD"/>
    <w:rsid w:val="00851BF3"/>
    <w:rsid w:val="0085253D"/>
    <w:rsid w:val="00853827"/>
    <w:rsid w:val="00853DE4"/>
    <w:rsid w:val="00854A26"/>
    <w:rsid w:val="00855DA7"/>
    <w:rsid w:val="00855E23"/>
    <w:rsid w:val="008561C4"/>
    <w:rsid w:val="0085693A"/>
    <w:rsid w:val="00857133"/>
    <w:rsid w:val="00857436"/>
    <w:rsid w:val="00860B31"/>
    <w:rsid w:val="00860F4D"/>
    <w:rsid w:val="008617F6"/>
    <w:rsid w:val="00862D30"/>
    <w:rsid w:val="008631A6"/>
    <w:rsid w:val="0086363B"/>
    <w:rsid w:val="00864017"/>
    <w:rsid w:val="008645B8"/>
    <w:rsid w:val="008647B8"/>
    <w:rsid w:val="0086541A"/>
    <w:rsid w:val="0086693F"/>
    <w:rsid w:val="008677DC"/>
    <w:rsid w:val="00870753"/>
    <w:rsid w:val="00870BBF"/>
    <w:rsid w:val="00871F89"/>
    <w:rsid w:val="00872C5C"/>
    <w:rsid w:val="0087326D"/>
    <w:rsid w:val="0087341E"/>
    <w:rsid w:val="008741D9"/>
    <w:rsid w:val="00874459"/>
    <w:rsid w:val="00874A27"/>
    <w:rsid w:val="00875E10"/>
    <w:rsid w:val="008762CD"/>
    <w:rsid w:val="0087742D"/>
    <w:rsid w:val="0087748C"/>
    <w:rsid w:val="00877976"/>
    <w:rsid w:val="008779A1"/>
    <w:rsid w:val="00877D56"/>
    <w:rsid w:val="00880175"/>
    <w:rsid w:val="00880412"/>
    <w:rsid w:val="00881A4D"/>
    <w:rsid w:val="00883215"/>
    <w:rsid w:val="00883F1E"/>
    <w:rsid w:val="00884982"/>
    <w:rsid w:val="008854D0"/>
    <w:rsid w:val="008870E9"/>
    <w:rsid w:val="0089008B"/>
    <w:rsid w:val="00891DC0"/>
    <w:rsid w:val="00892F36"/>
    <w:rsid w:val="00893BF1"/>
    <w:rsid w:val="0089417D"/>
    <w:rsid w:val="008942B4"/>
    <w:rsid w:val="0089494F"/>
    <w:rsid w:val="00894C77"/>
    <w:rsid w:val="00895CCB"/>
    <w:rsid w:val="00895EE2"/>
    <w:rsid w:val="00895EFF"/>
    <w:rsid w:val="00897639"/>
    <w:rsid w:val="008A0267"/>
    <w:rsid w:val="008A04CF"/>
    <w:rsid w:val="008A06BE"/>
    <w:rsid w:val="008A071C"/>
    <w:rsid w:val="008A10C0"/>
    <w:rsid w:val="008A15CD"/>
    <w:rsid w:val="008A16E6"/>
    <w:rsid w:val="008A1A61"/>
    <w:rsid w:val="008A24B5"/>
    <w:rsid w:val="008A28EE"/>
    <w:rsid w:val="008A56EB"/>
    <w:rsid w:val="008A6C6D"/>
    <w:rsid w:val="008A6EB1"/>
    <w:rsid w:val="008A7569"/>
    <w:rsid w:val="008A772E"/>
    <w:rsid w:val="008A7969"/>
    <w:rsid w:val="008B14A0"/>
    <w:rsid w:val="008B2FEE"/>
    <w:rsid w:val="008B4108"/>
    <w:rsid w:val="008B4123"/>
    <w:rsid w:val="008B5022"/>
    <w:rsid w:val="008B5BFE"/>
    <w:rsid w:val="008B6ED0"/>
    <w:rsid w:val="008B6F7F"/>
    <w:rsid w:val="008C1092"/>
    <w:rsid w:val="008C143B"/>
    <w:rsid w:val="008C15BF"/>
    <w:rsid w:val="008C2188"/>
    <w:rsid w:val="008C2653"/>
    <w:rsid w:val="008C28D1"/>
    <w:rsid w:val="008C2C2F"/>
    <w:rsid w:val="008C370D"/>
    <w:rsid w:val="008C39A3"/>
    <w:rsid w:val="008C3DD2"/>
    <w:rsid w:val="008C4DF1"/>
    <w:rsid w:val="008C6589"/>
    <w:rsid w:val="008C6820"/>
    <w:rsid w:val="008C794A"/>
    <w:rsid w:val="008D00D8"/>
    <w:rsid w:val="008D157D"/>
    <w:rsid w:val="008D1A55"/>
    <w:rsid w:val="008D1CC5"/>
    <w:rsid w:val="008D21D7"/>
    <w:rsid w:val="008D2FDB"/>
    <w:rsid w:val="008D32FD"/>
    <w:rsid w:val="008D5A64"/>
    <w:rsid w:val="008D6856"/>
    <w:rsid w:val="008D6EC6"/>
    <w:rsid w:val="008D7032"/>
    <w:rsid w:val="008D7072"/>
    <w:rsid w:val="008D7C36"/>
    <w:rsid w:val="008E0479"/>
    <w:rsid w:val="008E09CE"/>
    <w:rsid w:val="008E20B1"/>
    <w:rsid w:val="008E2AB6"/>
    <w:rsid w:val="008E3300"/>
    <w:rsid w:val="008E362E"/>
    <w:rsid w:val="008E36F0"/>
    <w:rsid w:val="008E3A2A"/>
    <w:rsid w:val="008E46FE"/>
    <w:rsid w:val="008E4ABD"/>
    <w:rsid w:val="008E4CCA"/>
    <w:rsid w:val="008E6EA7"/>
    <w:rsid w:val="008E6FE5"/>
    <w:rsid w:val="008F0A46"/>
    <w:rsid w:val="008F2370"/>
    <w:rsid w:val="008F23D6"/>
    <w:rsid w:val="008F29FA"/>
    <w:rsid w:val="008F392C"/>
    <w:rsid w:val="008F5C89"/>
    <w:rsid w:val="008F6FE4"/>
    <w:rsid w:val="008F7A38"/>
    <w:rsid w:val="008F7C73"/>
    <w:rsid w:val="00900A94"/>
    <w:rsid w:val="0090245E"/>
    <w:rsid w:val="009025CD"/>
    <w:rsid w:val="00902F47"/>
    <w:rsid w:val="00902FE6"/>
    <w:rsid w:val="00903606"/>
    <w:rsid w:val="00903740"/>
    <w:rsid w:val="009042B4"/>
    <w:rsid w:val="00904F9F"/>
    <w:rsid w:val="00906130"/>
    <w:rsid w:val="00906CE7"/>
    <w:rsid w:val="00907021"/>
    <w:rsid w:val="0091075A"/>
    <w:rsid w:val="009109D9"/>
    <w:rsid w:val="00911256"/>
    <w:rsid w:val="0091157B"/>
    <w:rsid w:val="00911727"/>
    <w:rsid w:val="00912B63"/>
    <w:rsid w:val="00913905"/>
    <w:rsid w:val="00913A3C"/>
    <w:rsid w:val="00914145"/>
    <w:rsid w:val="00914806"/>
    <w:rsid w:val="0091490B"/>
    <w:rsid w:val="00915CA3"/>
    <w:rsid w:val="00916D59"/>
    <w:rsid w:val="00916E38"/>
    <w:rsid w:val="00920B63"/>
    <w:rsid w:val="009229D3"/>
    <w:rsid w:val="00922B36"/>
    <w:rsid w:val="009235AB"/>
    <w:rsid w:val="009237DB"/>
    <w:rsid w:val="00923E11"/>
    <w:rsid w:val="00924674"/>
    <w:rsid w:val="009250D5"/>
    <w:rsid w:val="00925428"/>
    <w:rsid w:val="0092554D"/>
    <w:rsid w:val="00925A8B"/>
    <w:rsid w:val="009261DE"/>
    <w:rsid w:val="00926261"/>
    <w:rsid w:val="00926C75"/>
    <w:rsid w:val="0092752A"/>
    <w:rsid w:val="00930618"/>
    <w:rsid w:val="00930EE7"/>
    <w:rsid w:val="009313A4"/>
    <w:rsid w:val="009313EB"/>
    <w:rsid w:val="00931A99"/>
    <w:rsid w:val="00933C47"/>
    <w:rsid w:val="009357ED"/>
    <w:rsid w:val="0093654F"/>
    <w:rsid w:val="009375A7"/>
    <w:rsid w:val="009376C7"/>
    <w:rsid w:val="0093771F"/>
    <w:rsid w:val="00941791"/>
    <w:rsid w:val="009424D0"/>
    <w:rsid w:val="00942B7F"/>
    <w:rsid w:val="00942FDD"/>
    <w:rsid w:val="00943691"/>
    <w:rsid w:val="00943740"/>
    <w:rsid w:val="009442E4"/>
    <w:rsid w:val="0094541A"/>
    <w:rsid w:val="009462E2"/>
    <w:rsid w:val="009467A3"/>
    <w:rsid w:val="009467F7"/>
    <w:rsid w:val="00947093"/>
    <w:rsid w:val="00947727"/>
    <w:rsid w:val="00947AFB"/>
    <w:rsid w:val="00951359"/>
    <w:rsid w:val="009519BC"/>
    <w:rsid w:val="00952A6C"/>
    <w:rsid w:val="00953D2F"/>
    <w:rsid w:val="00954862"/>
    <w:rsid w:val="009555FB"/>
    <w:rsid w:val="00956A11"/>
    <w:rsid w:val="00956A2A"/>
    <w:rsid w:val="00956A87"/>
    <w:rsid w:val="009576B4"/>
    <w:rsid w:val="00957949"/>
    <w:rsid w:val="00957C1B"/>
    <w:rsid w:val="0096032E"/>
    <w:rsid w:val="00960827"/>
    <w:rsid w:val="0096115D"/>
    <w:rsid w:val="009615C7"/>
    <w:rsid w:val="00961A71"/>
    <w:rsid w:val="00961E2C"/>
    <w:rsid w:val="0096233D"/>
    <w:rsid w:val="009641BE"/>
    <w:rsid w:val="009654AD"/>
    <w:rsid w:val="00965553"/>
    <w:rsid w:val="00965A8E"/>
    <w:rsid w:val="00965DCF"/>
    <w:rsid w:val="00966C25"/>
    <w:rsid w:val="00966D57"/>
    <w:rsid w:val="00967277"/>
    <w:rsid w:val="009673D7"/>
    <w:rsid w:val="0097177D"/>
    <w:rsid w:val="0097251F"/>
    <w:rsid w:val="009738D5"/>
    <w:rsid w:val="00975529"/>
    <w:rsid w:val="0097557B"/>
    <w:rsid w:val="00975694"/>
    <w:rsid w:val="009757AB"/>
    <w:rsid w:val="00977E83"/>
    <w:rsid w:val="00980FFD"/>
    <w:rsid w:val="009813DA"/>
    <w:rsid w:val="00983560"/>
    <w:rsid w:val="009837BE"/>
    <w:rsid w:val="0098553F"/>
    <w:rsid w:val="00985ABE"/>
    <w:rsid w:val="009870F9"/>
    <w:rsid w:val="0098742B"/>
    <w:rsid w:val="00990245"/>
    <w:rsid w:val="0099057D"/>
    <w:rsid w:val="009906AF"/>
    <w:rsid w:val="00990E94"/>
    <w:rsid w:val="0099313E"/>
    <w:rsid w:val="009931FD"/>
    <w:rsid w:val="00994F4F"/>
    <w:rsid w:val="00996D7F"/>
    <w:rsid w:val="00997F0D"/>
    <w:rsid w:val="009A032E"/>
    <w:rsid w:val="009A0431"/>
    <w:rsid w:val="009A11EC"/>
    <w:rsid w:val="009A1A82"/>
    <w:rsid w:val="009A1EFF"/>
    <w:rsid w:val="009A2233"/>
    <w:rsid w:val="009A284D"/>
    <w:rsid w:val="009A38AA"/>
    <w:rsid w:val="009A3A13"/>
    <w:rsid w:val="009A3D08"/>
    <w:rsid w:val="009A4ADE"/>
    <w:rsid w:val="009A4D5A"/>
    <w:rsid w:val="009A6780"/>
    <w:rsid w:val="009A7015"/>
    <w:rsid w:val="009A721E"/>
    <w:rsid w:val="009B02A8"/>
    <w:rsid w:val="009B052B"/>
    <w:rsid w:val="009B1340"/>
    <w:rsid w:val="009B14A8"/>
    <w:rsid w:val="009B1952"/>
    <w:rsid w:val="009B1973"/>
    <w:rsid w:val="009B1D4E"/>
    <w:rsid w:val="009B20AB"/>
    <w:rsid w:val="009B2F18"/>
    <w:rsid w:val="009B3510"/>
    <w:rsid w:val="009B364F"/>
    <w:rsid w:val="009B3A69"/>
    <w:rsid w:val="009B3C13"/>
    <w:rsid w:val="009B4D53"/>
    <w:rsid w:val="009B513B"/>
    <w:rsid w:val="009B52BD"/>
    <w:rsid w:val="009B570B"/>
    <w:rsid w:val="009B7019"/>
    <w:rsid w:val="009C04B4"/>
    <w:rsid w:val="009C0F91"/>
    <w:rsid w:val="009C1DB8"/>
    <w:rsid w:val="009C3231"/>
    <w:rsid w:val="009C324D"/>
    <w:rsid w:val="009C3906"/>
    <w:rsid w:val="009C3C1F"/>
    <w:rsid w:val="009C3DB5"/>
    <w:rsid w:val="009C4990"/>
    <w:rsid w:val="009C4FB4"/>
    <w:rsid w:val="009C6C00"/>
    <w:rsid w:val="009C7126"/>
    <w:rsid w:val="009C77C6"/>
    <w:rsid w:val="009C7E37"/>
    <w:rsid w:val="009D17EB"/>
    <w:rsid w:val="009D1996"/>
    <w:rsid w:val="009D2FEF"/>
    <w:rsid w:val="009D3743"/>
    <w:rsid w:val="009D3840"/>
    <w:rsid w:val="009D3FAC"/>
    <w:rsid w:val="009D4403"/>
    <w:rsid w:val="009D4A60"/>
    <w:rsid w:val="009D4BC0"/>
    <w:rsid w:val="009D4FCE"/>
    <w:rsid w:val="009D5656"/>
    <w:rsid w:val="009D7279"/>
    <w:rsid w:val="009D7627"/>
    <w:rsid w:val="009E0AAB"/>
    <w:rsid w:val="009E10D1"/>
    <w:rsid w:val="009E164F"/>
    <w:rsid w:val="009E1AEE"/>
    <w:rsid w:val="009E23AF"/>
    <w:rsid w:val="009E47CA"/>
    <w:rsid w:val="009E47FA"/>
    <w:rsid w:val="009E7279"/>
    <w:rsid w:val="009F0677"/>
    <w:rsid w:val="009F193C"/>
    <w:rsid w:val="009F1DD8"/>
    <w:rsid w:val="009F29B3"/>
    <w:rsid w:val="009F321D"/>
    <w:rsid w:val="009F4653"/>
    <w:rsid w:val="009F4F03"/>
    <w:rsid w:val="009F5356"/>
    <w:rsid w:val="009F5D95"/>
    <w:rsid w:val="00A00865"/>
    <w:rsid w:val="00A00C78"/>
    <w:rsid w:val="00A00EDF"/>
    <w:rsid w:val="00A01822"/>
    <w:rsid w:val="00A019D2"/>
    <w:rsid w:val="00A01B21"/>
    <w:rsid w:val="00A02908"/>
    <w:rsid w:val="00A02C62"/>
    <w:rsid w:val="00A02EFE"/>
    <w:rsid w:val="00A0318B"/>
    <w:rsid w:val="00A034FA"/>
    <w:rsid w:val="00A044BB"/>
    <w:rsid w:val="00A04A32"/>
    <w:rsid w:val="00A05001"/>
    <w:rsid w:val="00A06264"/>
    <w:rsid w:val="00A063A2"/>
    <w:rsid w:val="00A06694"/>
    <w:rsid w:val="00A0724D"/>
    <w:rsid w:val="00A07F13"/>
    <w:rsid w:val="00A1043F"/>
    <w:rsid w:val="00A10844"/>
    <w:rsid w:val="00A11F8C"/>
    <w:rsid w:val="00A1264E"/>
    <w:rsid w:val="00A127A2"/>
    <w:rsid w:val="00A13375"/>
    <w:rsid w:val="00A134DB"/>
    <w:rsid w:val="00A13996"/>
    <w:rsid w:val="00A13C0D"/>
    <w:rsid w:val="00A14197"/>
    <w:rsid w:val="00A1447F"/>
    <w:rsid w:val="00A171B6"/>
    <w:rsid w:val="00A20695"/>
    <w:rsid w:val="00A22ABE"/>
    <w:rsid w:val="00A22C8A"/>
    <w:rsid w:val="00A24F1B"/>
    <w:rsid w:val="00A26CF6"/>
    <w:rsid w:val="00A27871"/>
    <w:rsid w:val="00A27B03"/>
    <w:rsid w:val="00A301F5"/>
    <w:rsid w:val="00A30EF9"/>
    <w:rsid w:val="00A31B1F"/>
    <w:rsid w:val="00A31C32"/>
    <w:rsid w:val="00A33BE8"/>
    <w:rsid w:val="00A33E59"/>
    <w:rsid w:val="00A3503A"/>
    <w:rsid w:val="00A35270"/>
    <w:rsid w:val="00A36C54"/>
    <w:rsid w:val="00A3738F"/>
    <w:rsid w:val="00A37945"/>
    <w:rsid w:val="00A40ACB"/>
    <w:rsid w:val="00A40F94"/>
    <w:rsid w:val="00A41B04"/>
    <w:rsid w:val="00A431F3"/>
    <w:rsid w:val="00A44845"/>
    <w:rsid w:val="00A44BDB"/>
    <w:rsid w:val="00A455C6"/>
    <w:rsid w:val="00A4667E"/>
    <w:rsid w:val="00A46A4D"/>
    <w:rsid w:val="00A46FAC"/>
    <w:rsid w:val="00A47788"/>
    <w:rsid w:val="00A47C48"/>
    <w:rsid w:val="00A507E3"/>
    <w:rsid w:val="00A5200F"/>
    <w:rsid w:val="00A54E36"/>
    <w:rsid w:val="00A5509B"/>
    <w:rsid w:val="00A55813"/>
    <w:rsid w:val="00A574F4"/>
    <w:rsid w:val="00A6168C"/>
    <w:rsid w:val="00A61B7B"/>
    <w:rsid w:val="00A61B7F"/>
    <w:rsid w:val="00A62CEE"/>
    <w:rsid w:val="00A63393"/>
    <w:rsid w:val="00A63F94"/>
    <w:rsid w:val="00A6432E"/>
    <w:rsid w:val="00A64780"/>
    <w:rsid w:val="00A66FC6"/>
    <w:rsid w:val="00A67E68"/>
    <w:rsid w:val="00A7030E"/>
    <w:rsid w:val="00A70597"/>
    <w:rsid w:val="00A716D9"/>
    <w:rsid w:val="00A736D5"/>
    <w:rsid w:val="00A75924"/>
    <w:rsid w:val="00A76C15"/>
    <w:rsid w:val="00A76D19"/>
    <w:rsid w:val="00A80F7D"/>
    <w:rsid w:val="00A81DE1"/>
    <w:rsid w:val="00A8222D"/>
    <w:rsid w:val="00A82A1F"/>
    <w:rsid w:val="00A82AC9"/>
    <w:rsid w:val="00A838CB"/>
    <w:rsid w:val="00A84724"/>
    <w:rsid w:val="00A847CE"/>
    <w:rsid w:val="00A8523E"/>
    <w:rsid w:val="00A85345"/>
    <w:rsid w:val="00A8536F"/>
    <w:rsid w:val="00A85697"/>
    <w:rsid w:val="00A85D0C"/>
    <w:rsid w:val="00A85EDD"/>
    <w:rsid w:val="00A87887"/>
    <w:rsid w:val="00A87F11"/>
    <w:rsid w:val="00A900E6"/>
    <w:rsid w:val="00A9043D"/>
    <w:rsid w:val="00A9100E"/>
    <w:rsid w:val="00A914C4"/>
    <w:rsid w:val="00A938BE"/>
    <w:rsid w:val="00A93C8D"/>
    <w:rsid w:val="00A9458A"/>
    <w:rsid w:val="00A94638"/>
    <w:rsid w:val="00A96CE6"/>
    <w:rsid w:val="00A976E7"/>
    <w:rsid w:val="00A97BD2"/>
    <w:rsid w:val="00AA045B"/>
    <w:rsid w:val="00AA107F"/>
    <w:rsid w:val="00AA11DF"/>
    <w:rsid w:val="00AA1E02"/>
    <w:rsid w:val="00AA27D1"/>
    <w:rsid w:val="00AA2834"/>
    <w:rsid w:val="00AA2B03"/>
    <w:rsid w:val="00AA3B67"/>
    <w:rsid w:val="00AA4BE5"/>
    <w:rsid w:val="00AA6541"/>
    <w:rsid w:val="00AB09F4"/>
    <w:rsid w:val="00AB0E61"/>
    <w:rsid w:val="00AB126E"/>
    <w:rsid w:val="00AB2604"/>
    <w:rsid w:val="00AB3766"/>
    <w:rsid w:val="00AB3ABD"/>
    <w:rsid w:val="00AB3C05"/>
    <w:rsid w:val="00AB6177"/>
    <w:rsid w:val="00AB6F11"/>
    <w:rsid w:val="00AC0354"/>
    <w:rsid w:val="00AC046A"/>
    <w:rsid w:val="00AC12A8"/>
    <w:rsid w:val="00AC15F6"/>
    <w:rsid w:val="00AC160C"/>
    <w:rsid w:val="00AC2513"/>
    <w:rsid w:val="00AC40F0"/>
    <w:rsid w:val="00AC43C3"/>
    <w:rsid w:val="00AC56CA"/>
    <w:rsid w:val="00AD00E3"/>
    <w:rsid w:val="00AD07F5"/>
    <w:rsid w:val="00AD090E"/>
    <w:rsid w:val="00AD0BFA"/>
    <w:rsid w:val="00AD0E37"/>
    <w:rsid w:val="00AD0F07"/>
    <w:rsid w:val="00AD1084"/>
    <w:rsid w:val="00AD3CA8"/>
    <w:rsid w:val="00AD4307"/>
    <w:rsid w:val="00AD4BD1"/>
    <w:rsid w:val="00AD51F5"/>
    <w:rsid w:val="00AD5296"/>
    <w:rsid w:val="00AD550F"/>
    <w:rsid w:val="00AD59C1"/>
    <w:rsid w:val="00AD6203"/>
    <w:rsid w:val="00AD6512"/>
    <w:rsid w:val="00AD7100"/>
    <w:rsid w:val="00AD7167"/>
    <w:rsid w:val="00AD77FE"/>
    <w:rsid w:val="00AD7CA6"/>
    <w:rsid w:val="00AE00AE"/>
    <w:rsid w:val="00AE0608"/>
    <w:rsid w:val="00AE080E"/>
    <w:rsid w:val="00AE2242"/>
    <w:rsid w:val="00AE3F4A"/>
    <w:rsid w:val="00AE4742"/>
    <w:rsid w:val="00AE4A81"/>
    <w:rsid w:val="00AE55C5"/>
    <w:rsid w:val="00AE5ABC"/>
    <w:rsid w:val="00AE5AC0"/>
    <w:rsid w:val="00AE5E45"/>
    <w:rsid w:val="00AE61A8"/>
    <w:rsid w:val="00AE64A0"/>
    <w:rsid w:val="00AE6A7A"/>
    <w:rsid w:val="00AE6B1A"/>
    <w:rsid w:val="00AE71AF"/>
    <w:rsid w:val="00AE723A"/>
    <w:rsid w:val="00AF0B41"/>
    <w:rsid w:val="00AF192D"/>
    <w:rsid w:val="00AF1EFC"/>
    <w:rsid w:val="00AF20E6"/>
    <w:rsid w:val="00AF3688"/>
    <w:rsid w:val="00AF4184"/>
    <w:rsid w:val="00AF4492"/>
    <w:rsid w:val="00AF527D"/>
    <w:rsid w:val="00AF5A6C"/>
    <w:rsid w:val="00AF5E36"/>
    <w:rsid w:val="00AF60C3"/>
    <w:rsid w:val="00AF64C2"/>
    <w:rsid w:val="00AF64D8"/>
    <w:rsid w:val="00AF6868"/>
    <w:rsid w:val="00AF7074"/>
    <w:rsid w:val="00B00C6C"/>
    <w:rsid w:val="00B011B6"/>
    <w:rsid w:val="00B01E0E"/>
    <w:rsid w:val="00B01FDE"/>
    <w:rsid w:val="00B0300D"/>
    <w:rsid w:val="00B034C8"/>
    <w:rsid w:val="00B03C86"/>
    <w:rsid w:val="00B04028"/>
    <w:rsid w:val="00B040EA"/>
    <w:rsid w:val="00B047D6"/>
    <w:rsid w:val="00B04947"/>
    <w:rsid w:val="00B0498B"/>
    <w:rsid w:val="00B04D32"/>
    <w:rsid w:val="00B06412"/>
    <w:rsid w:val="00B06EB9"/>
    <w:rsid w:val="00B075AC"/>
    <w:rsid w:val="00B1150B"/>
    <w:rsid w:val="00B123FA"/>
    <w:rsid w:val="00B1253A"/>
    <w:rsid w:val="00B13774"/>
    <w:rsid w:val="00B14476"/>
    <w:rsid w:val="00B15285"/>
    <w:rsid w:val="00B15BE1"/>
    <w:rsid w:val="00B16316"/>
    <w:rsid w:val="00B17F3D"/>
    <w:rsid w:val="00B20B40"/>
    <w:rsid w:val="00B219F2"/>
    <w:rsid w:val="00B21AB9"/>
    <w:rsid w:val="00B21D3D"/>
    <w:rsid w:val="00B22ED4"/>
    <w:rsid w:val="00B2462A"/>
    <w:rsid w:val="00B25E2E"/>
    <w:rsid w:val="00B260F7"/>
    <w:rsid w:val="00B26175"/>
    <w:rsid w:val="00B277DF"/>
    <w:rsid w:val="00B27A41"/>
    <w:rsid w:val="00B3007E"/>
    <w:rsid w:val="00B304A6"/>
    <w:rsid w:val="00B306B3"/>
    <w:rsid w:val="00B315F4"/>
    <w:rsid w:val="00B31F73"/>
    <w:rsid w:val="00B323E0"/>
    <w:rsid w:val="00B33278"/>
    <w:rsid w:val="00B336ED"/>
    <w:rsid w:val="00B33DE3"/>
    <w:rsid w:val="00B34F72"/>
    <w:rsid w:val="00B34FA9"/>
    <w:rsid w:val="00B35DA9"/>
    <w:rsid w:val="00B36631"/>
    <w:rsid w:val="00B36E57"/>
    <w:rsid w:val="00B375DE"/>
    <w:rsid w:val="00B377E4"/>
    <w:rsid w:val="00B3787C"/>
    <w:rsid w:val="00B379AA"/>
    <w:rsid w:val="00B40DD7"/>
    <w:rsid w:val="00B416F6"/>
    <w:rsid w:val="00B423CE"/>
    <w:rsid w:val="00B42A41"/>
    <w:rsid w:val="00B43BB4"/>
    <w:rsid w:val="00B44055"/>
    <w:rsid w:val="00B4483F"/>
    <w:rsid w:val="00B457AD"/>
    <w:rsid w:val="00B45B76"/>
    <w:rsid w:val="00B46955"/>
    <w:rsid w:val="00B4717B"/>
    <w:rsid w:val="00B4731B"/>
    <w:rsid w:val="00B47C61"/>
    <w:rsid w:val="00B50151"/>
    <w:rsid w:val="00B50C36"/>
    <w:rsid w:val="00B5226F"/>
    <w:rsid w:val="00B52F40"/>
    <w:rsid w:val="00B541E8"/>
    <w:rsid w:val="00B54E59"/>
    <w:rsid w:val="00B556E9"/>
    <w:rsid w:val="00B60D0A"/>
    <w:rsid w:val="00B62749"/>
    <w:rsid w:val="00B63E30"/>
    <w:rsid w:val="00B643DB"/>
    <w:rsid w:val="00B644A2"/>
    <w:rsid w:val="00B656D2"/>
    <w:rsid w:val="00B65AFF"/>
    <w:rsid w:val="00B65EAF"/>
    <w:rsid w:val="00B66619"/>
    <w:rsid w:val="00B66ACF"/>
    <w:rsid w:val="00B67BCA"/>
    <w:rsid w:val="00B70D69"/>
    <w:rsid w:val="00B711B3"/>
    <w:rsid w:val="00B712D8"/>
    <w:rsid w:val="00B715A7"/>
    <w:rsid w:val="00B72165"/>
    <w:rsid w:val="00B722E3"/>
    <w:rsid w:val="00B72772"/>
    <w:rsid w:val="00B7307E"/>
    <w:rsid w:val="00B742C3"/>
    <w:rsid w:val="00B75408"/>
    <w:rsid w:val="00B757C1"/>
    <w:rsid w:val="00B7587F"/>
    <w:rsid w:val="00B75CE9"/>
    <w:rsid w:val="00B75FD2"/>
    <w:rsid w:val="00B76DBE"/>
    <w:rsid w:val="00B7729A"/>
    <w:rsid w:val="00B77EF9"/>
    <w:rsid w:val="00B77F17"/>
    <w:rsid w:val="00B81557"/>
    <w:rsid w:val="00B815ED"/>
    <w:rsid w:val="00B81AE4"/>
    <w:rsid w:val="00B820B4"/>
    <w:rsid w:val="00B82E0B"/>
    <w:rsid w:val="00B83A19"/>
    <w:rsid w:val="00B83CA2"/>
    <w:rsid w:val="00B842D5"/>
    <w:rsid w:val="00B848D0"/>
    <w:rsid w:val="00B84DA3"/>
    <w:rsid w:val="00B84DCA"/>
    <w:rsid w:val="00B866D1"/>
    <w:rsid w:val="00B86AEF"/>
    <w:rsid w:val="00B8759F"/>
    <w:rsid w:val="00B8790C"/>
    <w:rsid w:val="00B918B6"/>
    <w:rsid w:val="00B91FE3"/>
    <w:rsid w:val="00B9243E"/>
    <w:rsid w:val="00B92727"/>
    <w:rsid w:val="00B92F7A"/>
    <w:rsid w:val="00B9575B"/>
    <w:rsid w:val="00B9654D"/>
    <w:rsid w:val="00B97585"/>
    <w:rsid w:val="00B97F69"/>
    <w:rsid w:val="00BA0E64"/>
    <w:rsid w:val="00BA4B81"/>
    <w:rsid w:val="00BA60E0"/>
    <w:rsid w:val="00BA6754"/>
    <w:rsid w:val="00BA6D1E"/>
    <w:rsid w:val="00BA6EEE"/>
    <w:rsid w:val="00BA723C"/>
    <w:rsid w:val="00BA7741"/>
    <w:rsid w:val="00BB1040"/>
    <w:rsid w:val="00BB177B"/>
    <w:rsid w:val="00BB19BA"/>
    <w:rsid w:val="00BB2D07"/>
    <w:rsid w:val="00BB4154"/>
    <w:rsid w:val="00BB4566"/>
    <w:rsid w:val="00BB50D0"/>
    <w:rsid w:val="00BB5338"/>
    <w:rsid w:val="00BB5CA0"/>
    <w:rsid w:val="00BB6610"/>
    <w:rsid w:val="00BB6882"/>
    <w:rsid w:val="00BB68BD"/>
    <w:rsid w:val="00BB6FB4"/>
    <w:rsid w:val="00BC064E"/>
    <w:rsid w:val="00BC0666"/>
    <w:rsid w:val="00BC0A87"/>
    <w:rsid w:val="00BC0D74"/>
    <w:rsid w:val="00BC1E77"/>
    <w:rsid w:val="00BC2064"/>
    <w:rsid w:val="00BC219D"/>
    <w:rsid w:val="00BC245E"/>
    <w:rsid w:val="00BC33F2"/>
    <w:rsid w:val="00BC3F07"/>
    <w:rsid w:val="00BC4D9D"/>
    <w:rsid w:val="00BC57EC"/>
    <w:rsid w:val="00BC6559"/>
    <w:rsid w:val="00BC70D8"/>
    <w:rsid w:val="00BC7350"/>
    <w:rsid w:val="00BC7D0E"/>
    <w:rsid w:val="00BD0A45"/>
    <w:rsid w:val="00BD0C67"/>
    <w:rsid w:val="00BD114B"/>
    <w:rsid w:val="00BD13CD"/>
    <w:rsid w:val="00BD1EF8"/>
    <w:rsid w:val="00BD3320"/>
    <w:rsid w:val="00BD3331"/>
    <w:rsid w:val="00BD4AB5"/>
    <w:rsid w:val="00BD4AEB"/>
    <w:rsid w:val="00BD4DC2"/>
    <w:rsid w:val="00BD5424"/>
    <w:rsid w:val="00BD58D8"/>
    <w:rsid w:val="00BD669F"/>
    <w:rsid w:val="00BD6CF9"/>
    <w:rsid w:val="00BD6D8C"/>
    <w:rsid w:val="00BD753A"/>
    <w:rsid w:val="00BE014C"/>
    <w:rsid w:val="00BE0219"/>
    <w:rsid w:val="00BE0BF6"/>
    <w:rsid w:val="00BE0EC9"/>
    <w:rsid w:val="00BE130B"/>
    <w:rsid w:val="00BE1530"/>
    <w:rsid w:val="00BE20BF"/>
    <w:rsid w:val="00BE2551"/>
    <w:rsid w:val="00BE29AE"/>
    <w:rsid w:val="00BE2C86"/>
    <w:rsid w:val="00BE4BDE"/>
    <w:rsid w:val="00BE5603"/>
    <w:rsid w:val="00BE5785"/>
    <w:rsid w:val="00BE5F40"/>
    <w:rsid w:val="00BE6CBB"/>
    <w:rsid w:val="00BF0044"/>
    <w:rsid w:val="00BF05E6"/>
    <w:rsid w:val="00BF19A5"/>
    <w:rsid w:val="00BF1B29"/>
    <w:rsid w:val="00BF1B2D"/>
    <w:rsid w:val="00BF2BD3"/>
    <w:rsid w:val="00BF30D8"/>
    <w:rsid w:val="00BF3837"/>
    <w:rsid w:val="00BF3880"/>
    <w:rsid w:val="00BF38C9"/>
    <w:rsid w:val="00BF42A4"/>
    <w:rsid w:val="00BF4C3F"/>
    <w:rsid w:val="00BF4C8D"/>
    <w:rsid w:val="00BF563E"/>
    <w:rsid w:val="00BF64B8"/>
    <w:rsid w:val="00BF68EB"/>
    <w:rsid w:val="00BF6E83"/>
    <w:rsid w:val="00BF6EDB"/>
    <w:rsid w:val="00C006A0"/>
    <w:rsid w:val="00C00ED7"/>
    <w:rsid w:val="00C01093"/>
    <w:rsid w:val="00C0123B"/>
    <w:rsid w:val="00C01C5D"/>
    <w:rsid w:val="00C02207"/>
    <w:rsid w:val="00C0281C"/>
    <w:rsid w:val="00C02F59"/>
    <w:rsid w:val="00C03A80"/>
    <w:rsid w:val="00C04799"/>
    <w:rsid w:val="00C048B1"/>
    <w:rsid w:val="00C04B68"/>
    <w:rsid w:val="00C04D90"/>
    <w:rsid w:val="00C065AB"/>
    <w:rsid w:val="00C06CA4"/>
    <w:rsid w:val="00C07925"/>
    <w:rsid w:val="00C10B07"/>
    <w:rsid w:val="00C10F63"/>
    <w:rsid w:val="00C114B1"/>
    <w:rsid w:val="00C116C3"/>
    <w:rsid w:val="00C1189E"/>
    <w:rsid w:val="00C12722"/>
    <w:rsid w:val="00C12AE8"/>
    <w:rsid w:val="00C13191"/>
    <w:rsid w:val="00C137FF"/>
    <w:rsid w:val="00C13FD1"/>
    <w:rsid w:val="00C1425F"/>
    <w:rsid w:val="00C160F2"/>
    <w:rsid w:val="00C16D6B"/>
    <w:rsid w:val="00C16EE3"/>
    <w:rsid w:val="00C171C2"/>
    <w:rsid w:val="00C176DB"/>
    <w:rsid w:val="00C17D6E"/>
    <w:rsid w:val="00C17DDD"/>
    <w:rsid w:val="00C206D8"/>
    <w:rsid w:val="00C2205C"/>
    <w:rsid w:val="00C22A89"/>
    <w:rsid w:val="00C250F0"/>
    <w:rsid w:val="00C25BE5"/>
    <w:rsid w:val="00C25D0E"/>
    <w:rsid w:val="00C278A1"/>
    <w:rsid w:val="00C30F52"/>
    <w:rsid w:val="00C31278"/>
    <w:rsid w:val="00C34599"/>
    <w:rsid w:val="00C3527C"/>
    <w:rsid w:val="00C365F1"/>
    <w:rsid w:val="00C36611"/>
    <w:rsid w:val="00C36BA1"/>
    <w:rsid w:val="00C37823"/>
    <w:rsid w:val="00C37D1C"/>
    <w:rsid w:val="00C44777"/>
    <w:rsid w:val="00C455C6"/>
    <w:rsid w:val="00C45F44"/>
    <w:rsid w:val="00C4636C"/>
    <w:rsid w:val="00C46B96"/>
    <w:rsid w:val="00C46D8F"/>
    <w:rsid w:val="00C46E94"/>
    <w:rsid w:val="00C46F11"/>
    <w:rsid w:val="00C47151"/>
    <w:rsid w:val="00C4728E"/>
    <w:rsid w:val="00C4732F"/>
    <w:rsid w:val="00C5044A"/>
    <w:rsid w:val="00C50837"/>
    <w:rsid w:val="00C50B5A"/>
    <w:rsid w:val="00C51557"/>
    <w:rsid w:val="00C51EE0"/>
    <w:rsid w:val="00C52674"/>
    <w:rsid w:val="00C52A8F"/>
    <w:rsid w:val="00C52D27"/>
    <w:rsid w:val="00C52DF5"/>
    <w:rsid w:val="00C530DD"/>
    <w:rsid w:val="00C5404F"/>
    <w:rsid w:val="00C571AD"/>
    <w:rsid w:val="00C60822"/>
    <w:rsid w:val="00C60DEB"/>
    <w:rsid w:val="00C60F07"/>
    <w:rsid w:val="00C60FF9"/>
    <w:rsid w:val="00C61B3B"/>
    <w:rsid w:val="00C61D16"/>
    <w:rsid w:val="00C62074"/>
    <w:rsid w:val="00C63B9C"/>
    <w:rsid w:val="00C63F3C"/>
    <w:rsid w:val="00C64DF9"/>
    <w:rsid w:val="00C66AEC"/>
    <w:rsid w:val="00C6735F"/>
    <w:rsid w:val="00C676B9"/>
    <w:rsid w:val="00C67ED9"/>
    <w:rsid w:val="00C72020"/>
    <w:rsid w:val="00C73161"/>
    <w:rsid w:val="00C736F1"/>
    <w:rsid w:val="00C73BC2"/>
    <w:rsid w:val="00C7401B"/>
    <w:rsid w:val="00C754DE"/>
    <w:rsid w:val="00C7552E"/>
    <w:rsid w:val="00C75E61"/>
    <w:rsid w:val="00C76136"/>
    <w:rsid w:val="00C76A59"/>
    <w:rsid w:val="00C77660"/>
    <w:rsid w:val="00C777A1"/>
    <w:rsid w:val="00C7789E"/>
    <w:rsid w:val="00C818A3"/>
    <w:rsid w:val="00C81C01"/>
    <w:rsid w:val="00C82F74"/>
    <w:rsid w:val="00C82FA8"/>
    <w:rsid w:val="00C8360B"/>
    <w:rsid w:val="00C84829"/>
    <w:rsid w:val="00C852D1"/>
    <w:rsid w:val="00C85689"/>
    <w:rsid w:val="00C861D4"/>
    <w:rsid w:val="00C866A2"/>
    <w:rsid w:val="00C866E5"/>
    <w:rsid w:val="00C879C5"/>
    <w:rsid w:val="00C87D96"/>
    <w:rsid w:val="00C9075B"/>
    <w:rsid w:val="00C914AB"/>
    <w:rsid w:val="00C9220C"/>
    <w:rsid w:val="00C943ED"/>
    <w:rsid w:val="00C958EE"/>
    <w:rsid w:val="00C9595D"/>
    <w:rsid w:val="00C973D1"/>
    <w:rsid w:val="00C977C9"/>
    <w:rsid w:val="00CA05C0"/>
    <w:rsid w:val="00CA1258"/>
    <w:rsid w:val="00CA1AB4"/>
    <w:rsid w:val="00CA2904"/>
    <w:rsid w:val="00CA2B23"/>
    <w:rsid w:val="00CA30ED"/>
    <w:rsid w:val="00CA33EA"/>
    <w:rsid w:val="00CA3EB0"/>
    <w:rsid w:val="00CA416A"/>
    <w:rsid w:val="00CA5581"/>
    <w:rsid w:val="00CA5C79"/>
    <w:rsid w:val="00CA7969"/>
    <w:rsid w:val="00CA7E1A"/>
    <w:rsid w:val="00CB088E"/>
    <w:rsid w:val="00CB0EA8"/>
    <w:rsid w:val="00CB2C2D"/>
    <w:rsid w:val="00CB3260"/>
    <w:rsid w:val="00CB32F5"/>
    <w:rsid w:val="00CB3845"/>
    <w:rsid w:val="00CB4BA6"/>
    <w:rsid w:val="00CB61B0"/>
    <w:rsid w:val="00CB67F1"/>
    <w:rsid w:val="00CB6D2F"/>
    <w:rsid w:val="00CB6D48"/>
    <w:rsid w:val="00CC18FD"/>
    <w:rsid w:val="00CC1912"/>
    <w:rsid w:val="00CC1C81"/>
    <w:rsid w:val="00CC3835"/>
    <w:rsid w:val="00CC3F2D"/>
    <w:rsid w:val="00CC6BF9"/>
    <w:rsid w:val="00CC7A67"/>
    <w:rsid w:val="00CD0553"/>
    <w:rsid w:val="00CD0B77"/>
    <w:rsid w:val="00CD0F3D"/>
    <w:rsid w:val="00CD0FCA"/>
    <w:rsid w:val="00CD185F"/>
    <w:rsid w:val="00CD249A"/>
    <w:rsid w:val="00CD2A22"/>
    <w:rsid w:val="00CD2CAC"/>
    <w:rsid w:val="00CD2D48"/>
    <w:rsid w:val="00CD386B"/>
    <w:rsid w:val="00CD3FC8"/>
    <w:rsid w:val="00CD4C7E"/>
    <w:rsid w:val="00CD5063"/>
    <w:rsid w:val="00CD643F"/>
    <w:rsid w:val="00CD68A6"/>
    <w:rsid w:val="00CD6DE8"/>
    <w:rsid w:val="00CD745D"/>
    <w:rsid w:val="00CD7FF9"/>
    <w:rsid w:val="00CE041A"/>
    <w:rsid w:val="00CE09AE"/>
    <w:rsid w:val="00CE0D46"/>
    <w:rsid w:val="00CE1ED9"/>
    <w:rsid w:val="00CE2A54"/>
    <w:rsid w:val="00CE3008"/>
    <w:rsid w:val="00CE38F8"/>
    <w:rsid w:val="00CE3C5B"/>
    <w:rsid w:val="00CE3F49"/>
    <w:rsid w:val="00CE4FEE"/>
    <w:rsid w:val="00CE5452"/>
    <w:rsid w:val="00CE5AC4"/>
    <w:rsid w:val="00CE5EC8"/>
    <w:rsid w:val="00CE666B"/>
    <w:rsid w:val="00CE683A"/>
    <w:rsid w:val="00CF072D"/>
    <w:rsid w:val="00CF1E81"/>
    <w:rsid w:val="00CF4116"/>
    <w:rsid w:val="00CF49CA"/>
    <w:rsid w:val="00CF4A04"/>
    <w:rsid w:val="00CF5FCF"/>
    <w:rsid w:val="00CF644D"/>
    <w:rsid w:val="00CF65F4"/>
    <w:rsid w:val="00CF6661"/>
    <w:rsid w:val="00CF7316"/>
    <w:rsid w:val="00D0030B"/>
    <w:rsid w:val="00D004D6"/>
    <w:rsid w:val="00D00981"/>
    <w:rsid w:val="00D00C1E"/>
    <w:rsid w:val="00D010BE"/>
    <w:rsid w:val="00D015F9"/>
    <w:rsid w:val="00D019D1"/>
    <w:rsid w:val="00D03C03"/>
    <w:rsid w:val="00D03D2F"/>
    <w:rsid w:val="00D045D4"/>
    <w:rsid w:val="00D06E80"/>
    <w:rsid w:val="00D075E3"/>
    <w:rsid w:val="00D07A03"/>
    <w:rsid w:val="00D11CCC"/>
    <w:rsid w:val="00D1219B"/>
    <w:rsid w:val="00D1240D"/>
    <w:rsid w:val="00D136E2"/>
    <w:rsid w:val="00D14BD8"/>
    <w:rsid w:val="00D1519C"/>
    <w:rsid w:val="00D15A54"/>
    <w:rsid w:val="00D15DC3"/>
    <w:rsid w:val="00D15ECE"/>
    <w:rsid w:val="00D178C5"/>
    <w:rsid w:val="00D20212"/>
    <w:rsid w:val="00D20847"/>
    <w:rsid w:val="00D223A0"/>
    <w:rsid w:val="00D22829"/>
    <w:rsid w:val="00D2337B"/>
    <w:rsid w:val="00D2399B"/>
    <w:rsid w:val="00D23C5C"/>
    <w:rsid w:val="00D24010"/>
    <w:rsid w:val="00D24E9A"/>
    <w:rsid w:val="00D2509F"/>
    <w:rsid w:val="00D27462"/>
    <w:rsid w:val="00D275EE"/>
    <w:rsid w:val="00D301DA"/>
    <w:rsid w:val="00D30F93"/>
    <w:rsid w:val="00D31195"/>
    <w:rsid w:val="00D31D0E"/>
    <w:rsid w:val="00D328B1"/>
    <w:rsid w:val="00D34E84"/>
    <w:rsid w:val="00D353C8"/>
    <w:rsid w:val="00D357B4"/>
    <w:rsid w:val="00D35F64"/>
    <w:rsid w:val="00D36B33"/>
    <w:rsid w:val="00D36DB6"/>
    <w:rsid w:val="00D400EB"/>
    <w:rsid w:val="00D4055A"/>
    <w:rsid w:val="00D41B18"/>
    <w:rsid w:val="00D41D16"/>
    <w:rsid w:val="00D41F25"/>
    <w:rsid w:val="00D420D6"/>
    <w:rsid w:val="00D427B7"/>
    <w:rsid w:val="00D451C8"/>
    <w:rsid w:val="00D46585"/>
    <w:rsid w:val="00D46CBD"/>
    <w:rsid w:val="00D46CCE"/>
    <w:rsid w:val="00D46E33"/>
    <w:rsid w:val="00D47228"/>
    <w:rsid w:val="00D47A3A"/>
    <w:rsid w:val="00D47A3B"/>
    <w:rsid w:val="00D5067B"/>
    <w:rsid w:val="00D508ED"/>
    <w:rsid w:val="00D51868"/>
    <w:rsid w:val="00D521DB"/>
    <w:rsid w:val="00D5414A"/>
    <w:rsid w:val="00D542B9"/>
    <w:rsid w:val="00D54BF3"/>
    <w:rsid w:val="00D54D9F"/>
    <w:rsid w:val="00D54FA5"/>
    <w:rsid w:val="00D55BF2"/>
    <w:rsid w:val="00D56102"/>
    <w:rsid w:val="00D56FCD"/>
    <w:rsid w:val="00D57651"/>
    <w:rsid w:val="00D57F71"/>
    <w:rsid w:val="00D601CB"/>
    <w:rsid w:val="00D60412"/>
    <w:rsid w:val="00D60EEA"/>
    <w:rsid w:val="00D61797"/>
    <w:rsid w:val="00D62CE0"/>
    <w:rsid w:val="00D6399E"/>
    <w:rsid w:val="00D63EC2"/>
    <w:rsid w:val="00D64546"/>
    <w:rsid w:val="00D64DFA"/>
    <w:rsid w:val="00D64F7E"/>
    <w:rsid w:val="00D650D1"/>
    <w:rsid w:val="00D656CC"/>
    <w:rsid w:val="00D6639B"/>
    <w:rsid w:val="00D670B0"/>
    <w:rsid w:val="00D67E70"/>
    <w:rsid w:val="00D71368"/>
    <w:rsid w:val="00D71836"/>
    <w:rsid w:val="00D71B79"/>
    <w:rsid w:val="00D71D8F"/>
    <w:rsid w:val="00D72BB0"/>
    <w:rsid w:val="00D73915"/>
    <w:rsid w:val="00D75315"/>
    <w:rsid w:val="00D75DBE"/>
    <w:rsid w:val="00D7657F"/>
    <w:rsid w:val="00D76EF9"/>
    <w:rsid w:val="00D76F1C"/>
    <w:rsid w:val="00D76FD1"/>
    <w:rsid w:val="00D808BE"/>
    <w:rsid w:val="00D8202C"/>
    <w:rsid w:val="00D825D1"/>
    <w:rsid w:val="00D8353F"/>
    <w:rsid w:val="00D84DF9"/>
    <w:rsid w:val="00D85C64"/>
    <w:rsid w:val="00D86E60"/>
    <w:rsid w:val="00D904A3"/>
    <w:rsid w:val="00D90926"/>
    <w:rsid w:val="00D90C7A"/>
    <w:rsid w:val="00D91041"/>
    <w:rsid w:val="00D924DB"/>
    <w:rsid w:val="00D932A5"/>
    <w:rsid w:val="00D938DA"/>
    <w:rsid w:val="00D93DC0"/>
    <w:rsid w:val="00D949D5"/>
    <w:rsid w:val="00D94E79"/>
    <w:rsid w:val="00D951FC"/>
    <w:rsid w:val="00D952CE"/>
    <w:rsid w:val="00D965DF"/>
    <w:rsid w:val="00D96BB5"/>
    <w:rsid w:val="00D9701A"/>
    <w:rsid w:val="00DA21AE"/>
    <w:rsid w:val="00DA2DD4"/>
    <w:rsid w:val="00DA4426"/>
    <w:rsid w:val="00DA5288"/>
    <w:rsid w:val="00DA55F8"/>
    <w:rsid w:val="00DA7ED2"/>
    <w:rsid w:val="00DB02CA"/>
    <w:rsid w:val="00DB15AA"/>
    <w:rsid w:val="00DB16B4"/>
    <w:rsid w:val="00DB1AB0"/>
    <w:rsid w:val="00DB1C48"/>
    <w:rsid w:val="00DB1F15"/>
    <w:rsid w:val="00DB2132"/>
    <w:rsid w:val="00DB2CBB"/>
    <w:rsid w:val="00DB2E5B"/>
    <w:rsid w:val="00DB489D"/>
    <w:rsid w:val="00DB4C68"/>
    <w:rsid w:val="00DB5C38"/>
    <w:rsid w:val="00DB677D"/>
    <w:rsid w:val="00DB678E"/>
    <w:rsid w:val="00DC01ED"/>
    <w:rsid w:val="00DC0244"/>
    <w:rsid w:val="00DC024B"/>
    <w:rsid w:val="00DC03E6"/>
    <w:rsid w:val="00DC0621"/>
    <w:rsid w:val="00DC0761"/>
    <w:rsid w:val="00DC11E7"/>
    <w:rsid w:val="00DC143E"/>
    <w:rsid w:val="00DC1B3E"/>
    <w:rsid w:val="00DC1C79"/>
    <w:rsid w:val="00DC1E03"/>
    <w:rsid w:val="00DC25F4"/>
    <w:rsid w:val="00DC27AD"/>
    <w:rsid w:val="00DC2C8D"/>
    <w:rsid w:val="00DC5BC2"/>
    <w:rsid w:val="00DC615B"/>
    <w:rsid w:val="00DC61F1"/>
    <w:rsid w:val="00DD01FB"/>
    <w:rsid w:val="00DD02F1"/>
    <w:rsid w:val="00DD0633"/>
    <w:rsid w:val="00DD06C8"/>
    <w:rsid w:val="00DD0AC8"/>
    <w:rsid w:val="00DD1868"/>
    <w:rsid w:val="00DD1DD2"/>
    <w:rsid w:val="00DD1FBD"/>
    <w:rsid w:val="00DD207D"/>
    <w:rsid w:val="00DD2285"/>
    <w:rsid w:val="00DD35C7"/>
    <w:rsid w:val="00DD452A"/>
    <w:rsid w:val="00DD6061"/>
    <w:rsid w:val="00DD6BDB"/>
    <w:rsid w:val="00DD76D4"/>
    <w:rsid w:val="00DD7FBB"/>
    <w:rsid w:val="00DE0B9E"/>
    <w:rsid w:val="00DE0FA9"/>
    <w:rsid w:val="00DE1061"/>
    <w:rsid w:val="00DE19E4"/>
    <w:rsid w:val="00DE291C"/>
    <w:rsid w:val="00DE295D"/>
    <w:rsid w:val="00DE2E86"/>
    <w:rsid w:val="00DE3DB2"/>
    <w:rsid w:val="00DE3DBA"/>
    <w:rsid w:val="00DE4555"/>
    <w:rsid w:val="00DE4FC1"/>
    <w:rsid w:val="00DE5001"/>
    <w:rsid w:val="00DE5B29"/>
    <w:rsid w:val="00DE63C5"/>
    <w:rsid w:val="00DE68CF"/>
    <w:rsid w:val="00DE6928"/>
    <w:rsid w:val="00DF0A94"/>
    <w:rsid w:val="00DF0BA4"/>
    <w:rsid w:val="00DF153D"/>
    <w:rsid w:val="00DF201A"/>
    <w:rsid w:val="00DF2332"/>
    <w:rsid w:val="00DF2659"/>
    <w:rsid w:val="00DF30CF"/>
    <w:rsid w:val="00DF32E4"/>
    <w:rsid w:val="00DF3FC5"/>
    <w:rsid w:val="00DF4C16"/>
    <w:rsid w:val="00DF545F"/>
    <w:rsid w:val="00DF59C3"/>
    <w:rsid w:val="00DF7213"/>
    <w:rsid w:val="00E00B86"/>
    <w:rsid w:val="00E010F9"/>
    <w:rsid w:val="00E0242C"/>
    <w:rsid w:val="00E0271E"/>
    <w:rsid w:val="00E02E23"/>
    <w:rsid w:val="00E0405B"/>
    <w:rsid w:val="00E0436F"/>
    <w:rsid w:val="00E0572B"/>
    <w:rsid w:val="00E0627C"/>
    <w:rsid w:val="00E067C0"/>
    <w:rsid w:val="00E074D0"/>
    <w:rsid w:val="00E07B62"/>
    <w:rsid w:val="00E07F0B"/>
    <w:rsid w:val="00E102BA"/>
    <w:rsid w:val="00E10E34"/>
    <w:rsid w:val="00E11110"/>
    <w:rsid w:val="00E13D7A"/>
    <w:rsid w:val="00E141C1"/>
    <w:rsid w:val="00E146F8"/>
    <w:rsid w:val="00E1488F"/>
    <w:rsid w:val="00E14C5A"/>
    <w:rsid w:val="00E14D73"/>
    <w:rsid w:val="00E15BA0"/>
    <w:rsid w:val="00E15BC7"/>
    <w:rsid w:val="00E1650B"/>
    <w:rsid w:val="00E174F3"/>
    <w:rsid w:val="00E17919"/>
    <w:rsid w:val="00E21053"/>
    <w:rsid w:val="00E230DC"/>
    <w:rsid w:val="00E25614"/>
    <w:rsid w:val="00E27A75"/>
    <w:rsid w:val="00E305CA"/>
    <w:rsid w:val="00E30886"/>
    <w:rsid w:val="00E31700"/>
    <w:rsid w:val="00E32B60"/>
    <w:rsid w:val="00E32F27"/>
    <w:rsid w:val="00E33034"/>
    <w:rsid w:val="00E34ED6"/>
    <w:rsid w:val="00E35173"/>
    <w:rsid w:val="00E362A1"/>
    <w:rsid w:val="00E36CAE"/>
    <w:rsid w:val="00E36FC0"/>
    <w:rsid w:val="00E37101"/>
    <w:rsid w:val="00E40080"/>
    <w:rsid w:val="00E4075B"/>
    <w:rsid w:val="00E41284"/>
    <w:rsid w:val="00E41F87"/>
    <w:rsid w:val="00E4274C"/>
    <w:rsid w:val="00E437DD"/>
    <w:rsid w:val="00E43EF1"/>
    <w:rsid w:val="00E44585"/>
    <w:rsid w:val="00E44719"/>
    <w:rsid w:val="00E44733"/>
    <w:rsid w:val="00E44861"/>
    <w:rsid w:val="00E44A79"/>
    <w:rsid w:val="00E44B75"/>
    <w:rsid w:val="00E45456"/>
    <w:rsid w:val="00E456A6"/>
    <w:rsid w:val="00E45E3B"/>
    <w:rsid w:val="00E45EB5"/>
    <w:rsid w:val="00E465D4"/>
    <w:rsid w:val="00E46857"/>
    <w:rsid w:val="00E469E5"/>
    <w:rsid w:val="00E46EAE"/>
    <w:rsid w:val="00E522F1"/>
    <w:rsid w:val="00E523CE"/>
    <w:rsid w:val="00E52C51"/>
    <w:rsid w:val="00E53833"/>
    <w:rsid w:val="00E53B4C"/>
    <w:rsid w:val="00E53F07"/>
    <w:rsid w:val="00E546A6"/>
    <w:rsid w:val="00E54D2E"/>
    <w:rsid w:val="00E55C55"/>
    <w:rsid w:val="00E567F1"/>
    <w:rsid w:val="00E578DB"/>
    <w:rsid w:val="00E57B3C"/>
    <w:rsid w:val="00E57C7F"/>
    <w:rsid w:val="00E60642"/>
    <w:rsid w:val="00E60E48"/>
    <w:rsid w:val="00E60F84"/>
    <w:rsid w:val="00E617D5"/>
    <w:rsid w:val="00E6203B"/>
    <w:rsid w:val="00E62105"/>
    <w:rsid w:val="00E62C04"/>
    <w:rsid w:val="00E63E5F"/>
    <w:rsid w:val="00E648B1"/>
    <w:rsid w:val="00E64A10"/>
    <w:rsid w:val="00E64C63"/>
    <w:rsid w:val="00E65665"/>
    <w:rsid w:val="00E66541"/>
    <w:rsid w:val="00E667FE"/>
    <w:rsid w:val="00E66A10"/>
    <w:rsid w:val="00E675AD"/>
    <w:rsid w:val="00E7149C"/>
    <w:rsid w:val="00E714B6"/>
    <w:rsid w:val="00E71D08"/>
    <w:rsid w:val="00E720B3"/>
    <w:rsid w:val="00E7228D"/>
    <w:rsid w:val="00E725CC"/>
    <w:rsid w:val="00E73352"/>
    <w:rsid w:val="00E74717"/>
    <w:rsid w:val="00E74DF5"/>
    <w:rsid w:val="00E756F6"/>
    <w:rsid w:val="00E76B17"/>
    <w:rsid w:val="00E76F23"/>
    <w:rsid w:val="00E77B5D"/>
    <w:rsid w:val="00E828DA"/>
    <w:rsid w:val="00E84AE3"/>
    <w:rsid w:val="00E85073"/>
    <w:rsid w:val="00E853EB"/>
    <w:rsid w:val="00E874BF"/>
    <w:rsid w:val="00E87518"/>
    <w:rsid w:val="00E87885"/>
    <w:rsid w:val="00E87948"/>
    <w:rsid w:val="00E87C4E"/>
    <w:rsid w:val="00E90883"/>
    <w:rsid w:val="00E90D88"/>
    <w:rsid w:val="00E90E3F"/>
    <w:rsid w:val="00E91039"/>
    <w:rsid w:val="00E91191"/>
    <w:rsid w:val="00E91496"/>
    <w:rsid w:val="00E91CF3"/>
    <w:rsid w:val="00E91F23"/>
    <w:rsid w:val="00E92425"/>
    <w:rsid w:val="00E93154"/>
    <w:rsid w:val="00E94AC9"/>
    <w:rsid w:val="00E954CD"/>
    <w:rsid w:val="00E95692"/>
    <w:rsid w:val="00E95B0C"/>
    <w:rsid w:val="00E95BA0"/>
    <w:rsid w:val="00E95D7D"/>
    <w:rsid w:val="00E96828"/>
    <w:rsid w:val="00E9684E"/>
    <w:rsid w:val="00E9687D"/>
    <w:rsid w:val="00E96CFE"/>
    <w:rsid w:val="00E96E49"/>
    <w:rsid w:val="00E9770C"/>
    <w:rsid w:val="00EA1405"/>
    <w:rsid w:val="00EA15D0"/>
    <w:rsid w:val="00EA20BC"/>
    <w:rsid w:val="00EA3892"/>
    <w:rsid w:val="00EA3D5B"/>
    <w:rsid w:val="00EA4BA6"/>
    <w:rsid w:val="00EA6221"/>
    <w:rsid w:val="00EA6978"/>
    <w:rsid w:val="00EA7375"/>
    <w:rsid w:val="00EA7FF7"/>
    <w:rsid w:val="00EB1C70"/>
    <w:rsid w:val="00EB1D4D"/>
    <w:rsid w:val="00EB4B07"/>
    <w:rsid w:val="00EC071E"/>
    <w:rsid w:val="00EC1E90"/>
    <w:rsid w:val="00EC21BA"/>
    <w:rsid w:val="00EC2DDB"/>
    <w:rsid w:val="00EC33BB"/>
    <w:rsid w:val="00EC5B00"/>
    <w:rsid w:val="00EC60C0"/>
    <w:rsid w:val="00EC65DA"/>
    <w:rsid w:val="00EC694D"/>
    <w:rsid w:val="00EC7128"/>
    <w:rsid w:val="00EC78A5"/>
    <w:rsid w:val="00ED0093"/>
    <w:rsid w:val="00ED00F8"/>
    <w:rsid w:val="00ED0397"/>
    <w:rsid w:val="00ED149A"/>
    <w:rsid w:val="00ED188B"/>
    <w:rsid w:val="00ED2272"/>
    <w:rsid w:val="00ED2FD8"/>
    <w:rsid w:val="00ED43F7"/>
    <w:rsid w:val="00ED5A29"/>
    <w:rsid w:val="00ED6035"/>
    <w:rsid w:val="00ED7C3A"/>
    <w:rsid w:val="00EE22BC"/>
    <w:rsid w:val="00EE23AC"/>
    <w:rsid w:val="00EE24FD"/>
    <w:rsid w:val="00EE267F"/>
    <w:rsid w:val="00EE2CB0"/>
    <w:rsid w:val="00EE35DF"/>
    <w:rsid w:val="00EE3DFA"/>
    <w:rsid w:val="00EE6415"/>
    <w:rsid w:val="00EE65FB"/>
    <w:rsid w:val="00EE6979"/>
    <w:rsid w:val="00EF31A5"/>
    <w:rsid w:val="00EF31D1"/>
    <w:rsid w:val="00EF353D"/>
    <w:rsid w:val="00EF35A2"/>
    <w:rsid w:val="00EF38A3"/>
    <w:rsid w:val="00EF3B0C"/>
    <w:rsid w:val="00EF4316"/>
    <w:rsid w:val="00EF5B19"/>
    <w:rsid w:val="00EF657F"/>
    <w:rsid w:val="00EF74FE"/>
    <w:rsid w:val="00F01350"/>
    <w:rsid w:val="00F02071"/>
    <w:rsid w:val="00F02323"/>
    <w:rsid w:val="00F027B5"/>
    <w:rsid w:val="00F02A08"/>
    <w:rsid w:val="00F03E5B"/>
    <w:rsid w:val="00F044DF"/>
    <w:rsid w:val="00F04F76"/>
    <w:rsid w:val="00F051BF"/>
    <w:rsid w:val="00F054FB"/>
    <w:rsid w:val="00F0563C"/>
    <w:rsid w:val="00F05FD1"/>
    <w:rsid w:val="00F06276"/>
    <w:rsid w:val="00F10605"/>
    <w:rsid w:val="00F109BA"/>
    <w:rsid w:val="00F11587"/>
    <w:rsid w:val="00F115E2"/>
    <w:rsid w:val="00F11649"/>
    <w:rsid w:val="00F1277E"/>
    <w:rsid w:val="00F12D28"/>
    <w:rsid w:val="00F12F25"/>
    <w:rsid w:val="00F1351B"/>
    <w:rsid w:val="00F136D3"/>
    <w:rsid w:val="00F14272"/>
    <w:rsid w:val="00F14FD8"/>
    <w:rsid w:val="00F1636A"/>
    <w:rsid w:val="00F20A14"/>
    <w:rsid w:val="00F20C33"/>
    <w:rsid w:val="00F2150D"/>
    <w:rsid w:val="00F220EB"/>
    <w:rsid w:val="00F223D8"/>
    <w:rsid w:val="00F23198"/>
    <w:rsid w:val="00F23A1C"/>
    <w:rsid w:val="00F25ADC"/>
    <w:rsid w:val="00F267CB"/>
    <w:rsid w:val="00F268B3"/>
    <w:rsid w:val="00F26AA4"/>
    <w:rsid w:val="00F3028F"/>
    <w:rsid w:val="00F30428"/>
    <w:rsid w:val="00F30DD1"/>
    <w:rsid w:val="00F30E76"/>
    <w:rsid w:val="00F31710"/>
    <w:rsid w:val="00F31E89"/>
    <w:rsid w:val="00F31F5A"/>
    <w:rsid w:val="00F32AF4"/>
    <w:rsid w:val="00F33014"/>
    <w:rsid w:val="00F330B0"/>
    <w:rsid w:val="00F3348F"/>
    <w:rsid w:val="00F3372A"/>
    <w:rsid w:val="00F337B5"/>
    <w:rsid w:val="00F34624"/>
    <w:rsid w:val="00F347EE"/>
    <w:rsid w:val="00F34F27"/>
    <w:rsid w:val="00F34FDD"/>
    <w:rsid w:val="00F357D5"/>
    <w:rsid w:val="00F36B10"/>
    <w:rsid w:val="00F420E9"/>
    <w:rsid w:val="00F42521"/>
    <w:rsid w:val="00F44754"/>
    <w:rsid w:val="00F46AC8"/>
    <w:rsid w:val="00F46C11"/>
    <w:rsid w:val="00F47C93"/>
    <w:rsid w:val="00F515AC"/>
    <w:rsid w:val="00F51F9F"/>
    <w:rsid w:val="00F522CD"/>
    <w:rsid w:val="00F528A4"/>
    <w:rsid w:val="00F52C49"/>
    <w:rsid w:val="00F53074"/>
    <w:rsid w:val="00F53BF5"/>
    <w:rsid w:val="00F55994"/>
    <w:rsid w:val="00F55B7A"/>
    <w:rsid w:val="00F55E74"/>
    <w:rsid w:val="00F61ECE"/>
    <w:rsid w:val="00F637EB"/>
    <w:rsid w:val="00F63FCB"/>
    <w:rsid w:val="00F645A3"/>
    <w:rsid w:val="00F64691"/>
    <w:rsid w:val="00F649BF"/>
    <w:rsid w:val="00F64F08"/>
    <w:rsid w:val="00F66052"/>
    <w:rsid w:val="00F676B7"/>
    <w:rsid w:val="00F7022A"/>
    <w:rsid w:val="00F708A9"/>
    <w:rsid w:val="00F70D6F"/>
    <w:rsid w:val="00F71500"/>
    <w:rsid w:val="00F732F8"/>
    <w:rsid w:val="00F733D8"/>
    <w:rsid w:val="00F74E60"/>
    <w:rsid w:val="00F751B9"/>
    <w:rsid w:val="00F752C1"/>
    <w:rsid w:val="00F763F7"/>
    <w:rsid w:val="00F76D3C"/>
    <w:rsid w:val="00F80667"/>
    <w:rsid w:val="00F814F0"/>
    <w:rsid w:val="00F82A81"/>
    <w:rsid w:val="00F83271"/>
    <w:rsid w:val="00F83582"/>
    <w:rsid w:val="00F83CD5"/>
    <w:rsid w:val="00F84406"/>
    <w:rsid w:val="00F84924"/>
    <w:rsid w:val="00F84F63"/>
    <w:rsid w:val="00F85137"/>
    <w:rsid w:val="00F86BC5"/>
    <w:rsid w:val="00F872E5"/>
    <w:rsid w:val="00F90837"/>
    <w:rsid w:val="00F90AF3"/>
    <w:rsid w:val="00F9117E"/>
    <w:rsid w:val="00F91BA0"/>
    <w:rsid w:val="00F9321A"/>
    <w:rsid w:val="00F93DB5"/>
    <w:rsid w:val="00F93FEC"/>
    <w:rsid w:val="00F95070"/>
    <w:rsid w:val="00F95284"/>
    <w:rsid w:val="00F95C97"/>
    <w:rsid w:val="00F95EEA"/>
    <w:rsid w:val="00F962CC"/>
    <w:rsid w:val="00F96900"/>
    <w:rsid w:val="00F96C81"/>
    <w:rsid w:val="00F96D52"/>
    <w:rsid w:val="00FA0F1E"/>
    <w:rsid w:val="00FA105B"/>
    <w:rsid w:val="00FA1C1C"/>
    <w:rsid w:val="00FA1F69"/>
    <w:rsid w:val="00FA227B"/>
    <w:rsid w:val="00FA23D6"/>
    <w:rsid w:val="00FA2971"/>
    <w:rsid w:val="00FA2E9B"/>
    <w:rsid w:val="00FA3A17"/>
    <w:rsid w:val="00FA4290"/>
    <w:rsid w:val="00FA497E"/>
    <w:rsid w:val="00FA519A"/>
    <w:rsid w:val="00FA6768"/>
    <w:rsid w:val="00FA6C00"/>
    <w:rsid w:val="00FA7956"/>
    <w:rsid w:val="00FB0DF6"/>
    <w:rsid w:val="00FB106F"/>
    <w:rsid w:val="00FB15CE"/>
    <w:rsid w:val="00FB1E2D"/>
    <w:rsid w:val="00FB21C6"/>
    <w:rsid w:val="00FB2347"/>
    <w:rsid w:val="00FB2E9F"/>
    <w:rsid w:val="00FB4A26"/>
    <w:rsid w:val="00FB56CB"/>
    <w:rsid w:val="00FB5E3A"/>
    <w:rsid w:val="00FB5FF2"/>
    <w:rsid w:val="00FB6E3C"/>
    <w:rsid w:val="00FC078C"/>
    <w:rsid w:val="00FC09EF"/>
    <w:rsid w:val="00FC0A01"/>
    <w:rsid w:val="00FC12BA"/>
    <w:rsid w:val="00FC1732"/>
    <w:rsid w:val="00FC2B53"/>
    <w:rsid w:val="00FC3A81"/>
    <w:rsid w:val="00FC41F7"/>
    <w:rsid w:val="00FC4560"/>
    <w:rsid w:val="00FC4616"/>
    <w:rsid w:val="00FC5BCA"/>
    <w:rsid w:val="00FC6AF6"/>
    <w:rsid w:val="00FC6EC3"/>
    <w:rsid w:val="00FC7CA8"/>
    <w:rsid w:val="00FD0565"/>
    <w:rsid w:val="00FD06AF"/>
    <w:rsid w:val="00FD0CED"/>
    <w:rsid w:val="00FD2147"/>
    <w:rsid w:val="00FD2689"/>
    <w:rsid w:val="00FD2719"/>
    <w:rsid w:val="00FD27B5"/>
    <w:rsid w:val="00FD3533"/>
    <w:rsid w:val="00FD521A"/>
    <w:rsid w:val="00FD6264"/>
    <w:rsid w:val="00FD69E9"/>
    <w:rsid w:val="00FD7B59"/>
    <w:rsid w:val="00FE03B5"/>
    <w:rsid w:val="00FE0F05"/>
    <w:rsid w:val="00FE0F14"/>
    <w:rsid w:val="00FE0F9C"/>
    <w:rsid w:val="00FE109B"/>
    <w:rsid w:val="00FE12F4"/>
    <w:rsid w:val="00FE2030"/>
    <w:rsid w:val="00FE2DD6"/>
    <w:rsid w:val="00FE5273"/>
    <w:rsid w:val="00FE6B77"/>
    <w:rsid w:val="00FE79D5"/>
    <w:rsid w:val="00FE7AD4"/>
    <w:rsid w:val="00FE7BF6"/>
    <w:rsid w:val="00FF1E46"/>
    <w:rsid w:val="00FF21B2"/>
    <w:rsid w:val="00FF24E3"/>
    <w:rsid w:val="00FF283F"/>
    <w:rsid w:val="00FF2B8D"/>
    <w:rsid w:val="00FF45EF"/>
    <w:rsid w:val="00FF5F48"/>
    <w:rsid w:val="00FF6749"/>
    <w:rsid w:val="00FF680A"/>
    <w:rsid w:val="00FF7027"/>
    <w:rsid w:val="00FF7674"/>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3"/>
    <o:shapelayout v:ext="edit">
      <o:idmap v:ext="edit" data="2"/>
    </o:shapelayout>
  </w:shapeDefaults>
  <w:decimalSymbol w:val="."/>
  <w:listSeparator w:val=","/>
  <w14:docId w14:val="599C54E1"/>
  <w15:docId w15:val="{B49EE19F-080C-42FF-BDAF-CD33BDD2C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bg-BG" w:eastAsia="bg-BG"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9"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qFormat="1"/>
    <w:lsdException w:name="index 2" w:locked="1" w:semiHidden="1" w:unhideWhenUsed="1" w:qFormat="1"/>
    <w:lsdException w:name="index 3" w:locked="1" w:semiHidden="1" w:unhideWhenUsed="1" w:qFormat="1"/>
    <w:lsdException w:name="index 4" w:locked="1" w:semiHidden="1" w:unhideWhenUsed="1" w:qFormat="1"/>
    <w:lsdException w:name="index 5" w:locked="1" w:semiHidden="1" w:unhideWhenUsed="1" w:qFormat="1"/>
    <w:lsdException w:name="index 6" w:locked="1" w:semiHidden="1" w:unhideWhenUsed="1" w:qFormat="1"/>
    <w:lsdException w:name="index 7" w:locked="1" w:semiHidden="1" w:unhideWhenUsed="1" w:qFormat="1"/>
    <w:lsdException w:name="index 8" w:locked="1" w:semiHidden="1" w:unhideWhenUsed="1" w:qFormat="1"/>
    <w:lsdException w:name="index 9" w:locked="1" w:semiHidden="1" w:unhideWhenUsed="1" w:qFormat="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locked="1" w:semiHidden="1" w:unhideWhenUsed="1" w:qFormat="1"/>
    <w:lsdException w:name="footnote text" w:locked="1" w:semiHidden="1" w:uiPriority="0" w:unhideWhenUsed="1"/>
    <w:lsdException w:name="annotation text" w:locked="1" w:semiHidden="1" w:unhideWhenUsed="1" w:qFormat="1"/>
    <w:lsdException w:name="header" w:locked="1" w:semiHidden="1" w:unhideWhenUsed="1"/>
    <w:lsdException w:name="footer" w:locked="1" w:semiHidden="1" w:unhideWhenUsed="1"/>
    <w:lsdException w:name="index heading" w:locked="1" w:semiHidden="1" w:unhideWhenUsed="1" w:qFormat="1"/>
    <w:lsdException w:name="caption" w:locked="1" w:uiPriority="0" w:qFormat="1"/>
    <w:lsdException w:name="table of figures" w:locked="1" w:semiHidden="1" w:uiPriority="0" w:unhideWhenUsed="1" w:qFormat="1"/>
    <w:lsdException w:name="envelope address" w:locked="1" w:semiHidden="1" w:unhideWhenUsed="1" w:qFormat="1"/>
    <w:lsdException w:name="envelope return" w:locked="1" w:semiHidden="1" w:unhideWhenUsed="1" w:qFormat="1"/>
    <w:lsdException w:name="footnote reference" w:locked="1" w:semiHidden="1" w:uiPriority="0" w:unhideWhenUsed="1"/>
    <w:lsdException w:name="annotation reference" w:locked="1" w:semiHidden="1" w:uiPriority="0" w:unhideWhenUsed="1" w:qFormat="1"/>
    <w:lsdException w:name="line number" w:locked="1" w:semiHidden="1" w:unhideWhenUsed="1" w:qFormat="1"/>
    <w:lsdException w:name="page number" w:locked="1" w:semiHidden="1" w:uiPriority="0" w:unhideWhenUsed="1" w:qFormat="1"/>
    <w:lsdException w:name="endnote reference" w:locked="1" w:semiHidden="1" w:uiPriority="0" w:unhideWhenUsed="1"/>
    <w:lsdException w:name="endnote text" w:locked="1" w:semiHidden="1" w:uiPriority="0" w:unhideWhenUsed="1"/>
    <w:lsdException w:name="table of authorities" w:locked="1" w:semiHidden="1" w:unhideWhenUsed="1" w:qFormat="1"/>
    <w:lsdException w:name="macro" w:locked="1" w:semiHidden="1" w:unhideWhenUsed="1" w:qFormat="1"/>
    <w:lsdException w:name="toa heading" w:locked="1" w:semiHidden="1" w:unhideWhenUsed="1" w:qFormat="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qFormat="1"/>
    <w:lsdException w:name="List Bullet 3" w:locked="1" w:semiHidden="1" w:unhideWhenUsed="1" w:qFormat="1"/>
    <w:lsdException w:name="List Bullet 4" w:locked="1" w:semiHidden="1" w:unhideWhenUsed="1" w:qFormat="1"/>
    <w:lsdException w:name="List Bullet 5" w:locked="1" w:semiHidden="1" w:unhideWhenUsed="1" w:qFormat="1"/>
    <w:lsdException w:name="List Number 2" w:locked="1" w:semiHidden="1" w:uiPriority="0" w:unhideWhenUsed="1" w:qFormat="1"/>
    <w:lsdException w:name="List Number 3" w:locked="1" w:semiHidden="1" w:uiPriority="0" w:unhideWhenUsed="1" w:qFormat="1"/>
    <w:lsdException w:name="List Number 4" w:locked="1" w:semiHidden="1" w:uiPriority="0" w:unhideWhenUsed="1" w:qFormat="1"/>
    <w:lsdException w:name="List Number 5" w:locked="1" w:semiHidden="1" w:unhideWhenUsed="1" w:qFormat="1"/>
    <w:lsdException w:name="Title" w:locked="1" w:uiPriority="0" w:qFormat="1"/>
    <w:lsdException w:name="Closing" w:locked="1" w:semiHidden="1" w:unhideWhenUsed="1" w:qFormat="1"/>
    <w:lsdException w:name="Signature" w:locked="1" w:semiHidden="1" w:unhideWhenUsed="1"/>
    <w:lsdException w:name="Default Paragraph Font" w:locked="1" w:semiHidden="1" w:uiPriority="1" w:unhideWhenUsed="1"/>
    <w:lsdException w:name="Body Text" w:locked="1" w:semiHidden="1" w:uiPriority="0" w:unhideWhenUsed="1" w:qFormat="1"/>
    <w:lsdException w:name="Body Text Indent" w:locked="1" w:semiHidden="1" w:uiPriority="0" w:unhideWhenUsed="1" w:qFormat="1"/>
    <w:lsdException w:name="List Continue" w:locked="1" w:semiHidden="1" w:unhideWhenUsed="1" w:qFormat="1"/>
    <w:lsdException w:name="List Continue 2" w:locked="1" w:semiHidden="1" w:unhideWhenUsed="1" w:qFormat="1"/>
    <w:lsdException w:name="List Continue 3" w:locked="1" w:semiHidden="1" w:unhideWhenUsed="1" w:qFormat="1"/>
    <w:lsdException w:name="List Continue 4" w:locked="1" w:semiHidden="1" w:unhideWhenUsed="1" w:qFormat="1"/>
    <w:lsdException w:name="List Continue 5" w:locked="1" w:semiHidden="1" w:unhideWhenUsed="1" w:qFormat="1"/>
    <w:lsdException w:name="Message Header" w:locked="1" w:semiHidden="1" w:uiPriority="0" w:unhideWhenUsed="1" w:qFormat="1"/>
    <w:lsdException w:name="Subtitle" w:locked="1" w:uiPriority="0" w:qFormat="1"/>
    <w:lsdException w:name="Salutation" w:locked="1" w:semiHidden="1" w:unhideWhenUsed="1"/>
    <w:lsdException w:name="Date" w:locked="1" w:semiHidden="1" w:uiPriority="0" w:unhideWhenUsed="1" w:qFormat="1"/>
    <w:lsdException w:name="Body Text First Indent" w:locked="1" w:semiHidden="1" w:unhideWhenUsed="1"/>
    <w:lsdException w:name="Body Text First Indent 2" w:locked="1" w:semiHidden="1" w:unhideWhenUsed="1" w:qFormat="1"/>
    <w:lsdException w:name="Note Heading" w:locked="1" w:semiHidden="1" w:unhideWhenUsed="1" w:qFormat="1"/>
    <w:lsdException w:name="Body Text 2" w:locked="1" w:semiHidden="1" w:uiPriority="0" w:unhideWhenUsed="1" w:qFormat="1"/>
    <w:lsdException w:name="Body Text 3" w:locked="1" w:semiHidden="1" w:uiPriority="0" w:unhideWhenUsed="1" w:qFormat="1"/>
    <w:lsdException w:name="Body Text Indent 2" w:locked="1" w:semiHidden="1" w:uiPriority="0" w:unhideWhenUsed="1" w:qFormat="1"/>
    <w:lsdException w:name="Body Text Indent 3" w:locked="1" w:semiHidden="1" w:uiPriority="0" w:unhideWhenUsed="1" w:qFormat="1"/>
    <w:lsdException w:name="Block Text" w:locked="1" w:semiHidden="1" w:uiPriority="0" w:unhideWhenUsed="1" w:qFormat="1"/>
    <w:lsdException w:name="Hyperlink" w:locked="1" w:semiHidden="1" w:unhideWhenUsed="1"/>
    <w:lsdException w:name="FollowedHyperlink" w:locked="1" w:semiHidden="1" w:unhideWhenUsed="1"/>
    <w:lsdException w:name="Strong" w:locked="1" w:uiPriority="0" w:qFormat="1"/>
    <w:lsdException w:name="Emphasis" w:locked="1" w:uiPriority="20" w:qFormat="1"/>
    <w:lsdException w:name="Document Map" w:locked="1" w:semiHidden="1" w:unhideWhenUsed="1" w:qFormat="1"/>
    <w:lsdException w:name="Plain Text" w:locked="1" w:semiHidden="1" w:uiPriority="0" w:unhideWhenUsed="1" w:qFormat="1"/>
    <w:lsdException w:name="E-mail Signature" w:locked="1" w:semiHidden="1" w:unhideWhenUsed="1" w:qFormat="1"/>
    <w:lsdException w:name="HTML Top of Form" w:locked="1" w:semiHidden="1" w:unhideWhenUsed="1"/>
    <w:lsdException w:name="HTML Bottom of Form" w:locked="1" w:semiHidden="1" w:unhideWhenUsed="1"/>
    <w:lsdException w:name="Normal (Web)" w:locked="1" w:semiHidden="1" w:uiPriority="0" w:unhideWhenUsed="1" w:qFormat="1"/>
    <w:lsdException w:name="HTML Acronym" w:locked="1" w:semiHidden="1" w:unhideWhenUsed="1" w:qFormat="1"/>
    <w:lsdException w:name="HTML Address" w:locked="1" w:semiHidden="1" w:unhideWhenUsed="1" w:qFormat="1"/>
    <w:lsdException w:name="HTML Cite" w:locked="1" w:semiHidden="1" w:unhideWhenUsed="1" w:qFormat="1"/>
    <w:lsdException w:name="HTML Code" w:locked="1" w:semiHidden="1" w:unhideWhenUsed="1" w:qFormat="1"/>
    <w:lsdException w:name="HTML Definition" w:locked="1" w:semiHidden="1" w:unhideWhenUsed="1" w:qFormat="1"/>
    <w:lsdException w:name="HTML Keyboard" w:locked="1" w:semiHidden="1" w:unhideWhenUsed="1" w:qFormat="1"/>
    <w:lsdException w:name="HTML Preformatted" w:locked="1" w:semiHidden="1" w:uiPriority="0" w:unhideWhenUsed="1" w:qFormat="1"/>
    <w:lsdException w:name="HTML Sample" w:locked="1" w:semiHidden="1" w:unhideWhenUsed="1" w:qFormat="1"/>
    <w:lsdException w:name="HTML Typewriter" w:locked="1" w:semiHidden="1" w:unhideWhenUsed="1" w:qFormat="1"/>
    <w:lsdException w:name="HTML Variable" w:locked="1" w:semiHidden="1" w:unhideWhenUsed="1" w:qFormat="1"/>
    <w:lsdException w:name="Normal Table" w:locked="1" w:semiHidden="1" w:unhideWhenUsed="1"/>
    <w:lsdException w:name="annotation subject" w:locked="1" w:semiHidden="1" w:uiPriority="0" w:unhideWhenUsed="1" w:qFormat="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qFormat="1"/>
    <w:lsdException w:name="Table Grid" w:locked="1" w:uiPriority="39"/>
    <w:lsdException w:name="Table Theme" w:locked="1" w:semiHidden="1" w:unhideWhenUsed="1"/>
    <w:lsdException w:name="Placeholder Text" w:semiHidden="1"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595D"/>
    <w:pPr>
      <w:spacing w:after="200" w:line="336" w:lineRule="auto"/>
      <w:jc w:val="both"/>
    </w:pPr>
    <w:rPr>
      <w:rFonts w:ascii="Arial Narrow" w:hAnsi="Arial Narrow"/>
      <w:sz w:val="23"/>
      <w:lang w:val="en-GB" w:eastAsia="en-US"/>
    </w:rPr>
  </w:style>
  <w:style w:type="paragraph" w:styleId="Heading1">
    <w:name w:val="heading 1"/>
    <w:aliases w:val="BOD BW,HEADING 1,h1,kris 1,NEA1,1,Hoofdstuk,Phare,section head,section head1,h11,section head2,h12,section head3,h13,section head4,h14,section head5,h15,section head11,h111,section head21,h121,section head31,h131,section head41,h141,h16"/>
    <w:basedOn w:val="Normal"/>
    <w:next w:val="Heading2"/>
    <w:link w:val="Heading1Char"/>
    <w:qFormat/>
    <w:locked/>
    <w:rsid w:val="00A127A2"/>
    <w:pPr>
      <w:keepNext/>
      <w:numPr>
        <w:numId w:val="28"/>
      </w:numPr>
      <w:suppressAutoHyphens/>
      <w:spacing w:after="120" w:line="24" w:lineRule="atLeast"/>
      <w:outlineLvl w:val="0"/>
    </w:pPr>
    <w:rPr>
      <w:rFonts w:eastAsia="Times New Roman"/>
      <w:b/>
      <w:bCs/>
      <w:kern w:val="32"/>
      <w:sz w:val="28"/>
      <w:szCs w:val="24"/>
      <w:u w:val="single"/>
    </w:rPr>
  </w:style>
  <w:style w:type="paragraph" w:styleId="Heading2">
    <w:name w:val="heading 2"/>
    <w:aliases w:val="Heading 2 Char1,Char1,h2,Heading 2 Char Char,NEA2,2,14,Paragraaf,NEA21,subhead 1,subhead 11,h21,subhead 12,h22,su...,subhead 13,h23,subhead 14,h24,subhead 15,h25,subhead 111,h211,subhead 121,h221,subhead 131,h231,subhead 141,h241,subhead 16"/>
    <w:basedOn w:val="Normal"/>
    <w:next w:val="BodyText"/>
    <w:link w:val="Heading2Char"/>
    <w:qFormat/>
    <w:locked/>
    <w:rsid w:val="00C76A59"/>
    <w:pPr>
      <w:keepNext/>
      <w:numPr>
        <w:ilvl w:val="1"/>
        <w:numId w:val="28"/>
      </w:numPr>
      <w:spacing w:before="120" w:after="120" w:line="260" w:lineRule="atLeast"/>
      <w:jc w:val="left"/>
      <w:outlineLvl w:val="1"/>
    </w:pPr>
    <w:rPr>
      <w:b/>
      <w:szCs w:val="23"/>
    </w:rPr>
  </w:style>
  <w:style w:type="paragraph" w:styleId="Heading3">
    <w:name w:val="heading 3"/>
    <w:aliases w:val="Heading 3 Char1,Heading 3 Char Char,title1,HEADING 3,h3,Subparagraaf,Subparagraaf Char,NEA3,NEA31,subhead 2,subhead 21,h31,subhead 22,h32,subh...,subhead 23,h33,subhead 24,h34,subhead 211,h311,subhead 221,h321,subhead 231,h331,subhead 25,h35"/>
    <w:basedOn w:val="Normal"/>
    <w:link w:val="Heading3Char"/>
    <w:qFormat/>
    <w:rsid w:val="00C76A59"/>
    <w:pPr>
      <w:keepNext/>
      <w:numPr>
        <w:ilvl w:val="2"/>
        <w:numId w:val="28"/>
      </w:numPr>
      <w:spacing w:before="120" w:after="120" w:line="260" w:lineRule="atLeast"/>
      <w:jc w:val="left"/>
      <w:outlineLvl w:val="2"/>
    </w:pPr>
    <w:rPr>
      <w:b/>
      <w:szCs w:val="23"/>
    </w:rPr>
  </w:style>
  <w:style w:type="paragraph" w:styleId="Heading4">
    <w:name w:val="heading 4"/>
    <w:aliases w:val="NEAbijlage,NEA4,12u,ADVICE 4"/>
    <w:basedOn w:val="Normal"/>
    <w:next w:val="Normal"/>
    <w:link w:val="Heading4Char"/>
    <w:uiPriority w:val="9"/>
    <w:qFormat/>
    <w:locked/>
    <w:rsid w:val="0097251F"/>
    <w:pPr>
      <w:numPr>
        <w:ilvl w:val="3"/>
        <w:numId w:val="28"/>
      </w:numPr>
      <w:spacing w:before="120" w:after="120" w:line="260" w:lineRule="atLeast"/>
      <w:jc w:val="left"/>
      <w:outlineLvl w:val="3"/>
    </w:pPr>
    <w:rPr>
      <w:b/>
      <w:szCs w:val="23"/>
    </w:rPr>
  </w:style>
  <w:style w:type="paragraph" w:styleId="Heading5">
    <w:name w:val="heading 5"/>
    <w:aliases w:val="NEAsubniveau,NEA5"/>
    <w:basedOn w:val="Normal"/>
    <w:next w:val="Normal"/>
    <w:link w:val="Heading5Char"/>
    <w:qFormat/>
    <w:locked/>
    <w:rsid w:val="0097251F"/>
    <w:pPr>
      <w:numPr>
        <w:ilvl w:val="4"/>
        <w:numId w:val="28"/>
      </w:numPr>
      <w:spacing w:before="120" w:after="120" w:line="260" w:lineRule="atLeast"/>
      <w:jc w:val="left"/>
      <w:outlineLvl w:val="4"/>
    </w:pPr>
    <w:rPr>
      <w:b/>
      <w:szCs w:val="23"/>
    </w:rPr>
  </w:style>
  <w:style w:type="paragraph" w:styleId="Heading6">
    <w:name w:val="heading 6"/>
    <w:aliases w:val="NEAtabel"/>
    <w:basedOn w:val="Normal"/>
    <w:next w:val="Normal"/>
    <w:link w:val="Heading6Char"/>
    <w:qFormat/>
    <w:locked/>
    <w:rsid w:val="00007138"/>
    <w:pPr>
      <w:numPr>
        <w:ilvl w:val="5"/>
        <w:numId w:val="28"/>
      </w:numPr>
      <w:spacing w:before="240" w:after="60" w:line="240" w:lineRule="auto"/>
      <w:jc w:val="left"/>
      <w:outlineLvl w:val="5"/>
    </w:pPr>
    <w:rPr>
      <w:rFonts w:ascii="Calibri" w:eastAsia="Times New Roman" w:hAnsi="Calibri"/>
      <w:b/>
      <w:bCs/>
      <w:sz w:val="22"/>
      <w:lang w:val="en-US" w:eastAsia="zh-CN"/>
    </w:rPr>
  </w:style>
  <w:style w:type="paragraph" w:styleId="Heading7">
    <w:name w:val="heading 7"/>
    <w:aliases w:val="NEAfiguur"/>
    <w:basedOn w:val="Normal"/>
    <w:next w:val="Normal"/>
    <w:link w:val="Heading7Char"/>
    <w:qFormat/>
    <w:locked/>
    <w:rsid w:val="00007138"/>
    <w:pPr>
      <w:numPr>
        <w:ilvl w:val="6"/>
        <w:numId w:val="28"/>
      </w:numPr>
      <w:spacing w:before="240" w:after="60" w:line="240" w:lineRule="auto"/>
      <w:jc w:val="left"/>
      <w:outlineLvl w:val="6"/>
    </w:pPr>
    <w:rPr>
      <w:rFonts w:ascii="Calibri" w:eastAsia="Times New Roman" w:hAnsi="Calibri"/>
      <w:sz w:val="24"/>
      <w:szCs w:val="24"/>
      <w:lang w:val="en-US" w:eastAsia="zh-CN"/>
    </w:rPr>
  </w:style>
  <w:style w:type="paragraph" w:styleId="Heading8">
    <w:name w:val="heading 8"/>
    <w:aliases w:val="NEAbron"/>
    <w:basedOn w:val="Normal"/>
    <w:next w:val="Normal"/>
    <w:link w:val="Heading8Char"/>
    <w:qFormat/>
    <w:locked/>
    <w:rsid w:val="00007138"/>
    <w:pPr>
      <w:numPr>
        <w:ilvl w:val="7"/>
        <w:numId w:val="28"/>
      </w:numPr>
      <w:spacing w:before="240" w:after="60" w:line="240" w:lineRule="auto"/>
      <w:jc w:val="left"/>
      <w:outlineLvl w:val="7"/>
    </w:pPr>
    <w:rPr>
      <w:rFonts w:ascii="Calibri" w:eastAsia="Times New Roman" w:hAnsi="Calibri"/>
      <w:i/>
      <w:iCs/>
      <w:sz w:val="24"/>
      <w:szCs w:val="24"/>
      <w:lang w:val="en-US" w:eastAsia="zh-CN"/>
    </w:rPr>
  </w:style>
  <w:style w:type="paragraph" w:styleId="Heading9">
    <w:name w:val="heading 9"/>
    <w:basedOn w:val="Normal"/>
    <w:next w:val="Normal"/>
    <w:link w:val="Heading9Char"/>
    <w:qFormat/>
    <w:locked/>
    <w:rsid w:val="00007138"/>
    <w:pPr>
      <w:numPr>
        <w:ilvl w:val="8"/>
        <w:numId w:val="28"/>
      </w:numPr>
      <w:spacing w:before="240" w:after="60" w:line="240" w:lineRule="auto"/>
      <w:jc w:val="left"/>
      <w:outlineLvl w:val="8"/>
    </w:pPr>
    <w:rPr>
      <w:rFonts w:ascii="Cambria" w:eastAsia="Times New Roman" w:hAnsi="Cambria"/>
      <w:sz w:val="22"/>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OD BW Char,HEADING 1 Char,h1 Char,kris 1 Char,NEA1 Char,1 Char,Hoofdstuk Char,Phare Char,section head Char,section head1 Char,h11 Char,section head2 Char,h12 Char,section head3 Char,h13 Char,section head4 Char,h14 Char,section head5 Char"/>
    <w:basedOn w:val="DefaultParagraphFont"/>
    <w:link w:val="Heading1"/>
    <w:qFormat/>
    <w:locked/>
    <w:rsid w:val="00A127A2"/>
    <w:rPr>
      <w:rFonts w:ascii="Arial Narrow" w:eastAsia="Times New Roman" w:hAnsi="Arial Narrow"/>
      <w:b/>
      <w:bCs/>
      <w:kern w:val="32"/>
      <w:sz w:val="28"/>
      <w:szCs w:val="24"/>
      <w:u w:val="single"/>
      <w:lang w:val="en-GB" w:eastAsia="en-US"/>
    </w:rPr>
  </w:style>
  <w:style w:type="character" w:customStyle="1" w:styleId="Heading2Char">
    <w:name w:val="Heading 2 Char"/>
    <w:aliases w:val="Heading 2 Char1 Char,Char1 Char,h2 Char,Heading 2 Char Char Char,NEA2 Char,2 Char,14 Char,Paragraaf Char,NEA21 Char,subhead 1 Char,subhead 11 Char,h21 Char,subhead 12 Char,h22 Char,su... Char,subhead 13 Char,h23 Char,subhead 14 Char"/>
    <w:basedOn w:val="DefaultParagraphFont"/>
    <w:link w:val="Heading2"/>
    <w:qFormat/>
    <w:locked/>
    <w:rsid w:val="00C76A59"/>
    <w:rPr>
      <w:rFonts w:ascii="Arial Narrow" w:hAnsi="Arial Narrow"/>
      <w:b/>
      <w:sz w:val="23"/>
      <w:szCs w:val="23"/>
      <w:lang w:val="en-GB" w:eastAsia="en-US"/>
    </w:rPr>
  </w:style>
  <w:style w:type="character" w:customStyle="1" w:styleId="Heading3Char">
    <w:name w:val="Heading 3 Char"/>
    <w:aliases w:val="Heading 3 Char1 Char,Heading 3 Char Char Char,title1 Char,HEADING 3 Char,h3 Char,Subparagraaf Char1,Subparagraaf Char Char,NEA3 Char,NEA31 Char,subhead 2 Char,subhead 21 Char,h31 Char,subhead 22 Char,h32 Char,subh... Char,subhead 23 Char"/>
    <w:basedOn w:val="DefaultParagraphFont"/>
    <w:link w:val="Heading3"/>
    <w:qFormat/>
    <w:locked/>
    <w:rsid w:val="00C76A59"/>
    <w:rPr>
      <w:rFonts w:ascii="Arial Narrow" w:hAnsi="Arial Narrow"/>
      <w:b/>
      <w:sz w:val="23"/>
      <w:szCs w:val="23"/>
      <w:lang w:val="en-GB" w:eastAsia="en-US"/>
    </w:rPr>
  </w:style>
  <w:style w:type="character" w:customStyle="1" w:styleId="Heading4Char">
    <w:name w:val="Heading 4 Char"/>
    <w:aliases w:val="NEAbijlage Char,NEA4 Char,12u Char,ADVICE 4 Char"/>
    <w:basedOn w:val="DefaultParagraphFont"/>
    <w:link w:val="Heading4"/>
    <w:uiPriority w:val="9"/>
    <w:qFormat/>
    <w:locked/>
    <w:rsid w:val="0097251F"/>
    <w:rPr>
      <w:rFonts w:ascii="Arial Narrow" w:hAnsi="Arial Narrow"/>
      <w:b/>
      <w:sz w:val="23"/>
      <w:szCs w:val="23"/>
      <w:lang w:val="en-GB" w:eastAsia="en-US"/>
    </w:rPr>
  </w:style>
  <w:style w:type="character" w:customStyle="1" w:styleId="Heading5Char">
    <w:name w:val="Heading 5 Char"/>
    <w:aliases w:val="NEAsubniveau Char,NEA5 Char"/>
    <w:basedOn w:val="DefaultParagraphFont"/>
    <w:link w:val="Heading5"/>
    <w:qFormat/>
    <w:locked/>
    <w:rsid w:val="0097251F"/>
    <w:rPr>
      <w:rFonts w:ascii="Arial Narrow" w:hAnsi="Arial Narrow"/>
      <w:b/>
      <w:sz w:val="23"/>
      <w:szCs w:val="23"/>
      <w:lang w:val="en-GB" w:eastAsia="en-US"/>
    </w:rPr>
  </w:style>
  <w:style w:type="character" w:customStyle="1" w:styleId="Heading6Char">
    <w:name w:val="Heading 6 Char"/>
    <w:aliases w:val="NEAtabel Char"/>
    <w:basedOn w:val="DefaultParagraphFont"/>
    <w:link w:val="Heading6"/>
    <w:qFormat/>
    <w:locked/>
    <w:rsid w:val="00007138"/>
    <w:rPr>
      <w:rFonts w:eastAsia="Times New Roman"/>
      <w:b/>
      <w:bCs/>
      <w:lang w:val="en-US" w:eastAsia="zh-CN"/>
    </w:rPr>
  </w:style>
  <w:style w:type="character" w:customStyle="1" w:styleId="Heading7Char">
    <w:name w:val="Heading 7 Char"/>
    <w:aliases w:val="NEAfiguur Char"/>
    <w:basedOn w:val="DefaultParagraphFont"/>
    <w:link w:val="Heading7"/>
    <w:qFormat/>
    <w:locked/>
    <w:rsid w:val="00007138"/>
    <w:rPr>
      <w:rFonts w:eastAsia="Times New Roman"/>
      <w:sz w:val="24"/>
      <w:szCs w:val="24"/>
      <w:lang w:val="en-US" w:eastAsia="zh-CN"/>
    </w:rPr>
  </w:style>
  <w:style w:type="character" w:customStyle="1" w:styleId="Heading8Char">
    <w:name w:val="Heading 8 Char"/>
    <w:aliases w:val="NEAbron Char"/>
    <w:basedOn w:val="DefaultParagraphFont"/>
    <w:link w:val="Heading8"/>
    <w:qFormat/>
    <w:locked/>
    <w:rsid w:val="00007138"/>
    <w:rPr>
      <w:rFonts w:eastAsia="Times New Roman"/>
      <w:i/>
      <w:iCs/>
      <w:sz w:val="24"/>
      <w:szCs w:val="24"/>
      <w:lang w:val="en-US" w:eastAsia="zh-CN"/>
    </w:rPr>
  </w:style>
  <w:style w:type="character" w:customStyle="1" w:styleId="Heading9Char">
    <w:name w:val="Heading 9 Char"/>
    <w:basedOn w:val="DefaultParagraphFont"/>
    <w:link w:val="Heading9"/>
    <w:qFormat/>
    <w:locked/>
    <w:rsid w:val="00007138"/>
    <w:rPr>
      <w:rFonts w:ascii="Cambria" w:eastAsia="Times New Roman" w:hAnsi="Cambria"/>
      <w:lang w:val="en-US" w:eastAsia="zh-CN"/>
    </w:rPr>
  </w:style>
  <w:style w:type="character" w:styleId="Strong">
    <w:name w:val="Strong"/>
    <w:basedOn w:val="DefaultParagraphFont"/>
    <w:qFormat/>
    <w:rsid w:val="00CD0FCA"/>
    <w:rPr>
      <w:rFonts w:cs="Times New Roman"/>
      <w:b/>
      <w:bCs/>
    </w:rPr>
  </w:style>
  <w:style w:type="character" w:styleId="Emphasis">
    <w:name w:val="Emphasis"/>
    <w:basedOn w:val="DefaultParagraphFont"/>
    <w:uiPriority w:val="20"/>
    <w:qFormat/>
    <w:rsid w:val="00CD0FCA"/>
    <w:rPr>
      <w:rFonts w:cs="Times New Roman"/>
      <w:i/>
      <w:iCs/>
    </w:rPr>
  </w:style>
  <w:style w:type="paragraph" w:styleId="NormalWeb">
    <w:name w:val="Normal (Web)"/>
    <w:basedOn w:val="Normal"/>
    <w:qFormat/>
    <w:rsid w:val="00CD0FCA"/>
    <w:pPr>
      <w:spacing w:before="100" w:beforeAutospacing="1" w:after="100" w:afterAutospacing="1" w:line="240" w:lineRule="auto"/>
    </w:pPr>
    <w:rPr>
      <w:rFonts w:ascii="Times New Roman" w:eastAsia="Times New Roman" w:hAnsi="Times New Roman"/>
      <w:sz w:val="24"/>
      <w:szCs w:val="24"/>
      <w:lang w:eastAsia="bg-BG"/>
    </w:rPr>
  </w:style>
  <w:style w:type="paragraph" w:customStyle="1" w:styleId="TableBullet">
    <w:name w:val="Table Bullet"/>
    <w:basedOn w:val="Normal"/>
    <w:qFormat/>
    <w:rsid w:val="00271D34"/>
    <w:pPr>
      <w:numPr>
        <w:numId w:val="1"/>
      </w:numPr>
      <w:autoSpaceDN w:val="0"/>
      <w:spacing w:before="60" w:after="60" w:line="240" w:lineRule="auto"/>
    </w:pPr>
    <w:rPr>
      <w:rFonts w:ascii="Tahoma" w:hAnsi="Tahoma" w:cs="Tahoma"/>
      <w:sz w:val="20"/>
      <w:szCs w:val="20"/>
    </w:rPr>
  </w:style>
  <w:style w:type="paragraph" w:styleId="Header">
    <w:name w:val="header"/>
    <w:basedOn w:val="Normal"/>
    <w:link w:val="HeaderChar"/>
    <w:uiPriority w:val="99"/>
    <w:rsid w:val="00E522F1"/>
    <w:pPr>
      <w:tabs>
        <w:tab w:val="center" w:pos="4536"/>
        <w:tab w:val="right" w:pos="9072"/>
      </w:tabs>
    </w:pPr>
  </w:style>
  <w:style w:type="character" w:customStyle="1" w:styleId="HeaderChar">
    <w:name w:val="Header Char"/>
    <w:basedOn w:val="DefaultParagraphFont"/>
    <w:link w:val="Header"/>
    <w:uiPriority w:val="99"/>
    <w:qFormat/>
    <w:locked/>
    <w:rsid w:val="001F2B77"/>
    <w:rPr>
      <w:rFonts w:cs="Times New Roman"/>
      <w:lang w:eastAsia="en-US"/>
    </w:rPr>
  </w:style>
  <w:style w:type="paragraph" w:styleId="Footer">
    <w:name w:val="footer"/>
    <w:aliases w:val="Stopka Znak"/>
    <w:basedOn w:val="Normal"/>
    <w:link w:val="FooterChar"/>
    <w:uiPriority w:val="99"/>
    <w:rsid w:val="00E522F1"/>
    <w:pPr>
      <w:tabs>
        <w:tab w:val="center" w:pos="4536"/>
        <w:tab w:val="right" w:pos="9072"/>
      </w:tabs>
    </w:pPr>
  </w:style>
  <w:style w:type="character" w:customStyle="1" w:styleId="FooterChar">
    <w:name w:val="Footer Char"/>
    <w:aliases w:val="Stopka Znak Char"/>
    <w:basedOn w:val="DefaultParagraphFont"/>
    <w:link w:val="Footer"/>
    <w:uiPriority w:val="99"/>
    <w:qFormat/>
    <w:locked/>
    <w:rsid w:val="001F2B77"/>
    <w:rPr>
      <w:rFonts w:cs="Times New Roman"/>
      <w:lang w:eastAsia="en-US"/>
    </w:rPr>
  </w:style>
  <w:style w:type="character" w:styleId="PageNumber">
    <w:name w:val="page number"/>
    <w:basedOn w:val="DefaultParagraphFont"/>
    <w:qFormat/>
    <w:rsid w:val="00E522F1"/>
    <w:rPr>
      <w:rFonts w:cs="Times New Roman"/>
    </w:rPr>
  </w:style>
  <w:style w:type="character" w:customStyle="1" w:styleId="a">
    <w:name w:val="Основен текст_"/>
    <w:basedOn w:val="DefaultParagraphFont"/>
    <w:link w:val="a0"/>
    <w:qFormat/>
    <w:locked/>
    <w:rsid w:val="00D825D1"/>
    <w:rPr>
      <w:rFonts w:cs="Times New Roman"/>
      <w:sz w:val="22"/>
      <w:szCs w:val="22"/>
      <w:lang w:bidi="ar-SA"/>
    </w:rPr>
  </w:style>
  <w:style w:type="paragraph" w:customStyle="1" w:styleId="a0">
    <w:name w:val="Основен текст"/>
    <w:basedOn w:val="Normal"/>
    <w:link w:val="a"/>
    <w:qFormat/>
    <w:rsid w:val="00D825D1"/>
    <w:pPr>
      <w:widowControl w:val="0"/>
      <w:shd w:val="clear" w:color="auto" w:fill="FFFFFF"/>
      <w:spacing w:before="360" w:after="0" w:line="317" w:lineRule="exact"/>
      <w:ind w:hanging="400"/>
    </w:pPr>
    <w:rPr>
      <w:rFonts w:ascii="Times New Roman" w:hAnsi="Times New Roman"/>
      <w:noProof/>
      <w:lang w:eastAsia="bg-BG"/>
    </w:rPr>
  </w:style>
  <w:style w:type="paragraph" w:styleId="NoSpacing">
    <w:name w:val="No Spacing"/>
    <w:qFormat/>
    <w:rsid w:val="002D23D5"/>
    <w:pPr>
      <w:spacing w:line="336" w:lineRule="auto"/>
    </w:pPr>
    <w:rPr>
      <w:rFonts w:ascii="Arial Narrow" w:hAnsi="Arial Narrow"/>
      <w:sz w:val="23"/>
      <w:lang w:eastAsia="en-US"/>
    </w:rPr>
  </w:style>
  <w:style w:type="character" w:styleId="Hyperlink">
    <w:name w:val="Hyperlink"/>
    <w:basedOn w:val="DefaultParagraphFont"/>
    <w:uiPriority w:val="99"/>
    <w:rsid w:val="0055371F"/>
    <w:rPr>
      <w:rFonts w:cs="Times New Roman"/>
      <w:color w:val="0000FF"/>
      <w:u w:val="single"/>
    </w:rPr>
  </w:style>
  <w:style w:type="paragraph" w:customStyle="1" w:styleId="Default">
    <w:name w:val="Default"/>
    <w:uiPriority w:val="99"/>
    <w:qFormat/>
    <w:rsid w:val="0055371F"/>
    <w:pPr>
      <w:autoSpaceDE w:val="0"/>
      <w:autoSpaceDN w:val="0"/>
      <w:adjustRightInd w:val="0"/>
    </w:pPr>
    <w:rPr>
      <w:rFonts w:ascii="Arial" w:eastAsia="Times New Roman" w:hAnsi="Arial" w:cs="Arial"/>
      <w:color w:val="000000"/>
      <w:sz w:val="24"/>
      <w:szCs w:val="24"/>
    </w:rPr>
  </w:style>
  <w:style w:type="paragraph" w:styleId="ListParagraph">
    <w:name w:val="List Paragraph"/>
    <w:aliases w:val="Normal List,Endnote,Indent,Списък на абзаци,ПАРАГРАФ,Гл точки,Списък на абзаци1"/>
    <w:basedOn w:val="Normal"/>
    <w:link w:val="ListParagraphChar"/>
    <w:uiPriority w:val="34"/>
    <w:qFormat/>
    <w:rsid w:val="0055371F"/>
    <w:pPr>
      <w:ind w:left="720"/>
      <w:contextualSpacing/>
    </w:pPr>
    <w:rPr>
      <w:sz w:val="22"/>
      <w:szCs w:val="20"/>
    </w:rPr>
  </w:style>
  <w:style w:type="paragraph" w:styleId="BodyText">
    <w:name w:val="Body Text"/>
    <w:aliases w:val="Body Text Char Char,Body Text Char1 Char,Body Text Char1 Char Char Char,Body Text Char Char Char Char Char,Body Text Char1 Char Char Char Char Char,Body Text Char Char Char Char Char Char Char,Body Text Char2 Char,Body Text Char Char1 Char,b,B"/>
    <w:basedOn w:val="Normal"/>
    <w:link w:val="BodyTextChar"/>
    <w:qFormat/>
    <w:rsid w:val="0055371F"/>
    <w:pPr>
      <w:spacing w:after="0" w:line="260" w:lineRule="atLeast"/>
    </w:pPr>
    <w:rPr>
      <w:rFonts w:ascii="Arial" w:hAnsi="Arial"/>
      <w:sz w:val="21"/>
      <w:szCs w:val="20"/>
    </w:rPr>
  </w:style>
  <w:style w:type="character" w:customStyle="1" w:styleId="BodyTextChar">
    <w:name w:val="Body Text Char"/>
    <w:aliases w:val="Body Text Char Char Char,Body Text Char1 Char Char,Body Text Char1 Char Char Char Char,Body Text Char Char Char Char Char Char,Body Text Char1 Char Char Char Char Char Char,Body Text Char Char Char Char Char Char Char Char,b Char,B Char"/>
    <w:basedOn w:val="DefaultParagraphFont"/>
    <w:link w:val="BodyText"/>
    <w:qFormat/>
    <w:locked/>
    <w:rsid w:val="0055371F"/>
    <w:rPr>
      <w:rFonts w:ascii="Arial" w:hAnsi="Arial" w:cs="Times New Roman"/>
      <w:sz w:val="21"/>
      <w:lang w:val="en-GB" w:eastAsia="en-US"/>
    </w:rPr>
  </w:style>
  <w:style w:type="paragraph" w:styleId="Caption">
    <w:name w:val="caption"/>
    <w:aliases w:val="Caption Char,Caption Char1 Char,Caption Char Char Char,Caption Char1 Char Char Char,Caption Char Char Char Char Char,Caption Char1 Char1,Caption Char Char Char1,Caption_ARGOSS,Caption Char Char Char Char, Char1 Char Char Char Char,Caption Char1"/>
    <w:basedOn w:val="Normal"/>
    <w:next w:val="Normal"/>
    <w:link w:val="CaptionChar2"/>
    <w:qFormat/>
    <w:locked/>
    <w:rsid w:val="00F96C81"/>
    <w:pPr>
      <w:spacing w:after="0" w:line="260" w:lineRule="atLeast"/>
    </w:pPr>
    <w:rPr>
      <w:rFonts w:eastAsia="Times New Roman"/>
      <w:b/>
      <w:bCs/>
      <w:szCs w:val="20"/>
    </w:rPr>
  </w:style>
  <w:style w:type="character" w:customStyle="1" w:styleId="10">
    <w:name w:val="Основен текст (10)_"/>
    <w:basedOn w:val="DefaultParagraphFont"/>
    <w:link w:val="100"/>
    <w:qFormat/>
    <w:locked/>
    <w:rsid w:val="00DB16B4"/>
    <w:rPr>
      <w:rFonts w:cs="Times New Roman"/>
      <w:i/>
      <w:iCs/>
      <w:lang w:bidi="ar-SA"/>
    </w:rPr>
  </w:style>
  <w:style w:type="paragraph" w:customStyle="1" w:styleId="100">
    <w:name w:val="Основен текст (10)"/>
    <w:basedOn w:val="Normal"/>
    <w:link w:val="10"/>
    <w:qFormat/>
    <w:rsid w:val="00DB16B4"/>
    <w:pPr>
      <w:widowControl w:val="0"/>
      <w:shd w:val="clear" w:color="auto" w:fill="FFFFFF"/>
      <w:spacing w:before="240" w:after="120" w:line="274" w:lineRule="exact"/>
    </w:pPr>
    <w:rPr>
      <w:rFonts w:ascii="Times New Roman" w:eastAsia="Times New Roman" w:hAnsi="Times New Roman"/>
      <w:i/>
      <w:iCs/>
      <w:sz w:val="20"/>
      <w:szCs w:val="20"/>
      <w:lang w:eastAsia="bg-BG"/>
    </w:rPr>
  </w:style>
  <w:style w:type="character" w:customStyle="1" w:styleId="2">
    <w:name w:val="Заглавие #2_"/>
    <w:basedOn w:val="DefaultParagraphFont"/>
    <w:link w:val="20"/>
    <w:qFormat/>
    <w:locked/>
    <w:rsid w:val="00DB16B4"/>
    <w:rPr>
      <w:rFonts w:cs="Times New Roman"/>
      <w:b/>
      <w:bCs/>
      <w:sz w:val="23"/>
      <w:szCs w:val="23"/>
      <w:lang w:bidi="ar-SA"/>
    </w:rPr>
  </w:style>
  <w:style w:type="paragraph" w:customStyle="1" w:styleId="20">
    <w:name w:val="Заглавие #2"/>
    <w:basedOn w:val="Normal"/>
    <w:link w:val="2"/>
    <w:qFormat/>
    <w:rsid w:val="00DB16B4"/>
    <w:pPr>
      <w:widowControl w:val="0"/>
      <w:shd w:val="clear" w:color="auto" w:fill="FFFFFF"/>
      <w:spacing w:before="1020" w:after="0" w:line="413" w:lineRule="exact"/>
      <w:outlineLvl w:val="1"/>
    </w:pPr>
    <w:rPr>
      <w:rFonts w:ascii="Times New Roman" w:eastAsia="Times New Roman" w:hAnsi="Times New Roman"/>
      <w:b/>
      <w:bCs/>
      <w:szCs w:val="23"/>
      <w:lang w:eastAsia="bg-BG"/>
    </w:rPr>
  </w:style>
  <w:style w:type="character" w:customStyle="1" w:styleId="a6">
    <w:name w:val="Основен текст + Удебелен"/>
    <w:basedOn w:val="a"/>
    <w:qFormat/>
    <w:rsid w:val="00DB16B4"/>
    <w:rPr>
      <w:rFonts w:ascii="Times New Roman" w:hAnsi="Times New Roman" w:cs="Times New Roman"/>
      <w:b/>
      <w:bCs/>
      <w:color w:val="000000"/>
      <w:spacing w:val="0"/>
      <w:w w:val="100"/>
      <w:position w:val="0"/>
      <w:sz w:val="23"/>
      <w:szCs w:val="23"/>
      <w:u w:val="none"/>
      <w:lang w:val="bg-BG" w:eastAsia="bg-BG" w:bidi="ar-SA"/>
    </w:rPr>
  </w:style>
  <w:style w:type="character" w:customStyle="1" w:styleId="CharChar14">
    <w:name w:val="Char Char14"/>
    <w:qFormat/>
    <w:locked/>
    <w:rsid w:val="00DB16B4"/>
    <w:rPr>
      <w:rFonts w:ascii="Cambria" w:hAnsi="Cambria"/>
      <w:b/>
      <w:sz w:val="26"/>
      <w:lang w:val="en-GB" w:eastAsia="en-US"/>
    </w:rPr>
  </w:style>
  <w:style w:type="character" w:customStyle="1" w:styleId="3">
    <w:name w:val="Заглавие на таблица (3)_"/>
    <w:basedOn w:val="DefaultParagraphFont"/>
    <w:link w:val="30"/>
    <w:qFormat/>
    <w:locked/>
    <w:rsid w:val="00DB16B4"/>
    <w:rPr>
      <w:rFonts w:cs="Times New Roman"/>
      <w:b/>
      <w:bCs/>
      <w:sz w:val="19"/>
      <w:szCs w:val="19"/>
      <w:lang w:bidi="ar-SA"/>
    </w:rPr>
  </w:style>
  <w:style w:type="character" w:customStyle="1" w:styleId="9">
    <w:name w:val="Основен текст + 9"/>
    <w:aliases w:val="5 pt,Удебелен"/>
    <w:basedOn w:val="a"/>
    <w:qFormat/>
    <w:rsid w:val="00DB16B4"/>
    <w:rPr>
      <w:rFonts w:ascii="Times New Roman" w:hAnsi="Times New Roman" w:cs="Times New Roman"/>
      <w:b/>
      <w:bCs/>
      <w:color w:val="000000"/>
      <w:spacing w:val="0"/>
      <w:w w:val="100"/>
      <w:position w:val="0"/>
      <w:sz w:val="19"/>
      <w:szCs w:val="19"/>
      <w:u w:val="none"/>
      <w:lang w:val="bg-BG" w:eastAsia="bg-BG" w:bidi="ar-SA"/>
    </w:rPr>
  </w:style>
  <w:style w:type="character" w:customStyle="1" w:styleId="91">
    <w:name w:val="Основен текст + 91"/>
    <w:aliases w:val="5 pt1"/>
    <w:basedOn w:val="a"/>
    <w:qFormat/>
    <w:rsid w:val="00DB16B4"/>
    <w:rPr>
      <w:rFonts w:ascii="Times New Roman" w:hAnsi="Times New Roman" w:cs="Times New Roman"/>
      <w:color w:val="000000"/>
      <w:spacing w:val="0"/>
      <w:w w:val="100"/>
      <w:position w:val="0"/>
      <w:sz w:val="19"/>
      <w:szCs w:val="19"/>
      <w:u w:val="none"/>
      <w:lang w:val="bg-BG" w:eastAsia="bg-BG" w:bidi="ar-SA"/>
    </w:rPr>
  </w:style>
  <w:style w:type="paragraph" w:customStyle="1" w:styleId="30">
    <w:name w:val="Заглавие на таблица (3)"/>
    <w:basedOn w:val="Normal"/>
    <w:link w:val="3"/>
    <w:qFormat/>
    <w:rsid w:val="00DB16B4"/>
    <w:pPr>
      <w:widowControl w:val="0"/>
      <w:shd w:val="clear" w:color="auto" w:fill="FFFFFF"/>
      <w:spacing w:after="60" w:line="240" w:lineRule="atLeast"/>
      <w:jc w:val="right"/>
    </w:pPr>
    <w:rPr>
      <w:rFonts w:ascii="Times New Roman" w:eastAsia="Times New Roman" w:hAnsi="Times New Roman"/>
      <w:b/>
      <w:bCs/>
      <w:sz w:val="19"/>
      <w:szCs w:val="19"/>
      <w:lang w:eastAsia="bg-BG"/>
    </w:rPr>
  </w:style>
  <w:style w:type="paragraph" w:styleId="TOCHeading">
    <w:name w:val="TOC Heading"/>
    <w:basedOn w:val="Heading1"/>
    <w:next w:val="Normal"/>
    <w:uiPriority w:val="39"/>
    <w:qFormat/>
    <w:rsid w:val="00F96C81"/>
    <w:pPr>
      <w:keepLines/>
      <w:spacing w:before="480" w:after="0" w:line="276" w:lineRule="auto"/>
      <w:outlineLvl w:val="9"/>
    </w:pPr>
    <w:rPr>
      <w:rFonts w:ascii="Cambria" w:hAnsi="Cambria"/>
      <w:color w:val="365F91"/>
      <w:kern w:val="0"/>
      <w:szCs w:val="28"/>
      <w:lang w:val="en-US"/>
    </w:rPr>
  </w:style>
  <w:style w:type="paragraph" w:styleId="TOC3">
    <w:name w:val="toc 3"/>
    <w:basedOn w:val="Normal"/>
    <w:next w:val="Normal"/>
    <w:autoRedefine/>
    <w:uiPriority w:val="39"/>
    <w:locked/>
    <w:rsid w:val="00F96C81"/>
    <w:pPr>
      <w:ind w:left="460"/>
    </w:pPr>
  </w:style>
  <w:style w:type="paragraph" w:styleId="TOC1">
    <w:name w:val="toc 1"/>
    <w:basedOn w:val="Normal"/>
    <w:next w:val="Normal"/>
    <w:autoRedefine/>
    <w:uiPriority w:val="39"/>
    <w:locked/>
    <w:rsid w:val="00F96C81"/>
  </w:style>
  <w:style w:type="paragraph" w:styleId="BalloonText">
    <w:name w:val="Balloon Text"/>
    <w:basedOn w:val="Normal"/>
    <w:link w:val="BalloonTextChar"/>
    <w:qFormat/>
    <w:rsid w:val="00E00B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qFormat/>
    <w:locked/>
    <w:rsid w:val="00E00B86"/>
    <w:rPr>
      <w:rFonts w:ascii="Tahoma" w:hAnsi="Tahoma" w:cs="Tahoma"/>
      <w:sz w:val="16"/>
      <w:szCs w:val="16"/>
      <w:lang w:eastAsia="en-US"/>
    </w:rPr>
  </w:style>
  <w:style w:type="table" w:styleId="TableGrid">
    <w:name w:val="Table Grid"/>
    <w:basedOn w:val="TableNormal"/>
    <w:uiPriority w:val="39"/>
    <w:locked/>
    <w:rsid w:val="00007138"/>
    <w:rPr>
      <w:rFonts w:ascii="Times New Roman" w:eastAsia="SimSu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qFormat/>
    <w:rsid w:val="00007138"/>
    <w:rPr>
      <w:rFonts w:cs="Times New Roman"/>
    </w:rPr>
  </w:style>
  <w:style w:type="character" w:customStyle="1" w:styleId="hpsatn">
    <w:name w:val="hps atn"/>
    <w:basedOn w:val="DefaultParagraphFont"/>
    <w:qFormat/>
    <w:rsid w:val="00007138"/>
    <w:rPr>
      <w:rFonts w:cs="Times New Roman"/>
    </w:rPr>
  </w:style>
  <w:style w:type="character" w:customStyle="1" w:styleId="atn">
    <w:name w:val="atn"/>
    <w:basedOn w:val="DefaultParagraphFont"/>
    <w:qFormat/>
    <w:rsid w:val="00007138"/>
    <w:rPr>
      <w:rFonts w:cs="Times New Roman"/>
    </w:rPr>
  </w:style>
  <w:style w:type="character" w:customStyle="1" w:styleId="ListParagraphChar">
    <w:name w:val="List Paragraph Char"/>
    <w:aliases w:val="Normal List Char,Endnote Char,Indent Char,Списък на абзаци Char,ПАРАГРАФ Char,Гл точки Char,Списък на абзаци1 Char"/>
    <w:link w:val="ListParagraph"/>
    <w:uiPriority w:val="34"/>
    <w:qFormat/>
    <w:locked/>
    <w:rsid w:val="00007138"/>
    <w:rPr>
      <w:rFonts w:ascii="Arial Narrow" w:hAnsi="Arial Narrow"/>
      <w:sz w:val="22"/>
      <w:lang w:eastAsia="en-US"/>
    </w:rPr>
  </w:style>
  <w:style w:type="paragraph" w:styleId="FootnoteText">
    <w:name w:val="footnote text"/>
    <w:aliases w:val="Podrozdział,stile 1,Footnote,Footnote1,Footnote2,Footnote3,Footnote4,Footnote5,Footnote6,Footnote7,Footnote8,Footnote9,Footnote10,Footnote11,Footnote21,Footnote31,Footnote41,Footnote51,Footnote61,Footnote71,Footnote81,Footnote91,single s,f"/>
    <w:basedOn w:val="Normal"/>
    <w:link w:val="FootnoteTextChar"/>
    <w:rsid w:val="00007138"/>
    <w:pPr>
      <w:spacing w:after="0" w:line="240" w:lineRule="auto"/>
      <w:jc w:val="left"/>
    </w:pPr>
    <w:rPr>
      <w:rFonts w:ascii="Calibri" w:hAnsi="Calibri"/>
      <w:sz w:val="20"/>
      <w:szCs w:val="20"/>
    </w:rPr>
  </w:style>
  <w:style w:type="character" w:customStyle="1" w:styleId="FootnoteTextChar">
    <w:name w:val="Footnote Text Char"/>
    <w:aliases w:val="Podrozdział Char,stile 1 Char,Footnote Char,Footnote1 Char,Footnote2 Char,Footnote3 Char,Footnote4 Char,Footnote5 Char,Footnote6 Char,Footnote7 Char,Footnote8 Char,Footnote9 Char,Footnote10 Char,Footnote11 Char,Footnote21 Char,f Char"/>
    <w:basedOn w:val="DefaultParagraphFont"/>
    <w:link w:val="FootnoteText"/>
    <w:qFormat/>
    <w:locked/>
    <w:rsid w:val="00007138"/>
    <w:rPr>
      <w:rFonts w:cs="Times New Roman"/>
      <w:lang w:eastAsia="en-US"/>
    </w:rPr>
  </w:style>
  <w:style w:type="character" w:styleId="FootnoteReference">
    <w:name w:val="footnote reference"/>
    <w:aliases w:val="Footnote call,SUPERS,Footnote symbol,Times 10 Point,Exposant 3 Point,16 Point,Superscript 6 Point,ftref"/>
    <w:basedOn w:val="DefaultParagraphFont"/>
    <w:rsid w:val="00007138"/>
    <w:rPr>
      <w:rFonts w:cs="Times New Roman"/>
      <w:vertAlign w:val="superscript"/>
    </w:rPr>
  </w:style>
  <w:style w:type="paragraph" w:styleId="Subtitle">
    <w:name w:val="Subtitle"/>
    <w:basedOn w:val="Normal"/>
    <w:next w:val="Normal"/>
    <w:link w:val="SubtitleChar"/>
    <w:qFormat/>
    <w:locked/>
    <w:rsid w:val="003263FC"/>
    <w:pPr>
      <w:numPr>
        <w:ilvl w:val="1"/>
      </w:numPr>
      <w:ind w:firstLine="709"/>
    </w:pPr>
    <w:rPr>
      <w:rFonts w:ascii="Cambria" w:eastAsia="Times New Roman" w:hAnsi="Cambria"/>
      <w:i/>
      <w:iCs/>
      <w:color w:val="4F81BD"/>
      <w:spacing w:val="15"/>
      <w:sz w:val="24"/>
      <w:szCs w:val="24"/>
    </w:rPr>
  </w:style>
  <w:style w:type="character" w:customStyle="1" w:styleId="SubtitleChar">
    <w:name w:val="Subtitle Char"/>
    <w:basedOn w:val="DefaultParagraphFont"/>
    <w:link w:val="Subtitle"/>
    <w:qFormat/>
    <w:locked/>
    <w:rsid w:val="003263FC"/>
    <w:rPr>
      <w:rFonts w:ascii="Cambria" w:hAnsi="Cambria" w:cs="Times New Roman"/>
      <w:i/>
      <w:iCs/>
      <w:color w:val="4F81BD"/>
      <w:spacing w:val="15"/>
      <w:sz w:val="24"/>
      <w:szCs w:val="24"/>
      <w:lang w:eastAsia="en-US"/>
    </w:rPr>
  </w:style>
  <w:style w:type="character" w:customStyle="1" w:styleId="ArialNarrow">
    <w:name w:val="Основен текст + Arial Narrow"/>
    <w:aliases w:val="11 pt"/>
    <w:basedOn w:val="a"/>
    <w:qFormat/>
    <w:rsid w:val="0077195E"/>
    <w:rPr>
      <w:rFonts w:ascii="Arial Narrow" w:hAnsi="Arial Narrow" w:cs="Arial Narrow"/>
      <w:color w:val="000000"/>
      <w:spacing w:val="0"/>
      <w:w w:val="100"/>
      <w:position w:val="0"/>
      <w:sz w:val="22"/>
      <w:szCs w:val="22"/>
      <w:u w:val="none"/>
      <w:lang w:val="bg-BG" w:eastAsia="bg-BG" w:bidi="ar-SA"/>
    </w:rPr>
  </w:style>
  <w:style w:type="character" w:customStyle="1" w:styleId="ArialNarrow1">
    <w:name w:val="Основен текст + Arial Narrow1"/>
    <w:aliases w:val="11 pt1,Удебелен1,Курсив"/>
    <w:basedOn w:val="a"/>
    <w:qFormat/>
    <w:rsid w:val="0077195E"/>
    <w:rPr>
      <w:rFonts w:ascii="Arial Narrow" w:hAnsi="Arial Narrow" w:cs="Arial Narrow"/>
      <w:b/>
      <w:bCs/>
      <w:i/>
      <w:iCs/>
      <w:color w:val="000000"/>
      <w:spacing w:val="0"/>
      <w:w w:val="100"/>
      <w:position w:val="0"/>
      <w:sz w:val="22"/>
      <w:szCs w:val="22"/>
      <w:u w:val="none"/>
      <w:lang w:val="bg-BG" w:eastAsia="bg-BG" w:bidi="ar-SA"/>
    </w:rPr>
  </w:style>
  <w:style w:type="paragraph" w:styleId="Title">
    <w:name w:val="Title"/>
    <w:aliases w:val="Char Char"/>
    <w:basedOn w:val="Normal"/>
    <w:next w:val="Normal"/>
    <w:link w:val="TitleChar"/>
    <w:qFormat/>
    <w:locked/>
    <w:rsid w:val="00E0572B"/>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itleChar">
    <w:name w:val="Title Char"/>
    <w:aliases w:val="Char Char Char2"/>
    <w:basedOn w:val="DefaultParagraphFont"/>
    <w:link w:val="Title"/>
    <w:qFormat/>
    <w:locked/>
    <w:rsid w:val="00E0572B"/>
    <w:rPr>
      <w:rFonts w:ascii="Cambria" w:hAnsi="Cambria" w:cs="Times New Roman"/>
      <w:color w:val="17365D"/>
      <w:spacing w:val="5"/>
      <w:kern w:val="28"/>
      <w:sz w:val="52"/>
      <w:szCs w:val="52"/>
      <w:lang w:eastAsia="en-US"/>
    </w:rPr>
  </w:style>
  <w:style w:type="numbering" w:customStyle="1" w:styleId="LFO31">
    <w:name w:val="LFO3_1"/>
    <w:rsid w:val="000319ED"/>
    <w:pPr>
      <w:numPr>
        <w:numId w:val="1"/>
      </w:numPr>
    </w:pPr>
  </w:style>
  <w:style w:type="character" w:styleId="CommentReference">
    <w:name w:val="annotation reference"/>
    <w:basedOn w:val="DefaultParagraphFont"/>
    <w:unhideWhenUsed/>
    <w:qFormat/>
    <w:locked/>
    <w:rsid w:val="00A87F11"/>
    <w:rPr>
      <w:sz w:val="16"/>
      <w:szCs w:val="16"/>
    </w:rPr>
  </w:style>
  <w:style w:type="paragraph" w:styleId="CommentText">
    <w:name w:val="annotation text"/>
    <w:basedOn w:val="Normal"/>
    <w:link w:val="CommentTextChar"/>
    <w:uiPriority w:val="99"/>
    <w:unhideWhenUsed/>
    <w:qFormat/>
    <w:locked/>
    <w:rsid w:val="00A87F11"/>
    <w:pPr>
      <w:spacing w:line="240" w:lineRule="auto"/>
    </w:pPr>
    <w:rPr>
      <w:sz w:val="20"/>
      <w:szCs w:val="20"/>
    </w:rPr>
  </w:style>
  <w:style w:type="character" w:customStyle="1" w:styleId="CommentTextChar">
    <w:name w:val="Comment Text Char"/>
    <w:basedOn w:val="DefaultParagraphFont"/>
    <w:link w:val="CommentText"/>
    <w:uiPriority w:val="99"/>
    <w:qFormat/>
    <w:rsid w:val="00A87F11"/>
    <w:rPr>
      <w:rFonts w:ascii="Arial Narrow" w:hAnsi="Arial Narrow"/>
      <w:sz w:val="20"/>
      <w:szCs w:val="20"/>
      <w:lang w:eastAsia="en-US"/>
    </w:rPr>
  </w:style>
  <w:style w:type="table" w:customStyle="1" w:styleId="TableGrid1">
    <w:name w:val="Table Grid1"/>
    <w:basedOn w:val="TableNormal"/>
    <w:next w:val="TableGrid"/>
    <w:uiPriority w:val="59"/>
    <w:rsid w:val="00AD0E37"/>
    <w:rPr>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locked/>
    <w:rsid w:val="00CE4FEE"/>
    <w:pPr>
      <w:spacing w:after="100" w:line="276" w:lineRule="auto"/>
      <w:ind w:left="220"/>
      <w:jc w:val="left"/>
    </w:pPr>
    <w:rPr>
      <w:rFonts w:asciiTheme="minorHAnsi" w:eastAsiaTheme="minorEastAsia" w:hAnsiTheme="minorHAnsi" w:cstheme="minorBidi"/>
      <w:sz w:val="22"/>
      <w:lang w:val="nl-NL" w:eastAsia="nl-NL"/>
    </w:rPr>
  </w:style>
  <w:style w:type="paragraph" w:styleId="TOC4">
    <w:name w:val="toc 4"/>
    <w:basedOn w:val="Normal"/>
    <w:next w:val="Normal"/>
    <w:autoRedefine/>
    <w:unhideWhenUsed/>
    <w:locked/>
    <w:rsid w:val="00CE4FEE"/>
    <w:pPr>
      <w:spacing w:after="100" w:line="276" w:lineRule="auto"/>
      <w:ind w:left="660"/>
      <w:jc w:val="left"/>
    </w:pPr>
    <w:rPr>
      <w:rFonts w:asciiTheme="minorHAnsi" w:eastAsiaTheme="minorEastAsia" w:hAnsiTheme="minorHAnsi" w:cstheme="minorBidi"/>
      <w:sz w:val="22"/>
      <w:lang w:val="nl-NL" w:eastAsia="nl-NL"/>
    </w:rPr>
  </w:style>
  <w:style w:type="paragraph" w:styleId="TOC5">
    <w:name w:val="toc 5"/>
    <w:basedOn w:val="Normal"/>
    <w:next w:val="Normal"/>
    <w:autoRedefine/>
    <w:unhideWhenUsed/>
    <w:locked/>
    <w:rsid w:val="00CE4FEE"/>
    <w:pPr>
      <w:spacing w:after="100" w:line="276" w:lineRule="auto"/>
      <w:ind w:left="880"/>
      <w:jc w:val="left"/>
    </w:pPr>
    <w:rPr>
      <w:rFonts w:asciiTheme="minorHAnsi" w:eastAsiaTheme="minorEastAsia" w:hAnsiTheme="minorHAnsi" w:cstheme="minorBidi"/>
      <w:sz w:val="22"/>
      <w:lang w:val="nl-NL" w:eastAsia="nl-NL"/>
    </w:rPr>
  </w:style>
  <w:style w:type="paragraph" w:styleId="TOC6">
    <w:name w:val="toc 6"/>
    <w:basedOn w:val="Normal"/>
    <w:next w:val="Normal"/>
    <w:autoRedefine/>
    <w:unhideWhenUsed/>
    <w:locked/>
    <w:rsid w:val="00CE4FEE"/>
    <w:pPr>
      <w:spacing w:after="100" w:line="276" w:lineRule="auto"/>
      <w:ind w:left="1100"/>
      <w:jc w:val="left"/>
    </w:pPr>
    <w:rPr>
      <w:rFonts w:asciiTheme="minorHAnsi" w:eastAsiaTheme="minorEastAsia" w:hAnsiTheme="minorHAnsi" w:cstheme="minorBidi"/>
      <w:sz w:val="22"/>
      <w:lang w:val="nl-NL" w:eastAsia="nl-NL"/>
    </w:rPr>
  </w:style>
  <w:style w:type="paragraph" w:styleId="TOC7">
    <w:name w:val="toc 7"/>
    <w:basedOn w:val="Normal"/>
    <w:next w:val="Normal"/>
    <w:autoRedefine/>
    <w:unhideWhenUsed/>
    <w:locked/>
    <w:rsid w:val="00CE4FEE"/>
    <w:pPr>
      <w:spacing w:after="100" w:line="276" w:lineRule="auto"/>
      <w:ind w:left="1320"/>
      <w:jc w:val="left"/>
    </w:pPr>
    <w:rPr>
      <w:rFonts w:asciiTheme="minorHAnsi" w:eastAsiaTheme="minorEastAsia" w:hAnsiTheme="minorHAnsi" w:cstheme="minorBidi"/>
      <w:sz w:val="22"/>
      <w:lang w:val="nl-NL" w:eastAsia="nl-NL"/>
    </w:rPr>
  </w:style>
  <w:style w:type="paragraph" w:styleId="TOC8">
    <w:name w:val="toc 8"/>
    <w:basedOn w:val="Normal"/>
    <w:next w:val="Normal"/>
    <w:autoRedefine/>
    <w:unhideWhenUsed/>
    <w:locked/>
    <w:rsid w:val="00CE4FEE"/>
    <w:pPr>
      <w:spacing w:after="100" w:line="276" w:lineRule="auto"/>
      <w:ind w:left="1540"/>
      <w:jc w:val="left"/>
    </w:pPr>
    <w:rPr>
      <w:rFonts w:asciiTheme="minorHAnsi" w:eastAsiaTheme="minorEastAsia" w:hAnsiTheme="minorHAnsi" w:cstheme="minorBidi"/>
      <w:sz w:val="22"/>
      <w:lang w:val="nl-NL" w:eastAsia="nl-NL"/>
    </w:rPr>
  </w:style>
  <w:style w:type="paragraph" w:styleId="TOC9">
    <w:name w:val="toc 9"/>
    <w:basedOn w:val="Normal"/>
    <w:next w:val="Normal"/>
    <w:autoRedefine/>
    <w:unhideWhenUsed/>
    <w:locked/>
    <w:rsid w:val="00CE4FEE"/>
    <w:pPr>
      <w:spacing w:after="100" w:line="276" w:lineRule="auto"/>
      <w:ind w:left="1760"/>
      <w:jc w:val="left"/>
    </w:pPr>
    <w:rPr>
      <w:rFonts w:asciiTheme="minorHAnsi" w:eastAsiaTheme="minorEastAsia" w:hAnsiTheme="minorHAnsi" w:cstheme="minorBidi"/>
      <w:sz w:val="22"/>
      <w:lang w:val="nl-NL" w:eastAsia="nl-NL"/>
    </w:rPr>
  </w:style>
  <w:style w:type="character" w:customStyle="1" w:styleId="CaptionChar2">
    <w:name w:val="Caption Char2"/>
    <w:aliases w:val="Caption Char Char,Caption Char1 Char Char,Caption Char Char Char Char1,Caption Char1 Char Char Char Char,Caption Char Char Char Char Char Char,Caption Char1 Char1 Char,Caption Char Char Char1 Char,Caption_ARGOSS Char,Caption Char1 Char2"/>
    <w:link w:val="Caption"/>
    <w:rsid w:val="00A507E3"/>
    <w:rPr>
      <w:rFonts w:ascii="Arial Narrow" w:eastAsia="Times New Roman" w:hAnsi="Arial Narrow"/>
      <w:b/>
      <w:bCs/>
      <w:sz w:val="23"/>
      <w:szCs w:val="20"/>
      <w:lang w:val="en-GB" w:eastAsia="en-US"/>
    </w:rPr>
  </w:style>
  <w:style w:type="paragraph" w:styleId="CommentSubject">
    <w:name w:val="annotation subject"/>
    <w:basedOn w:val="CommentText"/>
    <w:next w:val="CommentText"/>
    <w:link w:val="CommentSubjectChar"/>
    <w:unhideWhenUsed/>
    <w:qFormat/>
    <w:locked/>
    <w:rsid w:val="00BF6E83"/>
    <w:rPr>
      <w:b/>
      <w:bCs/>
    </w:rPr>
  </w:style>
  <w:style w:type="character" w:customStyle="1" w:styleId="CommentSubjectChar">
    <w:name w:val="Comment Subject Char"/>
    <w:basedOn w:val="CommentTextChar"/>
    <w:link w:val="CommentSubject"/>
    <w:qFormat/>
    <w:rsid w:val="00BF6E83"/>
    <w:rPr>
      <w:rFonts w:ascii="Arial Narrow" w:hAnsi="Arial Narrow"/>
      <w:b/>
      <w:bCs/>
      <w:sz w:val="20"/>
      <w:szCs w:val="20"/>
      <w:lang w:eastAsia="en-US"/>
    </w:rPr>
  </w:style>
  <w:style w:type="paragraph" w:customStyle="1" w:styleId="DefaultParagraphFont1CharCharCharCharChar">
    <w:name w:val="Default Paragraph Font1 Char Char Char Char Char"/>
    <w:aliases w:val="Char Char Char Char Char Char Char Char Char Char Char Char Char Char Char Char Char"/>
    <w:basedOn w:val="Normal"/>
    <w:qFormat/>
    <w:rsid w:val="00C676B9"/>
    <w:pPr>
      <w:spacing w:after="160" w:line="240" w:lineRule="exact"/>
      <w:jc w:val="left"/>
    </w:pPr>
    <w:rPr>
      <w:rFonts w:ascii="Arial" w:eastAsia="Times New Roman" w:hAnsi="Arial"/>
      <w:sz w:val="22"/>
      <w:szCs w:val="24"/>
      <w:lang w:val="en-ZA"/>
    </w:rPr>
  </w:style>
  <w:style w:type="paragraph" w:customStyle="1" w:styleId="TableText">
    <w:name w:val="Table Text"/>
    <w:basedOn w:val="Normal"/>
    <w:link w:val="TableTextChar"/>
    <w:unhideWhenUsed/>
    <w:qFormat/>
    <w:rsid w:val="006B47B2"/>
    <w:pPr>
      <w:spacing w:after="0" w:line="288" w:lineRule="auto"/>
      <w:ind w:left="113" w:right="113"/>
      <w:jc w:val="left"/>
    </w:pPr>
    <w:rPr>
      <w:rFonts w:ascii="Arial" w:eastAsiaTheme="minorEastAsia" w:hAnsi="Arial" w:cs="Arial"/>
      <w:color w:val="000000" w:themeColor="text1"/>
      <w:sz w:val="16"/>
      <w:szCs w:val="20"/>
      <w:lang w:eastAsia="en-GB"/>
    </w:rPr>
  </w:style>
  <w:style w:type="character" w:customStyle="1" w:styleId="TableTextChar">
    <w:name w:val="Table Text Char"/>
    <w:basedOn w:val="DefaultParagraphFont"/>
    <w:link w:val="TableText"/>
    <w:qFormat/>
    <w:rsid w:val="006B47B2"/>
    <w:rPr>
      <w:rFonts w:ascii="Arial" w:eastAsiaTheme="minorEastAsia" w:hAnsi="Arial" w:cs="Arial"/>
      <w:color w:val="000000" w:themeColor="text1"/>
      <w:sz w:val="16"/>
      <w:szCs w:val="20"/>
      <w:lang w:val="en-GB" w:eastAsia="en-GB"/>
    </w:rPr>
  </w:style>
  <w:style w:type="paragraph" w:customStyle="1" w:styleId="TableHeading">
    <w:name w:val="Table Heading"/>
    <w:basedOn w:val="TableText"/>
    <w:link w:val="TableHeadingChar"/>
    <w:unhideWhenUsed/>
    <w:qFormat/>
    <w:rsid w:val="006B47B2"/>
    <w:rPr>
      <w:color w:val="FFFFFF" w:themeColor="background1"/>
    </w:rPr>
  </w:style>
  <w:style w:type="character" w:customStyle="1" w:styleId="TableHeadingChar">
    <w:name w:val="Table Heading Char"/>
    <w:basedOn w:val="DefaultParagraphFont"/>
    <w:link w:val="TableHeading"/>
    <w:qFormat/>
    <w:rsid w:val="006B47B2"/>
    <w:rPr>
      <w:rFonts w:ascii="Arial" w:eastAsiaTheme="minorEastAsia" w:hAnsi="Arial" w:cs="Arial"/>
      <w:color w:val="FFFFFF" w:themeColor="background1"/>
      <w:sz w:val="16"/>
      <w:szCs w:val="20"/>
      <w:lang w:val="en-GB" w:eastAsia="en-GB"/>
    </w:rPr>
  </w:style>
  <w:style w:type="table" w:customStyle="1" w:styleId="RHDHVTable">
    <w:name w:val="RHDHV Table"/>
    <w:basedOn w:val="TableNormal"/>
    <w:uiPriority w:val="99"/>
    <w:rsid w:val="006B47B2"/>
    <w:pPr>
      <w:spacing w:line="271" w:lineRule="auto"/>
    </w:pPr>
    <w:rPr>
      <w:rFonts w:asciiTheme="minorHAnsi" w:eastAsiaTheme="minorEastAsia" w:hAnsiTheme="minorHAnsi" w:cstheme="minorBidi"/>
      <w:sz w:val="20"/>
      <w:szCs w:val="20"/>
      <w:lang w:val="en-GB" w:eastAsia="en-GB"/>
    </w:rPr>
    <w:tblPr>
      <w:tblBorders>
        <w:insideH w:val="single" w:sz="8" w:space="0" w:color="FFFFFF" w:themeColor="background1"/>
        <w:insideV w:val="single" w:sz="8" w:space="0" w:color="FFFFFF" w:themeColor="background1"/>
      </w:tblBorders>
      <w:tblCellMar>
        <w:top w:w="57" w:type="dxa"/>
        <w:left w:w="0" w:type="dxa"/>
        <w:bottom w:w="57" w:type="dxa"/>
        <w:right w:w="0" w:type="dxa"/>
      </w:tblCellMar>
    </w:tblPr>
    <w:tcPr>
      <w:shd w:val="clear" w:color="auto" w:fill="DBE5F1" w:themeFill="accent1" w:themeFillTint="33"/>
      <w:vAlign w:val="center"/>
    </w:tcPr>
    <w:tblStylePr w:type="firstRow">
      <w:rPr>
        <w:b/>
      </w:rPr>
      <w:tblPr/>
      <w:tcPr>
        <w:tcBorders>
          <w:top w:val="nil"/>
          <w:left w:val="nil"/>
          <w:bottom w:val="nil"/>
          <w:right w:val="nil"/>
          <w:insideH w:val="nil"/>
          <w:insideV w:val="single" w:sz="8" w:space="0" w:color="FFFFFF" w:themeColor="background1"/>
          <w:tl2br w:val="nil"/>
          <w:tr2bl w:val="nil"/>
        </w:tcBorders>
        <w:shd w:val="clear" w:color="auto" w:fill="4F81BD" w:themeFill="accent1"/>
      </w:tcPr>
    </w:tblStylePr>
    <w:tblStylePr w:type="lastRow">
      <w:tblPr/>
      <w:tcPr>
        <w:tcBorders>
          <w:top w:val="nil"/>
          <w:left w:val="nil"/>
          <w:bottom w:val="nil"/>
          <w:right w:val="nil"/>
          <w:insideH w:val="nil"/>
          <w:insideV w:val="single" w:sz="8" w:space="0" w:color="FFFFFF" w:themeColor="background1"/>
          <w:tl2br w:val="nil"/>
          <w:tr2bl w:val="nil"/>
        </w:tcBorders>
        <w:shd w:val="clear" w:color="auto" w:fill="B8CCE4" w:themeFill="accent1" w:themeFillTint="66"/>
      </w:tcPr>
    </w:tblStylePr>
    <w:tblStylePr w:type="swCell">
      <w:tblPr/>
      <w:tcPr>
        <w:tcBorders>
          <w:top w:val="nil"/>
          <w:left w:val="nil"/>
          <w:bottom w:val="nil"/>
          <w:right w:val="nil"/>
          <w:insideH w:val="nil"/>
          <w:insideV w:val="nil"/>
          <w:tl2br w:val="nil"/>
          <w:tr2bl w:val="nil"/>
        </w:tcBorders>
        <w:shd w:val="clear" w:color="auto" w:fill="FFFFFF" w:themeFill="background1"/>
      </w:tcPr>
    </w:tblStylePr>
  </w:style>
  <w:style w:type="paragraph" w:customStyle="1" w:styleId="Bullets">
    <w:name w:val="Bullets"/>
    <w:basedOn w:val="ListParagraph"/>
    <w:link w:val="BulletsChar"/>
    <w:qFormat/>
    <w:rsid w:val="006E71E1"/>
    <w:pPr>
      <w:numPr>
        <w:numId w:val="2"/>
      </w:numPr>
      <w:spacing w:after="120" w:line="276" w:lineRule="auto"/>
      <w:jc w:val="left"/>
    </w:pPr>
    <w:rPr>
      <w:rFonts w:ascii="Arial" w:eastAsiaTheme="minorHAnsi" w:hAnsi="Arial" w:cstheme="minorBidi"/>
      <w:color w:val="00577E"/>
      <w:sz w:val="18"/>
      <w:szCs w:val="22"/>
    </w:rPr>
  </w:style>
  <w:style w:type="character" w:customStyle="1" w:styleId="BulletsChar">
    <w:name w:val="Bullets Char"/>
    <w:basedOn w:val="ListParagraphChar"/>
    <w:link w:val="Bullets"/>
    <w:qFormat/>
    <w:rsid w:val="006E71E1"/>
    <w:rPr>
      <w:rFonts w:ascii="Arial" w:eastAsiaTheme="minorHAnsi" w:hAnsi="Arial" w:cstheme="minorBidi"/>
      <w:color w:val="00577E"/>
      <w:sz w:val="18"/>
      <w:lang w:val="en-GB" w:eastAsia="en-US"/>
    </w:rPr>
  </w:style>
  <w:style w:type="numbering" w:customStyle="1" w:styleId="Style1">
    <w:name w:val="Style1"/>
    <w:uiPriority w:val="99"/>
    <w:rsid w:val="00D656CC"/>
    <w:pPr>
      <w:numPr>
        <w:numId w:val="3"/>
      </w:numPr>
    </w:pPr>
  </w:style>
  <w:style w:type="paragraph" w:customStyle="1" w:styleId="Bullet10">
    <w:name w:val="Bullet1"/>
    <w:basedOn w:val="BodyText"/>
    <w:qFormat/>
    <w:rsid w:val="00B4717B"/>
    <w:pPr>
      <w:numPr>
        <w:numId w:val="4"/>
      </w:numPr>
      <w:tabs>
        <w:tab w:val="clear" w:pos="1040"/>
        <w:tab w:val="num" w:pos="360"/>
      </w:tabs>
      <w:ind w:left="360" w:hanging="360"/>
      <w:jc w:val="left"/>
    </w:pPr>
    <w:rPr>
      <w:rFonts w:eastAsia="Times New Roman"/>
    </w:rPr>
  </w:style>
  <w:style w:type="character" w:customStyle="1" w:styleId="StyleCaptionNotBoldChar">
    <w:name w:val="Style Caption + Not Bold Char"/>
    <w:link w:val="StyleCaptionNotBold"/>
    <w:uiPriority w:val="99"/>
    <w:qFormat/>
    <w:rsid w:val="002A576B"/>
    <w:rPr>
      <w:rFonts w:ascii="Arial" w:hAnsi="Arial"/>
      <w:sz w:val="18"/>
      <w:lang w:val="en-GB" w:eastAsia="en-US" w:bidi="ar-SA"/>
    </w:rPr>
  </w:style>
  <w:style w:type="paragraph" w:customStyle="1" w:styleId="StyleCaptionNotBold">
    <w:name w:val="Style Caption + Not Bold"/>
    <w:basedOn w:val="Caption"/>
    <w:link w:val="StyleCaptionNotBoldChar"/>
    <w:uiPriority w:val="99"/>
    <w:qFormat/>
    <w:rsid w:val="002A576B"/>
    <w:pPr>
      <w:spacing w:before="120" w:after="120"/>
      <w:jc w:val="left"/>
    </w:pPr>
    <w:rPr>
      <w:rFonts w:ascii="Arial" w:eastAsia="Calibri" w:hAnsi="Arial"/>
      <w:b w:val="0"/>
      <w:bCs w:val="0"/>
      <w:sz w:val="18"/>
      <w:szCs w:val="22"/>
    </w:rPr>
  </w:style>
  <w:style w:type="paragraph" w:customStyle="1" w:styleId="StyleCaptionLeft125cm">
    <w:name w:val="Style Caption Left:  125 cm"/>
    <w:basedOn w:val="Caption"/>
    <w:autoRedefine/>
    <w:qFormat/>
    <w:rsid w:val="002A576B"/>
    <w:pPr>
      <w:spacing w:before="120" w:after="120"/>
      <w:ind w:left="709"/>
      <w:jc w:val="left"/>
    </w:pPr>
    <w:rPr>
      <w:rFonts w:ascii="Arial" w:hAnsi="Arial"/>
      <w:b w:val="0"/>
      <w:sz w:val="21"/>
      <w:szCs w:val="21"/>
    </w:rPr>
  </w:style>
  <w:style w:type="table" w:customStyle="1" w:styleId="TableGrid51">
    <w:name w:val="Table Grid51"/>
    <w:basedOn w:val="TableNormal"/>
    <w:rsid w:val="00DD06C8"/>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D4C7E"/>
    <w:pPr>
      <w:spacing w:line="260" w:lineRule="atLeast"/>
    </w:pPr>
    <w:rPr>
      <w:rFonts w:ascii="Times New Roman" w:eastAsia="Times New Roman" w:hAnsi="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BodyText"/>
    <w:qFormat/>
    <w:rsid w:val="00C1189E"/>
    <w:pPr>
      <w:numPr>
        <w:numId w:val="5"/>
      </w:numPr>
      <w:tabs>
        <w:tab w:val="clear" w:pos="700"/>
        <w:tab w:val="num" w:pos="360"/>
      </w:tabs>
      <w:ind w:left="0" w:firstLine="0"/>
      <w:jc w:val="left"/>
    </w:pPr>
    <w:rPr>
      <w:rFonts w:eastAsia="Times New Roman"/>
    </w:rPr>
  </w:style>
  <w:style w:type="paragraph" w:customStyle="1" w:styleId="Bullet3">
    <w:name w:val="Bullet3"/>
    <w:basedOn w:val="BodyText"/>
    <w:qFormat/>
    <w:rsid w:val="00C1189E"/>
    <w:pPr>
      <w:tabs>
        <w:tab w:val="num" w:pos="360"/>
      </w:tabs>
      <w:jc w:val="left"/>
    </w:pPr>
    <w:rPr>
      <w:rFonts w:eastAsia="Times New Roman"/>
    </w:rPr>
  </w:style>
  <w:style w:type="paragraph" w:customStyle="1" w:styleId="AppendixHeading1">
    <w:name w:val="AppendixHeading1"/>
    <w:basedOn w:val="BodyText"/>
    <w:next w:val="AppendixHeading2"/>
    <w:uiPriority w:val="99"/>
    <w:qFormat/>
    <w:rsid w:val="00C1189E"/>
    <w:pPr>
      <w:keepNext/>
      <w:spacing w:after="240"/>
      <w:jc w:val="left"/>
    </w:pPr>
    <w:rPr>
      <w:rFonts w:eastAsia="Times New Roman"/>
      <w:b/>
      <w:caps/>
      <w:sz w:val="22"/>
    </w:rPr>
  </w:style>
  <w:style w:type="paragraph" w:customStyle="1" w:styleId="AppendixHeading2">
    <w:name w:val="AppendixHeading2"/>
    <w:basedOn w:val="BodyText"/>
    <w:next w:val="BodyText"/>
    <w:uiPriority w:val="99"/>
    <w:qFormat/>
    <w:rsid w:val="00C1189E"/>
    <w:pPr>
      <w:keepNext/>
      <w:spacing w:after="240"/>
      <w:jc w:val="left"/>
    </w:pPr>
    <w:rPr>
      <w:rFonts w:eastAsia="Times New Roman"/>
      <w:b/>
      <w:sz w:val="22"/>
    </w:rPr>
  </w:style>
  <w:style w:type="paragraph" w:customStyle="1" w:styleId="AppendixHeading3">
    <w:name w:val="AppendixHeading3"/>
    <w:basedOn w:val="BodyText"/>
    <w:next w:val="BodyText"/>
    <w:uiPriority w:val="99"/>
    <w:qFormat/>
    <w:rsid w:val="00C1189E"/>
    <w:pPr>
      <w:keepNext/>
      <w:spacing w:after="240"/>
      <w:jc w:val="left"/>
    </w:pPr>
    <w:rPr>
      <w:rFonts w:eastAsia="Times New Roman"/>
      <w:b/>
    </w:rPr>
  </w:style>
  <w:style w:type="paragraph" w:customStyle="1" w:styleId="Tableheader">
    <w:name w:val="Tableheader"/>
    <w:basedOn w:val="BodyText"/>
    <w:qFormat/>
    <w:rsid w:val="00C1189E"/>
    <w:pPr>
      <w:tabs>
        <w:tab w:val="left" w:pos="1418"/>
      </w:tabs>
      <w:spacing w:after="120"/>
      <w:jc w:val="left"/>
    </w:pPr>
    <w:rPr>
      <w:rFonts w:eastAsia="Times New Roman"/>
      <w:b/>
      <w:sz w:val="17"/>
    </w:rPr>
  </w:style>
  <w:style w:type="paragraph" w:customStyle="1" w:styleId="SubHead">
    <w:name w:val="SubHead"/>
    <w:basedOn w:val="BodyText"/>
    <w:qFormat/>
    <w:rsid w:val="00C1189E"/>
    <w:pPr>
      <w:jc w:val="left"/>
    </w:pPr>
    <w:rPr>
      <w:rFonts w:eastAsia="Times New Roman"/>
      <w:b/>
      <w:lang w:val="nl-NL"/>
    </w:rPr>
  </w:style>
  <w:style w:type="paragraph" w:customStyle="1" w:styleId="AppendixTitle">
    <w:name w:val="AppendixTitle"/>
    <w:basedOn w:val="Normal"/>
    <w:uiPriority w:val="99"/>
    <w:qFormat/>
    <w:rsid w:val="00C1189E"/>
    <w:pPr>
      <w:spacing w:after="0" w:line="260" w:lineRule="atLeast"/>
      <w:jc w:val="right"/>
    </w:pPr>
    <w:rPr>
      <w:rFonts w:ascii="Arial" w:eastAsia="Times New Roman" w:hAnsi="Arial"/>
      <w:b/>
      <w:sz w:val="28"/>
      <w:szCs w:val="20"/>
    </w:rPr>
  </w:style>
  <w:style w:type="paragraph" w:customStyle="1" w:styleId="AppendixTitleName">
    <w:name w:val="AppendixTitleName"/>
    <w:basedOn w:val="AppendixTitle"/>
    <w:uiPriority w:val="99"/>
    <w:qFormat/>
    <w:rsid w:val="00C1189E"/>
  </w:style>
  <w:style w:type="paragraph" w:customStyle="1" w:styleId="autoAppendixNextPageFooter1">
    <w:name w:val="autoAppendixNextPageFooter1"/>
    <w:uiPriority w:val="99"/>
    <w:qFormat/>
    <w:rsid w:val="00C1189E"/>
    <w:pPr>
      <w:tabs>
        <w:tab w:val="center" w:pos="4153"/>
        <w:tab w:val="right" w:pos="8306"/>
      </w:tabs>
      <w:spacing w:line="260" w:lineRule="atLeast"/>
    </w:pPr>
    <w:rPr>
      <w:rFonts w:ascii="Arial" w:eastAsia="Times New Roman" w:hAnsi="Arial"/>
      <w:sz w:val="17"/>
      <w:szCs w:val="20"/>
      <w:lang w:val="en-GB" w:eastAsia="en-US"/>
    </w:rPr>
  </w:style>
  <w:style w:type="paragraph" w:customStyle="1" w:styleId="AutoCorrect">
    <w:name w:val="AutoCorrect"/>
    <w:uiPriority w:val="99"/>
    <w:qFormat/>
    <w:rsid w:val="00C1189E"/>
    <w:rPr>
      <w:rFonts w:ascii="Times New Roman" w:eastAsia="Times New Roman" w:hAnsi="Times New Roman"/>
      <w:sz w:val="20"/>
      <w:szCs w:val="20"/>
      <w:lang w:val="en-GB" w:eastAsia="en-US"/>
    </w:rPr>
  </w:style>
  <w:style w:type="paragraph" w:styleId="DocumentMap">
    <w:name w:val="Document Map"/>
    <w:basedOn w:val="Normal"/>
    <w:link w:val="DocumentMapChar"/>
    <w:uiPriority w:val="99"/>
    <w:semiHidden/>
    <w:qFormat/>
    <w:locked/>
    <w:rsid w:val="00C1189E"/>
    <w:pPr>
      <w:shd w:val="clear" w:color="auto" w:fill="000080"/>
      <w:spacing w:after="0" w:line="260" w:lineRule="atLeast"/>
      <w:jc w:val="left"/>
    </w:pPr>
    <w:rPr>
      <w:rFonts w:ascii="Tahoma" w:eastAsia="Times New Roman" w:hAnsi="Tahoma" w:cs="Tahoma"/>
      <w:sz w:val="20"/>
      <w:szCs w:val="20"/>
    </w:rPr>
  </w:style>
  <w:style w:type="character" w:customStyle="1" w:styleId="DocumentMapChar">
    <w:name w:val="Document Map Char"/>
    <w:basedOn w:val="DefaultParagraphFont"/>
    <w:link w:val="DocumentMap"/>
    <w:uiPriority w:val="99"/>
    <w:semiHidden/>
    <w:qFormat/>
    <w:rsid w:val="00C1189E"/>
    <w:rPr>
      <w:rFonts w:ascii="Tahoma" w:eastAsia="Times New Roman" w:hAnsi="Tahoma" w:cs="Tahoma"/>
      <w:sz w:val="20"/>
      <w:szCs w:val="20"/>
      <w:shd w:val="clear" w:color="auto" w:fill="000080"/>
      <w:lang w:val="en-GB" w:eastAsia="en-US"/>
    </w:rPr>
  </w:style>
  <w:style w:type="paragraph" w:styleId="Revision">
    <w:name w:val="Revision"/>
    <w:hidden/>
    <w:semiHidden/>
    <w:qFormat/>
    <w:rsid w:val="00C1189E"/>
    <w:rPr>
      <w:rFonts w:ascii="Arial" w:eastAsia="Times New Roman" w:hAnsi="Arial"/>
      <w:sz w:val="21"/>
      <w:szCs w:val="20"/>
      <w:lang w:val="en-GB" w:eastAsia="en-US"/>
    </w:rPr>
  </w:style>
  <w:style w:type="character" w:customStyle="1" w:styleId="BodyTextChar3">
    <w:name w:val="Body Text Char3"/>
    <w:aliases w:val="bt Char1,Body Text Char1 Char1,Body Text Char Char Char1,Body Text Char1 Char Char Char1,Body Text Char Char Char Char Char2,Body Text Char1 Char Char Char1 Char Char1,Body Text Char Char Char Char Char1 Char Char1,b Char1"/>
    <w:uiPriority w:val="99"/>
    <w:qFormat/>
    <w:locked/>
    <w:rsid w:val="00C1189E"/>
    <w:rPr>
      <w:rFonts w:ascii="Arial" w:hAnsi="Arial"/>
      <w:sz w:val="21"/>
      <w:lang w:val="en-GB" w:eastAsia="en-US"/>
    </w:rPr>
  </w:style>
  <w:style w:type="paragraph" w:customStyle="1" w:styleId="Style">
    <w:name w:val="Style"/>
    <w:basedOn w:val="Normal"/>
    <w:qFormat/>
    <w:rsid w:val="00C1189E"/>
    <w:pPr>
      <w:spacing w:after="160" w:line="240" w:lineRule="exact"/>
    </w:pPr>
    <w:rPr>
      <w:rFonts w:ascii="Verdana" w:eastAsia="Times New Roman" w:hAnsi="Verdana"/>
      <w:sz w:val="20"/>
      <w:szCs w:val="20"/>
      <w:lang w:val="en-US"/>
    </w:rPr>
  </w:style>
  <w:style w:type="paragraph" w:customStyle="1" w:styleId="BWBOD">
    <w:name w:val="BW BOD"/>
    <w:basedOn w:val="Heading2"/>
    <w:autoRedefine/>
    <w:uiPriority w:val="99"/>
    <w:qFormat/>
    <w:rsid w:val="00C1189E"/>
    <w:pPr>
      <w:numPr>
        <w:numId w:val="6"/>
      </w:numPr>
      <w:spacing w:before="0" w:after="240"/>
      <w:jc w:val="both"/>
    </w:pPr>
    <w:rPr>
      <w:rFonts w:ascii="Arial" w:eastAsia="Times New Roman" w:hAnsi="Arial"/>
      <w:bCs/>
      <w:sz w:val="26"/>
      <w:szCs w:val="20"/>
    </w:rPr>
  </w:style>
  <w:style w:type="paragraph" w:customStyle="1" w:styleId="StyleCaption11pt">
    <w:name w:val="Style Caption + 11 pt"/>
    <w:basedOn w:val="Caption"/>
    <w:link w:val="StyleCaption11ptChar"/>
    <w:autoRedefine/>
    <w:uiPriority w:val="99"/>
    <w:qFormat/>
    <w:rsid w:val="00C1189E"/>
    <w:rPr>
      <w:rFonts w:ascii="Arial" w:hAnsi="Arial"/>
      <w:bCs w:val="0"/>
      <w:sz w:val="24"/>
    </w:rPr>
  </w:style>
  <w:style w:type="character" w:customStyle="1" w:styleId="StyleCaption11ptChar">
    <w:name w:val="Style Caption + 11 pt Char"/>
    <w:link w:val="StyleCaption11pt"/>
    <w:uiPriority w:val="99"/>
    <w:qFormat/>
    <w:locked/>
    <w:rsid w:val="00C1189E"/>
    <w:rPr>
      <w:rFonts w:ascii="Arial" w:eastAsia="Times New Roman" w:hAnsi="Arial"/>
      <w:b/>
      <w:sz w:val="24"/>
      <w:szCs w:val="20"/>
      <w:lang w:val="en-GB" w:eastAsia="en-US"/>
    </w:rPr>
  </w:style>
  <w:style w:type="paragraph" w:customStyle="1" w:styleId="StyleSubHead11pt">
    <w:name w:val="Style SubHead + 11 pt"/>
    <w:basedOn w:val="SubHead"/>
    <w:uiPriority w:val="99"/>
    <w:qFormat/>
    <w:rsid w:val="00C1189E"/>
    <w:pPr>
      <w:jc w:val="both"/>
    </w:pPr>
    <w:rPr>
      <w:b w:val="0"/>
      <w:sz w:val="22"/>
      <w:u w:val="single"/>
    </w:rPr>
  </w:style>
  <w:style w:type="table" w:styleId="TableColumns2">
    <w:name w:val="Table Columns 2"/>
    <w:basedOn w:val="TableNormal"/>
    <w:uiPriority w:val="99"/>
    <w:locked/>
    <w:rsid w:val="00C1189E"/>
    <w:rPr>
      <w:rFonts w:ascii="Times New Roman" w:eastAsia="Times New Roman" w:hAnsi="Times New Roman"/>
      <w:b/>
      <w:bCs/>
      <w:sz w:val="20"/>
      <w:szCs w:val="20"/>
      <w:lang w:val="en-US"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BodyTextChar1Char2">
    <w:name w:val="Body Text Char1 Char2"/>
    <w:aliases w:val="Body Text Char Char Char2,Body Text Char1 Char Char Char6,Body Text Char Char Char Char Char1,Body Text Char1 Char Char Char1 Char Char2,Body Text Char Char Char Char Char1 Char Char2"/>
    <w:uiPriority w:val="99"/>
    <w:qFormat/>
    <w:rsid w:val="00C1189E"/>
    <w:rPr>
      <w:rFonts w:ascii="Arial" w:hAnsi="Arial"/>
      <w:sz w:val="21"/>
      <w:lang w:val="en-GB" w:eastAsia="en-US"/>
    </w:rPr>
  </w:style>
  <w:style w:type="paragraph" w:customStyle="1" w:styleId="StyleBodyText">
    <w:name w:val="Style Body Text"/>
    <w:basedOn w:val="BodyText"/>
    <w:uiPriority w:val="99"/>
    <w:qFormat/>
    <w:rsid w:val="00C1189E"/>
    <w:rPr>
      <w:rFonts w:eastAsia="Times New Roman"/>
    </w:rPr>
  </w:style>
  <w:style w:type="paragraph" w:customStyle="1" w:styleId="Tablecentered">
    <w:name w:val="Table centered"/>
    <w:basedOn w:val="BodyText"/>
    <w:uiPriority w:val="99"/>
    <w:qFormat/>
    <w:rsid w:val="00C1189E"/>
    <w:pPr>
      <w:spacing w:line="240" w:lineRule="auto"/>
      <w:jc w:val="center"/>
    </w:pPr>
    <w:rPr>
      <w:rFonts w:eastAsia="Times New Roman"/>
      <w:sz w:val="20"/>
      <w:lang w:val="en-US"/>
    </w:rPr>
  </w:style>
  <w:style w:type="paragraph" w:customStyle="1" w:styleId="Char">
    <w:name w:val="Char"/>
    <w:basedOn w:val="Normal"/>
    <w:qFormat/>
    <w:rsid w:val="00C1189E"/>
    <w:pPr>
      <w:spacing w:after="160" w:line="240" w:lineRule="exact"/>
      <w:jc w:val="left"/>
    </w:pPr>
    <w:rPr>
      <w:rFonts w:ascii="Verdana" w:eastAsia="Times New Roman" w:hAnsi="Verdana"/>
      <w:sz w:val="20"/>
      <w:szCs w:val="20"/>
      <w:lang w:val="en-US"/>
    </w:rPr>
  </w:style>
  <w:style w:type="paragraph" w:customStyle="1" w:styleId="Reflist">
    <w:name w:val="Ref.list"/>
    <w:basedOn w:val="Normal"/>
    <w:uiPriority w:val="99"/>
    <w:qFormat/>
    <w:rsid w:val="00C1189E"/>
    <w:pPr>
      <w:numPr>
        <w:numId w:val="7"/>
      </w:numPr>
      <w:spacing w:after="0" w:line="260" w:lineRule="atLeast"/>
      <w:jc w:val="left"/>
    </w:pPr>
    <w:rPr>
      <w:rFonts w:ascii="Arial" w:eastAsia="Times New Roman" w:hAnsi="Arial"/>
      <w:sz w:val="21"/>
      <w:szCs w:val="20"/>
    </w:rPr>
  </w:style>
  <w:style w:type="paragraph" w:styleId="List">
    <w:name w:val="List"/>
    <w:basedOn w:val="Normal"/>
    <w:uiPriority w:val="99"/>
    <w:locked/>
    <w:rsid w:val="00C1189E"/>
    <w:pPr>
      <w:spacing w:after="0" w:line="260" w:lineRule="atLeast"/>
      <w:ind w:left="283" w:hanging="283"/>
      <w:contextualSpacing/>
    </w:pPr>
    <w:rPr>
      <w:rFonts w:ascii="Arial" w:eastAsia="Times New Roman" w:hAnsi="Arial"/>
      <w:sz w:val="21"/>
      <w:szCs w:val="21"/>
    </w:rPr>
  </w:style>
  <w:style w:type="paragraph" w:styleId="List2">
    <w:name w:val="List 2"/>
    <w:basedOn w:val="Normal"/>
    <w:uiPriority w:val="99"/>
    <w:locked/>
    <w:rsid w:val="00C1189E"/>
    <w:pPr>
      <w:spacing w:after="0" w:line="260" w:lineRule="atLeast"/>
      <w:ind w:left="566" w:hanging="283"/>
      <w:contextualSpacing/>
    </w:pPr>
    <w:rPr>
      <w:rFonts w:ascii="Arial" w:eastAsia="Times New Roman" w:hAnsi="Arial"/>
      <w:sz w:val="21"/>
      <w:szCs w:val="21"/>
    </w:rPr>
  </w:style>
  <w:style w:type="paragraph" w:styleId="ListBullet">
    <w:name w:val="List Bullet"/>
    <w:basedOn w:val="Normal"/>
    <w:uiPriority w:val="99"/>
    <w:qFormat/>
    <w:locked/>
    <w:rsid w:val="00C1189E"/>
    <w:pPr>
      <w:numPr>
        <w:numId w:val="8"/>
      </w:numPr>
      <w:tabs>
        <w:tab w:val="num" w:pos="360"/>
      </w:tabs>
      <w:spacing w:after="0" w:line="260" w:lineRule="atLeast"/>
      <w:ind w:left="360"/>
      <w:contextualSpacing/>
    </w:pPr>
    <w:rPr>
      <w:rFonts w:ascii="Arial" w:eastAsia="Times New Roman" w:hAnsi="Arial"/>
      <w:sz w:val="21"/>
      <w:szCs w:val="21"/>
    </w:rPr>
  </w:style>
  <w:style w:type="paragraph" w:styleId="ListBullet2">
    <w:name w:val="List Bullet 2"/>
    <w:basedOn w:val="Normal"/>
    <w:uiPriority w:val="99"/>
    <w:qFormat/>
    <w:locked/>
    <w:rsid w:val="00C1189E"/>
    <w:pPr>
      <w:numPr>
        <w:numId w:val="9"/>
      </w:numPr>
      <w:tabs>
        <w:tab w:val="num" w:pos="643"/>
      </w:tabs>
      <w:spacing w:after="0" w:line="260" w:lineRule="atLeast"/>
      <w:ind w:left="643"/>
      <w:contextualSpacing/>
    </w:pPr>
    <w:rPr>
      <w:rFonts w:ascii="Arial" w:eastAsia="Times New Roman" w:hAnsi="Arial"/>
      <w:sz w:val="21"/>
      <w:szCs w:val="21"/>
    </w:rPr>
  </w:style>
  <w:style w:type="paragraph" w:styleId="ListBullet3">
    <w:name w:val="List Bullet 3"/>
    <w:basedOn w:val="Normal"/>
    <w:uiPriority w:val="99"/>
    <w:qFormat/>
    <w:locked/>
    <w:rsid w:val="00C1189E"/>
    <w:pPr>
      <w:numPr>
        <w:numId w:val="10"/>
      </w:numPr>
      <w:tabs>
        <w:tab w:val="num" w:pos="926"/>
      </w:tabs>
      <w:spacing w:after="0" w:line="260" w:lineRule="atLeast"/>
      <w:ind w:left="926"/>
      <w:contextualSpacing/>
    </w:pPr>
    <w:rPr>
      <w:rFonts w:ascii="Arial" w:eastAsia="Times New Roman" w:hAnsi="Arial"/>
      <w:sz w:val="21"/>
      <w:szCs w:val="21"/>
    </w:rPr>
  </w:style>
  <w:style w:type="paragraph" w:customStyle="1" w:styleId="InsideAddress">
    <w:name w:val="Inside Address"/>
    <w:basedOn w:val="Normal"/>
    <w:uiPriority w:val="99"/>
    <w:qFormat/>
    <w:rsid w:val="00C1189E"/>
    <w:pPr>
      <w:spacing w:after="0" w:line="260" w:lineRule="atLeast"/>
    </w:pPr>
    <w:rPr>
      <w:rFonts w:ascii="Arial" w:eastAsia="Times New Roman" w:hAnsi="Arial"/>
      <w:sz w:val="21"/>
      <w:szCs w:val="21"/>
    </w:rPr>
  </w:style>
  <w:style w:type="paragraph" w:styleId="BodyTextIndent">
    <w:name w:val="Body Text Indent"/>
    <w:basedOn w:val="Normal"/>
    <w:link w:val="BodyTextIndentChar"/>
    <w:qFormat/>
    <w:locked/>
    <w:rsid w:val="00C1189E"/>
    <w:pPr>
      <w:spacing w:after="120" w:line="260" w:lineRule="atLeast"/>
      <w:ind w:left="283"/>
    </w:pPr>
    <w:rPr>
      <w:rFonts w:ascii="Arial" w:eastAsia="Times New Roman" w:hAnsi="Arial"/>
      <w:sz w:val="21"/>
      <w:szCs w:val="21"/>
    </w:rPr>
  </w:style>
  <w:style w:type="character" w:customStyle="1" w:styleId="BodyTextIndentChar">
    <w:name w:val="Body Text Indent Char"/>
    <w:basedOn w:val="DefaultParagraphFont"/>
    <w:link w:val="BodyTextIndent"/>
    <w:qFormat/>
    <w:rsid w:val="00C1189E"/>
    <w:rPr>
      <w:rFonts w:ascii="Arial" w:eastAsia="Times New Roman" w:hAnsi="Arial"/>
      <w:sz w:val="21"/>
      <w:szCs w:val="21"/>
      <w:lang w:val="en-GB" w:eastAsia="en-US"/>
    </w:rPr>
  </w:style>
  <w:style w:type="paragraph" w:customStyle="1" w:styleId="ReferenceLine">
    <w:name w:val="Reference Line"/>
    <w:basedOn w:val="BodyText"/>
    <w:uiPriority w:val="99"/>
    <w:qFormat/>
    <w:rsid w:val="00C1189E"/>
    <w:rPr>
      <w:rFonts w:eastAsia="Times New Roman"/>
    </w:rPr>
  </w:style>
  <w:style w:type="paragraph" w:styleId="BodyTextFirstIndent">
    <w:name w:val="Body Text First Indent"/>
    <w:basedOn w:val="BodyText"/>
    <w:link w:val="BodyTextFirstIndentChar"/>
    <w:uiPriority w:val="99"/>
    <w:locked/>
    <w:rsid w:val="00C1189E"/>
    <w:pPr>
      <w:ind w:firstLine="360"/>
    </w:pPr>
    <w:rPr>
      <w:rFonts w:eastAsia="Times New Roman"/>
      <w:szCs w:val="21"/>
    </w:rPr>
  </w:style>
  <w:style w:type="character" w:customStyle="1" w:styleId="BodyTextFirstIndentChar">
    <w:name w:val="Body Text First Indent Char"/>
    <w:basedOn w:val="BodyTextChar"/>
    <w:link w:val="BodyTextFirstIndent"/>
    <w:uiPriority w:val="99"/>
    <w:rsid w:val="00C1189E"/>
    <w:rPr>
      <w:rFonts w:ascii="Arial" w:eastAsia="Times New Roman" w:hAnsi="Arial" w:cs="Times New Roman"/>
      <w:sz w:val="21"/>
      <w:szCs w:val="21"/>
      <w:lang w:val="en-GB" w:eastAsia="en-US"/>
    </w:rPr>
  </w:style>
  <w:style w:type="paragraph" w:styleId="BodyTextFirstIndent2">
    <w:name w:val="Body Text First Indent 2"/>
    <w:basedOn w:val="BodyTextIndent"/>
    <w:link w:val="BodyTextFirstIndent2Char"/>
    <w:uiPriority w:val="99"/>
    <w:qFormat/>
    <w:locked/>
    <w:rsid w:val="00C1189E"/>
    <w:pPr>
      <w:spacing w:after="0"/>
      <w:ind w:left="360" w:firstLine="360"/>
    </w:pPr>
  </w:style>
  <w:style w:type="character" w:customStyle="1" w:styleId="BodyTextFirstIndent2Char">
    <w:name w:val="Body Text First Indent 2 Char"/>
    <w:basedOn w:val="BodyTextIndentChar"/>
    <w:link w:val="BodyTextFirstIndent2"/>
    <w:uiPriority w:val="99"/>
    <w:qFormat/>
    <w:rsid w:val="00C1189E"/>
    <w:rPr>
      <w:rFonts w:ascii="Arial" w:eastAsia="Times New Roman" w:hAnsi="Arial"/>
      <w:sz w:val="21"/>
      <w:szCs w:val="21"/>
      <w:lang w:val="en-GB" w:eastAsia="en-US"/>
    </w:rPr>
  </w:style>
  <w:style w:type="paragraph" w:styleId="HTMLPreformatted">
    <w:name w:val="HTML Preformatted"/>
    <w:basedOn w:val="Normal"/>
    <w:link w:val="HTMLPreformattedChar"/>
    <w:qFormat/>
    <w:locked/>
    <w:rsid w:val="00C11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SimSun" w:hAnsi="Courier New" w:cs="Courier New"/>
      <w:sz w:val="20"/>
      <w:szCs w:val="20"/>
      <w:lang w:val="en-US" w:eastAsia="zh-CN"/>
    </w:rPr>
  </w:style>
  <w:style w:type="character" w:customStyle="1" w:styleId="HTMLPreformattedChar">
    <w:name w:val="HTML Preformatted Char"/>
    <w:basedOn w:val="DefaultParagraphFont"/>
    <w:link w:val="HTMLPreformatted"/>
    <w:qFormat/>
    <w:rsid w:val="00C1189E"/>
    <w:rPr>
      <w:rFonts w:ascii="Courier New" w:eastAsia="SimSun" w:hAnsi="Courier New" w:cs="Courier New"/>
      <w:sz w:val="20"/>
      <w:szCs w:val="20"/>
      <w:lang w:val="en-US" w:eastAsia="zh-CN"/>
    </w:rPr>
  </w:style>
  <w:style w:type="table" w:customStyle="1" w:styleId="TableGrid3">
    <w:name w:val="Table Grid3"/>
    <w:basedOn w:val="TableNormal"/>
    <w:next w:val="TableGrid"/>
    <w:rsid w:val="00C1189E"/>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C1189E"/>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C1189E"/>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C1189E"/>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C1189E"/>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1189E"/>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C1189E"/>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rsid w:val="00C1189E"/>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1189E"/>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42">
    <w:name w:val="RHDHV Table42"/>
    <w:basedOn w:val="RHDHVTableNormal"/>
    <w:uiPriority w:val="99"/>
    <w:unhideWhenUsed/>
    <w:rsid w:val="00E27A75"/>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paragraph" w:customStyle="1" w:styleId="Tableboldleft">
    <w:name w:val="Table bold left"/>
    <w:basedOn w:val="Tablecentered"/>
    <w:uiPriority w:val="99"/>
    <w:qFormat/>
    <w:rsid w:val="00C1189E"/>
    <w:pPr>
      <w:spacing w:line="260" w:lineRule="atLeast"/>
      <w:jc w:val="left"/>
    </w:pPr>
    <w:rPr>
      <w:b/>
      <w:bCs/>
    </w:rPr>
  </w:style>
  <w:style w:type="paragraph" w:customStyle="1" w:styleId="TableLeft">
    <w:name w:val="Table Left"/>
    <w:basedOn w:val="BodyText"/>
    <w:uiPriority w:val="99"/>
    <w:qFormat/>
    <w:rsid w:val="00C1189E"/>
    <w:pPr>
      <w:spacing w:line="240" w:lineRule="auto"/>
      <w:jc w:val="left"/>
    </w:pPr>
    <w:rPr>
      <w:rFonts w:eastAsia="Times New Roman"/>
      <w:sz w:val="20"/>
      <w:szCs w:val="24"/>
      <w:lang w:val="en-US"/>
    </w:rPr>
  </w:style>
  <w:style w:type="paragraph" w:styleId="TableofFigures">
    <w:name w:val="table of figures"/>
    <w:aliases w:val="Таблица"/>
    <w:basedOn w:val="Normal"/>
    <w:next w:val="Normal"/>
    <w:qFormat/>
    <w:locked/>
    <w:rsid w:val="00C1189E"/>
    <w:pPr>
      <w:spacing w:after="0" w:line="240" w:lineRule="auto"/>
      <w:jc w:val="left"/>
    </w:pPr>
    <w:rPr>
      <w:rFonts w:ascii="Arial" w:eastAsia="Times New Roman" w:hAnsi="Arial"/>
      <w:sz w:val="21"/>
      <w:szCs w:val="24"/>
      <w:lang w:val="en-US"/>
    </w:rPr>
  </w:style>
  <w:style w:type="paragraph" w:customStyle="1" w:styleId="StyleHeading2Left0cmFirstline0cm">
    <w:name w:val="Style Heading 2 + Left:  0 cm First line:  0 cm"/>
    <w:basedOn w:val="Heading2"/>
    <w:uiPriority w:val="99"/>
    <w:qFormat/>
    <w:rsid w:val="00C1189E"/>
    <w:pPr>
      <w:tabs>
        <w:tab w:val="num" w:pos="1440"/>
      </w:tabs>
      <w:spacing w:before="0" w:after="240" w:line="240" w:lineRule="auto"/>
      <w:ind w:left="1440"/>
    </w:pPr>
    <w:rPr>
      <w:rFonts w:ascii="Arial" w:eastAsia="Times New Roman" w:hAnsi="Arial"/>
      <w:bCs/>
      <w:sz w:val="22"/>
      <w:szCs w:val="20"/>
      <w:lang w:val="en-US"/>
    </w:rPr>
  </w:style>
  <w:style w:type="paragraph" w:customStyle="1" w:styleId="Reference">
    <w:name w:val="Reference"/>
    <w:basedOn w:val="Caption"/>
    <w:link w:val="ReferenceChar"/>
    <w:uiPriority w:val="99"/>
    <w:qFormat/>
    <w:rsid w:val="00C1189E"/>
    <w:pPr>
      <w:spacing w:line="240" w:lineRule="auto"/>
      <w:ind w:left="720" w:hanging="720"/>
      <w:jc w:val="left"/>
    </w:pPr>
    <w:rPr>
      <w:rFonts w:ascii="Arial" w:hAnsi="Arial"/>
      <w:bCs w:val="0"/>
      <w:sz w:val="21"/>
      <w:szCs w:val="24"/>
      <w:lang w:val="en-US"/>
    </w:rPr>
  </w:style>
  <w:style w:type="character" w:customStyle="1" w:styleId="ReferenceChar">
    <w:name w:val="Reference Char"/>
    <w:basedOn w:val="DefaultParagraphFont"/>
    <w:link w:val="Reference"/>
    <w:uiPriority w:val="99"/>
    <w:qFormat/>
    <w:locked/>
    <w:rsid w:val="00C1189E"/>
    <w:rPr>
      <w:rFonts w:ascii="Arial" w:eastAsia="Times New Roman" w:hAnsi="Arial"/>
      <w:b/>
      <w:sz w:val="21"/>
      <w:szCs w:val="24"/>
      <w:lang w:val="en-US" w:eastAsia="en-US"/>
    </w:rPr>
  </w:style>
  <w:style w:type="paragraph" w:customStyle="1" w:styleId="Normaltext">
    <w:name w:val="Normal text"/>
    <w:basedOn w:val="Normal"/>
    <w:link w:val="NormaltextChar"/>
    <w:uiPriority w:val="99"/>
    <w:qFormat/>
    <w:rsid w:val="00C1189E"/>
    <w:pPr>
      <w:spacing w:before="240" w:after="240" w:line="240" w:lineRule="auto"/>
      <w:ind w:left="1077"/>
    </w:pPr>
    <w:rPr>
      <w:rFonts w:ascii="Arial" w:eastAsia="Times New Roman" w:hAnsi="Arial"/>
      <w:sz w:val="21"/>
      <w:szCs w:val="20"/>
      <w:lang w:bidi="fa-IR"/>
    </w:rPr>
  </w:style>
  <w:style w:type="character" w:customStyle="1" w:styleId="NormaltextChar">
    <w:name w:val="Normal text Char"/>
    <w:basedOn w:val="DefaultParagraphFont"/>
    <w:link w:val="Normaltext"/>
    <w:uiPriority w:val="99"/>
    <w:qFormat/>
    <w:locked/>
    <w:rsid w:val="00C1189E"/>
    <w:rPr>
      <w:rFonts w:ascii="Arial" w:eastAsia="Times New Roman" w:hAnsi="Arial"/>
      <w:sz w:val="21"/>
      <w:szCs w:val="20"/>
      <w:lang w:val="en-GB" w:eastAsia="en-US" w:bidi="fa-IR"/>
    </w:rPr>
  </w:style>
  <w:style w:type="paragraph" w:customStyle="1" w:styleId="Bullettext">
    <w:name w:val="Bullet text"/>
    <w:basedOn w:val="Normaltext"/>
    <w:link w:val="BullettextCharChar"/>
    <w:uiPriority w:val="99"/>
    <w:qFormat/>
    <w:rsid w:val="00C1189E"/>
    <w:pPr>
      <w:numPr>
        <w:numId w:val="11"/>
      </w:numPr>
      <w:tabs>
        <w:tab w:val="num" w:pos="1440"/>
      </w:tabs>
      <w:ind w:left="1440"/>
    </w:pPr>
    <w:rPr>
      <w:rFonts w:cs="Arial"/>
      <w:szCs w:val="21"/>
    </w:rPr>
  </w:style>
  <w:style w:type="character" w:customStyle="1" w:styleId="BullettextCharChar">
    <w:name w:val="Bullet text Char Char"/>
    <w:basedOn w:val="NormaltextChar"/>
    <w:link w:val="Bullettext"/>
    <w:uiPriority w:val="99"/>
    <w:qFormat/>
    <w:locked/>
    <w:rsid w:val="00C1189E"/>
    <w:rPr>
      <w:rFonts w:ascii="Arial" w:eastAsia="Times New Roman" w:hAnsi="Arial" w:cs="Arial"/>
      <w:sz w:val="21"/>
      <w:szCs w:val="21"/>
      <w:lang w:val="en-GB" w:eastAsia="en-US" w:bidi="fa-IR"/>
    </w:rPr>
  </w:style>
  <w:style w:type="numbering" w:customStyle="1" w:styleId="StyleBulletedBold">
    <w:name w:val="Style Bulleted Bold"/>
    <w:basedOn w:val="NoList"/>
    <w:rsid w:val="00C1189E"/>
    <w:pPr>
      <w:numPr>
        <w:numId w:val="13"/>
      </w:numPr>
    </w:pPr>
  </w:style>
  <w:style w:type="paragraph" w:customStyle="1" w:styleId="Headingparts">
    <w:name w:val="Heading parts"/>
    <w:basedOn w:val="BodyText"/>
    <w:qFormat/>
    <w:rsid w:val="00C1189E"/>
    <w:pPr>
      <w:tabs>
        <w:tab w:val="num" w:pos="992"/>
      </w:tabs>
      <w:ind w:left="1984" w:hanging="1984"/>
      <w:jc w:val="left"/>
    </w:pPr>
    <w:rPr>
      <w:rFonts w:eastAsia="Times New Roman"/>
      <w:b/>
      <w:sz w:val="28"/>
      <w:szCs w:val="28"/>
    </w:rPr>
  </w:style>
  <w:style w:type="table" w:customStyle="1" w:styleId="TableGrid12">
    <w:name w:val="Table Grid12"/>
    <w:basedOn w:val="TableNormal"/>
    <w:next w:val="TableGrid"/>
    <w:uiPriority w:val="59"/>
    <w:rsid w:val="00FE0F14"/>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1">
    <w:name w:val="RHDHV Table1"/>
    <w:basedOn w:val="TableNormal"/>
    <w:uiPriority w:val="99"/>
    <w:rsid w:val="00FE0F14"/>
    <w:pPr>
      <w:spacing w:line="271" w:lineRule="auto"/>
    </w:pPr>
    <w:rPr>
      <w:rFonts w:eastAsia="Times New Roman"/>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DBE5F1"/>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4F81BD"/>
      </w:tcPr>
    </w:tblStylePr>
    <w:tblStylePr w:type="lastRow">
      <w:tblPr/>
      <w:tcPr>
        <w:tcBorders>
          <w:top w:val="nil"/>
          <w:left w:val="nil"/>
          <w:bottom w:val="nil"/>
          <w:right w:val="nil"/>
          <w:insideH w:val="nil"/>
          <w:insideV w:val="single" w:sz="8" w:space="0" w:color="FFFFFF"/>
          <w:tl2br w:val="nil"/>
          <w:tr2bl w:val="nil"/>
        </w:tcBorders>
        <w:shd w:val="clear" w:color="auto" w:fill="B8CCE4"/>
      </w:tcPr>
    </w:tblStylePr>
    <w:tblStylePr w:type="swCell">
      <w:tblPr/>
      <w:tcPr>
        <w:tcBorders>
          <w:top w:val="nil"/>
          <w:left w:val="nil"/>
          <w:bottom w:val="nil"/>
          <w:right w:val="nil"/>
          <w:insideH w:val="nil"/>
          <w:insideV w:val="nil"/>
          <w:tl2br w:val="nil"/>
          <w:tr2bl w:val="nil"/>
        </w:tcBorders>
        <w:shd w:val="clear" w:color="auto" w:fill="FFFFFF"/>
      </w:tcPr>
    </w:tblStylePr>
  </w:style>
  <w:style w:type="character" w:styleId="FollowedHyperlink">
    <w:name w:val="FollowedHyperlink"/>
    <w:uiPriority w:val="99"/>
    <w:semiHidden/>
    <w:unhideWhenUsed/>
    <w:locked/>
    <w:rsid w:val="00FE0F14"/>
    <w:rPr>
      <w:color w:val="800080"/>
      <w:u w:val="single"/>
    </w:rPr>
  </w:style>
  <w:style w:type="paragraph" w:customStyle="1" w:styleId="xl67">
    <w:name w:val="xl67"/>
    <w:basedOn w:val="Normal"/>
    <w:qFormat/>
    <w:rsid w:val="00FE0F1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68">
    <w:name w:val="xl68"/>
    <w:basedOn w:val="Normal"/>
    <w:qFormat/>
    <w:rsid w:val="00FE0F14"/>
    <w:pPr>
      <w:pBdr>
        <w:left w:val="single" w:sz="4" w:space="0" w:color="auto"/>
      </w:pBd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69">
    <w:name w:val="xl69"/>
    <w:basedOn w:val="Normal"/>
    <w:qFormat/>
    <w:rsid w:val="00FE0F14"/>
    <w:pP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70">
    <w:name w:val="xl70"/>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71">
    <w:name w:val="xl71"/>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72">
    <w:name w:val="xl72"/>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73">
    <w:name w:val="xl73"/>
    <w:basedOn w:val="Normal"/>
    <w:qFormat/>
    <w:rsid w:val="00FE0F14"/>
    <w:pPr>
      <w:spacing w:before="100" w:beforeAutospacing="1" w:after="100" w:afterAutospacing="1" w:line="240" w:lineRule="auto"/>
      <w:jc w:val="center"/>
      <w:textAlignment w:val="center"/>
    </w:pPr>
    <w:rPr>
      <w:rFonts w:ascii="Arial" w:eastAsia="Times New Roman" w:hAnsi="Arial" w:cs="Arial"/>
      <w:b/>
      <w:bCs/>
      <w:sz w:val="28"/>
      <w:szCs w:val="28"/>
      <w:lang w:val="bg-BG" w:eastAsia="bg-BG"/>
    </w:rPr>
  </w:style>
  <w:style w:type="paragraph" w:customStyle="1" w:styleId="xl74">
    <w:name w:val="xl74"/>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75">
    <w:name w:val="xl75"/>
    <w:basedOn w:val="Normal"/>
    <w:qFormat/>
    <w:rsid w:val="00FE0F14"/>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val="bg-BG" w:eastAsia="bg-BG"/>
    </w:rPr>
  </w:style>
  <w:style w:type="paragraph" w:customStyle="1" w:styleId="xl76">
    <w:name w:val="xl76"/>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77">
    <w:name w:val="xl77"/>
    <w:basedOn w:val="Normal"/>
    <w:qFormat/>
    <w:rsid w:val="00FE0F14"/>
    <w:pP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78">
    <w:name w:val="xl78"/>
    <w:basedOn w:val="Normal"/>
    <w:qFormat/>
    <w:rsid w:val="00FE0F14"/>
    <w:pPr>
      <w:spacing w:before="100" w:beforeAutospacing="1" w:after="100" w:afterAutospacing="1" w:line="240" w:lineRule="auto"/>
      <w:jc w:val="left"/>
    </w:pPr>
    <w:rPr>
      <w:rFonts w:ascii="Arial" w:eastAsia="Times New Roman" w:hAnsi="Arial" w:cs="Arial"/>
      <w:sz w:val="24"/>
      <w:szCs w:val="24"/>
      <w:lang w:val="bg-BG" w:eastAsia="bg-BG"/>
    </w:rPr>
  </w:style>
  <w:style w:type="paragraph" w:customStyle="1" w:styleId="xl79">
    <w:name w:val="xl79"/>
    <w:basedOn w:val="Normal"/>
    <w:qFormat/>
    <w:rsid w:val="00FE0F14"/>
    <w:pPr>
      <w:pBdr>
        <w:left w:val="single" w:sz="4" w:space="0" w:color="auto"/>
        <w:right w:val="single" w:sz="4" w:space="0" w:color="auto"/>
      </w:pBdr>
      <w:spacing w:before="100" w:beforeAutospacing="1" w:after="100" w:afterAutospacing="1" w:line="240" w:lineRule="auto"/>
      <w:jc w:val="left"/>
      <w:textAlignment w:val="center"/>
    </w:pPr>
    <w:rPr>
      <w:rFonts w:ascii="Arial" w:eastAsia="Times New Roman" w:hAnsi="Arial" w:cs="Arial"/>
      <w:sz w:val="24"/>
      <w:szCs w:val="24"/>
      <w:lang w:val="bg-BG" w:eastAsia="bg-BG"/>
    </w:rPr>
  </w:style>
  <w:style w:type="paragraph" w:customStyle="1" w:styleId="xl80">
    <w:name w:val="xl80"/>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bg-BG" w:eastAsia="bg-BG"/>
    </w:rPr>
  </w:style>
  <w:style w:type="paragraph" w:customStyle="1" w:styleId="xl81">
    <w:name w:val="xl81"/>
    <w:basedOn w:val="Normal"/>
    <w:qFormat/>
    <w:rsid w:val="00FE0F14"/>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82">
    <w:name w:val="xl82"/>
    <w:basedOn w:val="Normal"/>
    <w:qFormat/>
    <w:rsid w:val="00FE0F14"/>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83">
    <w:name w:val="xl83"/>
    <w:basedOn w:val="Normal"/>
    <w:qFormat/>
    <w:rsid w:val="00FE0F14"/>
    <w:pP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84">
    <w:name w:val="xl84"/>
    <w:basedOn w:val="Normal"/>
    <w:qFormat/>
    <w:rsid w:val="00FE0F14"/>
    <w:pPr>
      <w:pBdr>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85">
    <w:name w:val="xl85"/>
    <w:basedOn w:val="Normal"/>
    <w:qFormat/>
    <w:rsid w:val="00FE0F14"/>
    <w:pPr>
      <w:pBdr>
        <w:right w:val="single" w:sz="4" w:space="0" w:color="auto"/>
      </w:pBd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xl86">
    <w:name w:val="xl86"/>
    <w:basedOn w:val="Normal"/>
    <w:qFormat/>
    <w:rsid w:val="00FE0F14"/>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val="bg-BG" w:eastAsia="bg-BG"/>
    </w:rPr>
  </w:style>
  <w:style w:type="paragraph" w:customStyle="1" w:styleId="xl87">
    <w:name w:val="xl87"/>
    <w:basedOn w:val="Normal"/>
    <w:qFormat/>
    <w:rsid w:val="00FE0F14"/>
    <w:pPr>
      <w:pBdr>
        <w:right w:val="single" w:sz="4" w:space="0" w:color="auto"/>
      </w:pBd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88">
    <w:name w:val="xl88"/>
    <w:basedOn w:val="Normal"/>
    <w:qFormat/>
    <w:rsid w:val="00FE0F14"/>
    <w:pPr>
      <w:spacing w:before="100" w:beforeAutospacing="1" w:after="100" w:afterAutospacing="1" w:line="240" w:lineRule="auto"/>
      <w:jc w:val="center"/>
    </w:pPr>
    <w:rPr>
      <w:rFonts w:ascii="Arial" w:eastAsia="Times New Roman" w:hAnsi="Arial" w:cs="Arial"/>
      <w:b/>
      <w:bCs/>
      <w:sz w:val="28"/>
      <w:szCs w:val="28"/>
      <w:lang w:val="bg-BG" w:eastAsia="bg-BG"/>
    </w:rPr>
  </w:style>
  <w:style w:type="paragraph" w:customStyle="1" w:styleId="xl89">
    <w:name w:val="xl89"/>
    <w:basedOn w:val="Normal"/>
    <w:qFormat/>
    <w:rsid w:val="00FE0F14"/>
    <w:pPr>
      <w:pBdr>
        <w:top w:val="single" w:sz="12" w:space="0" w:color="auto"/>
      </w:pBdr>
      <w:spacing w:before="100" w:beforeAutospacing="1" w:after="100" w:afterAutospacing="1" w:line="240" w:lineRule="auto"/>
      <w:jc w:val="center"/>
      <w:textAlignment w:val="center"/>
    </w:pPr>
    <w:rPr>
      <w:rFonts w:ascii="Arial" w:eastAsia="Times New Roman" w:hAnsi="Arial" w:cs="Arial"/>
      <w:b/>
      <w:bCs/>
      <w:sz w:val="28"/>
      <w:szCs w:val="28"/>
      <w:lang w:val="bg-BG" w:eastAsia="bg-BG"/>
    </w:rPr>
  </w:style>
  <w:style w:type="paragraph" w:customStyle="1" w:styleId="xl90">
    <w:name w:val="xl90"/>
    <w:basedOn w:val="Normal"/>
    <w:qFormat/>
    <w:rsid w:val="00FE0F14"/>
    <w:pPr>
      <w:spacing w:before="100" w:beforeAutospacing="1" w:after="100" w:afterAutospacing="1" w:line="240" w:lineRule="auto"/>
      <w:jc w:val="center"/>
    </w:pPr>
    <w:rPr>
      <w:rFonts w:ascii="Arial" w:eastAsia="Times New Roman" w:hAnsi="Arial" w:cs="Arial"/>
      <w:b/>
      <w:bCs/>
      <w:sz w:val="24"/>
      <w:szCs w:val="24"/>
      <w:lang w:val="bg-BG" w:eastAsia="bg-BG"/>
    </w:rPr>
  </w:style>
  <w:style w:type="paragraph" w:customStyle="1" w:styleId="xl91">
    <w:name w:val="xl91"/>
    <w:basedOn w:val="Normal"/>
    <w:qFormat/>
    <w:rsid w:val="00FE0F14"/>
    <w:pP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92">
    <w:name w:val="xl92"/>
    <w:basedOn w:val="Normal"/>
    <w:qFormat/>
    <w:rsid w:val="00FE0F14"/>
    <w:pP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93">
    <w:name w:val="xl93"/>
    <w:basedOn w:val="Normal"/>
    <w:qFormat/>
    <w:rsid w:val="00FE0F14"/>
    <w:pP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94">
    <w:name w:val="xl94"/>
    <w:basedOn w:val="Normal"/>
    <w:qFormat/>
    <w:rsid w:val="00FE0F14"/>
    <w:pP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95">
    <w:name w:val="xl95"/>
    <w:basedOn w:val="Normal"/>
    <w:qFormat/>
    <w:rsid w:val="00FE0F14"/>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xl96">
    <w:name w:val="xl96"/>
    <w:basedOn w:val="Normal"/>
    <w:qFormat/>
    <w:rsid w:val="00FE0F14"/>
    <w:pPr>
      <w:spacing w:before="100" w:beforeAutospacing="1" w:after="100" w:afterAutospacing="1" w:line="240" w:lineRule="auto"/>
      <w:jc w:val="center"/>
    </w:pPr>
    <w:rPr>
      <w:rFonts w:ascii="Times New Roman" w:eastAsia="Times New Roman" w:hAnsi="Times New Roman"/>
      <w:sz w:val="24"/>
      <w:szCs w:val="24"/>
      <w:lang w:val="bg-BG" w:eastAsia="bg-BG"/>
    </w:rPr>
  </w:style>
  <w:style w:type="paragraph" w:customStyle="1" w:styleId="xl98">
    <w:name w:val="xl98"/>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bg-BG" w:eastAsia="bg-BG"/>
    </w:rPr>
  </w:style>
  <w:style w:type="paragraph" w:customStyle="1" w:styleId="xl99">
    <w:name w:val="xl99"/>
    <w:basedOn w:val="Normal"/>
    <w:qFormat/>
    <w:rsid w:val="00FE0F14"/>
    <w:pPr>
      <w:pBdr>
        <w:top w:val="single" w:sz="4" w:space="0" w:color="auto"/>
        <w:left w:val="single" w:sz="4" w:space="0" w:color="auto"/>
      </w:pBdr>
      <w:spacing w:before="100" w:beforeAutospacing="1" w:after="100" w:afterAutospacing="1" w:line="240" w:lineRule="auto"/>
      <w:jc w:val="left"/>
      <w:textAlignment w:val="center"/>
    </w:pPr>
    <w:rPr>
      <w:rFonts w:ascii="Arial" w:eastAsia="Times New Roman" w:hAnsi="Arial" w:cs="Arial"/>
      <w:b/>
      <w:bCs/>
      <w:sz w:val="28"/>
      <w:szCs w:val="28"/>
      <w:lang w:val="bg-BG" w:eastAsia="bg-BG"/>
    </w:rPr>
  </w:style>
  <w:style w:type="paragraph" w:customStyle="1" w:styleId="xl100">
    <w:name w:val="xl100"/>
    <w:basedOn w:val="Normal"/>
    <w:qFormat/>
    <w:rsid w:val="00FE0F14"/>
    <w:pPr>
      <w:pBdr>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01">
    <w:name w:val="xl101"/>
    <w:basedOn w:val="Normal"/>
    <w:qFormat/>
    <w:rsid w:val="00FE0F14"/>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val="bg-BG" w:eastAsia="bg-BG"/>
    </w:rPr>
  </w:style>
  <w:style w:type="paragraph" w:customStyle="1" w:styleId="xl102">
    <w:name w:val="xl102"/>
    <w:basedOn w:val="Normal"/>
    <w:qFormat/>
    <w:rsid w:val="00FE0F14"/>
    <w:pPr>
      <w:pBdr>
        <w:left w:val="single" w:sz="4" w:space="0" w:color="auto"/>
      </w:pBd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103">
    <w:name w:val="xl103"/>
    <w:basedOn w:val="Normal"/>
    <w:qFormat/>
    <w:rsid w:val="00FE0F14"/>
    <w:pPr>
      <w:pBdr>
        <w:left w:val="single" w:sz="4" w:space="0" w:color="auto"/>
        <w:right w:val="single" w:sz="4" w:space="0" w:color="auto"/>
      </w:pBdr>
      <w:spacing w:before="100" w:beforeAutospacing="1" w:after="100" w:afterAutospacing="1" w:line="240" w:lineRule="auto"/>
      <w:jc w:val="left"/>
    </w:pPr>
    <w:rPr>
      <w:rFonts w:ascii="Arial" w:eastAsia="Times New Roman" w:hAnsi="Arial" w:cs="Arial"/>
      <w:sz w:val="24"/>
      <w:szCs w:val="24"/>
      <w:lang w:val="bg-BG" w:eastAsia="bg-BG"/>
    </w:rPr>
  </w:style>
  <w:style w:type="paragraph" w:customStyle="1" w:styleId="xl104">
    <w:name w:val="xl104"/>
    <w:basedOn w:val="Normal"/>
    <w:qFormat/>
    <w:rsid w:val="00FE0F14"/>
    <w:pPr>
      <w:pBdr>
        <w:left w:val="single" w:sz="4" w:space="0" w:color="auto"/>
      </w:pBdr>
      <w:spacing w:before="100" w:beforeAutospacing="1" w:after="100" w:afterAutospacing="1" w:line="240" w:lineRule="auto"/>
      <w:jc w:val="left"/>
    </w:pPr>
    <w:rPr>
      <w:rFonts w:ascii="Arial" w:eastAsia="Times New Roman" w:hAnsi="Arial" w:cs="Arial"/>
      <w:sz w:val="24"/>
      <w:szCs w:val="24"/>
      <w:lang w:val="bg-BG" w:eastAsia="bg-BG"/>
    </w:rPr>
  </w:style>
  <w:style w:type="paragraph" w:customStyle="1" w:styleId="xl105">
    <w:name w:val="xl105"/>
    <w:basedOn w:val="Normal"/>
    <w:qFormat/>
    <w:rsid w:val="00FE0F14"/>
    <w:pPr>
      <w:pBdr>
        <w:lef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06">
    <w:name w:val="xl106"/>
    <w:basedOn w:val="Normal"/>
    <w:qFormat/>
    <w:rsid w:val="00FE0F14"/>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07">
    <w:name w:val="xl107"/>
    <w:basedOn w:val="Normal"/>
    <w:qFormat/>
    <w:rsid w:val="00FE0F1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08">
    <w:name w:val="xl108"/>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09">
    <w:name w:val="xl109"/>
    <w:basedOn w:val="Normal"/>
    <w:qFormat/>
    <w:rsid w:val="00FE0F1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10">
    <w:name w:val="xl110"/>
    <w:basedOn w:val="Normal"/>
    <w:qFormat/>
    <w:rsid w:val="00FE0F1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bg-BG" w:eastAsia="bg-BG"/>
    </w:rPr>
  </w:style>
  <w:style w:type="paragraph" w:customStyle="1" w:styleId="xl111">
    <w:name w:val="xl111"/>
    <w:basedOn w:val="Normal"/>
    <w:qFormat/>
    <w:rsid w:val="00FE0F14"/>
    <w:pPr>
      <w:pBdr>
        <w:top w:val="single" w:sz="4" w:space="0" w:color="auto"/>
        <w:right w:val="single" w:sz="4" w:space="0" w:color="auto"/>
      </w:pBd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112">
    <w:name w:val="xl112"/>
    <w:basedOn w:val="Normal"/>
    <w:qFormat/>
    <w:rsid w:val="00FE0F14"/>
    <w:pPr>
      <w:pBdr>
        <w:right w:val="single" w:sz="4" w:space="0" w:color="auto"/>
      </w:pBd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113">
    <w:name w:val="xl113"/>
    <w:basedOn w:val="Normal"/>
    <w:qFormat/>
    <w:rsid w:val="00FE0F14"/>
    <w:pP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paragraph" w:customStyle="1" w:styleId="xl114">
    <w:name w:val="xl114"/>
    <w:basedOn w:val="Normal"/>
    <w:qFormat/>
    <w:rsid w:val="00FE0F14"/>
    <w:pPr>
      <w:pBdr>
        <w:top w:val="single" w:sz="12" w:space="0" w:color="auto"/>
      </w:pBdr>
      <w:spacing w:before="100" w:beforeAutospacing="1" w:after="100" w:afterAutospacing="1" w:line="240" w:lineRule="auto"/>
      <w:jc w:val="center"/>
      <w:textAlignment w:val="center"/>
    </w:pPr>
    <w:rPr>
      <w:rFonts w:ascii="Arial" w:eastAsia="Times New Roman" w:hAnsi="Arial" w:cs="Arial"/>
      <w:b/>
      <w:bCs/>
      <w:sz w:val="28"/>
      <w:szCs w:val="28"/>
      <w:lang w:val="bg-BG" w:eastAsia="bg-BG"/>
    </w:rPr>
  </w:style>
  <w:style w:type="paragraph" w:customStyle="1" w:styleId="xl115">
    <w:name w:val="xl115"/>
    <w:basedOn w:val="Normal"/>
    <w:qFormat/>
    <w:rsid w:val="00FE0F14"/>
    <w:pPr>
      <w:pBdr>
        <w:top w:val="single" w:sz="12" w:space="0" w:color="auto"/>
      </w:pBdr>
      <w:spacing w:before="100" w:beforeAutospacing="1" w:after="100" w:afterAutospacing="1" w:line="240" w:lineRule="auto"/>
      <w:jc w:val="left"/>
      <w:textAlignment w:val="center"/>
    </w:pPr>
    <w:rPr>
      <w:rFonts w:ascii="Arial" w:eastAsia="Times New Roman" w:hAnsi="Arial" w:cs="Arial"/>
      <w:b/>
      <w:bCs/>
      <w:sz w:val="24"/>
      <w:szCs w:val="24"/>
      <w:lang w:val="bg-BG" w:eastAsia="bg-BG"/>
    </w:rPr>
  </w:style>
  <w:style w:type="table" w:customStyle="1" w:styleId="TableGrid9">
    <w:name w:val="Table Grid9"/>
    <w:basedOn w:val="TableNormal"/>
    <w:next w:val="TableGrid"/>
    <w:uiPriority w:val="59"/>
    <w:locked/>
    <w:rsid w:val="0016232F"/>
    <w:rPr>
      <w:rFonts w:ascii="Times New Roman" w:eastAsia="SimSun" w:hAnsi="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2">
    <w:name w:val="RHDHV Table2"/>
    <w:basedOn w:val="TableNormal"/>
    <w:uiPriority w:val="99"/>
    <w:rsid w:val="0016232F"/>
    <w:pPr>
      <w:spacing w:line="271" w:lineRule="auto"/>
    </w:pPr>
    <w:rPr>
      <w:rFonts w:eastAsia="Times New Roman"/>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DBE5F1"/>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4F81BD"/>
      </w:tcPr>
    </w:tblStylePr>
    <w:tblStylePr w:type="lastRow">
      <w:tblPr/>
      <w:tcPr>
        <w:tcBorders>
          <w:top w:val="nil"/>
          <w:left w:val="nil"/>
          <w:bottom w:val="nil"/>
          <w:right w:val="nil"/>
          <w:insideH w:val="nil"/>
          <w:insideV w:val="single" w:sz="8" w:space="0" w:color="FFFFFF"/>
          <w:tl2br w:val="nil"/>
          <w:tr2bl w:val="nil"/>
        </w:tcBorders>
        <w:shd w:val="clear" w:color="auto" w:fill="B8CCE4"/>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TableGrid511">
    <w:name w:val="Table Grid511"/>
    <w:basedOn w:val="TableNormal"/>
    <w:rsid w:val="0016232F"/>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16232F"/>
    <w:pPr>
      <w:spacing w:line="260" w:lineRule="atLeast"/>
    </w:pPr>
    <w:rPr>
      <w:rFonts w:ascii="Times New Roman" w:eastAsia="Times New Roman" w:hAnsi="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21">
    <w:name w:val="Table Columns 21"/>
    <w:basedOn w:val="TableNormal"/>
    <w:next w:val="TableColumns2"/>
    <w:uiPriority w:val="99"/>
    <w:locked/>
    <w:rsid w:val="0016232F"/>
    <w:rPr>
      <w:rFonts w:ascii="Times New Roman" w:eastAsia="Times New Roman" w:hAnsi="Times New Roman"/>
      <w:b/>
      <w:bCs/>
      <w:sz w:val="20"/>
      <w:szCs w:val="20"/>
      <w:lang w:val="en-US"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eGrid32">
    <w:name w:val="Table Grid32"/>
    <w:basedOn w:val="TableNormal"/>
    <w:next w:val="TableGrid"/>
    <w:rsid w:val="0016232F"/>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16232F"/>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6232F"/>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16232F"/>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16232F"/>
    <w:pPr>
      <w:spacing w:line="260" w:lineRule="atLeast"/>
    </w:pPr>
    <w:rPr>
      <w:rFonts w:ascii="Times New Roman" w:eastAsia="Times New Roman" w:hAnsi="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nhideWhenUsed/>
    <w:qFormat/>
    <w:locked/>
    <w:rsid w:val="0016232F"/>
    <w:pPr>
      <w:spacing w:after="120" w:line="480" w:lineRule="auto"/>
    </w:pPr>
  </w:style>
  <w:style w:type="character" w:customStyle="1" w:styleId="BodyText2Char">
    <w:name w:val="Body Text 2 Char"/>
    <w:basedOn w:val="DefaultParagraphFont"/>
    <w:link w:val="BodyText2"/>
    <w:qFormat/>
    <w:rsid w:val="0016232F"/>
    <w:rPr>
      <w:rFonts w:ascii="Arial Narrow" w:hAnsi="Arial Narrow"/>
      <w:sz w:val="23"/>
      <w:lang w:val="en-GB" w:eastAsia="en-US"/>
    </w:rPr>
  </w:style>
  <w:style w:type="paragraph" w:customStyle="1" w:styleId="CommentSubject1">
    <w:name w:val="Comment Subject1"/>
    <w:basedOn w:val="CommentText"/>
    <w:next w:val="CommentText"/>
    <w:qFormat/>
    <w:rsid w:val="0016232F"/>
    <w:rPr>
      <w:rFonts w:eastAsia="Times New Roman"/>
      <w:b/>
      <w:bCs/>
    </w:rPr>
  </w:style>
  <w:style w:type="character" w:customStyle="1" w:styleId="hpsalt-edited">
    <w:name w:val="hps alt-edited"/>
    <w:qFormat/>
    <w:rsid w:val="0016232F"/>
    <w:rPr>
      <w:rFonts w:ascii="Times New Roman" w:hAnsi="Times New Roman" w:cs="Times New Roman"/>
    </w:rPr>
  </w:style>
  <w:style w:type="paragraph" w:styleId="PlainText">
    <w:name w:val="Plain Text"/>
    <w:basedOn w:val="Normal"/>
    <w:link w:val="PlainTextChar"/>
    <w:semiHidden/>
    <w:qFormat/>
    <w:locked/>
    <w:rsid w:val="0016232F"/>
    <w:pPr>
      <w:spacing w:after="0" w:line="240" w:lineRule="auto"/>
      <w:jc w:val="left"/>
    </w:pPr>
    <w:rPr>
      <w:rFonts w:ascii="Courier New" w:eastAsia="Times New Roman" w:hAnsi="Courier New" w:cs="Courier New"/>
      <w:sz w:val="20"/>
      <w:szCs w:val="20"/>
      <w:lang w:val="en-US"/>
    </w:rPr>
  </w:style>
  <w:style w:type="character" w:customStyle="1" w:styleId="PlainTextChar">
    <w:name w:val="Plain Text Char"/>
    <w:basedOn w:val="DefaultParagraphFont"/>
    <w:link w:val="PlainText"/>
    <w:semiHidden/>
    <w:qFormat/>
    <w:rsid w:val="0016232F"/>
    <w:rPr>
      <w:rFonts w:ascii="Courier New" w:eastAsia="Times New Roman" w:hAnsi="Courier New" w:cs="Courier New"/>
      <w:sz w:val="20"/>
      <w:szCs w:val="20"/>
      <w:lang w:val="en-US" w:eastAsia="en-US"/>
    </w:rPr>
  </w:style>
  <w:style w:type="character" w:customStyle="1" w:styleId="st1">
    <w:name w:val="st1"/>
    <w:basedOn w:val="DefaultParagraphFont"/>
    <w:qFormat/>
    <w:rsid w:val="0016232F"/>
  </w:style>
  <w:style w:type="paragraph" w:styleId="BodyText3">
    <w:name w:val="Body Text 3"/>
    <w:basedOn w:val="Normal"/>
    <w:link w:val="BodyText3Char"/>
    <w:semiHidden/>
    <w:qFormat/>
    <w:locked/>
    <w:rsid w:val="0016232F"/>
    <w:rPr>
      <w:rFonts w:eastAsia="Times New Roman"/>
      <w:color w:val="FF0000"/>
      <w:sz w:val="18"/>
      <w:szCs w:val="18"/>
    </w:rPr>
  </w:style>
  <w:style w:type="character" w:customStyle="1" w:styleId="BodyText3Char">
    <w:name w:val="Body Text 3 Char"/>
    <w:basedOn w:val="DefaultParagraphFont"/>
    <w:link w:val="BodyText3"/>
    <w:semiHidden/>
    <w:qFormat/>
    <w:rsid w:val="0016232F"/>
    <w:rPr>
      <w:rFonts w:ascii="Arial Narrow" w:eastAsia="Times New Roman" w:hAnsi="Arial Narrow"/>
      <w:color w:val="FF0000"/>
      <w:sz w:val="18"/>
      <w:szCs w:val="18"/>
      <w:lang w:val="en-GB" w:eastAsia="en-US"/>
    </w:rPr>
  </w:style>
  <w:style w:type="paragraph" w:styleId="BodyTextIndent3">
    <w:name w:val="Body Text Indent 3"/>
    <w:basedOn w:val="Normal"/>
    <w:link w:val="BodyTextIndent3Char"/>
    <w:unhideWhenUsed/>
    <w:qFormat/>
    <w:locked/>
    <w:rsid w:val="004C1E27"/>
    <w:pPr>
      <w:spacing w:after="120"/>
      <w:ind w:left="283"/>
    </w:pPr>
    <w:rPr>
      <w:sz w:val="16"/>
      <w:szCs w:val="16"/>
    </w:rPr>
  </w:style>
  <w:style w:type="character" w:customStyle="1" w:styleId="BodyTextIndent3Char">
    <w:name w:val="Body Text Indent 3 Char"/>
    <w:basedOn w:val="DefaultParagraphFont"/>
    <w:link w:val="BodyTextIndent3"/>
    <w:qFormat/>
    <w:rsid w:val="004C1E27"/>
    <w:rPr>
      <w:rFonts w:ascii="Arial Narrow" w:hAnsi="Arial Narrow"/>
      <w:sz w:val="16"/>
      <w:szCs w:val="16"/>
      <w:lang w:val="en-GB" w:eastAsia="en-US"/>
    </w:rPr>
  </w:style>
  <w:style w:type="paragraph" w:styleId="BodyTextIndent2">
    <w:name w:val="Body Text Indent 2"/>
    <w:basedOn w:val="Normal"/>
    <w:link w:val="BodyTextIndent2Char"/>
    <w:unhideWhenUsed/>
    <w:qFormat/>
    <w:locked/>
    <w:rsid w:val="004C1E27"/>
    <w:pPr>
      <w:spacing w:after="120" w:line="480" w:lineRule="auto"/>
      <w:ind w:left="283"/>
    </w:pPr>
  </w:style>
  <w:style w:type="character" w:customStyle="1" w:styleId="BodyTextIndent2Char">
    <w:name w:val="Body Text Indent 2 Char"/>
    <w:basedOn w:val="DefaultParagraphFont"/>
    <w:link w:val="BodyTextIndent2"/>
    <w:semiHidden/>
    <w:qFormat/>
    <w:rsid w:val="004C1E27"/>
    <w:rPr>
      <w:rFonts w:ascii="Arial Narrow" w:hAnsi="Arial Narrow"/>
      <w:sz w:val="23"/>
      <w:lang w:val="en-GB" w:eastAsia="en-US"/>
    </w:rPr>
  </w:style>
  <w:style w:type="table" w:customStyle="1" w:styleId="TableGrid14">
    <w:name w:val="Table Grid14"/>
    <w:basedOn w:val="TableNormal"/>
    <w:next w:val="TableGrid"/>
    <w:rsid w:val="00B33DE3"/>
    <w:rPr>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lockText">
    <w:name w:val="Block Text"/>
    <w:basedOn w:val="Normal"/>
    <w:qFormat/>
    <w:locked/>
    <w:rsid w:val="008B6F7F"/>
    <w:pPr>
      <w:spacing w:before="120" w:beforeAutospacing="1" w:after="0" w:afterAutospacing="1" w:line="240" w:lineRule="auto"/>
      <w:ind w:left="-142" w:right="-136" w:firstLine="862"/>
    </w:pPr>
    <w:rPr>
      <w:rFonts w:eastAsia="Times New Roman" w:cs="Arial Narrow"/>
      <w:sz w:val="24"/>
      <w:szCs w:val="24"/>
      <w:lang w:val="bg-BG"/>
    </w:rPr>
  </w:style>
  <w:style w:type="table" w:customStyle="1" w:styleId="TableGrid10">
    <w:name w:val="Table Grid10"/>
    <w:basedOn w:val="TableNormal"/>
    <w:next w:val="TableGrid"/>
    <w:uiPriority w:val="99"/>
    <w:rsid w:val="008B6F7F"/>
    <w:pPr>
      <w:spacing w:after="200" w:line="276" w:lineRule="auto"/>
    </w:pPr>
    <w:rPr>
      <w:rFonts w:eastAsia="Times New Roman" w:cs="Calibri"/>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Стил"/>
    <w:qFormat/>
    <w:rsid w:val="008B6F7F"/>
    <w:pPr>
      <w:widowControl w:val="0"/>
      <w:autoSpaceDE w:val="0"/>
      <w:autoSpaceDN w:val="0"/>
      <w:adjustRightInd w:val="0"/>
      <w:spacing w:before="100" w:beforeAutospacing="1" w:after="100" w:afterAutospacing="1" w:line="276" w:lineRule="auto"/>
      <w:ind w:left="140" w:right="140" w:firstLine="840"/>
      <w:jc w:val="both"/>
    </w:pPr>
    <w:rPr>
      <w:rFonts w:eastAsia="Times New Roman" w:cs="Calibri"/>
      <w:sz w:val="24"/>
      <w:szCs w:val="24"/>
    </w:rPr>
  </w:style>
  <w:style w:type="paragraph" w:customStyle="1" w:styleId="Textwithbulletc">
    <w:name w:val="Text with bulletc"/>
    <w:basedOn w:val="Normal"/>
    <w:link w:val="TextwithbulletcChar"/>
    <w:uiPriority w:val="99"/>
    <w:qFormat/>
    <w:rsid w:val="008B6F7F"/>
    <w:pPr>
      <w:numPr>
        <w:numId w:val="14"/>
      </w:numPr>
      <w:spacing w:before="100" w:beforeAutospacing="1" w:after="0" w:afterAutospacing="1" w:line="240" w:lineRule="auto"/>
      <w:jc w:val="left"/>
    </w:pPr>
    <w:rPr>
      <w:rFonts w:ascii="Arial" w:eastAsia="Times New Roman" w:hAnsi="Arial"/>
      <w:sz w:val="24"/>
      <w:szCs w:val="20"/>
      <w:lang w:val="bg-BG" w:eastAsia="x-none"/>
    </w:rPr>
  </w:style>
  <w:style w:type="character" w:customStyle="1" w:styleId="TextwithbulletcChar">
    <w:name w:val="Text with bulletc Char"/>
    <w:link w:val="Textwithbulletc"/>
    <w:uiPriority w:val="99"/>
    <w:qFormat/>
    <w:locked/>
    <w:rsid w:val="008B6F7F"/>
    <w:rPr>
      <w:rFonts w:ascii="Arial" w:eastAsia="Times New Roman" w:hAnsi="Arial"/>
      <w:sz w:val="24"/>
      <w:szCs w:val="20"/>
      <w:lang w:eastAsia="x-none"/>
    </w:rPr>
  </w:style>
  <w:style w:type="character" w:customStyle="1" w:styleId="FontStyle33">
    <w:name w:val="Font Style33"/>
    <w:uiPriority w:val="99"/>
    <w:qFormat/>
    <w:rsid w:val="008B6F7F"/>
    <w:rPr>
      <w:rFonts w:ascii="Arial Narrow" w:hAnsi="Arial Narrow"/>
      <w:color w:val="000000"/>
      <w:sz w:val="22"/>
    </w:rPr>
  </w:style>
  <w:style w:type="character" w:customStyle="1" w:styleId="Bodytext20">
    <w:name w:val="Body text (2)_"/>
    <w:basedOn w:val="DefaultParagraphFont"/>
    <w:link w:val="Bodytext21"/>
    <w:qFormat/>
    <w:rsid w:val="00F46AC8"/>
    <w:rPr>
      <w:rFonts w:ascii="Arial Narrow" w:hAnsi="Arial Narrow"/>
      <w:shd w:val="clear" w:color="auto" w:fill="FFFFFF"/>
    </w:rPr>
  </w:style>
  <w:style w:type="paragraph" w:customStyle="1" w:styleId="Bodytext21">
    <w:name w:val="Body text (2)1"/>
    <w:basedOn w:val="Normal"/>
    <w:link w:val="Bodytext20"/>
    <w:qFormat/>
    <w:rsid w:val="00F46AC8"/>
    <w:pPr>
      <w:widowControl w:val="0"/>
      <w:shd w:val="clear" w:color="auto" w:fill="FFFFFF"/>
      <w:spacing w:before="180" w:after="1260" w:line="240" w:lineRule="atLeast"/>
      <w:jc w:val="left"/>
    </w:pPr>
    <w:rPr>
      <w:sz w:val="22"/>
      <w:lang w:val="bg-BG" w:eastAsia="bg-BG"/>
    </w:rPr>
  </w:style>
  <w:style w:type="table" w:customStyle="1" w:styleId="TableGrid15">
    <w:name w:val="Table Grid15"/>
    <w:basedOn w:val="TableNormal"/>
    <w:next w:val="TableGrid"/>
    <w:uiPriority w:val="59"/>
    <w:rsid w:val="00A97BD2"/>
    <w:rPr>
      <w:rFonts w:ascii="Times New Roman" w:eastAsia="SimSu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figureChar">
    <w:name w:val="Caption figure Char"/>
    <w:basedOn w:val="DefaultParagraphFont"/>
    <w:uiPriority w:val="35"/>
    <w:qFormat/>
    <w:locked/>
    <w:rsid w:val="00A97BD2"/>
    <w:rPr>
      <w:rFonts w:eastAsia="Times New Roman" w:cs="Times New Roman"/>
      <w:b/>
      <w:szCs w:val="20"/>
      <w:lang w:val="en-GB"/>
    </w:rPr>
  </w:style>
  <w:style w:type="table" w:customStyle="1" w:styleId="MediumShading2-Accent51">
    <w:name w:val="Medium Shading 2 - Accent 51"/>
    <w:basedOn w:val="TableNormal"/>
    <w:next w:val="MediumShading2-Accent5"/>
    <w:uiPriority w:val="64"/>
    <w:rsid w:val="00A97BD2"/>
    <w:rPr>
      <w:lang w:val="nl-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AppendixH4">
    <w:name w:val="Appendix H4"/>
    <w:basedOn w:val="Normal"/>
    <w:next w:val="Normal"/>
    <w:qFormat/>
    <w:rsid w:val="00A97BD2"/>
    <w:pPr>
      <w:numPr>
        <w:ilvl w:val="3"/>
        <w:numId w:val="16"/>
      </w:numPr>
      <w:spacing w:after="0" w:line="280" w:lineRule="exact"/>
      <w:ind w:left="2880"/>
    </w:pPr>
    <w:rPr>
      <w:rFonts w:ascii="Calibri" w:eastAsia="Times New Roman" w:hAnsi="Calibri"/>
      <w:sz w:val="22"/>
      <w:szCs w:val="20"/>
    </w:rPr>
  </w:style>
  <w:style w:type="paragraph" w:customStyle="1" w:styleId="AppendixH1">
    <w:name w:val="Appendix H1"/>
    <w:basedOn w:val="Heading1"/>
    <w:next w:val="Normal"/>
    <w:qFormat/>
    <w:rsid w:val="00A97BD2"/>
    <w:pPr>
      <w:numPr>
        <w:numId w:val="16"/>
      </w:numPr>
      <w:spacing w:after="480" w:line="280" w:lineRule="exact"/>
      <w:ind w:left="720"/>
      <w:jc w:val="left"/>
    </w:pPr>
    <w:rPr>
      <w:rFonts w:ascii="Calibri" w:eastAsia="Calibri" w:hAnsi="Calibri"/>
      <w:bCs w:val="0"/>
      <w:caps/>
      <w:kern w:val="28"/>
      <w:sz w:val="22"/>
      <w:szCs w:val="20"/>
      <w:u w:val="none"/>
    </w:rPr>
  </w:style>
  <w:style w:type="paragraph" w:customStyle="1" w:styleId="AppendixH2">
    <w:name w:val="Appendix H2"/>
    <w:basedOn w:val="Heading2"/>
    <w:next w:val="Normal"/>
    <w:qFormat/>
    <w:rsid w:val="00A97BD2"/>
    <w:pPr>
      <w:tabs>
        <w:tab w:val="left" w:pos="0"/>
        <w:tab w:val="num" w:pos="1080"/>
      </w:tabs>
      <w:spacing w:before="0" w:after="240" w:line="280" w:lineRule="exact"/>
    </w:pPr>
    <w:rPr>
      <w:rFonts w:ascii="Calibri" w:eastAsia="Times New Roman" w:hAnsi="Calibri"/>
      <w:szCs w:val="20"/>
      <w:lang w:val="nl-NL"/>
    </w:rPr>
  </w:style>
  <w:style w:type="paragraph" w:customStyle="1" w:styleId="AppendixH3">
    <w:name w:val="Appendix H3"/>
    <w:basedOn w:val="Heading3"/>
    <w:next w:val="Normal"/>
    <w:qFormat/>
    <w:rsid w:val="00A97BD2"/>
    <w:pPr>
      <w:tabs>
        <w:tab w:val="left" w:pos="0"/>
        <w:tab w:val="num" w:pos="1080"/>
      </w:tabs>
      <w:spacing w:before="0" w:after="240" w:line="280" w:lineRule="exact"/>
    </w:pPr>
    <w:rPr>
      <w:rFonts w:ascii="Calibri" w:eastAsia="Times New Roman" w:hAnsi="Calibri"/>
      <w:szCs w:val="20"/>
    </w:rPr>
  </w:style>
  <w:style w:type="numbering" w:customStyle="1" w:styleId="AppendixHeadings">
    <w:name w:val="Appendix Headings"/>
    <w:uiPriority w:val="99"/>
    <w:rsid w:val="00A97BD2"/>
    <w:pPr>
      <w:numPr>
        <w:numId w:val="15"/>
      </w:numPr>
    </w:pPr>
  </w:style>
  <w:style w:type="character" w:customStyle="1" w:styleId="js-intro-narrative">
    <w:name w:val="js-intro-narrative"/>
    <w:basedOn w:val="DefaultParagraphFont"/>
    <w:qFormat/>
    <w:rsid w:val="00A97BD2"/>
  </w:style>
  <w:style w:type="paragraph" w:customStyle="1" w:styleId="p1">
    <w:name w:val="p1"/>
    <w:basedOn w:val="Normal"/>
    <w:qFormat/>
    <w:rsid w:val="00A97BD2"/>
    <w:pPr>
      <w:spacing w:before="100" w:beforeAutospacing="1" w:after="300" w:line="240" w:lineRule="auto"/>
      <w:jc w:val="left"/>
    </w:pPr>
    <w:rPr>
      <w:rFonts w:ascii="Times New Roman" w:eastAsia="Times New Roman" w:hAnsi="Times New Roman"/>
      <w:sz w:val="24"/>
      <w:szCs w:val="24"/>
      <w:lang w:val="nl-NL" w:eastAsia="nl-NL"/>
    </w:rPr>
  </w:style>
  <w:style w:type="paragraph" w:customStyle="1" w:styleId="p2">
    <w:name w:val="p2"/>
    <w:basedOn w:val="Normal"/>
    <w:qFormat/>
    <w:rsid w:val="00A97BD2"/>
    <w:pPr>
      <w:spacing w:before="100" w:beforeAutospacing="1" w:after="300" w:line="240" w:lineRule="auto"/>
      <w:jc w:val="left"/>
    </w:pPr>
    <w:rPr>
      <w:rFonts w:ascii="Times New Roman" w:eastAsia="Times New Roman" w:hAnsi="Times New Roman"/>
      <w:sz w:val="24"/>
      <w:szCs w:val="24"/>
      <w:lang w:val="nl-NL" w:eastAsia="nl-NL"/>
    </w:rPr>
  </w:style>
  <w:style w:type="table" w:styleId="MediumShading2-Accent5">
    <w:name w:val="Medium Shading 2 Accent 5"/>
    <w:basedOn w:val="TableNormal"/>
    <w:uiPriority w:val="64"/>
    <w:rsid w:val="00A97BD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BaseHeadings">
    <w:name w:val="Base Headings"/>
    <w:semiHidden/>
    <w:qFormat/>
    <w:rsid w:val="00393524"/>
    <w:pPr>
      <w:keepNext/>
      <w:spacing w:after="120" w:line="360" w:lineRule="auto"/>
    </w:pPr>
    <w:rPr>
      <w:rFonts w:ascii="Arial" w:eastAsiaTheme="minorEastAsia" w:hAnsi="Arial" w:cs="Arial"/>
      <w:color w:val="4F81BD" w:themeColor="accent1"/>
      <w:sz w:val="20"/>
      <w:szCs w:val="20"/>
      <w:lang w:val="en-GB" w:eastAsia="en-GB"/>
    </w:rPr>
  </w:style>
  <w:style w:type="paragraph" w:customStyle="1" w:styleId="BaseText">
    <w:name w:val="Base Text"/>
    <w:link w:val="BaseTextChar"/>
    <w:semiHidden/>
    <w:qFormat/>
    <w:rsid w:val="00393524"/>
    <w:pPr>
      <w:spacing w:after="120" w:line="360" w:lineRule="auto"/>
    </w:pPr>
    <w:rPr>
      <w:rFonts w:ascii="Arial" w:eastAsiaTheme="minorEastAsia" w:hAnsi="Arial" w:cs="Arial"/>
      <w:color w:val="000000" w:themeColor="text1"/>
      <w:sz w:val="20"/>
      <w:szCs w:val="20"/>
      <w:lang w:val="en-GB" w:eastAsia="en-GB"/>
    </w:rPr>
  </w:style>
  <w:style w:type="paragraph" w:customStyle="1" w:styleId="ColophonLabel">
    <w:name w:val="Colophon Label"/>
    <w:basedOn w:val="BaseText"/>
    <w:unhideWhenUsed/>
    <w:qFormat/>
    <w:rsid w:val="00393524"/>
    <w:pPr>
      <w:spacing w:line="240" w:lineRule="exact"/>
      <w:ind w:right="57"/>
      <w:jc w:val="right"/>
    </w:pPr>
    <w:rPr>
      <w:sz w:val="18"/>
    </w:rPr>
  </w:style>
  <w:style w:type="paragraph" w:customStyle="1" w:styleId="ColophonText">
    <w:name w:val="Colophon Text"/>
    <w:basedOn w:val="BaseText"/>
    <w:unhideWhenUsed/>
    <w:qFormat/>
    <w:rsid w:val="00393524"/>
    <w:pPr>
      <w:spacing w:line="240" w:lineRule="exact"/>
      <w:ind w:left="57"/>
    </w:pPr>
  </w:style>
  <w:style w:type="paragraph" w:customStyle="1" w:styleId="DisclaimerText">
    <w:name w:val="Disclaimer Text"/>
    <w:basedOn w:val="BaseText"/>
    <w:unhideWhenUsed/>
    <w:qFormat/>
    <w:rsid w:val="00393524"/>
    <w:pPr>
      <w:framePr w:h="1701" w:vSpace="510" w:wrap="notBeside" w:hAnchor="margin" w:yAlign="bottom"/>
      <w:spacing w:line="254" w:lineRule="auto"/>
    </w:pPr>
    <w:rPr>
      <w:i/>
      <w:sz w:val="18"/>
    </w:rPr>
  </w:style>
  <w:style w:type="paragraph" w:customStyle="1" w:styleId="DisclaimerHeading">
    <w:name w:val="Disclaimer Heading"/>
    <w:basedOn w:val="DisclaimerText"/>
    <w:next w:val="DisclaimerText"/>
    <w:unhideWhenUsed/>
    <w:qFormat/>
    <w:rsid w:val="00393524"/>
    <w:pPr>
      <w:framePr w:wrap="notBeside"/>
      <w:spacing w:line="271" w:lineRule="auto"/>
    </w:pPr>
    <w:rPr>
      <w:b/>
      <w:i w:val="0"/>
      <w:sz w:val="20"/>
    </w:rPr>
  </w:style>
  <w:style w:type="paragraph" w:customStyle="1" w:styleId="DocumentDetails">
    <w:name w:val="Document Details"/>
    <w:basedOn w:val="BaseText"/>
    <w:unhideWhenUsed/>
    <w:qFormat/>
    <w:rsid w:val="00393524"/>
    <w:pPr>
      <w:spacing w:line="293" w:lineRule="auto"/>
    </w:pPr>
  </w:style>
  <w:style w:type="paragraph" w:customStyle="1" w:styleId="FooterBold">
    <w:name w:val="Footer Bold"/>
    <w:basedOn w:val="Footer"/>
    <w:unhideWhenUsed/>
    <w:qFormat/>
    <w:rsid w:val="00393524"/>
    <w:pPr>
      <w:tabs>
        <w:tab w:val="clear" w:pos="4536"/>
        <w:tab w:val="clear" w:pos="9072"/>
      </w:tabs>
      <w:spacing w:after="120" w:line="160" w:lineRule="exact"/>
      <w:jc w:val="left"/>
    </w:pPr>
    <w:rPr>
      <w:rFonts w:ascii="Arial" w:eastAsiaTheme="minorEastAsia" w:hAnsi="Arial" w:cs="Arial"/>
      <w:b/>
      <w:caps/>
      <w:color w:val="00577E"/>
      <w:sz w:val="16"/>
      <w:szCs w:val="20"/>
      <w:lang w:eastAsia="en-GB"/>
    </w:rPr>
  </w:style>
  <w:style w:type="paragraph" w:customStyle="1" w:styleId="GlossaryTerm">
    <w:name w:val="Glossary Term"/>
    <w:basedOn w:val="BaseHeadings"/>
    <w:unhideWhenUsed/>
    <w:qFormat/>
    <w:rsid w:val="00393524"/>
    <w:pPr>
      <w:spacing w:line="334" w:lineRule="auto"/>
      <w:ind w:right="113"/>
    </w:pPr>
    <w:rPr>
      <w:b/>
    </w:rPr>
  </w:style>
  <w:style w:type="paragraph" w:customStyle="1" w:styleId="GlossaryText">
    <w:name w:val="Glossary Text"/>
    <w:basedOn w:val="DocumentDetails"/>
    <w:unhideWhenUsed/>
    <w:qFormat/>
    <w:rsid w:val="00393524"/>
    <w:pPr>
      <w:spacing w:line="334" w:lineRule="auto"/>
    </w:pPr>
  </w:style>
  <w:style w:type="paragraph" w:customStyle="1" w:styleId="LegalEntity">
    <w:name w:val="Legal Entity"/>
    <w:basedOn w:val="BaseText"/>
    <w:unhideWhenUsed/>
    <w:qFormat/>
    <w:rsid w:val="00393524"/>
    <w:pPr>
      <w:spacing w:line="338" w:lineRule="auto"/>
      <w:jc w:val="right"/>
    </w:pPr>
    <w:rPr>
      <w:b/>
      <w:caps/>
      <w:sz w:val="16"/>
    </w:rPr>
  </w:style>
  <w:style w:type="numbering" w:customStyle="1" w:styleId="ListBullets">
    <w:name w:val="List Bullets"/>
    <w:uiPriority w:val="99"/>
    <w:rsid w:val="00393524"/>
    <w:pPr>
      <w:numPr>
        <w:numId w:val="17"/>
      </w:numPr>
    </w:pPr>
  </w:style>
  <w:style w:type="numbering" w:customStyle="1" w:styleId="ListHeadings">
    <w:name w:val="List Headings"/>
    <w:uiPriority w:val="99"/>
    <w:rsid w:val="00393524"/>
    <w:pPr>
      <w:numPr>
        <w:numId w:val="18"/>
      </w:numPr>
    </w:pPr>
  </w:style>
  <w:style w:type="numbering" w:customStyle="1" w:styleId="ListNumbers">
    <w:name w:val="List Numbers"/>
    <w:uiPriority w:val="99"/>
    <w:rsid w:val="00393524"/>
    <w:pPr>
      <w:numPr>
        <w:numId w:val="19"/>
      </w:numPr>
    </w:pPr>
  </w:style>
  <w:style w:type="paragraph" w:customStyle="1" w:styleId="RHDHVAddress">
    <w:name w:val="RHDHV Address"/>
    <w:basedOn w:val="BaseText"/>
    <w:link w:val="RHDHVAddressChar"/>
    <w:unhideWhenUsed/>
    <w:qFormat/>
    <w:rsid w:val="00393524"/>
    <w:pPr>
      <w:spacing w:line="312" w:lineRule="auto"/>
      <w:jc w:val="right"/>
    </w:pPr>
    <w:rPr>
      <w:sz w:val="16"/>
    </w:rPr>
  </w:style>
  <w:style w:type="paragraph" w:customStyle="1" w:styleId="RHDHVAddressLabel">
    <w:name w:val="RHDHV Address Label"/>
    <w:basedOn w:val="RHDHVAddress"/>
    <w:link w:val="RHDHVAddressLabelChar"/>
    <w:unhideWhenUsed/>
    <w:qFormat/>
    <w:rsid w:val="00393524"/>
    <w:pPr>
      <w:ind w:left="113"/>
      <w:jc w:val="left"/>
    </w:pPr>
    <w:rPr>
      <w:b/>
      <w:caps/>
      <w:color w:val="4F81BD" w:themeColor="accent1"/>
    </w:rPr>
  </w:style>
  <w:style w:type="table" w:customStyle="1" w:styleId="RHDHVOverview">
    <w:name w:val="RHDHV Overview"/>
    <w:basedOn w:val="TableNormal"/>
    <w:uiPriority w:val="99"/>
    <w:unhideWhenUsed/>
    <w:rsid w:val="00393524"/>
    <w:pPr>
      <w:spacing w:after="120" w:line="360" w:lineRule="auto"/>
    </w:pPr>
    <w:rPr>
      <w:rFonts w:asciiTheme="minorHAnsi" w:eastAsiaTheme="minorEastAsia" w:hAnsiTheme="minorHAnsi" w:cstheme="minorBidi"/>
      <w:color w:val="000000" w:themeColor="text1"/>
      <w:sz w:val="20"/>
      <w:szCs w:val="20"/>
      <w:lang w:val="en-GB" w:eastAsia="en-GB"/>
    </w:rPr>
    <w:tblPr>
      <w:tblStyleRowBandSize w:val="1"/>
      <w:tblInd w:w="113" w:type="dxa"/>
      <w:tblBorders>
        <w:top w:val="single" w:sz="4" w:space="0" w:color="auto"/>
        <w:bottom w:val="single" w:sz="4" w:space="0" w:color="000000" w:themeColor="text1"/>
        <w:insideH w:val="single" w:sz="4" w:space="0" w:color="000000" w:themeColor="text1"/>
      </w:tblBorders>
      <w:tblCellMar>
        <w:top w:w="113" w:type="dxa"/>
        <w:left w:w="113" w:type="dxa"/>
        <w:bottom w:w="113" w:type="dxa"/>
        <w:right w:w="113" w:type="dxa"/>
      </w:tblCellMar>
    </w:tblPr>
    <w:tblStylePr w:type="firstRow">
      <w:rPr>
        <w:b/>
      </w:rPr>
      <w:tblPr/>
      <w:tcPr>
        <w:tcBorders>
          <w:top w:val="nil"/>
          <w:left w:val="nil"/>
          <w:bottom w:val="nil"/>
          <w:right w:val="nil"/>
          <w:insideH w:val="nil"/>
          <w:insideV w:val="nil"/>
          <w:tl2br w:val="nil"/>
          <w:tr2bl w:val="nil"/>
        </w:tcBorders>
        <w:shd w:val="clear" w:color="auto" w:fill="DBE5F1" w:themeFill="accent1" w:themeFillTint="33"/>
      </w:tcPr>
    </w:tblStylePr>
    <w:tblStylePr w:type="band1Horz">
      <w:tblPr/>
      <w:tcPr>
        <w:tcBorders>
          <w:top w:val="nil"/>
          <w:left w:val="nil"/>
          <w:bottom w:val="nil"/>
          <w:right w:val="nil"/>
          <w:insideH w:val="nil"/>
          <w:insideV w:val="single" w:sz="8" w:space="0" w:color="FFFFFF" w:themeColor="background1"/>
          <w:tl2br w:val="nil"/>
          <w:tr2bl w:val="nil"/>
        </w:tcBorders>
        <w:shd w:val="clear" w:color="auto" w:fill="DBE5F1" w:themeFill="accent1" w:themeFillTint="33"/>
      </w:tcPr>
    </w:tblStylePr>
    <w:tblStylePr w:type="band2Horz">
      <w:tblPr/>
      <w:tcPr>
        <w:tcBorders>
          <w:top w:val="nil"/>
          <w:left w:val="nil"/>
          <w:bottom w:val="nil"/>
          <w:right w:val="nil"/>
          <w:insideH w:val="nil"/>
          <w:insideV w:val="single" w:sz="8" w:space="0" w:color="FFFFFF" w:themeColor="background1"/>
          <w:tl2br w:val="nil"/>
          <w:tr2bl w:val="nil"/>
        </w:tcBorders>
      </w:tcPr>
    </w:tblStylePr>
  </w:style>
  <w:style w:type="table" w:customStyle="1" w:styleId="RHDHVOverviewImage">
    <w:name w:val="RHDHV Overview Image"/>
    <w:basedOn w:val="TableNormal"/>
    <w:uiPriority w:val="99"/>
    <w:unhideWhenUsed/>
    <w:rsid w:val="00393524"/>
    <w:pPr>
      <w:spacing w:after="120"/>
    </w:pPr>
    <w:rPr>
      <w:rFonts w:asciiTheme="minorHAnsi" w:eastAsiaTheme="minorEastAsia" w:hAnsiTheme="minorHAnsi" w:cstheme="minorBidi"/>
      <w:color w:val="000000" w:themeColor="text1"/>
      <w:sz w:val="20"/>
      <w:szCs w:val="20"/>
      <w:lang w:val="en-GB" w:eastAsia="en-GB"/>
    </w:rPr>
    <w:tblPr>
      <w:tblCellMar>
        <w:top w:w="113" w:type="dxa"/>
        <w:left w:w="0" w:type="dxa"/>
        <w:right w:w="0" w:type="dxa"/>
      </w:tblCellMar>
    </w:tblPr>
  </w:style>
  <w:style w:type="table" w:customStyle="1" w:styleId="RHDHVTableNormal">
    <w:name w:val="RHDHV Table Normal"/>
    <w:basedOn w:val="TableNormal"/>
    <w:uiPriority w:val="99"/>
    <w:unhideWhenUsed/>
    <w:rsid w:val="00393524"/>
    <w:pPr>
      <w:spacing w:after="120" w:line="360" w:lineRule="auto"/>
    </w:pPr>
    <w:rPr>
      <w:rFonts w:asciiTheme="minorHAnsi" w:eastAsiaTheme="minorEastAsia" w:hAnsiTheme="minorHAnsi" w:cstheme="minorBidi"/>
      <w:color w:val="000000" w:themeColor="text1"/>
      <w:sz w:val="20"/>
      <w:szCs w:val="20"/>
      <w:lang w:val="en-GB" w:eastAsia="en-GB"/>
    </w:rPr>
    <w:tblPr>
      <w:tblCellMar>
        <w:top w:w="57" w:type="dxa"/>
        <w:left w:w="0" w:type="dxa"/>
        <w:bottom w:w="57" w:type="dxa"/>
        <w:right w:w="0" w:type="dxa"/>
      </w:tblCellMar>
    </w:tblPr>
    <w:tcPr>
      <w:vAlign w:val="center"/>
    </w:tcPr>
  </w:style>
  <w:style w:type="table" w:customStyle="1" w:styleId="RHDHVTableMono">
    <w:name w:val="RHDHV Table Mono"/>
    <w:basedOn w:val="RHDHVTableNormal"/>
    <w:uiPriority w:val="99"/>
    <w:semiHidden/>
    <w:unhideWhenUsed/>
    <w:rsid w:val="0039352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rPr>
        <w:b/>
      </w:rPr>
      <w:tblPr/>
      <w:trPr>
        <w:tblHeader/>
      </w:trPr>
      <w:tcPr>
        <w:tcBorders>
          <w:top w:val="single" w:sz="4" w:space="0" w:color="000000"/>
          <w:left w:val="single" w:sz="4" w:space="0" w:color="000000"/>
          <w:bottom w:val="single" w:sz="4" w:space="0" w:color="000000"/>
          <w:right w:val="single" w:sz="4" w:space="0" w:color="000000"/>
          <w:insideH w:val="nil"/>
          <w:insideV w:val="single" w:sz="4" w:space="0" w:color="FFFFFF"/>
          <w:tl2br w:val="nil"/>
          <w:tr2bl w:val="nil"/>
        </w:tcBorders>
        <w:shd w:val="clear" w:color="auto" w:fill="000000"/>
      </w:tcPr>
    </w:tblStylePr>
    <w:tblStylePr w:type="swCell">
      <w:tblPr/>
      <w:tcPr>
        <w:tcBorders>
          <w:top w:val="nil"/>
          <w:left w:val="nil"/>
          <w:bottom w:val="nil"/>
          <w:right w:val="nil"/>
          <w:insideH w:val="nil"/>
          <w:insideV w:val="nil"/>
          <w:tl2br w:val="nil"/>
          <w:tr2bl w:val="nil"/>
        </w:tcBorders>
        <w:shd w:val="clear" w:color="auto" w:fill="FFFFFF" w:themeFill="background1"/>
      </w:tcPr>
    </w:tblStylePr>
  </w:style>
  <w:style w:type="paragraph" w:customStyle="1" w:styleId="TableTextImage">
    <w:name w:val="Table Text Image"/>
    <w:basedOn w:val="TableText"/>
    <w:unhideWhenUsed/>
    <w:qFormat/>
    <w:rsid w:val="00393524"/>
    <w:pPr>
      <w:spacing w:after="120"/>
      <w:ind w:left="0" w:right="0"/>
    </w:pPr>
  </w:style>
  <w:style w:type="paragraph" w:customStyle="1" w:styleId="WebAddress">
    <w:name w:val="Web Address"/>
    <w:basedOn w:val="BaseText"/>
    <w:link w:val="WebAddressChar"/>
    <w:unhideWhenUsed/>
    <w:qFormat/>
    <w:rsid w:val="00393524"/>
    <w:pPr>
      <w:framePr w:wrap="around" w:hAnchor="margin" w:yAlign="bottom"/>
      <w:spacing w:line="266" w:lineRule="auto"/>
    </w:pPr>
    <w:rPr>
      <w:b/>
    </w:rPr>
  </w:style>
  <w:style w:type="paragraph" w:styleId="ListNumber">
    <w:name w:val="List Number"/>
    <w:basedOn w:val="BaseText"/>
    <w:uiPriority w:val="99"/>
    <w:unhideWhenUsed/>
    <w:locked/>
    <w:rsid w:val="00393524"/>
    <w:pPr>
      <w:numPr>
        <w:numId w:val="19"/>
      </w:numPr>
      <w:spacing w:before="120"/>
      <w:ind w:left="720" w:hanging="360"/>
    </w:pPr>
  </w:style>
  <w:style w:type="paragraph" w:styleId="ListNumber2">
    <w:name w:val="List Number 2"/>
    <w:basedOn w:val="BaseText"/>
    <w:unhideWhenUsed/>
    <w:qFormat/>
    <w:locked/>
    <w:rsid w:val="00393524"/>
    <w:pPr>
      <w:numPr>
        <w:ilvl w:val="1"/>
        <w:numId w:val="19"/>
      </w:numPr>
      <w:spacing w:before="80"/>
      <w:ind w:left="1800" w:hanging="360"/>
    </w:pPr>
  </w:style>
  <w:style w:type="paragraph" w:styleId="ListNumber3">
    <w:name w:val="List Number 3"/>
    <w:basedOn w:val="BaseText"/>
    <w:unhideWhenUsed/>
    <w:qFormat/>
    <w:locked/>
    <w:rsid w:val="00393524"/>
    <w:pPr>
      <w:numPr>
        <w:ilvl w:val="2"/>
        <w:numId w:val="19"/>
      </w:numPr>
      <w:spacing w:before="80" w:line="302" w:lineRule="auto"/>
      <w:ind w:left="2520" w:hanging="360"/>
    </w:pPr>
    <w:rPr>
      <w:sz w:val="18"/>
    </w:rPr>
  </w:style>
  <w:style w:type="table" w:customStyle="1" w:styleId="ColorfulGrid1">
    <w:name w:val="Colorful Grid1"/>
    <w:basedOn w:val="TableNormal"/>
    <w:uiPriority w:val="73"/>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
    <w:name w:val="Colorful List1"/>
    <w:basedOn w:val="TableNormal"/>
    <w:uiPriority w:val="72"/>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ColorfulShading1">
    <w:name w:val="Colorful Shading1"/>
    <w:basedOn w:val="TableNormal"/>
    <w:uiPriority w:val="71"/>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DarkList1">
    <w:name w:val="Dark List1"/>
    <w:basedOn w:val="TableNormal"/>
    <w:uiPriority w:val="70"/>
    <w:semiHidden/>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393524"/>
    <w:pPr>
      <w:spacing w:after="120"/>
    </w:pPr>
    <w:rPr>
      <w:rFonts w:ascii="Arial" w:eastAsiaTheme="minorEastAsia" w:hAnsi="Arial" w:cstheme="minorBidi"/>
      <w:color w:val="FFFFFF" w:themeColor="background1"/>
      <w:sz w:val="20"/>
      <w:szCs w:val="20"/>
      <w:lang w:val="en-GB" w:eastAsia="en-GB"/>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LightGrid1">
    <w:name w:val="Light Grid1"/>
    <w:basedOn w:val="TableNormal"/>
    <w:uiPriority w:val="62"/>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ghtGrid-Accent11">
    <w:name w:val="Light Grid - Accent 11"/>
    <w:basedOn w:val="TableNormal"/>
    <w:uiPriority w:val="62"/>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LightList1">
    <w:name w:val="Light List1"/>
    <w:basedOn w:val="TableNormal"/>
    <w:uiPriority w:val="61"/>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1">
    <w:name w:val="Light List - Accent 11"/>
    <w:basedOn w:val="TableNormal"/>
    <w:uiPriority w:val="61"/>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LightShading1">
    <w:name w:val="Light Shading1"/>
    <w:basedOn w:val="TableNormal"/>
    <w:uiPriority w:val="60"/>
    <w:semiHidden/>
    <w:rsid w:val="00393524"/>
    <w:pPr>
      <w:spacing w:after="120"/>
    </w:pPr>
    <w:rPr>
      <w:rFonts w:ascii="Arial" w:eastAsiaTheme="minorEastAsia" w:hAnsi="Arial" w:cstheme="minorBidi"/>
      <w:color w:val="000000" w:themeColor="text1" w:themeShade="BF"/>
      <w:sz w:val="20"/>
      <w:szCs w:val="20"/>
      <w:lang w:val="en-GB"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semiHidden/>
    <w:rsid w:val="00393524"/>
    <w:pPr>
      <w:spacing w:after="120"/>
    </w:pPr>
    <w:rPr>
      <w:rFonts w:ascii="Arial" w:eastAsiaTheme="minorEastAsia" w:hAnsi="Arial" w:cstheme="minorBidi"/>
      <w:color w:val="365F91" w:themeColor="accent1" w:themeShade="BF"/>
      <w:sz w:val="20"/>
      <w:szCs w:val="20"/>
      <w:lang w:val="en-GB" w:eastAsia="en-GB"/>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393524"/>
    <w:pPr>
      <w:spacing w:after="120"/>
    </w:pPr>
    <w:rPr>
      <w:rFonts w:ascii="Arial" w:eastAsiaTheme="minorEastAsia" w:hAnsi="Arial" w:cstheme="minorBidi"/>
      <w:color w:val="943634" w:themeColor="accent2" w:themeShade="BF"/>
      <w:sz w:val="20"/>
      <w:szCs w:val="20"/>
      <w:lang w:val="en-GB" w:eastAsia="en-GB"/>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393524"/>
    <w:pPr>
      <w:spacing w:after="120"/>
    </w:pPr>
    <w:rPr>
      <w:rFonts w:ascii="Arial" w:eastAsiaTheme="minorEastAsia" w:hAnsi="Arial" w:cstheme="minorBidi"/>
      <w:color w:val="76923C" w:themeColor="accent3" w:themeShade="BF"/>
      <w:sz w:val="20"/>
      <w:szCs w:val="20"/>
      <w:lang w:val="en-GB" w:eastAsia="en-GB"/>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393524"/>
    <w:pPr>
      <w:spacing w:after="120"/>
    </w:pPr>
    <w:rPr>
      <w:rFonts w:ascii="Arial" w:eastAsiaTheme="minorEastAsia" w:hAnsi="Arial" w:cstheme="minorBidi"/>
      <w:color w:val="5F497A" w:themeColor="accent4" w:themeShade="BF"/>
      <w:sz w:val="20"/>
      <w:szCs w:val="20"/>
      <w:lang w:val="en-GB" w:eastAsia="en-GB"/>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393524"/>
    <w:pPr>
      <w:spacing w:after="120"/>
    </w:pPr>
    <w:rPr>
      <w:rFonts w:ascii="Arial" w:eastAsiaTheme="minorEastAsia" w:hAnsi="Arial" w:cstheme="minorBidi"/>
      <w:color w:val="31849B" w:themeColor="accent5" w:themeShade="BF"/>
      <w:sz w:val="20"/>
      <w:szCs w:val="20"/>
      <w:lang w:val="en-GB" w:eastAsia="en-GB"/>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393524"/>
    <w:pPr>
      <w:spacing w:after="120"/>
    </w:pPr>
    <w:rPr>
      <w:rFonts w:ascii="Arial" w:eastAsiaTheme="minorEastAsia" w:hAnsi="Arial" w:cstheme="minorBidi"/>
      <w:color w:val="E36C0A" w:themeColor="accent6" w:themeShade="BF"/>
      <w:sz w:val="20"/>
      <w:szCs w:val="20"/>
      <w:lang w:val="en-GB" w:eastAsia="en-GB"/>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MediumGrid11">
    <w:name w:val="Medium Grid 11"/>
    <w:basedOn w:val="TableNormal"/>
    <w:uiPriority w:val="67"/>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MediumGrid21">
    <w:name w:val="Medium Grid 21"/>
    <w:basedOn w:val="TableNormal"/>
    <w:uiPriority w:val="68"/>
    <w:semiHidden/>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MediumGrid31">
    <w:name w:val="Medium Grid 31"/>
    <w:basedOn w:val="TableNormal"/>
    <w:uiPriority w:val="69"/>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MediumList11">
    <w:name w:val="Medium List 11"/>
    <w:basedOn w:val="TableNormal"/>
    <w:uiPriority w:val="65"/>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MediumList1-Accent11">
    <w:name w:val="Medium List 1 - Accent 11"/>
    <w:basedOn w:val="TableNormal"/>
    <w:uiPriority w:val="65"/>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MediumList21">
    <w:name w:val="Medium List 21"/>
    <w:basedOn w:val="TableNormal"/>
    <w:uiPriority w:val="66"/>
    <w:semiHidden/>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393524"/>
    <w:pPr>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11">
    <w:name w:val="Medium Shading 11"/>
    <w:basedOn w:val="TableNormal"/>
    <w:uiPriority w:val="63"/>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11">
    <w:name w:val="Medium Shading 1 - Accent 11"/>
    <w:basedOn w:val="TableNormal"/>
    <w:uiPriority w:val="63"/>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MediumShading21">
    <w:name w:val="Medium Shading 21"/>
    <w:basedOn w:val="TableNormal"/>
    <w:uiPriority w:val="64"/>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11">
    <w:name w:val="Medium Shading 2 - Accent 11"/>
    <w:basedOn w:val="TableNormal"/>
    <w:uiPriority w:val="64"/>
    <w:semiHidden/>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393524"/>
    <w:pPr>
      <w:spacing w:after="120"/>
    </w:pPr>
    <w:rPr>
      <w:rFonts w:ascii="Arial" w:eastAsiaTheme="minorEastAsia" w:hAnsi="Arial"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locked/>
    <w:rsid w:val="00393524"/>
    <w:pPr>
      <w:spacing w:after="120" w:line="360" w:lineRule="auto"/>
    </w:pPr>
    <w:rPr>
      <w:rFonts w:ascii="Arial" w:eastAsiaTheme="minorEastAsia" w:hAnsi="Arial" w:cstheme="minorBidi"/>
      <w:color w:val="000080"/>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locked/>
    <w:rsid w:val="00393524"/>
    <w:pPr>
      <w:spacing w:after="120" w:line="360" w:lineRule="auto"/>
    </w:pPr>
    <w:rPr>
      <w:rFonts w:ascii="Arial" w:eastAsiaTheme="minorEastAsia" w:hAnsi="Arial" w:cstheme="minorBidi"/>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locked/>
    <w:rsid w:val="00393524"/>
    <w:pPr>
      <w:spacing w:after="120" w:line="360" w:lineRule="auto"/>
    </w:pPr>
    <w:rPr>
      <w:rFonts w:ascii="Arial" w:eastAsiaTheme="minorEastAsia" w:hAnsi="Arial" w:cstheme="minorBidi"/>
      <w:b/>
      <w:bCs/>
      <w:sz w:val="20"/>
      <w:szCs w:val="20"/>
      <w:lang w:val="en-GB" w:eastAsia="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locked/>
    <w:rsid w:val="00393524"/>
    <w:pPr>
      <w:spacing w:after="120" w:line="360" w:lineRule="auto"/>
    </w:pPr>
    <w:rPr>
      <w:rFonts w:ascii="Arial" w:eastAsiaTheme="minorEastAsia" w:hAnsi="Arial" w:cstheme="minorBidi"/>
      <w:b/>
      <w:bCs/>
      <w:sz w:val="20"/>
      <w:szCs w:val="20"/>
      <w:lang w:val="en-GB" w:eastAsia="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6">
    <w:name w:val="Table Grid 1"/>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0">
    <w:name w:val="Table Grid 2"/>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0">
    <w:name w:val="Table Grid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0">
    <w:name w:val="Table Grid 5"/>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0">
    <w:name w:val="Table Grid 6"/>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0">
    <w:name w:val="Table Grid 7"/>
    <w:basedOn w:val="TableNormal"/>
    <w:uiPriority w:val="99"/>
    <w:semiHidden/>
    <w:locked/>
    <w:rsid w:val="00393524"/>
    <w:pPr>
      <w:spacing w:after="120" w:line="360" w:lineRule="auto"/>
    </w:pPr>
    <w:rPr>
      <w:rFonts w:ascii="Arial" w:eastAsiaTheme="minorEastAsia" w:hAnsi="Arial" w:cstheme="minorBidi"/>
      <w:b/>
      <w:bCs/>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0">
    <w:name w:val="Table Grid 8"/>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locked/>
    <w:rsid w:val="00393524"/>
    <w:pPr>
      <w:spacing w:after="120" w:line="360" w:lineRule="auto"/>
    </w:pPr>
    <w:rPr>
      <w:rFonts w:ascii="Arial" w:eastAsiaTheme="minorEastAsia" w:hAnsi="Arial" w:cstheme="minorBidi"/>
      <w:color w:val="000000" w:themeColor="text1"/>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locked/>
    <w:rsid w:val="00393524"/>
    <w:pPr>
      <w:spacing w:after="120" w:line="360" w:lineRule="auto"/>
    </w:pPr>
    <w:rPr>
      <w:rFonts w:ascii="Arial" w:eastAsiaTheme="minorEastAsia" w:hAnsi="Arial" w:cstheme="minorBidi"/>
      <w:sz w:val="20"/>
      <w:szCs w:val="20"/>
      <w:lang w:val="en-GB" w:eastAsia="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OverviewImage">
    <w:name w:val="Overview Image"/>
    <w:basedOn w:val="Normal"/>
    <w:unhideWhenUsed/>
    <w:qFormat/>
    <w:rsid w:val="00393524"/>
    <w:pPr>
      <w:spacing w:after="120" w:line="360" w:lineRule="auto"/>
      <w:ind w:left="-113"/>
      <w:jc w:val="left"/>
    </w:pPr>
    <w:rPr>
      <w:rFonts w:ascii="Arial" w:eastAsiaTheme="minorEastAsia" w:hAnsi="Arial" w:cstheme="minorBidi"/>
      <w:color w:val="000000" w:themeColor="text1"/>
      <w:sz w:val="20"/>
      <w:szCs w:val="20"/>
      <w:lang w:eastAsia="en-GB"/>
    </w:rPr>
  </w:style>
  <w:style w:type="paragraph" w:styleId="Bibliography">
    <w:name w:val="Bibliography"/>
    <w:basedOn w:val="Normal"/>
    <w:next w:val="Normal"/>
    <w:uiPriority w:val="37"/>
    <w:semiHidden/>
    <w:qFormat/>
    <w:rsid w:val="00393524"/>
    <w:pPr>
      <w:spacing w:after="120" w:line="360" w:lineRule="auto"/>
      <w:jc w:val="left"/>
    </w:pPr>
    <w:rPr>
      <w:rFonts w:ascii="Arial" w:eastAsiaTheme="minorEastAsia" w:hAnsi="Arial" w:cstheme="minorBidi"/>
      <w:color w:val="000000" w:themeColor="text1"/>
      <w:sz w:val="20"/>
      <w:szCs w:val="20"/>
      <w:lang w:eastAsia="en-GB"/>
    </w:rPr>
  </w:style>
  <w:style w:type="character" w:styleId="BookTitle">
    <w:name w:val="Book Title"/>
    <w:basedOn w:val="DefaultParagraphFont"/>
    <w:uiPriority w:val="33"/>
    <w:qFormat/>
    <w:rsid w:val="00393524"/>
    <w:rPr>
      <w:b/>
      <w:bCs/>
      <w:smallCaps/>
      <w:spacing w:val="5"/>
      <w:lang w:val="en-GB"/>
    </w:rPr>
  </w:style>
  <w:style w:type="paragraph" w:styleId="Closing">
    <w:name w:val="Closing"/>
    <w:basedOn w:val="Normal"/>
    <w:link w:val="ClosingChar"/>
    <w:uiPriority w:val="99"/>
    <w:semiHidden/>
    <w:qFormat/>
    <w:locked/>
    <w:rsid w:val="00393524"/>
    <w:pPr>
      <w:spacing w:after="120" w:line="240" w:lineRule="auto"/>
      <w:ind w:left="4252"/>
      <w:jc w:val="left"/>
    </w:pPr>
    <w:rPr>
      <w:rFonts w:ascii="Arial" w:eastAsiaTheme="minorEastAsia" w:hAnsi="Arial" w:cstheme="minorBidi"/>
      <w:color w:val="000000" w:themeColor="text1"/>
      <w:sz w:val="20"/>
      <w:szCs w:val="20"/>
      <w:lang w:eastAsia="en-GB"/>
    </w:rPr>
  </w:style>
  <w:style w:type="character" w:customStyle="1" w:styleId="ClosingChar">
    <w:name w:val="Closing Char"/>
    <w:basedOn w:val="DefaultParagraphFont"/>
    <w:link w:val="Closing"/>
    <w:uiPriority w:val="99"/>
    <w:semiHidden/>
    <w:qFormat/>
    <w:rsid w:val="00393524"/>
    <w:rPr>
      <w:rFonts w:ascii="Arial" w:eastAsiaTheme="minorEastAsia" w:hAnsi="Arial" w:cstheme="minorBidi"/>
      <w:color w:val="000000" w:themeColor="text1"/>
      <w:sz w:val="20"/>
      <w:szCs w:val="20"/>
      <w:lang w:val="en-GB" w:eastAsia="en-GB"/>
    </w:rPr>
  </w:style>
  <w:style w:type="paragraph" w:styleId="Date">
    <w:name w:val="Date"/>
    <w:basedOn w:val="Normal"/>
    <w:next w:val="Normal"/>
    <w:link w:val="DateChar"/>
    <w:semiHidden/>
    <w:qFormat/>
    <w:locked/>
    <w:rsid w:val="00393524"/>
    <w:pPr>
      <w:spacing w:after="120" w:line="360" w:lineRule="auto"/>
      <w:jc w:val="left"/>
    </w:pPr>
    <w:rPr>
      <w:rFonts w:ascii="Arial" w:eastAsiaTheme="minorEastAsia" w:hAnsi="Arial" w:cstheme="minorBidi"/>
      <w:color w:val="000000" w:themeColor="text1"/>
      <w:sz w:val="20"/>
      <w:szCs w:val="20"/>
      <w:lang w:eastAsia="en-GB"/>
    </w:rPr>
  </w:style>
  <w:style w:type="character" w:customStyle="1" w:styleId="DateChar">
    <w:name w:val="Date Char"/>
    <w:basedOn w:val="DefaultParagraphFont"/>
    <w:link w:val="Date"/>
    <w:semiHidden/>
    <w:qFormat/>
    <w:rsid w:val="00393524"/>
    <w:rPr>
      <w:rFonts w:ascii="Arial" w:eastAsiaTheme="minorEastAsia" w:hAnsi="Arial" w:cstheme="minorBidi"/>
      <w:color w:val="000000" w:themeColor="text1"/>
      <w:sz w:val="20"/>
      <w:szCs w:val="20"/>
      <w:lang w:val="en-GB" w:eastAsia="en-GB"/>
    </w:rPr>
  </w:style>
  <w:style w:type="paragraph" w:styleId="E-mailSignature">
    <w:name w:val="E-mail Signature"/>
    <w:basedOn w:val="Normal"/>
    <w:link w:val="E-mailSignatureChar"/>
    <w:uiPriority w:val="99"/>
    <w:semiHidden/>
    <w:qFormat/>
    <w:locked/>
    <w:rsid w:val="00393524"/>
    <w:pPr>
      <w:spacing w:after="120" w:line="240" w:lineRule="auto"/>
      <w:jc w:val="left"/>
    </w:pPr>
    <w:rPr>
      <w:rFonts w:ascii="Arial" w:eastAsiaTheme="minorEastAsia" w:hAnsi="Arial" w:cstheme="minorBidi"/>
      <w:color w:val="000000" w:themeColor="text1"/>
      <w:sz w:val="20"/>
      <w:szCs w:val="20"/>
      <w:lang w:eastAsia="en-GB"/>
    </w:rPr>
  </w:style>
  <w:style w:type="character" w:customStyle="1" w:styleId="E-mailSignatureChar">
    <w:name w:val="E-mail Signature Char"/>
    <w:basedOn w:val="DefaultParagraphFont"/>
    <w:link w:val="E-mailSignature"/>
    <w:uiPriority w:val="99"/>
    <w:semiHidden/>
    <w:qFormat/>
    <w:rsid w:val="00393524"/>
    <w:rPr>
      <w:rFonts w:ascii="Arial" w:eastAsiaTheme="minorEastAsia" w:hAnsi="Arial" w:cstheme="minorBidi"/>
      <w:color w:val="000000" w:themeColor="text1"/>
      <w:sz w:val="20"/>
      <w:szCs w:val="20"/>
      <w:lang w:val="en-GB" w:eastAsia="en-GB"/>
    </w:rPr>
  </w:style>
  <w:style w:type="character" w:styleId="EndnoteReference">
    <w:name w:val="endnote reference"/>
    <w:basedOn w:val="DefaultParagraphFont"/>
    <w:semiHidden/>
    <w:locked/>
    <w:rsid w:val="00393524"/>
    <w:rPr>
      <w:vertAlign w:val="superscript"/>
      <w:lang w:val="en-GB"/>
    </w:rPr>
  </w:style>
  <w:style w:type="paragraph" w:styleId="EndnoteText">
    <w:name w:val="endnote text"/>
    <w:basedOn w:val="Normal"/>
    <w:link w:val="EndnoteTextChar"/>
    <w:semiHidden/>
    <w:locked/>
    <w:rsid w:val="00393524"/>
    <w:pPr>
      <w:spacing w:after="120" w:line="240" w:lineRule="auto"/>
      <w:jc w:val="left"/>
    </w:pPr>
    <w:rPr>
      <w:rFonts w:ascii="Arial" w:eastAsiaTheme="minorEastAsia" w:hAnsi="Arial" w:cstheme="minorBidi"/>
      <w:color w:val="000000" w:themeColor="text1"/>
      <w:sz w:val="20"/>
      <w:szCs w:val="20"/>
      <w:lang w:eastAsia="en-GB"/>
    </w:rPr>
  </w:style>
  <w:style w:type="character" w:customStyle="1" w:styleId="EndnoteTextChar">
    <w:name w:val="Endnote Text Char"/>
    <w:basedOn w:val="DefaultParagraphFont"/>
    <w:link w:val="EndnoteText"/>
    <w:semiHidden/>
    <w:qFormat/>
    <w:rsid w:val="00393524"/>
    <w:rPr>
      <w:rFonts w:ascii="Arial" w:eastAsiaTheme="minorEastAsia" w:hAnsi="Arial" w:cstheme="minorBidi"/>
      <w:color w:val="000000" w:themeColor="text1"/>
      <w:sz w:val="20"/>
      <w:szCs w:val="20"/>
      <w:lang w:val="en-GB" w:eastAsia="en-GB"/>
    </w:rPr>
  </w:style>
  <w:style w:type="paragraph" w:styleId="EnvelopeAddress">
    <w:name w:val="envelope address"/>
    <w:basedOn w:val="Normal"/>
    <w:uiPriority w:val="99"/>
    <w:semiHidden/>
    <w:qFormat/>
    <w:locked/>
    <w:rsid w:val="00393524"/>
    <w:pPr>
      <w:framePr w:w="7920" w:h="1980" w:hRule="exact" w:hSpace="180" w:wrap="auto" w:hAnchor="page" w:xAlign="center" w:yAlign="bottom"/>
      <w:spacing w:after="120" w:line="240" w:lineRule="auto"/>
      <w:ind w:left="2880"/>
      <w:jc w:val="left"/>
    </w:pPr>
    <w:rPr>
      <w:rFonts w:asciiTheme="majorHAnsi" w:eastAsiaTheme="majorEastAsia" w:hAnsiTheme="majorHAnsi" w:cstheme="majorBidi"/>
      <w:color w:val="000000" w:themeColor="text1"/>
      <w:sz w:val="24"/>
      <w:szCs w:val="24"/>
      <w:lang w:eastAsia="en-GB"/>
    </w:rPr>
  </w:style>
  <w:style w:type="paragraph" w:styleId="EnvelopeReturn">
    <w:name w:val="envelope return"/>
    <w:basedOn w:val="Normal"/>
    <w:uiPriority w:val="99"/>
    <w:semiHidden/>
    <w:qFormat/>
    <w:locked/>
    <w:rsid w:val="00393524"/>
    <w:pPr>
      <w:spacing w:after="120" w:line="240" w:lineRule="auto"/>
      <w:jc w:val="left"/>
    </w:pPr>
    <w:rPr>
      <w:rFonts w:asciiTheme="majorHAnsi" w:eastAsiaTheme="majorEastAsia" w:hAnsiTheme="majorHAnsi" w:cstheme="majorBidi"/>
      <w:color w:val="000000" w:themeColor="text1"/>
      <w:sz w:val="20"/>
      <w:szCs w:val="20"/>
      <w:lang w:eastAsia="en-GB"/>
    </w:rPr>
  </w:style>
  <w:style w:type="character" w:styleId="HTMLAcronym">
    <w:name w:val="HTML Acronym"/>
    <w:basedOn w:val="DefaultParagraphFont"/>
    <w:uiPriority w:val="99"/>
    <w:semiHidden/>
    <w:qFormat/>
    <w:locked/>
    <w:rsid w:val="00393524"/>
    <w:rPr>
      <w:lang w:val="en-GB"/>
    </w:rPr>
  </w:style>
  <w:style w:type="paragraph" w:styleId="HTMLAddress">
    <w:name w:val="HTML Address"/>
    <w:basedOn w:val="Normal"/>
    <w:link w:val="HTMLAddressChar"/>
    <w:uiPriority w:val="99"/>
    <w:semiHidden/>
    <w:qFormat/>
    <w:locked/>
    <w:rsid w:val="00393524"/>
    <w:pPr>
      <w:spacing w:after="120" w:line="240" w:lineRule="auto"/>
      <w:jc w:val="left"/>
    </w:pPr>
    <w:rPr>
      <w:rFonts w:ascii="Arial" w:eastAsiaTheme="minorEastAsia" w:hAnsi="Arial" w:cstheme="minorBidi"/>
      <w:i/>
      <w:iCs/>
      <w:color w:val="000000" w:themeColor="text1"/>
      <w:sz w:val="20"/>
      <w:szCs w:val="20"/>
      <w:lang w:eastAsia="en-GB"/>
    </w:rPr>
  </w:style>
  <w:style w:type="character" w:customStyle="1" w:styleId="HTMLAddressChar">
    <w:name w:val="HTML Address Char"/>
    <w:basedOn w:val="DefaultParagraphFont"/>
    <w:link w:val="HTMLAddress"/>
    <w:uiPriority w:val="99"/>
    <w:semiHidden/>
    <w:qFormat/>
    <w:rsid w:val="00393524"/>
    <w:rPr>
      <w:rFonts w:ascii="Arial" w:eastAsiaTheme="minorEastAsia" w:hAnsi="Arial" w:cstheme="minorBidi"/>
      <w:i/>
      <w:iCs/>
      <w:color w:val="000000" w:themeColor="text1"/>
      <w:sz w:val="20"/>
      <w:szCs w:val="20"/>
      <w:lang w:val="en-GB" w:eastAsia="en-GB"/>
    </w:rPr>
  </w:style>
  <w:style w:type="character" w:styleId="HTMLCite">
    <w:name w:val="HTML Cite"/>
    <w:basedOn w:val="DefaultParagraphFont"/>
    <w:uiPriority w:val="99"/>
    <w:semiHidden/>
    <w:qFormat/>
    <w:locked/>
    <w:rsid w:val="00393524"/>
    <w:rPr>
      <w:i/>
      <w:iCs/>
      <w:lang w:val="en-GB"/>
    </w:rPr>
  </w:style>
  <w:style w:type="character" w:styleId="HTMLCode">
    <w:name w:val="HTML Code"/>
    <w:basedOn w:val="DefaultParagraphFont"/>
    <w:uiPriority w:val="99"/>
    <w:semiHidden/>
    <w:qFormat/>
    <w:locked/>
    <w:rsid w:val="00393524"/>
    <w:rPr>
      <w:rFonts w:ascii="Consolas" w:hAnsi="Consolas" w:cs="Consolas"/>
      <w:sz w:val="20"/>
      <w:szCs w:val="20"/>
      <w:lang w:val="en-GB"/>
    </w:rPr>
  </w:style>
  <w:style w:type="character" w:styleId="HTMLDefinition">
    <w:name w:val="HTML Definition"/>
    <w:basedOn w:val="DefaultParagraphFont"/>
    <w:uiPriority w:val="99"/>
    <w:semiHidden/>
    <w:qFormat/>
    <w:locked/>
    <w:rsid w:val="00393524"/>
    <w:rPr>
      <w:i/>
      <w:iCs/>
      <w:lang w:val="en-GB"/>
    </w:rPr>
  </w:style>
  <w:style w:type="character" w:styleId="HTMLKeyboard">
    <w:name w:val="HTML Keyboard"/>
    <w:basedOn w:val="DefaultParagraphFont"/>
    <w:uiPriority w:val="99"/>
    <w:semiHidden/>
    <w:qFormat/>
    <w:locked/>
    <w:rsid w:val="00393524"/>
    <w:rPr>
      <w:rFonts w:ascii="Consolas" w:hAnsi="Consolas" w:cs="Consolas"/>
      <w:sz w:val="20"/>
      <w:szCs w:val="20"/>
      <w:lang w:val="en-GB"/>
    </w:rPr>
  </w:style>
  <w:style w:type="character" w:styleId="HTMLSample">
    <w:name w:val="HTML Sample"/>
    <w:basedOn w:val="DefaultParagraphFont"/>
    <w:uiPriority w:val="99"/>
    <w:semiHidden/>
    <w:qFormat/>
    <w:locked/>
    <w:rsid w:val="00393524"/>
    <w:rPr>
      <w:rFonts w:ascii="Consolas" w:hAnsi="Consolas" w:cs="Consolas"/>
      <w:sz w:val="24"/>
      <w:szCs w:val="24"/>
      <w:lang w:val="en-GB"/>
    </w:rPr>
  </w:style>
  <w:style w:type="character" w:styleId="HTMLTypewriter">
    <w:name w:val="HTML Typewriter"/>
    <w:basedOn w:val="DefaultParagraphFont"/>
    <w:uiPriority w:val="99"/>
    <w:semiHidden/>
    <w:qFormat/>
    <w:locked/>
    <w:rsid w:val="00393524"/>
    <w:rPr>
      <w:rFonts w:ascii="Consolas" w:hAnsi="Consolas" w:cs="Consolas"/>
      <w:sz w:val="20"/>
      <w:szCs w:val="20"/>
      <w:lang w:val="en-GB"/>
    </w:rPr>
  </w:style>
  <w:style w:type="character" w:styleId="HTMLVariable">
    <w:name w:val="HTML Variable"/>
    <w:basedOn w:val="DefaultParagraphFont"/>
    <w:uiPriority w:val="99"/>
    <w:semiHidden/>
    <w:qFormat/>
    <w:locked/>
    <w:rsid w:val="00393524"/>
    <w:rPr>
      <w:i/>
      <w:iCs/>
      <w:lang w:val="en-GB"/>
    </w:rPr>
  </w:style>
  <w:style w:type="paragraph" w:styleId="Index1">
    <w:name w:val="index 1"/>
    <w:basedOn w:val="Normal"/>
    <w:next w:val="Normal"/>
    <w:autoRedefine/>
    <w:uiPriority w:val="99"/>
    <w:semiHidden/>
    <w:qFormat/>
    <w:locked/>
    <w:rsid w:val="00393524"/>
    <w:pPr>
      <w:spacing w:after="120" w:line="240" w:lineRule="auto"/>
      <w:ind w:left="200" w:hanging="200"/>
      <w:jc w:val="left"/>
    </w:pPr>
    <w:rPr>
      <w:rFonts w:ascii="Arial" w:eastAsiaTheme="minorEastAsia" w:hAnsi="Arial" w:cstheme="minorBidi"/>
      <w:color w:val="000000" w:themeColor="text1"/>
      <w:sz w:val="20"/>
      <w:szCs w:val="20"/>
      <w:lang w:eastAsia="en-GB"/>
    </w:rPr>
  </w:style>
  <w:style w:type="paragraph" w:styleId="Index2">
    <w:name w:val="index 2"/>
    <w:basedOn w:val="Normal"/>
    <w:next w:val="Normal"/>
    <w:autoRedefine/>
    <w:uiPriority w:val="99"/>
    <w:semiHidden/>
    <w:qFormat/>
    <w:locked/>
    <w:rsid w:val="00393524"/>
    <w:pPr>
      <w:spacing w:after="120" w:line="240" w:lineRule="auto"/>
      <w:ind w:left="400" w:hanging="200"/>
      <w:jc w:val="left"/>
    </w:pPr>
    <w:rPr>
      <w:rFonts w:ascii="Arial" w:eastAsiaTheme="minorEastAsia" w:hAnsi="Arial" w:cstheme="minorBidi"/>
      <w:color w:val="000000" w:themeColor="text1"/>
      <w:sz w:val="20"/>
      <w:szCs w:val="20"/>
      <w:lang w:eastAsia="en-GB"/>
    </w:rPr>
  </w:style>
  <w:style w:type="paragraph" w:styleId="Index3">
    <w:name w:val="index 3"/>
    <w:basedOn w:val="Normal"/>
    <w:next w:val="Normal"/>
    <w:autoRedefine/>
    <w:uiPriority w:val="99"/>
    <w:semiHidden/>
    <w:qFormat/>
    <w:locked/>
    <w:rsid w:val="00393524"/>
    <w:pPr>
      <w:spacing w:after="120" w:line="240" w:lineRule="auto"/>
      <w:ind w:left="600" w:hanging="200"/>
      <w:jc w:val="left"/>
    </w:pPr>
    <w:rPr>
      <w:rFonts w:ascii="Arial" w:eastAsiaTheme="minorEastAsia" w:hAnsi="Arial" w:cstheme="minorBidi"/>
      <w:color w:val="000000" w:themeColor="text1"/>
      <w:sz w:val="20"/>
      <w:szCs w:val="20"/>
      <w:lang w:eastAsia="en-GB"/>
    </w:rPr>
  </w:style>
  <w:style w:type="paragraph" w:styleId="Index4">
    <w:name w:val="index 4"/>
    <w:basedOn w:val="Normal"/>
    <w:next w:val="Normal"/>
    <w:autoRedefine/>
    <w:uiPriority w:val="99"/>
    <w:semiHidden/>
    <w:qFormat/>
    <w:locked/>
    <w:rsid w:val="00393524"/>
    <w:pPr>
      <w:spacing w:after="120" w:line="240" w:lineRule="auto"/>
      <w:ind w:left="800" w:hanging="200"/>
      <w:jc w:val="left"/>
    </w:pPr>
    <w:rPr>
      <w:rFonts w:ascii="Arial" w:eastAsiaTheme="minorEastAsia" w:hAnsi="Arial" w:cstheme="minorBidi"/>
      <w:color w:val="000000" w:themeColor="text1"/>
      <w:sz w:val="20"/>
      <w:szCs w:val="20"/>
      <w:lang w:eastAsia="en-GB"/>
    </w:rPr>
  </w:style>
  <w:style w:type="paragraph" w:styleId="Index5">
    <w:name w:val="index 5"/>
    <w:basedOn w:val="Normal"/>
    <w:next w:val="Normal"/>
    <w:autoRedefine/>
    <w:uiPriority w:val="99"/>
    <w:semiHidden/>
    <w:qFormat/>
    <w:locked/>
    <w:rsid w:val="00393524"/>
    <w:pPr>
      <w:spacing w:after="120" w:line="240" w:lineRule="auto"/>
      <w:ind w:left="1000" w:hanging="200"/>
      <w:jc w:val="left"/>
    </w:pPr>
    <w:rPr>
      <w:rFonts w:ascii="Arial" w:eastAsiaTheme="minorEastAsia" w:hAnsi="Arial" w:cstheme="minorBidi"/>
      <w:color w:val="000000" w:themeColor="text1"/>
      <w:sz w:val="20"/>
      <w:szCs w:val="20"/>
      <w:lang w:eastAsia="en-GB"/>
    </w:rPr>
  </w:style>
  <w:style w:type="paragraph" w:styleId="Index6">
    <w:name w:val="index 6"/>
    <w:basedOn w:val="Normal"/>
    <w:next w:val="Normal"/>
    <w:autoRedefine/>
    <w:uiPriority w:val="99"/>
    <w:semiHidden/>
    <w:qFormat/>
    <w:locked/>
    <w:rsid w:val="00393524"/>
    <w:pPr>
      <w:spacing w:after="120" w:line="240" w:lineRule="auto"/>
      <w:ind w:left="1200" w:hanging="200"/>
      <w:jc w:val="left"/>
    </w:pPr>
    <w:rPr>
      <w:rFonts w:ascii="Arial" w:eastAsiaTheme="minorEastAsia" w:hAnsi="Arial" w:cstheme="minorBidi"/>
      <w:color w:val="000000" w:themeColor="text1"/>
      <w:sz w:val="20"/>
      <w:szCs w:val="20"/>
      <w:lang w:eastAsia="en-GB"/>
    </w:rPr>
  </w:style>
  <w:style w:type="paragraph" w:styleId="Index7">
    <w:name w:val="index 7"/>
    <w:basedOn w:val="Normal"/>
    <w:next w:val="Normal"/>
    <w:autoRedefine/>
    <w:uiPriority w:val="99"/>
    <w:semiHidden/>
    <w:qFormat/>
    <w:locked/>
    <w:rsid w:val="00393524"/>
    <w:pPr>
      <w:spacing w:after="120" w:line="240" w:lineRule="auto"/>
      <w:ind w:left="1400" w:hanging="200"/>
      <w:jc w:val="left"/>
    </w:pPr>
    <w:rPr>
      <w:rFonts w:ascii="Arial" w:eastAsiaTheme="minorEastAsia" w:hAnsi="Arial" w:cstheme="minorBidi"/>
      <w:color w:val="000000" w:themeColor="text1"/>
      <w:sz w:val="20"/>
      <w:szCs w:val="20"/>
      <w:lang w:eastAsia="en-GB"/>
    </w:rPr>
  </w:style>
  <w:style w:type="paragraph" w:styleId="Index8">
    <w:name w:val="index 8"/>
    <w:basedOn w:val="Normal"/>
    <w:next w:val="Normal"/>
    <w:autoRedefine/>
    <w:uiPriority w:val="99"/>
    <w:semiHidden/>
    <w:qFormat/>
    <w:locked/>
    <w:rsid w:val="00393524"/>
    <w:pPr>
      <w:spacing w:after="120" w:line="240" w:lineRule="auto"/>
      <w:ind w:left="1600" w:hanging="200"/>
      <w:jc w:val="left"/>
    </w:pPr>
    <w:rPr>
      <w:rFonts w:ascii="Arial" w:eastAsiaTheme="minorEastAsia" w:hAnsi="Arial" w:cstheme="minorBidi"/>
      <w:color w:val="000000" w:themeColor="text1"/>
      <w:sz w:val="20"/>
      <w:szCs w:val="20"/>
      <w:lang w:eastAsia="en-GB"/>
    </w:rPr>
  </w:style>
  <w:style w:type="paragraph" w:styleId="Index9">
    <w:name w:val="index 9"/>
    <w:basedOn w:val="Normal"/>
    <w:next w:val="Normal"/>
    <w:autoRedefine/>
    <w:uiPriority w:val="99"/>
    <w:semiHidden/>
    <w:qFormat/>
    <w:locked/>
    <w:rsid w:val="00393524"/>
    <w:pPr>
      <w:spacing w:after="120" w:line="240" w:lineRule="auto"/>
      <w:ind w:left="1800" w:hanging="200"/>
      <w:jc w:val="left"/>
    </w:pPr>
    <w:rPr>
      <w:rFonts w:ascii="Arial" w:eastAsiaTheme="minorEastAsia" w:hAnsi="Arial" w:cstheme="minorBidi"/>
      <w:color w:val="000000" w:themeColor="text1"/>
      <w:sz w:val="20"/>
      <w:szCs w:val="20"/>
      <w:lang w:eastAsia="en-GB"/>
    </w:rPr>
  </w:style>
  <w:style w:type="paragraph" w:styleId="IndexHeading">
    <w:name w:val="index heading"/>
    <w:basedOn w:val="Normal"/>
    <w:next w:val="Index1"/>
    <w:uiPriority w:val="99"/>
    <w:semiHidden/>
    <w:qFormat/>
    <w:locked/>
    <w:rsid w:val="00393524"/>
    <w:pPr>
      <w:spacing w:after="120" w:line="360" w:lineRule="auto"/>
      <w:jc w:val="left"/>
    </w:pPr>
    <w:rPr>
      <w:rFonts w:asciiTheme="majorHAnsi" w:eastAsiaTheme="majorEastAsia" w:hAnsiTheme="majorHAnsi" w:cstheme="majorBidi"/>
      <w:b/>
      <w:bCs/>
      <w:color w:val="000000" w:themeColor="text1"/>
      <w:sz w:val="20"/>
      <w:szCs w:val="20"/>
      <w:lang w:eastAsia="en-GB"/>
    </w:rPr>
  </w:style>
  <w:style w:type="character" w:styleId="IntenseEmphasis">
    <w:name w:val="Intense Emphasis"/>
    <w:basedOn w:val="DefaultParagraphFont"/>
    <w:uiPriority w:val="21"/>
    <w:qFormat/>
    <w:rsid w:val="00393524"/>
    <w:rPr>
      <w:b/>
      <w:bCs/>
      <w:i/>
      <w:iCs/>
      <w:color w:val="4F81BD" w:themeColor="accent1"/>
      <w:lang w:val="en-GB"/>
    </w:rPr>
  </w:style>
  <w:style w:type="paragraph" w:styleId="IntenseQuote">
    <w:name w:val="Intense Quote"/>
    <w:basedOn w:val="Normal"/>
    <w:next w:val="Normal"/>
    <w:link w:val="IntenseQuoteChar"/>
    <w:uiPriority w:val="30"/>
    <w:qFormat/>
    <w:rsid w:val="00393524"/>
    <w:pPr>
      <w:pBdr>
        <w:bottom w:val="single" w:sz="4" w:space="4" w:color="4F81BD" w:themeColor="accent1"/>
      </w:pBdr>
      <w:spacing w:before="200" w:after="280" w:line="360" w:lineRule="auto"/>
      <w:ind w:left="936" w:right="936"/>
      <w:jc w:val="left"/>
    </w:pPr>
    <w:rPr>
      <w:rFonts w:ascii="Arial" w:eastAsiaTheme="minorEastAsia" w:hAnsi="Arial" w:cstheme="minorBidi"/>
      <w:b/>
      <w:bCs/>
      <w:i/>
      <w:iCs/>
      <w:color w:val="4F81BD" w:themeColor="accent1"/>
      <w:sz w:val="20"/>
      <w:szCs w:val="20"/>
      <w:lang w:eastAsia="en-GB"/>
    </w:rPr>
  </w:style>
  <w:style w:type="character" w:customStyle="1" w:styleId="IntenseQuoteChar">
    <w:name w:val="Intense Quote Char"/>
    <w:basedOn w:val="DefaultParagraphFont"/>
    <w:link w:val="IntenseQuote"/>
    <w:uiPriority w:val="30"/>
    <w:qFormat/>
    <w:rsid w:val="00393524"/>
    <w:rPr>
      <w:rFonts w:ascii="Arial" w:eastAsiaTheme="minorEastAsia" w:hAnsi="Arial" w:cstheme="minorBidi"/>
      <w:b/>
      <w:bCs/>
      <w:i/>
      <w:iCs/>
      <w:color w:val="4F81BD" w:themeColor="accent1"/>
      <w:sz w:val="20"/>
      <w:szCs w:val="20"/>
      <w:lang w:val="en-GB" w:eastAsia="en-GB"/>
    </w:rPr>
  </w:style>
  <w:style w:type="character" w:styleId="IntenseReference">
    <w:name w:val="Intense Reference"/>
    <w:basedOn w:val="DefaultParagraphFont"/>
    <w:uiPriority w:val="32"/>
    <w:qFormat/>
    <w:rsid w:val="00393524"/>
    <w:rPr>
      <w:b/>
      <w:bCs/>
      <w:smallCaps/>
      <w:color w:val="C0504D" w:themeColor="accent2"/>
      <w:spacing w:val="5"/>
      <w:u w:val="single"/>
      <w:lang w:val="en-GB"/>
    </w:rPr>
  </w:style>
  <w:style w:type="character" w:styleId="LineNumber">
    <w:name w:val="line number"/>
    <w:basedOn w:val="DefaultParagraphFont"/>
    <w:uiPriority w:val="99"/>
    <w:semiHidden/>
    <w:qFormat/>
    <w:locked/>
    <w:rsid w:val="00393524"/>
    <w:rPr>
      <w:lang w:val="en-GB"/>
    </w:rPr>
  </w:style>
  <w:style w:type="paragraph" w:styleId="List3">
    <w:name w:val="List 3"/>
    <w:basedOn w:val="Normal"/>
    <w:uiPriority w:val="99"/>
    <w:semiHidden/>
    <w:locked/>
    <w:rsid w:val="00393524"/>
    <w:pPr>
      <w:spacing w:after="120" w:line="360" w:lineRule="auto"/>
      <w:ind w:left="849" w:hanging="283"/>
      <w:contextualSpacing/>
      <w:jc w:val="left"/>
    </w:pPr>
    <w:rPr>
      <w:rFonts w:ascii="Arial" w:eastAsiaTheme="minorEastAsia" w:hAnsi="Arial" w:cstheme="minorBidi"/>
      <w:color w:val="000000" w:themeColor="text1"/>
      <w:sz w:val="20"/>
      <w:szCs w:val="20"/>
      <w:lang w:eastAsia="en-GB"/>
    </w:rPr>
  </w:style>
  <w:style w:type="paragraph" w:styleId="List4">
    <w:name w:val="List 4"/>
    <w:basedOn w:val="Normal"/>
    <w:uiPriority w:val="99"/>
    <w:semiHidden/>
    <w:locked/>
    <w:rsid w:val="00393524"/>
    <w:pPr>
      <w:spacing w:after="120" w:line="360" w:lineRule="auto"/>
      <w:ind w:left="1132" w:hanging="283"/>
      <w:contextualSpacing/>
      <w:jc w:val="left"/>
    </w:pPr>
    <w:rPr>
      <w:rFonts w:ascii="Arial" w:eastAsiaTheme="minorEastAsia" w:hAnsi="Arial" w:cstheme="minorBidi"/>
      <w:color w:val="000000" w:themeColor="text1"/>
      <w:sz w:val="20"/>
      <w:szCs w:val="20"/>
      <w:lang w:eastAsia="en-GB"/>
    </w:rPr>
  </w:style>
  <w:style w:type="paragraph" w:styleId="List5">
    <w:name w:val="List 5"/>
    <w:basedOn w:val="Normal"/>
    <w:uiPriority w:val="99"/>
    <w:semiHidden/>
    <w:locked/>
    <w:rsid w:val="00393524"/>
    <w:pPr>
      <w:spacing w:after="120" w:line="360" w:lineRule="auto"/>
      <w:ind w:left="1415" w:hanging="283"/>
      <w:contextualSpacing/>
      <w:jc w:val="left"/>
    </w:pPr>
    <w:rPr>
      <w:rFonts w:ascii="Arial" w:eastAsiaTheme="minorEastAsia" w:hAnsi="Arial" w:cstheme="minorBidi"/>
      <w:color w:val="000000" w:themeColor="text1"/>
      <w:sz w:val="20"/>
      <w:szCs w:val="20"/>
      <w:lang w:eastAsia="en-GB"/>
    </w:rPr>
  </w:style>
  <w:style w:type="paragraph" w:styleId="ListBullet4">
    <w:name w:val="List Bullet 4"/>
    <w:basedOn w:val="BaseText"/>
    <w:uiPriority w:val="99"/>
    <w:qFormat/>
    <w:locked/>
    <w:rsid w:val="00393524"/>
    <w:pPr>
      <w:ind w:left="3228" w:hanging="360"/>
    </w:pPr>
  </w:style>
  <w:style w:type="paragraph" w:styleId="ListBullet5">
    <w:name w:val="List Bullet 5"/>
    <w:basedOn w:val="Normal"/>
    <w:uiPriority w:val="99"/>
    <w:semiHidden/>
    <w:qFormat/>
    <w:locked/>
    <w:rsid w:val="00393524"/>
    <w:pPr>
      <w:numPr>
        <w:numId w:val="20"/>
      </w:numPr>
      <w:spacing w:after="120" w:line="360" w:lineRule="auto"/>
      <w:contextualSpacing/>
      <w:jc w:val="left"/>
    </w:pPr>
    <w:rPr>
      <w:rFonts w:ascii="Arial" w:eastAsiaTheme="minorEastAsia" w:hAnsi="Arial" w:cstheme="minorBidi"/>
      <w:color w:val="000000" w:themeColor="text1"/>
      <w:sz w:val="20"/>
      <w:szCs w:val="20"/>
      <w:lang w:eastAsia="en-GB"/>
    </w:rPr>
  </w:style>
  <w:style w:type="paragraph" w:styleId="ListContinue">
    <w:name w:val="List Continue"/>
    <w:basedOn w:val="Normal"/>
    <w:uiPriority w:val="99"/>
    <w:semiHidden/>
    <w:qFormat/>
    <w:locked/>
    <w:rsid w:val="00393524"/>
    <w:pPr>
      <w:spacing w:after="120" w:line="360" w:lineRule="auto"/>
      <w:ind w:left="283"/>
      <w:contextualSpacing/>
      <w:jc w:val="left"/>
    </w:pPr>
    <w:rPr>
      <w:rFonts w:ascii="Arial" w:eastAsiaTheme="minorEastAsia" w:hAnsi="Arial" w:cstheme="minorBidi"/>
      <w:color w:val="000000" w:themeColor="text1"/>
      <w:sz w:val="20"/>
      <w:szCs w:val="20"/>
      <w:lang w:eastAsia="en-GB"/>
    </w:rPr>
  </w:style>
  <w:style w:type="paragraph" w:styleId="ListContinue2">
    <w:name w:val="List Continue 2"/>
    <w:basedOn w:val="Normal"/>
    <w:uiPriority w:val="99"/>
    <w:semiHidden/>
    <w:qFormat/>
    <w:locked/>
    <w:rsid w:val="00393524"/>
    <w:pPr>
      <w:spacing w:after="120" w:line="360" w:lineRule="auto"/>
      <w:ind w:left="566"/>
      <w:contextualSpacing/>
      <w:jc w:val="left"/>
    </w:pPr>
    <w:rPr>
      <w:rFonts w:ascii="Arial" w:eastAsiaTheme="minorEastAsia" w:hAnsi="Arial" w:cstheme="minorBidi"/>
      <w:color w:val="000000" w:themeColor="text1"/>
      <w:sz w:val="20"/>
      <w:szCs w:val="20"/>
      <w:lang w:eastAsia="en-GB"/>
    </w:rPr>
  </w:style>
  <w:style w:type="paragraph" w:styleId="ListContinue3">
    <w:name w:val="List Continue 3"/>
    <w:basedOn w:val="Normal"/>
    <w:uiPriority w:val="99"/>
    <w:semiHidden/>
    <w:qFormat/>
    <w:locked/>
    <w:rsid w:val="00393524"/>
    <w:pPr>
      <w:spacing w:after="120" w:line="360" w:lineRule="auto"/>
      <w:ind w:left="849"/>
      <w:contextualSpacing/>
      <w:jc w:val="left"/>
    </w:pPr>
    <w:rPr>
      <w:rFonts w:ascii="Arial" w:eastAsiaTheme="minorEastAsia" w:hAnsi="Arial" w:cstheme="minorBidi"/>
      <w:color w:val="000000" w:themeColor="text1"/>
      <w:sz w:val="20"/>
      <w:szCs w:val="20"/>
      <w:lang w:eastAsia="en-GB"/>
    </w:rPr>
  </w:style>
  <w:style w:type="paragraph" w:styleId="ListContinue4">
    <w:name w:val="List Continue 4"/>
    <w:basedOn w:val="Normal"/>
    <w:uiPriority w:val="99"/>
    <w:semiHidden/>
    <w:qFormat/>
    <w:locked/>
    <w:rsid w:val="00393524"/>
    <w:pPr>
      <w:spacing w:after="120" w:line="360" w:lineRule="auto"/>
      <w:ind w:left="1132"/>
      <w:contextualSpacing/>
      <w:jc w:val="left"/>
    </w:pPr>
    <w:rPr>
      <w:rFonts w:ascii="Arial" w:eastAsiaTheme="minorEastAsia" w:hAnsi="Arial" w:cstheme="minorBidi"/>
      <w:color w:val="000000" w:themeColor="text1"/>
      <w:sz w:val="20"/>
      <w:szCs w:val="20"/>
      <w:lang w:eastAsia="en-GB"/>
    </w:rPr>
  </w:style>
  <w:style w:type="paragraph" w:styleId="ListContinue5">
    <w:name w:val="List Continue 5"/>
    <w:basedOn w:val="Normal"/>
    <w:uiPriority w:val="99"/>
    <w:semiHidden/>
    <w:qFormat/>
    <w:locked/>
    <w:rsid w:val="00393524"/>
    <w:pPr>
      <w:spacing w:after="120" w:line="360" w:lineRule="auto"/>
      <w:ind w:left="1415"/>
      <w:contextualSpacing/>
      <w:jc w:val="left"/>
    </w:pPr>
    <w:rPr>
      <w:rFonts w:ascii="Arial" w:eastAsiaTheme="minorEastAsia" w:hAnsi="Arial" w:cstheme="minorBidi"/>
      <w:color w:val="000000" w:themeColor="text1"/>
      <w:sz w:val="20"/>
      <w:szCs w:val="20"/>
      <w:lang w:eastAsia="en-GB"/>
    </w:rPr>
  </w:style>
  <w:style w:type="paragraph" w:styleId="ListNumber4">
    <w:name w:val="List Number 4"/>
    <w:basedOn w:val="BaseText"/>
    <w:qFormat/>
    <w:locked/>
    <w:rsid w:val="00393524"/>
    <w:pPr>
      <w:numPr>
        <w:ilvl w:val="3"/>
        <w:numId w:val="19"/>
      </w:numPr>
      <w:spacing w:before="80" w:line="260" w:lineRule="atLeast"/>
      <w:ind w:left="3240" w:hanging="360"/>
      <w:contextualSpacing/>
    </w:pPr>
    <w:rPr>
      <w:sz w:val="18"/>
    </w:rPr>
  </w:style>
  <w:style w:type="paragraph" w:styleId="ListNumber5">
    <w:name w:val="List Number 5"/>
    <w:basedOn w:val="Normal"/>
    <w:uiPriority w:val="99"/>
    <w:semiHidden/>
    <w:qFormat/>
    <w:locked/>
    <w:rsid w:val="00393524"/>
    <w:pPr>
      <w:numPr>
        <w:numId w:val="21"/>
      </w:numPr>
      <w:spacing w:after="120" w:line="360" w:lineRule="auto"/>
      <w:contextualSpacing/>
      <w:jc w:val="left"/>
    </w:pPr>
    <w:rPr>
      <w:rFonts w:ascii="Arial" w:eastAsiaTheme="minorEastAsia" w:hAnsi="Arial" w:cstheme="minorBidi"/>
      <w:color w:val="000000" w:themeColor="text1"/>
      <w:sz w:val="20"/>
      <w:szCs w:val="20"/>
      <w:lang w:eastAsia="en-GB"/>
    </w:rPr>
  </w:style>
  <w:style w:type="paragraph" w:styleId="MacroText">
    <w:name w:val="macro"/>
    <w:link w:val="MacroTextChar"/>
    <w:uiPriority w:val="99"/>
    <w:semiHidden/>
    <w:qFormat/>
    <w:locked/>
    <w:rsid w:val="00393524"/>
    <w:pPr>
      <w:tabs>
        <w:tab w:val="left" w:pos="480"/>
        <w:tab w:val="left" w:pos="960"/>
        <w:tab w:val="left" w:pos="1440"/>
        <w:tab w:val="left" w:pos="1920"/>
        <w:tab w:val="left" w:pos="2400"/>
        <w:tab w:val="left" w:pos="2880"/>
        <w:tab w:val="left" w:pos="3360"/>
        <w:tab w:val="left" w:pos="3840"/>
        <w:tab w:val="left" w:pos="4320"/>
      </w:tabs>
      <w:spacing w:after="120" w:line="360" w:lineRule="auto"/>
    </w:pPr>
    <w:rPr>
      <w:rFonts w:ascii="Consolas" w:eastAsiaTheme="minorEastAsia" w:hAnsi="Consolas" w:cs="Consolas"/>
      <w:color w:val="000000" w:themeColor="text1"/>
      <w:sz w:val="20"/>
      <w:szCs w:val="20"/>
      <w:lang w:val="en-GB" w:eastAsia="en-GB"/>
    </w:rPr>
  </w:style>
  <w:style w:type="character" w:customStyle="1" w:styleId="MacroTextChar">
    <w:name w:val="Macro Text Char"/>
    <w:basedOn w:val="DefaultParagraphFont"/>
    <w:link w:val="MacroText"/>
    <w:uiPriority w:val="99"/>
    <w:semiHidden/>
    <w:qFormat/>
    <w:rsid w:val="00393524"/>
    <w:rPr>
      <w:rFonts w:ascii="Consolas" w:eastAsiaTheme="minorEastAsia" w:hAnsi="Consolas" w:cs="Consolas"/>
      <w:color w:val="000000" w:themeColor="text1"/>
      <w:sz w:val="20"/>
      <w:szCs w:val="20"/>
      <w:lang w:val="en-GB" w:eastAsia="en-GB"/>
    </w:rPr>
  </w:style>
  <w:style w:type="paragraph" w:styleId="MessageHeader">
    <w:name w:val="Message Header"/>
    <w:basedOn w:val="Normal"/>
    <w:link w:val="MessageHeaderChar"/>
    <w:semiHidden/>
    <w:qFormat/>
    <w:locked/>
    <w:rsid w:val="00393524"/>
    <w:pPr>
      <w:pBdr>
        <w:top w:val="single" w:sz="6" w:space="1" w:color="auto"/>
        <w:left w:val="single" w:sz="6" w:space="1" w:color="auto"/>
        <w:bottom w:val="single" w:sz="6" w:space="1" w:color="auto"/>
        <w:right w:val="single" w:sz="6" w:space="1" w:color="auto"/>
      </w:pBdr>
      <w:shd w:val="pct20" w:color="auto" w:fill="auto"/>
      <w:spacing w:after="120" w:line="240" w:lineRule="auto"/>
      <w:ind w:left="1134" w:hanging="1134"/>
      <w:jc w:val="left"/>
    </w:pPr>
    <w:rPr>
      <w:rFonts w:asciiTheme="majorHAnsi" w:eastAsiaTheme="majorEastAsia" w:hAnsiTheme="majorHAnsi" w:cstheme="majorBidi"/>
      <w:color w:val="000000" w:themeColor="text1"/>
      <w:sz w:val="24"/>
      <w:szCs w:val="24"/>
      <w:lang w:eastAsia="en-GB"/>
    </w:rPr>
  </w:style>
  <w:style w:type="character" w:customStyle="1" w:styleId="MessageHeaderChar">
    <w:name w:val="Message Header Char"/>
    <w:basedOn w:val="DefaultParagraphFont"/>
    <w:link w:val="MessageHeader"/>
    <w:semiHidden/>
    <w:qFormat/>
    <w:rsid w:val="00393524"/>
    <w:rPr>
      <w:rFonts w:asciiTheme="majorHAnsi" w:eastAsiaTheme="majorEastAsia" w:hAnsiTheme="majorHAnsi" w:cstheme="majorBidi"/>
      <w:color w:val="000000" w:themeColor="text1"/>
      <w:sz w:val="24"/>
      <w:szCs w:val="24"/>
      <w:shd w:val="pct20" w:color="auto" w:fill="auto"/>
      <w:lang w:val="en-GB" w:eastAsia="en-GB"/>
    </w:rPr>
  </w:style>
  <w:style w:type="paragraph" w:styleId="NormalIndent">
    <w:name w:val="Normal Indent"/>
    <w:basedOn w:val="Normal"/>
    <w:uiPriority w:val="99"/>
    <w:semiHidden/>
    <w:qFormat/>
    <w:locked/>
    <w:rsid w:val="00393524"/>
    <w:pPr>
      <w:spacing w:after="120" w:line="360" w:lineRule="auto"/>
      <w:ind w:left="720"/>
      <w:jc w:val="left"/>
    </w:pPr>
    <w:rPr>
      <w:rFonts w:ascii="Arial" w:eastAsiaTheme="minorEastAsia" w:hAnsi="Arial" w:cstheme="minorBidi"/>
      <w:color w:val="000000" w:themeColor="text1"/>
      <w:sz w:val="20"/>
      <w:szCs w:val="20"/>
      <w:lang w:eastAsia="en-GB"/>
    </w:rPr>
  </w:style>
  <w:style w:type="paragraph" w:styleId="NoteHeading">
    <w:name w:val="Note Heading"/>
    <w:basedOn w:val="Normal"/>
    <w:next w:val="Normal"/>
    <w:link w:val="NoteHeadingChar"/>
    <w:uiPriority w:val="99"/>
    <w:semiHidden/>
    <w:qFormat/>
    <w:locked/>
    <w:rsid w:val="00393524"/>
    <w:pPr>
      <w:spacing w:after="120" w:line="240" w:lineRule="auto"/>
      <w:jc w:val="left"/>
    </w:pPr>
    <w:rPr>
      <w:rFonts w:ascii="Arial" w:eastAsiaTheme="minorEastAsia" w:hAnsi="Arial" w:cstheme="minorBidi"/>
      <w:color w:val="000000" w:themeColor="text1"/>
      <w:sz w:val="20"/>
      <w:szCs w:val="20"/>
      <w:lang w:eastAsia="en-GB"/>
    </w:rPr>
  </w:style>
  <w:style w:type="character" w:customStyle="1" w:styleId="NoteHeadingChar">
    <w:name w:val="Note Heading Char"/>
    <w:basedOn w:val="DefaultParagraphFont"/>
    <w:link w:val="NoteHeading"/>
    <w:uiPriority w:val="99"/>
    <w:semiHidden/>
    <w:qFormat/>
    <w:rsid w:val="00393524"/>
    <w:rPr>
      <w:rFonts w:ascii="Arial" w:eastAsiaTheme="minorEastAsia" w:hAnsi="Arial" w:cstheme="minorBidi"/>
      <w:color w:val="000000" w:themeColor="text1"/>
      <w:sz w:val="20"/>
      <w:szCs w:val="20"/>
      <w:lang w:val="en-GB" w:eastAsia="en-GB"/>
    </w:rPr>
  </w:style>
  <w:style w:type="character" w:styleId="PlaceholderText">
    <w:name w:val="Placeholder Text"/>
    <w:basedOn w:val="DefaultParagraphFont"/>
    <w:uiPriority w:val="99"/>
    <w:semiHidden/>
    <w:qFormat/>
    <w:rsid w:val="00393524"/>
    <w:rPr>
      <w:color w:val="808080"/>
      <w:lang w:val="en-GB"/>
    </w:rPr>
  </w:style>
  <w:style w:type="paragraph" w:styleId="Quote">
    <w:name w:val="Quote"/>
    <w:basedOn w:val="Normal"/>
    <w:next w:val="Normal"/>
    <w:link w:val="QuoteChar"/>
    <w:uiPriority w:val="29"/>
    <w:qFormat/>
    <w:rsid w:val="00393524"/>
    <w:pPr>
      <w:spacing w:after="120" w:line="360" w:lineRule="auto"/>
      <w:jc w:val="left"/>
    </w:pPr>
    <w:rPr>
      <w:rFonts w:ascii="Arial" w:eastAsiaTheme="minorEastAsia" w:hAnsi="Arial" w:cstheme="minorBidi"/>
      <w:i/>
      <w:iCs/>
      <w:color w:val="000000" w:themeColor="text1"/>
      <w:sz w:val="20"/>
      <w:szCs w:val="20"/>
      <w:lang w:eastAsia="en-GB"/>
    </w:rPr>
  </w:style>
  <w:style w:type="character" w:customStyle="1" w:styleId="QuoteChar">
    <w:name w:val="Quote Char"/>
    <w:basedOn w:val="DefaultParagraphFont"/>
    <w:link w:val="Quote"/>
    <w:uiPriority w:val="29"/>
    <w:qFormat/>
    <w:rsid w:val="00393524"/>
    <w:rPr>
      <w:rFonts w:ascii="Arial" w:eastAsiaTheme="minorEastAsia" w:hAnsi="Arial" w:cstheme="minorBidi"/>
      <w:i/>
      <w:iCs/>
      <w:color w:val="000000" w:themeColor="text1"/>
      <w:sz w:val="20"/>
      <w:szCs w:val="20"/>
      <w:lang w:val="en-GB" w:eastAsia="en-GB"/>
    </w:rPr>
  </w:style>
  <w:style w:type="paragraph" w:styleId="Salutation">
    <w:name w:val="Salutation"/>
    <w:basedOn w:val="Normal"/>
    <w:next w:val="Normal"/>
    <w:link w:val="SalutationChar"/>
    <w:uiPriority w:val="99"/>
    <w:semiHidden/>
    <w:locked/>
    <w:rsid w:val="00393524"/>
    <w:pPr>
      <w:spacing w:after="120" w:line="360" w:lineRule="auto"/>
      <w:jc w:val="left"/>
    </w:pPr>
    <w:rPr>
      <w:rFonts w:ascii="Arial" w:eastAsiaTheme="minorEastAsia" w:hAnsi="Arial" w:cstheme="minorBidi"/>
      <w:color w:val="000000" w:themeColor="text1"/>
      <w:sz w:val="20"/>
      <w:szCs w:val="20"/>
      <w:lang w:eastAsia="en-GB"/>
    </w:rPr>
  </w:style>
  <w:style w:type="character" w:customStyle="1" w:styleId="SalutationChar">
    <w:name w:val="Salutation Char"/>
    <w:basedOn w:val="DefaultParagraphFont"/>
    <w:link w:val="Salutation"/>
    <w:uiPriority w:val="99"/>
    <w:semiHidden/>
    <w:qFormat/>
    <w:rsid w:val="00393524"/>
    <w:rPr>
      <w:rFonts w:ascii="Arial" w:eastAsiaTheme="minorEastAsia" w:hAnsi="Arial" w:cstheme="minorBidi"/>
      <w:color w:val="000000" w:themeColor="text1"/>
      <w:sz w:val="20"/>
      <w:szCs w:val="20"/>
      <w:lang w:val="en-GB" w:eastAsia="en-GB"/>
    </w:rPr>
  </w:style>
  <w:style w:type="paragraph" w:styleId="Signature">
    <w:name w:val="Signature"/>
    <w:basedOn w:val="Normal"/>
    <w:link w:val="SignatureChar"/>
    <w:uiPriority w:val="99"/>
    <w:semiHidden/>
    <w:locked/>
    <w:rsid w:val="00393524"/>
    <w:pPr>
      <w:spacing w:after="120" w:line="240" w:lineRule="auto"/>
      <w:ind w:left="4252"/>
      <w:jc w:val="left"/>
    </w:pPr>
    <w:rPr>
      <w:rFonts w:ascii="Arial" w:eastAsiaTheme="minorEastAsia" w:hAnsi="Arial" w:cstheme="minorBidi"/>
      <w:color w:val="000000" w:themeColor="text1"/>
      <w:sz w:val="20"/>
      <w:szCs w:val="20"/>
      <w:lang w:eastAsia="en-GB"/>
    </w:rPr>
  </w:style>
  <w:style w:type="character" w:customStyle="1" w:styleId="SignatureChar">
    <w:name w:val="Signature Char"/>
    <w:basedOn w:val="DefaultParagraphFont"/>
    <w:link w:val="Signature"/>
    <w:uiPriority w:val="99"/>
    <w:semiHidden/>
    <w:qFormat/>
    <w:rsid w:val="00393524"/>
    <w:rPr>
      <w:rFonts w:ascii="Arial" w:eastAsiaTheme="minorEastAsia" w:hAnsi="Arial" w:cstheme="minorBidi"/>
      <w:color w:val="000000" w:themeColor="text1"/>
      <w:sz w:val="20"/>
      <w:szCs w:val="20"/>
      <w:lang w:val="en-GB" w:eastAsia="en-GB"/>
    </w:rPr>
  </w:style>
  <w:style w:type="character" w:styleId="SubtleEmphasis">
    <w:name w:val="Subtle Emphasis"/>
    <w:basedOn w:val="DefaultParagraphFont"/>
    <w:uiPriority w:val="19"/>
    <w:qFormat/>
    <w:rsid w:val="00393524"/>
    <w:rPr>
      <w:i/>
      <w:iCs/>
      <w:color w:val="808080" w:themeColor="text1" w:themeTint="7F"/>
      <w:lang w:val="en-GB"/>
    </w:rPr>
  </w:style>
  <w:style w:type="character" w:styleId="SubtleReference">
    <w:name w:val="Subtle Reference"/>
    <w:basedOn w:val="DefaultParagraphFont"/>
    <w:uiPriority w:val="31"/>
    <w:qFormat/>
    <w:rsid w:val="00393524"/>
    <w:rPr>
      <w:smallCaps/>
      <w:color w:val="C0504D" w:themeColor="accent2"/>
      <w:u w:val="single"/>
      <w:lang w:val="en-GB"/>
    </w:rPr>
  </w:style>
  <w:style w:type="paragraph" w:styleId="TableofAuthorities">
    <w:name w:val="table of authorities"/>
    <w:basedOn w:val="Normal"/>
    <w:next w:val="Normal"/>
    <w:uiPriority w:val="99"/>
    <w:semiHidden/>
    <w:qFormat/>
    <w:locked/>
    <w:rsid w:val="00393524"/>
    <w:pPr>
      <w:spacing w:after="120" w:line="360" w:lineRule="auto"/>
      <w:ind w:left="200" w:hanging="200"/>
      <w:jc w:val="left"/>
    </w:pPr>
    <w:rPr>
      <w:rFonts w:ascii="Arial" w:eastAsiaTheme="minorEastAsia" w:hAnsi="Arial" w:cstheme="minorBidi"/>
      <w:color w:val="000000" w:themeColor="text1"/>
      <w:sz w:val="20"/>
      <w:szCs w:val="20"/>
      <w:lang w:eastAsia="en-GB"/>
    </w:rPr>
  </w:style>
  <w:style w:type="paragraph" w:styleId="TOAHeading">
    <w:name w:val="toa heading"/>
    <w:basedOn w:val="Normal"/>
    <w:next w:val="Normal"/>
    <w:uiPriority w:val="99"/>
    <w:semiHidden/>
    <w:qFormat/>
    <w:locked/>
    <w:rsid w:val="00393524"/>
    <w:pPr>
      <w:spacing w:before="120" w:after="120" w:line="360" w:lineRule="auto"/>
      <w:jc w:val="left"/>
    </w:pPr>
    <w:rPr>
      <w:rFonts w:asciiTheme="majorHAnsi" w:eastAsiaTheme="majorEastAsia" w:hAnsiTheme="majorHAnsi" w:cstheme="majorBidi"/>
      <w:b/>
      <w:bCs/>
      <w:color w:val="000000" w:themeColor="text1"/>
      <w:sz w:val="24"/>
      <w:szCs w:val="24"/>
      <w:lang w:eastAsia="en-GB"/>
    </w:rPr>
  </w:style>
  <w:style w:type="character" w:customStyle="1" w:styleId="BaseTextChar">
    <w:name w:val="Base Text Char"/>
    <w:basedOn w:val="DefaultParagraphFont"/>
    <w:link w:val="BaseText"/>
    <w:semiHidden/>
    <w:qFormat/>
    <w:rsid w:val="00393524"/>
    <w:rPr>
      <w:rFonts w:ascii="Arial" w:eastAsiaTheme="minorEastAsia" w:hAnsi="Arial" w:cs="Arial"/>
      <w:color w:val="000000" w:themeColor="text1"/>
      <w:sz w:val="20"/>
      <w:szCs w:val="20"/>
      <w:lang w:val="en-GB" w:eastAsia="en-GB"/>
    </w:rPr>
  </w:style>
  <w:style w:type="character" w:customStyle="1" w:styleId="RHDHVAddressChar">
    <w:name w:val="RHDHV Address Char"/>
    <w:basedOn w:val="BaseTextChar"/>
    <w:link w:val="RHDHVAddress"/>
    <w:qFormat/>
    <w:rsid w:val="00393524"/>
    <w:rPr>
      <w:rFonts w:ascii="Arial" w:eastAsiaTheme="minorEastAsia" w:hAnsi="Arial" w:cs="Arial"/>
      <w:color w:val="000000" w:themeColor="text1"/>
      <w:sz w:val="16"/>
      <w:szCs w:val="20"/>
      <w:lang w:val="en-GB" w:eastAsia="en-GB"/>
    </w:rPr>
  </w:style>
  <w:style w:type="character" w:customStyle="1" w:styleId="RHDHVAddressLabelChar">
    <w:name w:val="RHDHV Address Label Char"/>
    <w:basedOn w:val="RHDHVAddressChar"/>
    <w:link w:val="RHDHVAddressLabel"/>
    <w:qFormat/>
    <w:rsid w:val="00393524"/>
    <w:rPr>
      <w:rFonts w:ascii="Arial" w:eastAsiaTheme="minorEastAsia" w:hAnsi="Arial" w:cs="Arial"/>
      <w:b/>
      <w:caps/>
      <w:color w:val="4F81BD" w:themeColor="accent1"/>
      <w:sz w:val="16"/>
      <w:szCs w:val="20"/>
      <w:lang w:val="en-GB" w:eastAsia="en-GB"/>
    </w:rPr>
  </w:style>
  <w:style w:type="paragraph" w:customStyle="1" w:styleId="AppendixTitle0">
    <w:name w:val="Appendix Title"/>
    <w:basedOn w:val="Title"/>
    <w:next w:val="BodyText"/>
    <w:unhideWhenUsed/>
    <w:qFormat/>
    <w:rsid w:val="00393524"/>
    <w:pPr>
      <w:keepNext/>
      <w:pBdr>
        <w:bottom w:val="none" w:sz="0" w:space="0" w:color="auto"/>
      </w:pBdr>
      <w:spacing w:after="400" w:line="262" w:lineRule="auto"/>
      <w:jc w:val="left"/>
    </w:pPr>
    <w:rPr>
      <w:rFonts w:asciiTheme="minorHAnsi" w:eastAsiaTheme="majorEastAsia" w:hAnsiTheme="minorHAnsi" w:cstheme="majorBidi"/>
      <w:b/>
      <w:color w:val="000000" w:themeColor="text1"/>
      <w:sz w:val="32"/>
      <w:lang w:eastAsia="en-GB"/>
    </w:rPr>
  </w:style>
  <w:style w:type="paragraph" w:customStyle="1" w:styleId="AppendixHeading10">
    <w:name w:val="Appendix Heading 1"/>
    <w:basedOn w:val="BaseHeadings"/>
    <w:next w:val="BodyText"/>
    <w:unhideWhenUsed/>
    <w:qFormat/>
    <w:rsid w:val="00393524"/>
    <w:pPr>
      <w:spacing w:before="240" w:line="298" w:lineRule="auto"/>
    </w:pPr>
    <w:rPr>
      <w:b/>
      <w:sz w:val="28"/>
    </w:rPr>
  </w:style>
  <w:style w:type="paragraph" w:customStyle="1" w:styleId="AppendixHeading20">
    <w:name w:val="Appendix Heading 2"/>
    <w:basedOn w:val="BaseHeadings"/>
    <w:next w:val="BodyText"/>
    <w:unhideWhenUsed/>
    <w:qFormat/>
    <w:rsid w:val="00393524"/>
    <w:pPr>
      <w:spacing w:before="240" w:line="274" w:lineRule="auto"/>
    </w:pPr>
    <w:rPr>
      <w:b/>
      <w:sz w:val="26"/>
    </w:rPr>
  </w:style>
  <w:style w:type="paragraph" w:customStyle="1" w:styleId="AppendixHeading30">
    <w:name w:val="Appendix Heading 3"/>
    <w:basedOn w:val="BaseHeadings"/>
    <w:next w:val="BodyText"/>
    <w:unhideWhenUsed/>
    <w:qFormat/>
    <w:rsid w:val="00393524"/>
    <w:pPr>
      <w:spacing w:before="240" w:line="278" w:lineRule="auto"/>
    </w:pPr>
    <w:rPr>
      <w:b/>
      <w:sz w:val="24"/>
    </w:rPr>
  </w:style>
  <w:style w:type="paragraph" w:customStyle="1" w:styleId="AppendixHeading1Numbered">
    <w:name w:val="Appendix Heading 1 Numbered"/>
    <w:basedOn w:val="AppendixHeading10"/>
    <w:next w:val="BodyText"/>
    <w:unhideWhenUsed/>
    <w:qFormat/>
    <w:rsid w:val="00393524"/>
    <w:pPr>
      <w:numPr>
        <w:numId w:val="23"/>
      </w:numPr>
    </w:pPr>
  </w:style>
  <w:style w:type="paragraph" w:customStyle="1" w:styleId="AppendixHeading2Numbered">
    <w:name w:val="Appendix Heading 2 Numbered"/>
    <w:basedOn w:val="AppendixHeading20"/>
    <w:next w:val="BodyText"/>
    <w:unhideWhenUsed/>
    <w:qFormat/>
    <w:rsid w:val="00393524"/>
    <w:pPr>
      <w:numPr>
        <w:ilvl w:val="1"/>
        <w:numId w:val="23"/>
      </w:numPr>
    </w:pPr>
  </w:style>
  <w:style w:type="paragraph" w:customStyle="1" w:styleId="AppendixHeading3Numbered">
    <w:name w:val="Appendix Heading 3 Numbered"/>
    <w:basedOn w:val="AppendixHeading30"/>
    <w:next w:val="BodyText"/>
    <w:unhideWhenUsed/>
    <w:qFormat/>
    <w:rsid w:val="00393524"/>
    <w:pPr>
      <w:numPr>
        <w:ilvl w:val="2"/>
        <w:numId w:val="23"/>
      </w:numPr>
    </w:pPr>
  </w:style>
  <w:style w:type="numbering" w:customStyle="1" w:styleId="ListAppendices">
    <w:name w:val="List Appendices"/>
    <w:uiPriority w:val="99"/>
    <w:rsid w:val="00393524"/>
    <w:pPr>
      <w:numPr>
        <w:numId w:val="22"/>
      </w:numPr>
    </w:pPr>
  </w:style>
  <w:style w:type="character" w:customStyle="1" w:styleId="WebAddressChar">
    <w:name w:val="Web Address Char"/>
    <w:basedOn w:val="BaseTextChar"/>
    <w:link w:val="WebAddress"/>
    <w:qFormat/>
    <w:rsid w:val="00393524"/>
    <w:rPr>
      <w:rFonts w:ascii="Arial" w:eastAsiaTheme="minorEastAsia" w:hAnsi="Arial" w:cs="Arial"/>
      <w:b/>
      <w:color w:val="000000" w:themeColor="text1"/>
      <w:sz w:val="20"/>
      <w:szCs w:val="20"/>
      <w:lang w:val="en-GB" w:eastAsia="en-GB"/>
    </w:rPr>
  </w:style>
  <w:style w:type="paragraph" w:customStyle="1" w:styleId="BackpageHeading">
    <w:name w:val="Backpage Heading"/>
    <w:basedOn w:val="DisclaimerHeading"/>
    <w:next w:val="BodyText"/>
    <w:qFormat/>
    <w:rsid w:val="00393524"/>
    <w:pPr>
      <w:framePr w:wrap="notBeside"/>
      <w:spacing w:before="120"/>
    </w:pPr>
    <w:rPr>
      <w:rFonts w:asciiTheme="minorHAnsi" w:hAnsiTheme="minorHAnsi"/>
      <w:color w:val="4F81BD" w:themeColor="accent1"/>
      <w:sz w:val="22"/>
    </w:rPr>
  </w:style>
  <w:style w:type="paragraph" w:customStyle="1" w:styleId="AppendixHeading">
    <w:name w:val="Appendix Heading"/>
    <w:basedOn w:val="Title"/>
    <w:next w:val="BodyText"/>
    <w:qFormat/>
    <w:rsid w:val="00393524"/>
    <w:pPr>
      <w:keepNext/>
      <w:pBdr>
        <w:bottom w:val="none" w:sz="0" w:space="0" w:color="auto"/>
      </w:pBdr>
      <w:spacing w:after="400" w:line="262" w:lineRule="auto"/>
      <w:jc w:val="left"/>
    </w:pPr>
    <w:rPr>
      <w:rFonts w:ascii="Arial" w:eastAsiaTheme="majorEastAsia" w:hAnsi="Arial" w:cstheme="majorBidi"/>
      <w:b/>
      <w:bCs/>
      <w:noProof/>
      <w:color w:val="000000" w:themeColor="text1"/>
      <w:sz w:val="32"/>
      <w:lang w:val="en-US" w:eastAsia="en-GB"/>
    </w:rPr>
  </w:style>
  <w:style w:type="character" w:customStyle="1" w:styleId="BodyText9">
    <w:name w:val="Body Text9"/>
    <w:qFormat/>
    <w:rsid w:val="00393524"/>
    <w:rPr>
      <w:rFonts w:ascii="Lucida Sans Unicode" w:eastAsia="Lucida Sans Unicode" w:hAnsi="Lucida Sans Unicode" w:cs="Lucida Sans Unicode" w:hint="default"/>
      <w:b w:val="0"/>
      <w:bCs w:val="0"/>
      <w:i w:val="0"/>
      <w:iCs w:val="0"/>
      <w:smallCaps w:val="0"/>
      <w:strike w:val="0"/>
      <w:dstrike w:val="0"/>
      <w:color w:val="000000"/>
      <w:spacing w:val="0"/>
      <w:w w:val="100"/>
      <w:position w:val="0"/>
      <w:sz w:val="19"/>
      <w:szCs w:val="19"/>
      <w:u w:val="none"/>
      <w:effect w:val="none"/>
      <w:shd w:val="clear" w:color="auto" w:fill="FFFFFF"/>
      <w:lang w:val="bg-BG" w:eastAsia="bg-BG" w:bidi="bg-BG"/>
    </w:rPr>
  </w:style>
  <w:style w:type="character" w:customStyle="1" w:styleId="BodyText10">
    <w:name w:val="Body Text10"/>
    <w:qFormat/>
    <w:rsid w:val="00393524"/>
    <w:rPr>
      <w:rFonts w:ascii="Lucida Sans Unicode" w:eastAsia="Lucida Sans Unicode" w:hAnsi="Lucida Sans Unicode" w:cs="Lucida Sans Unicode" w:hint="default"/>
      <w:b w:val="0"/>
      <w:bCs w:val="0"/>
      <w:i w:val="0"/>
      <w:iCs w:val="0"/>
      <w:smallCaps w:val="0"/>
      <w:strike w:val="0"/>
      <w:dstrike w:val="0"/>
      <w:color w:val="000000"/>
      <w:spacing w:val="0"/>
      <w:w w:val="100"/>
      <w:position w:val="0"/>
      <w:sz w:val="19"/>
      <w:szCs w:val="19"/>
      <w:u w:val="none"/>
      <w:effect w:val="none"/>
      <w:shd w:val="clear" w:color="auto" w:fill="FFFFFF"/>
      <w:lang w:val="bg-BG" w:eastAsia="bg-BG" w:bidi="bg-BG"/>
    </w:rPr>
  </w:style>
  <w:style w:type="character" w:customStyle="1" w:styleId="BodyText8">
    <w:name w:val="Body Text8"/>
    <w:qFormat/>
    <w:rsid w:val="00393524"/>
    <w:rPr>
      <w:rFonts w:ascii="Lucida Sans Unicode" w:eastAsia="Lucida Sans Unicode" w:hAnsi="Lucida Sans Unicode" w:cs="Lucida Sans Unicode" w:hint="default"/>
      <w:b w:val="0"/>
      <w:bCs w:val="0"/>
      <w:i w:val="0"/>
      <w:iCs w:val="0"/>
      <w:smallCaps w:val="0"/>
      <w:strike w:val="0"/>
      <w:dstrike w:val="0"/>
      <w:color w:val="000000"/>
      <w:spacing w:val="0"/>
      <w:w w:val="100"/>
      <w:position w:val="0"/>
      <w:sz w:val="19"/>
      <w:szCs w:val="19"/>
      <w:u w:val="none"/>
      <w:effect w:val="none"/>
      <w:shd w:val="clear" w:color="auto" w:fill="FFFFFF"/>
      <w:lang w:val="bg-BG" w:eastAsia="bg-BG" w:bidi="bg-BG"/>
    </w:rPr>
  </w:style>
  <w:style w:type="paragraph" w:customStyle="1" w:styleId="1">
    <w:name w:val="Основен текст1"/>
    <w:basedOn w:val="Normal"/>
    <w:qFormat/>
    <w:rsid w:val="003B0E11"/>
    <w:pPr>
      <w:widowControl w:val="0"/>
      <w:shd w:val="clear" w:color="auto" w:fill="FFFFFF"/>
      <w:spacing w:before="360" w:after="0" w:line="317" w:lineRule="exact"/>
      <w:ind w:hanging="400"/>
    </w:pPr>
    <w:rPr>
      <w:rFonts w:ascii="Times New Roman" w:hAnsi="Times New Roman"/>
      <w:noProof/>
      <w:lang w:eastAsia="bg-BG"/>
    </w:rPr>
  </w:style>
  <w:style w:type="character" w:customStyle="1" w:styleId="31">
    <w:name w:val="Основной текст (3)_"/>
    <w:basedOn w:val="DefaultParagraphFont"/>
    <w:link w:val="32"/>
    <w:qFormat/>
    <w:rsid w:val="003B0E11"/>
    <w:rPr>
      <w:b/>
      <w:bCs/>
      <w:spacing w:val="4"/>
      <w:shd w:val="clear" w:color="auto" w:fill="FFFFFF"/>
    </w:rPr>
  </w:style>
  <w:style w:type="paragraph" w:customStyle="1" w:styleId="32">
    <w:name w:val="Основной текст (3)"/>
    <w:basedOn w:val="Normal"/>
    <w:link w:val="31"/>
    <w:qFormat/>
    <w:rsid w:val="003B0E11"/>
    <w:pPr>
      <w:widowControl w:val="0"/>
      <w:shd w:val="clear" w:color="auto" w:fill="FFFFFF"/>
      <w:spacing w:before="360" w:after="540" w:line="490" w:lineRule="exact"/>
      <w:ind w:firstLine="720"/>
      <w:jc w:val="left"/>
    </w:pPr>
    <w:rPr>
      <w:rFonts w:ascii="Calibri" w:hAnsi="Calibri"/>
      <w:b/>
      <w:bCs/>
      <w:spacing w:val="4"/>
      <w:sz w:val="22"/>
      <w:lang w:val="bg-BG" w:eastAsia="bg-BG"/>
    </w:rPr>
  </w:style>
  <w:style w:type="paragraph" w:customStyle="1" w:styleId="Style44">
    <w:name w:val="Style44"/>
    <w:basedOn w:val="Normal"/>
    <w:link w:val="Style440"/>
    <w:uiPriority w:val="99"/>
    <w:qFormat/>
    <w:rsid w:val="003B0E11"/>
    <w:pPr>
      <w:widowControl w:val="0"/>
      <w:autoSpaceDE w:val="0"/>
      <w:autoSpaceDN w:val="0"/>
      <w:adjustRightInd w:val="0"/>
      <w:spacing w:after="0" w:line="269" w:lineRule="exact"/>
      <w:ind w:hanging="355"/>
      <w:jc w:val="left"/>
    </w:pPr>
    <w:rPr>
      <w:rFonts w:ascii="Arial" w:eastAsia="Times New Roman" w:hAnsi="Arial" w:cs="Arial"/>
      <w:sz w:val="24"/>
      <w:szCs w:val="24"/>
      <w:lang w:val="bg-BG" w:eastAsia="bg-BG"/>
    </w:rPr>
  </w:style>
  <w:style w:type="paragraph" w:customStyle="1" w:styleId="I-1">
    <w:name w:val="Таблица I-1"/>
    <w:basedOn w:val="Normal"/>
    <w:link w:val="I-10"/>
    <w:qFormat/>
    <w:rsid w:val="003B0E11"/>
    <w:pPr>
      <w:numPr>
        <w:numId w:val="24"/>
      </w:numPr>
      <w:spacing w:after="0"/>
    </w:pPr>
  </w:style>
  <w:style w:type="paragraph" w:customStyle="1" w:styleId="I-3">
    <w:name w:val="Таблица I-3"/>
    <w:basedOn w:val="Normal"/>
    <w:link w:val="I-30"/>
    <w:qFormat/>
    <w:rsid w:val="003B0E11"/>
    <w:pPr>
      <w:numPr>
        <w:numId w:val="25"/>
      </w:numPr>
      <w:spacing w:after="0" w:line="240" w:lineRule="auto"/>
      <w:ind w:left="1423" w:hanging="357"/>
    </w:pPr>
    <w:rPr>
      <w:b/>
      <w:i/>
      <w:sz w:val="22"/>
      <w:lang w:val="bg-BG"/>
    </w:rPr>
  </w:style>
  <w:style w:type="character" w:customStyle="1" w:styleId="I-10">
    <w:name w:val="Таблица I-1 Знак"/>
    <w:basedOn w:val="DefaultParagraphFont"/>
    <w:link w:val="I-1"/>
    <w:qFormat/>
    <w:rsid w:val="003B0E11"/>
    <w:rPr>
      <w:rFonts w:ascii="Arial Narrow" w:hAnsi="Arial Narrow"/>
      <w:sz w:val="23"/>
      <w:lang w:val="en-GB" w:eastAsia="en-US"/>
    </w:rPr>
  </w:style>
  <w:style w:type="character" w:customStyle="1" w:styleId="I-30">
    <w:name w:val="Таблица I-3 Знак"/>
    <w:basedOn w:val="DefaultParagraphFont"/>
    <w:link w:val="I-3"/>
    <w:qFormat/>
    <w:rsid w:val="003B0E11"/>
    <w:rPr>
      <w:rFonts w:ascii="Arial Narrow" w:hAnsi="Arial Narrow"/>
      <w:b/>
      <w:i/>
      <w:lang w:eastAsia="en-US"/>
    </w:rPr>
  </w:style>
  <w:style w:type="character" w:customStyle="1" w:styleId="a8">
    <w:name w:val="Основной текст_"/>
    <w:basedOn w:val="DefaultParagraphFont"/>
    <w:link w:val="a9"/>
    <w:qFormat/>
    <w:rsid w:val="003B0E11"/>
    <w:rPr>
      <w:spacing w:val="2"/>
      <w:shd w:val="clear" w:color="auto" w:fill="FFFFFF"/>
    </w:rPr>
  </w:style>
  <w:style w:type="paragraph" w:customStyle="1" w:styleId="a9">
    <w:name w:val="Основной текст"/>
    <w:basedOn w:val="Normal"/>
    <w:link w:val="a8"/>
    <w:qFormat/>
    <w:rsid w:val="003B0E11"/>
    <w:pPr>
      <w:widowControl w:val="0"/>
      <w:shd w:val="clear" w:color="auto" w:fill="FFFFFF"/>
      <w:spacing w:before="360" w:after="60" w:line="480" w:lineRule="exact"/>
      <w:ind w:hanging="360"/>
    </w:pPr>
    <w:rPr>
      <w:rFonts w:ascii="Calibri" w:hAnsi="Calibri"/>
      <w:spacing w:val="2"/>
      <w:sz w:val="22"/>
      <w:lang w:val="bg-BG" w:eastAsia="bg-BG"/>
    </w:rPr>
  </w:style>
  <w:style w:type="paragraph" w:customStyle="1" w:styleId="I-4">
    <w:name w:val="Табл I-4"/>
    <w:basedOn w:val="Normal"/>
    <w:link w:val="I-40"/>
    <w:qFormat/>
    <w:rsid w:val="003B0E11"/>
    <w:pPr>
      <w:numPr>
        <w:numId w:val="26"/>
      </w:numPr>
      <w:spacing w:after="0" w:line="240" w:lineRule="auto"/>
      <w:ind w:left="714" w:hanging="357"/>
    </w:pPr>
    <w:rPr>
      <w:b/>
      <w:i/>
      <w:sz w:val="22"/>
      <w:szCs w:val="20"/>
      <w:lang w:val="bg-BG"/>
    </w:rPr>
  </w:style>
  <w:style w:type="paragraph" w:customStyle="1" w:styleId="I-5">
    <w:name w:val="Табл I-5"/>
    <w:basedOn w:val="Style44"/>
    <w:link w:val="I-50"/>
    <w:qFormat/>
    <w:rsid w:val="003B0E11"/>
    <w:pPr>
      <w:numPr>
        <w:numId w:val="27"/>
      </w:numPr>
      <w:spacing w:line="264" w:lineRule="auto"/>
      <w:ind w:left="714" w:right="40" w:hanging="357"/>
      <w:contextualSpacing/>
    </w:pPr>
    <w:rPr>
      <w:rFonts w:ascii="Arial Narrow" w:hAnsi="Arial Narrow"/>
      <w:b/>
      <w:bCs/>
      <w:i/>
      <w:iCs/>
      <w:szCs w:val="23"/>
      <w:lang w:val="en-US" w:eastAsia="en-US"/>
    </w:rPr>
  </w:style>
  <w:style w:type="character" w:customStyle="1" w:styleId="I-40">
    <w:name w:val="Табл I-4 Знак"/>
    <w:basedOn w:val="DefaultParagraphFont"/>
    <w:link w:val="I-4"/>
    <w:qFormat/>
    <w:rsid w:val="003B0E11"/>
    <w:rPr>
      <w:rFonts w:ascii="Arial Narrow" w:hAnsi="Arial Narrow"/>
      <w:b/>
      <w:i/>
      <w:szCs w:val="20"/>
      <w:lang w:eastAsia="en-US"/>
    </w:rPr>
  </w:style>
  <w:style w:type="character" w:customStyle="1" w:styleId="Style440">
    <w:name w:val="Style44 Знак"/>
    <w:basedOn w:val="DefaultParagraphFont"/>
    <w:link w:val="Style44"/>
    <w:uiPriority w:val="99"/>
    <w:qFormat/>
    <w:rsid w:val="003B0E11"/>
    <w:rPr>
      <w:rFonts w:ascii="Arial" w:eastAsia="Times New Roman" w:hAnsi="Arial" w:cs="Arial"/>
      <w:sz w:val="24"/>
      <w:szCs w:val="24"/>
    </w:rPr>
  </w:style>
  <w:style w:type="character" w:customStyle="1" w:styleId="I-50">
    <w:name w:val="Табл I-5 Знак"/>
    <w:basedOn w:val="Style440"/>
    <w:link w:val="I-5"/>
    <w:qFormat/>
    <w:rsid w:val="003B0E11"/>
    <w:rPr>
      <w:rFonts w:ascii="Arial Narrow" w:eastAsia="Times New Roman" w:hAnsi="Arial Narrow" w:cs="Arial"/>
      <w:b/>
      <w:bCs/>
      <w:i/>
      <w:iCs/>
      <w:sz w:val="24"/>
      <w:szCs w:val="23"/>
      <w:lang w:val="en-US" w:eastAsia="en-US"/>
    </w:rPr>
  </w:style>
  <w:style w:type="table" w:customStyle="1" w:styleId="RHDHVTable3">
    <w:name w:val="RHDHV Table3"/>
    <w:basedOn w:val="RHDHVTableNormal"/>
    <w:uiPriority w:val="99"/>
    <w:unhideWhenUsed/>
    <w:rsid w:val="00A62CEE"/>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4">
    <w:name w:val="RHDHV Table4"/>
    <w:basedOn w:val="RHDHVTableNormal"/>
    <w:uiPriority w:val="99"/>
    <w:unhideWhenUsed/>
    <w:rsid w:val="004B73E4"/>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5">
    <w:name w:val="RHDHV Table5"/>
    <w:basedOn w:val="RHDHVTableNormal"/>
    <w:uiPriority w:val="99"/>
    <w:unhideWhenUsed/>
    <w:rsid w:val="004B73E4"/>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6">
    <w:name w:val="RHDHV Table6"/>
    <w:basedOn w:val="RHDHVTableNormal"/>
    <w:uiPriority w:val="99"/>
    <w:unhideWhenUsed/>
    <w:rsid w:val="0071309E"/>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TableGrid160">
    <w:name w:val="Table Grid16"/>
    <w:basedOn w:val="TableNormal"/>
    <w:next w:val="TableGrid"/>
    <w:uiPriority w:val="59"/>
    <w:rsid w:val="003B5624"/>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7">
    <w:name w:val="RHDHV Table7"/>
    <w:basedOn w:val="RHDHVTableNormal"/>
    <w:uiPriority w:val="99"/>
    <w:unhideWhenUsed/>
    <w:rsid w:val="00AB6177"/>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8">
    <w:name w:val="RHDHV Table8"/>
    <w:basedOn w:val="RHDHVTableNormal"/>
    <w:uiPriority w:val="99"/>
    <w:unhideWhenUsed/>
    <w:rsid w:val="00C04B68"/>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9">
    <w:name w:val="RHDHV Table9"/>
    <w:basedOn w:val="RHDHVTableNormal"/>
    <w:uiPriority w:val="99"/>
    <w:unhideWhenUsed/>
    <w:rsid w:val="0004338C"/>
    <w:pPr>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numbering" w:customStyle="1" w:styleId="Bulleted1">
    <w:name w:val="Bulleted1"/>
    <w:basedOn w:val="NoList"/>
    <w:rsid w:val="003E0C9C"/>
    <w:pPr>
      <w:numPr>
        <w:numId w:val="12"/>
      </w:numPr>
    </w:pPr>
  </w:style>
  <w:style w:type="table" w:customStyle="1" w:styleId="RHDHVTable91">
    <w:name w:val="RHDHV Table91"/>
    <w:basedOn w:val="TableNormal"/>
    <w:uiPriority w:val="99"/>
    <w:unhideWhenUsed/>
    <w:rsid w:val="00E44585"/>
    <w:pPr>
      <w:spacing w:line="271" w:lineRule="auto"/>
    </w:pPr>
    <w:rPr>
      <w:rFonts w:asciiTheme="minorHAnsi" w:eastAsiaTheme="minorEastAsia" w:hAnsiTheme="minorHAnsi" w:cstheme="minorBidi"/>
      <w:color w:val="000000" w:themeColor="text1"/>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E6F5C6"/>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character" w:customStyle="1" w:styleId="UnresolvedMention1">
    <w:name w:val="Unresolved Mention1"/>
    <w:basedOn w:val="DefaultParagraphFont"/>
    <w:uiPriority w:val="99"/>
    <w:semiHidden/>
    <w:unhideWhenUsed/>
    <w:qFormat/>
    <w:rsid w:val="000D0D64"/>
    <w:rPr>
      <w:color w:val="808080"/>
      <w:shd w:val="clear" w:color="auto" w:fill="E6E6E6"/>
    </w:rPr>
  </w:style>
  <w:style w:type="character" w:customStyle="1" w:styleId="FootnoteCharacters">
    <w:name w:val="Footnote Characters"/>
    <w:basedOn w:val="DefaultParagraphFont"/>
    <w:qFormat/>
    <w:rsid w:val="001D43A2"/>
    <w:rPr>
      <w:rFonts w:cs="Times New Roman"/>
      <w:vertAlign w:val="superscript"/>
    </w:rPr>
  </w:style>
  <w:style w:type="character" w:customStyle="1" w:styleId="FootnoteAnchor">
    <w:name w:val="Footnote Anchor"/>
    <w:rsid w:val="001D43A2"/>
    <w:rPr>
      <w:rFonts w:cs="Times New Roman"/>
      <w:vertAlign w:val="superscript"/>
    </w:rPr>
  </w:style>
  <w:style w:type="character" w:customStyle="1" w:styleId="BodyTextIndentChar1">
    <w:name w:val="Body Text Indent Char1"/>
    <w:basedOn w:val="BodyTextChar"/>
    <w:uiPriority w:val="99"/>
    <w:qFormat/>
    <w:rsid w:val="001D43A2"/>
    <w:rPr>
      <w:rFonts w:ascii="Arial" w:eastAsia="Times New Roman" w:hAnsi="Arial" w:cs="Times New Roman"/>
      <w:sz w:val="21"/>
      <w:szCs w:val="21"/>
      <w:lang w:val="en-GB" w:eastAsia="en-US"/>
    </w:rPr>
  </w:style>
  <w:style w:type="character" w:customStyle="1" w:styleId="EndnoteCharacters">
    <w:name w:val="Endnote Characters"/>
    <w:basedOn w:val="DefaultParagraphFont"/>
    <w:uiPriority w:val="99"/>
    <w:semiHidden/>
    <w:qFormat/>
    <w:locked/>
    <w:rsid w:val="001D43A2"/>
    <w:rPr>
      <w:vertAlign w:val="superscript"/>
      <w:lang w:val="en-GB"/>
    </w:rPr>
  </w:style>
  <w:style w:type="character" w:customStyle="1" w:styleId="EndnoteAnchor">
    <w:name w:val="Endnote Anchor"/>
    <w:rsid w:val="001D43A2"/>
    <w:rPr>
      <w:vertAlign w:val="superscript"/>
      <w:lang w:val="en-GB"/>
    </w:rPr>
  </w:style>
  <w:style w:type="character" w:customStyle="1" w:styleId="IndexLink">
    <w:name w:val="Index Link"/>
    <w:qFormat/>
    <w:rsid w:val="001D43A2"/>
  </w:style>
  <w:style w:type="paragraph" w:customStyle="1" w:styleId="Heading">
    <w:name w:val="Heading"/>
    <w:basedOn w:val="Normal"/>
    <w:next w:val="BodyText"/>
    <w:qFormat/>
    <w:rsid w:val="001D43A2"/>
    <w:pPr>
      <w:keepNext/>
      <w:suppressAutoHyphens/>
      <w:spacing w:before="240" w:after="120"/>
    </w:pPr>
    <w:rPr>
      <w:rFonts w:ascii="Liberation Sans" w:eastAsia="Microsoft YaHei" w:hAnsi="Liberation Sans" w:cs="Lucida Sans"/>
      <w:sz w:val="28"/>
      <w:szCs w:val="28"/>
    </w:rPr>
  </w:style>
  <w:style w:type="paragraph" w:customStyle="1" w:styleId="Index">
    <w:name w:val="Index"/>
    <w:basedOn w:val="Normal"/>
    <w:qFormat/>
    <w:rsid w:val="001D43A2"/>
    <w:pPr>
      <w:suppressLineNumbers/>
      <w:suppressAutoHyphens/>
    </w:pPr>
    <w:rPr>
      <w:rFonts w:cs="Lucida Sans"/>
    </w:rPr>
  </w:style>
  <w:style w:type="paragraph" w:customStyle="1" w:styleId="HeaderandFooter">
    <w:name w:val="Header and Footer"/>
    <w:basedOn w:val="Normal"/>
    <w:qFormat/>
    <w:rsid w:val="001D43A2"/>
    <w:pPr>
      <w:suppressAutoHyphens/>
    </w:pPr>
  </w:style>
  <w:style w:type="paragraph" w:customStyle="1" w:styleId="TableContents">
    <w:name w:val="Table Contents"/>
    <w:basedOn w:val="Normal"/>
    <w:qFormat/>
    <w:rsid w:val="001D43A2"/>
    <w:pPr>
      <w:suppressAutoHyphens/>
    </w:pPr>
  </w:style>
  <w:style w:type="paragraph" w:customStyle="1" w:styleId="FrameContents">
    <w:name w:val="Frame Contents"/>
    <w:basedOn w:val="Normal"/>
    <w:qFormat/>
    <w:rsid w:val="001D43A2"/>
    <w:pPr>
      <w:suppressAutoHyphens/>
    </w:pPr>
  </w:style>
  <w:style w:type="table" w:customStyle="1" w:styleId="TableGrid17">
    <w:name w:val="Table Grid17"/>
    <w:basedOn w:val="TableNormal"/>
    <w:next w:val="TableGrid"/>
    <w:uiPriority w:val="59"/>
    <w:rsid w:val="001D43A2"/>
    <w:pPr>
      <w:suppressAutoHyphens/>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59"/>
    <w:rsid w:val="001D43A2"/>
    <w:pPr>
      <w:suppressAutoHyphens/>
    </w:pPr>
    <w:rPr>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10">
    <w:name w:val="RHDHV Table10"/>
    <w:basedOn w:val="TableNormal"/>
    <w:uiPriority w:val="99"/>
    <w:rsid w:val="001D43A2"/>
    <w:pPr>
      <w:suppressAutoHyphens/>
      <w:spacing w:line="271" w:lineRule="auto"/>
    </w:pPr>
    <w:rPr>
      <w:rFonts w:asciiTheme="minorHAnsi" w:eastAsiaTheme="minorEastAsia" w:hAnsiTheme="minorHAnsi" w:cstheme="minorBidi"/>
      <w:sz w:val="20"/>
      <w:szCs w:val="20"/>
      <w:lang w:val="en-GB" w:eastAsia="en-GB"/>
    </w:rPr>
    <w:tblPr>
      <w:tblBorders>
        <w:insideH w:val="single" w:sz="8" w:space="0" w:color="FFFFFF" w:themeColor="background1"/>
        <w:insideV w:val="single" w:sz="8" w:space="0" w:color="FFFFFF" w:themeColor="background1"/>
      </w:tblBorders>
      <w:tblCellMar>
        <w:top w:w="57" w:type="dxa"/>
        <w:left w:w="0" w:type="dxa"/>
        <w:bottom w:w="57" w:type="dxa"/>
        <w:right w:w="0" w:type="dxa"/>
      </w:tblCellMar>
    </w:tblPr>
    <w:tcPr>
      <w:shd w:val="clear" w:color="auto" w:fill="DBE5F1" w:themeFill="accent1" w:themeFillTint="33"/>
      <w:vAlign w:val="center"/>
    </w:tcPr>
    <w:tblStylePr w:type="firstRow">
      <w:rPr>
        <w:b/>
      </w:rPr>
      <w:tblPr/>
      <w:tcPr>
        <w:tcBorders>
          <w:top w:val="nil"/>
          <w:left w:val="nil"/>
          <w:bottom w:val="nil"/>
          <w:right w:val="nil"/>
          <w:insideH w:val="nil"/>
          <w:insideV w:val="single" w:sz="8" w:space="0" w:color="FFFFFF" w:themeColor="background1"/>
          <w:tl2br w:val="nil"/>
          <w:tr2bl w:val="nil"/>
        </w:tcBorders>
        <w:shd w:val="clear" w:color="auto" w:fill="4F81BD" w:themeFill="accent1"/>
      </w:tcPr>
    </w:tblStylePr>
    <w:tblStylePr w:type="lastRow">
      <w:tblPr/>
      <w:tcPr>
        <w:tcBorders>
          <w:top w:val="nil"/>
          <w:left w:val="nil"/>
          <w:bottom w:val="nil"/>
          <w:right w:val="nil"/>
          <w:insideH w:val="nil"/>
          <w:insideV w:val="single" w:sz="8" w:space="0" w:color="FFFFFF" w:themeColor="background1"/>
          <w:tl2br w:val="nil"/>
          <w:tr2bl w:val="nil"/>
        </w:tcBorders>
        <w:shd w:val="clear" w:color="auto" w:fill="B8CCE4" w:themeFill="accent1" w:themeFillTint="66"/>
      </w:tcPr>
    </w:tblStylePr>
    <w:tblStylePr w:type="swCell">
      <w:tblPr/>
      <w:tcPr>
        <w:tcBorders>
          <w:top w:val="nil"/>
          <w:left w:val="nil"/>
          <w:bottom w:val="nil"/>
          <w:right w:val="nil"/>
          <w:insideH w:val="nil"/>
          <w:insideV w:val="nil"/>
          <w:tl2br w:val="nil"/>
          <w:tr2bl w:val="nil"/>
        </w:tcBorders>
        <w:shd w:val="clear" w:color="auto" w:fill="FFFFFF" w:themeFill="background1"/>
      </w:tcPr>
    </w:tblStylePr>
  </w:style>
  <w:style w:type="table" w:customStyle="1" w:styleId="TableGrid512">
    <w:name w:val="Table Grid512"/>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1D43A2"/>
    <w:pPr>
      <w:suppressAutoHyphens/>
      <w:spacing w:line="260" w:lineRule="atLeast"/>
    </w:pPr>
    <w:rPr>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22">
    <w:name w:val="Table Columns 22"/>
    <w:basedOn w:val="TableNormal"/>
    <w:next w:val="TableColumns2"/>
    <w:uiPriority w:val="99"/>
    <w:rsid w:val="001D43A2"/>
    <w:pPr>
      <w:suppressAutoHyphens/>
    </w:pPr>
    <w:rPr>
      <w:b/>
      <w:bCs/>
      <w:sz w:val="20"/>
      <w:szCs w:val="20"/>
      <w:lang w:val="en-US"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33">
    <w:name w:val="Table Grid33"/>
    <w:basedOn w:val="TableNormal"/>
    <w:rsid w:val="001D43A2"/>
    <w:pPr>
      <w:suppressAutoHyphens/>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59"/>
    <w:rsid w:val="001D43A2"/>
    <w:pPr>
      <w:suppressAutoHyphens/>
    </w:pPr>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uiPriority w:val="59"/>
    <w:rsid w:val="001D43A2"/>
    <w:pPr>
      <w:suppressAutoHyphens/>
    </w:pPr>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59"/>
    <w:rsid w:val="001D43A2"/>
    <w:pPr>
      <w:suppressAutoHyphens/>
    </w:pPr>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59"/>
    <w:rsid w:val="001D43A2"/>
    <w:pPr>
      <w:suppressAutoHyphens/>
    </w:pPr>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1D43A2"/>
    <w:pPr>
      <w:suppressAutoHyphens/>
    </w:pPr>
    <w:rPr>
      <w:rFonts w:asciiTheme="minorHAnsi" w:eastAsiaTheme="minorHAnsi" w:hAnsiTheme="minorHAnsi" w:cstheme="minorBidi"/>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11">
    <w:name w:val="RHDHV Table11"/>
    <w:basedOn w:val="TableNormal"/>
    <w:uiPriority w:val="99"/>
    <w:rsid w:val="001D43A2"/>
    <w:pPr>
      <w:suppressAutoHyphens/>
      <w:spacing w:line="271" w:lineRule="auto"/>
    </w:pPr>
    <w:rPr>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DBE5F1"/>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4F81BD"/>
      </w:tcPr>
    </w:tblStylePr>
    <w:tblStylePr w:type="lastRow">
      <w:tblPr/>
      <w:tcPr>
        <w:tcBorders>
          <w:top w:val="nil"/>
          <w:left w:val="nil"/>
          <w:bottom w:val="nil"/>
          <w:right w:val="nil"/>
          <w:insideH w:val="nil"/>
          <w:insideV w:val="single" w:sz="8" w:space="0" w:color="FFFFFF"/>
          <w:tl2br w:val="nil"/>
          <w:tr2bl w:val="nil"/>
        </w:tcBorders>
        <w:shd w:val="clear" w:color="auto" w:fill="B8CCE4"/>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TableGrid91">
    <w:name w:val="Table Grid91"/>
    <w:basedOn w:val="TableNormal"/>
    <w:uiPriority w:val="59"/>
    <w:rsid w:val="001D43A2"/>
    <w:pPr>
      <w:suppressAutoHyphens/>
    </w:pPr>
    <w:rPr>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21">
    <w:name w:val="RHDHV Table21"/>
    <w:basedOn w:val="TableNormal"/>
    <w:uiPriority w:val="99"/>
    <w:rsid w:val="001D43A2"/>
    <w:pPr>
      <w:suppressAutoHyphens/>
      <w:spacing w:line="271" w:lineRule="auto"/>
    </w:pPr>
    <w:rPr>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DBE5F1"/>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4F81BD"/>
      </w:tcPr>
    </w:tblStylePr>
    <w:tblStylePr w:type="lastRow">
      <w:tblPr/>
      <w:tcPr>
        <w:tcBorders>
          <w:top w:val="nil"/>
          <w:left w:val="nil"/>
          <w:bottom w:val="nil"/>
          <w:right w:val="nil"/>
          <w:insideH w:val="nil"/>
          <w:insideV w:val="single" w:sz="8" w:space="0" w:color="FFFFFF"/>
          <w:tl2br w:val="nil"/>
          <w:tr2bl w:val="nil"/>
        </w:tcBorders>
        <w:shd w:val="clear" w:color="auto" w:fill="B8CCE4"/>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TableGrid5111">
    <w:name w:val="Table Grid5111"/>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1D43A2"/>
    <w:pPr>
      <w:suppressAutoHyphens/>
      <w:spacing w:line="260" w:lineRule="atLeast"/>
    </w:pPr>
    <w:rPr>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211">
    <w:name w:val="Table Columns 211"/>
    <w:basedOn w:val="TableNormal"/>
    <w:uiPriority w:val="99"/>
    <w:rsid w:val="001D43A2"/>
    <w:pPr>
      <w:suppressAutoHyphens/>
    </w:pPr>
    <w:rPr>
      <w:b/>
      <w:bCs/>
      <w:sz w:val="20"/>
      <w:szCs w:val="20"/>
      <w:lang w:val="en-US"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321">
    <w:name w:val="Table Grid321"/>
    <w:basedOn w:val="TableNormal"/>
    <w:rsid w:val="001D43A2"/>
    <w:pPr>
      <w:suppressAutoHyphens/>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1D43A2"/>
    <w:pPr>
      <w:suppressAutoHyphens/>
    </w:pPr>
    <w:rPr>
      <w:sz w:val="20"/>
      <w:szCs w:val="20"/>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1D43A2"/>
    <w:pPr>
      <w:suppressAutoHyphens/>
      <w:spacing w:line="260" w:lineRule="atLeast"/>
    </w:pPr>
    <w:rPr>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1D43A2"/>
    <w:pPr>
      <w:suppressAutoHyphens/>
    </w:pPr>
    <w:rPr>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99"/>
    <w:rsid w:val="001D43A2"/>
    <w:pPr>
      <w:suppressAutoHyphens/>
      <w:spacing w:after="200" w:line="276" w:lineRule="auto"/>
    </w:pPr>
    <w:rPr>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59"/>
    <w:rsid w:val="001D43A2"/>
    <w:pPr>
      <w:suppressAutoHyphens/>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511">
    <w:name w:val="Medium Shading 2 - Accent 511"/>
    <w:basedOn w:val="TableNormal"/>
    <w:uiPriority w:val="64"/>
    <w:rsid w:val="001D43A2"/>
    <w:pPr>
      <w:suppressAutoHyphens/>
    </w:pPr>
    <w:rPr>
      <w:lang w:val="nl-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2">
    <w:name w:val="Medium Shading 2 - Accent 52"/>
    <w:basedOn w:val="TableNormal"/>
    <w:next w:val="MediumShading2-Accent5"/>
    <w:uiPriority w:val="64"/>
    <w:rsid w:val="001D43A2"/>
    <w:pPr>
      <w:suppressAutoHyphens/>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RHDHVOverview1">
    <w:name w:val="RHDHV Overview1"/>
    <w:basedOn w:val="TableNormal"/>
    <w:uiPriority w:val="99"/>
    <w:unhideWhenUsed/>
    <w:rsid w:val="001D43A2"/>
    <w:pPr>
      <w:suppressAutoHyphens/>
      <w:spacing w:after="120" w:line="360" w:lineRule="auto"/>
    </w:pPr>
    <w:rPr>
      <w:rFonts w:asciiTheme="minorHAnsi" w:eastAsiaTheme="minorEastAsia" w:hAnsiTheme="minorHAnsi" w:cstheme="minorBidi"/>
      <w:color w:val="000000" w:themeColor="text1"/>
      <w:sz w:val="20"/>
      <w:szCs w:val="20"/>
      <w:lang w:val="en-GB" w:eastAsia="en-GB"/>
    </w:rPr>
    <w:tblPr>
      <w:tblStyleRowBandSize w:val="1"/>
      <w:tblBorders>
        <w:top w:val="single" w:sz="4" w:space="0" w:color="auto"/>
        <w:bottom w:val="single" w:sz="4" w:space="0" w:color="000000" w:themeColor="text1"/>
        <w:insideH w:val="single" w:sz="4" w:space="0" w:color="000000" w:themeColor="text1"/>
      </w:tblBorders>
      <w:tblCellMar>
        <w:top w:w="113" w:type="dxa"/>
        <w:left w:w="113" w:type="dxa"/>
        <w:bottom w:w="113" w:type="dxa"/>
        <w:right w:w="113" w:type="dxa"/>
      </w:tblCellMar>
    </w:tblPr>
    <w:tblStylePr w:type="firstRow">
      <w:rPr>
        <w:b/>
      </w:rPr>
      <w:tblPr/>
      <w:tcPr>
        <w:tcBorders>
          <w:top w:val="nil"/>
          <w:left w:val="nil"/>
          <w:bottom w:val="nil"/>
          <w:right w:val="nil"/>
          <w:insideH w:val="nil"/>
          <w:insideV w:val="nil"/>
          <w:tl2br w:val="nil"/>
          <w:tr2bl w:val="nil"/>
        </w:tcBorders>
        <w:shd w:val="clear" w:color="auto" w:fill="DBE5F1" w:themeFill="accent1" w:themeFillTint="33"/>
      </w:tcPr>
    </w:tblStylePr>
    <w:tblStylePr w:type="band1Horz">
      <w:tblPr/>
      <w:tcPr>
        <w:tcBorders>
          <w:top w:val="nil"/>
          <w:left w:val="nil"/>
          <w:bottom w:val="nil"/>
          <w:right w:val="nil"/>
          <w:insideH w:val="nil"/>
          <w:insideV w:val="single" w:sz="8" w:space="0" w:color="FFFFFF" w:themeColor="background1"/>
          <w:tl2br w:val="nil"/>
          <w:tr2bl w:val="nil"/>
        </w:tcBorders>
        <w:shd w:val="clear" w:color="auto" w:fill="DBE5F1" w:themeFill="accent1" w:themeFillTint="33"/>
      </w:tcPr>
    </w:tblStylePr>
    <w:tblStylePr w:type="band2Horz">
      <w:tblPr/>
      <w:tcPr>
        <w:tcBorders>
          <w:top w:val="nil"/>
          <w:left w:val="nil"/>
          <w:bottom w:val="nil"/>
          <w:right w:val="nil"/>
          <w:insideH w:val="nil"/>
          <w:insideV w:val="single" w:sz="8" w:space="0" w:color="FFFFFF" w:themeColor="background1"/>
          <w:tl2br w:val="nil"/>
          <w:tr2bl w:val="nil"/>
        </w:tcBorders>
      </w:tcPr>
    </w:tblStylePr>
  </w:style>
  <w:style w:type="table" w:customStyle="1" w:styleId="RHDHVOverviewImage1">
    <w:name w:val="RHDHV Overview Image1"/>
    <w:basedOn w:val="TableNormal"/>
    <w:uiPriority w:val="99"/>
    <w:unhideWhenUsed/>
    <w:rsid w:val="001D43A2"/>
    <w:pPr>
      <w:suppressAutoHyphens/>
      <w:spacing w:after="120"/>
    </w:pPr>
    <w:rPr>
      <w:rFonts w:asciiTheme="minorHAnsi" w:eastAsiaTheme="minorEastAsia" w:hAnsiTheme="minorHAnsi" w:cstheme="minorBidi"/>
      <w:color w:val="000000" w:themeColor="text1"/>
      <w:sz w:val="20"/>
      <w:szCs w:val="20"/>
      <w:lang w:val="en-GB" w:eastAsia="en-GB"/>
    </w:rPr>
    <w:tblPr>
      <w:tblCellMar>
        <w:top w:w="113" w:type="dxa"/>
        <w:left w:w="0" w:type="dxa"/>
        <w:right w:w="0" w:type="dxa"/>
      </w:tblCellMar>
    </w:tblPr>
  </w:style>
  <w:style w:type="table" w:customStyle="1" w:styleId="RHDHVTableNormal1">
    <w:name w:val="RHDHV Table Normal1"/>
    <w:basedOn w:val="TableNormal"/>
    <w:uiPriority w:val="99"/>
    <w:unhideWhenUsed/>
    <w:rsid w:val="001D43A2"/>
    <w:pPr>
      <w:suppressAutoHyphens/>
      <w:spacing w:after="120" w:line="360" w:lineRule="auto"/>
    </w:pPr>
    <w:rPr>
      <w:rFonts w:asciiTheme="minorHAnsi" w:eastAsiaTheme="minorEastAsia" w:hAnsiTheme="minorHAnsi" w:cstheme="minorBidi"/>
      <w:color w:val="000000" w:themeColor="text1"/>
      <w:sz w:val="20"/>
      <w:szCs w:val="20"/>
      <w:lang w:val="en-GB" w:eastAsia="en-GB"/>
    </w:rPr>
    <w:tblPr>
      <w:tblCellMar>
        <w:top w:w="57" w:type="dxa"/>
        <w:left w:w="0" w:type="dxa"/>
        <w:bottom w:w="57" w:type="dxa"/>
        <w:right w:w="0" w:type="dxa"/>
      </w:tblCellMar>
    </w:tblPr>
    <w:tcPr>
      <w:vAlign w:val="center"/>
    </w:tcPr>
  </w:style>
  <w:style w:type="table" w:customStyle="1" w:styleId="RHDHVTableMono1">
    <w:name w:val="RHDHV Table Mono1"/>
    <w:basedOn w:val="RHDHVTableNormal"/>
    <w:uiPriority w:val="99"/>
    <w:semiHidden/>
    <w:unhideWhenUsed/>
    <w:rsid w:val="001D43A2"/>
    <w:pPr>
      <w:suppressAutoHyphens/>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rPr>
        <w:b/>
      </w:rPr>
      <w:tblPr/>
      <w:trPr>
        <w:tblHeader/>
      </w:trPr>
      <w:tcPr>
        <w:tcBorders>
          <w:top w:val="single" w:sz="4" w:space="0" w:color="000000"/>
          <w:left w:val="single" w:sz="4" w:space="0" w:color="000000"/>
          <w:bottom w:val="single" w:sz="4" w:space="0" w:color="000000"/>
          <w:right w:val="single" w:sz="4" w:space="0" w:color="000000"/>
          <w:insideH w:val="nil"/>
          <w:insideV w:val="single" w:sz="4" w:space="0" w:color="FFFFFF"/>
          <w:tl2br w:val="nil"/>
          <w:tr2bl w:val="nil"/>
        </w:tcBorders>
        <w:shd w:val="clear" w:color="auto" w:fill="000000"/>
      </w:tcPr>
    </w:tblStylePr>
    <w:tblStylePr w:type="swCell">
      <w:tblPr/>
      <w:tcPr>
        <w:tcBorders>
          <w:top w:val="nil"/>
          <w:left w:val="nil"/>
          <w:bottom w:val="nil"/>
          <w:right w:val="nil"/>
          <w:insideH w:val="nil"/>
          <w:insideV w:val="nil"/>
          <w:tl2br w:val="nil"/>
          <w:tr2bl w:val="nil"/>
        </w:tcBorders>
        <w:shd w:val="clear" w:color="auto" w:fill="FFFFFF" w:themeFill="background1"/>
      </w:tcPr>
    </w:tblStylePr>
  </w:style>
  <w:style w:type="table" w:customStyle="1" w:styleId="ColorfulGrid11">
    <w:name w:val="Colorful Grid11"/>
    <w:basedOn w:val="TableNormal"/>
    <w:uiPriority w:val="73"/>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ColorfulGrid-Accent11">
    <w:name w:val="Colorful Grid - Accent 11"/>
    <w:basedOn w:val="TableNormal"/>
    <w:next w:val="ColorfulGrid-Accent1"/>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ColorfulGrid-Accent21">
    <w:name w:val="Colorful Grid - Accent 21"/>
    <w:basedOn w:val="TableNormal"/>
    <w:next w:val="ColorfulGrid-Accent2"/>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ColorfulGrid-Accent31">
    <w:name w:val="Colorful Grid - Accent 31"/>
    <w:basedOn w:val="TableNormal"/>
    <w:next w:val="ColorfulGrid-Accent3"/>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ColorfulGrid-Accent41">
    <w:name w:val="Colorful Grid - Accent 41"/>
    <w:basedOn w:val="TableNormal"/>
    <w:next w:val="ColorfulGrid-Accent4"/>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ColorfulGrid-Accent51">
    <w:name w:val="Colorful Grid - Accent 51"/>
    <w:basedOn w:val="TableNormal"/>
    <w:next w:val="ColorfulGrid-Accent5"/>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ColorfulGrid-Accent61">
    <w:name w:val="Colorful Grid - Accent 61"/>
    <w:basedOn w:val="TableNormal"/>
    <w:next w:val="ColorfulGrid-Accent6"/>
    <w:uiPriority w:val="7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1">
    <w:name w:val="Colorful List11"/>
    <w:basedOn w:val="TableNormal"/>
    <w:uiPriority w:val="72"/>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ColorfulList-Accent11">
    <w:name w:val="Colorful List - Accent 11"/>
    <w:basedOn w:val="TableNormal"/>
    <w:next w:val="ColorfulList-Accent1"/>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ColorfulList-Accent21">
    <w:name w:val="Colorful List - Accent 21"/>
    <w:basedOn w:val="TableNormal"/>
    <w:next w:val="ColorfulList-Accent2"/>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ColorfulList-Accent31">
    <w:name w:val="Colorful List - Accent 31"/>
    <w:basedOn w:val="TableNormal"/>
    <w:next w:val="ColorfulList-Accent3"/>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ColorfulList-Accent41">
    <w:name w:val="Colorful List - Accent 41"/>
    <w:basedOn w:val="TableNormal"/>
    <w:next w:val="ColorfulList-Accent4"/>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ColorfulList-Accent51">
    <w:name w:val="Colorful List - Accent 51"/>
    <w:basedOn w:val="TableNormal"/>
    <w:next w:val="ColorfulList-Accent5"/>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ColorfulList-Accent61">
    <w:name w:val="Colorful List - Accent 61"/>
    <w:basedOn w:val="TableNormal"/>
    <w:next w:val="ColorfulList-Accent6"/>
    <w:uiPriority w:val="7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ColorfulShading11">
    <w:name w:val="Colorful Shading11"/>
    <w:basedOn w:val="TableNormal"/>
    <w:uiPriority w:val="71"/>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ColorfulShading-Accent11">
    <w:name w:val="Colorful Shading - Accent 11"/>
    <w:basedOn w:val="TableNormal"/>
    <w:next w:val="ColorfulShading-Accent1"/>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4F81BD" w:themeColor="accent1"/>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ColorfulShading-Accent21">
    <w:name w:val="Colorful Shading - Accent 21"/>
    <w:basedOn w:val="TableNormal"/>
    <w:next w:val="ColorfulShading-Accent2"/>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C0504D" w:themeColor="accent2"/>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ColorfulShading-Accent31">
    <w:name w:val="Colorful Shading - Accent 31"/>
    <w:basedOn w:val="TableNormal"/>
    <w:next w:val="ColorfulShading-Accent3"/>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9BBB59" w:themeColor="accent3"/>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ColorfulShading-Accent41">
    <w:name w:val="Colorful Shading - Accent 41"/>
    <w:basedOn w:val="TableNormal"/>
    <w:next w:val="ColorfulShading-Accent4"/>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8064A2" w:themeColor="accent4"/>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ColorfulShading-Accent51">
    <w:name w:val="Colorful Shading - Accent 51"/>
    <w:basedOn w:val="TableNormal"/>
    <w:next w:val="ColorfulShading-Accent5"/>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4BACC6" w:themeColor="accent5"/>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ColorfulShading-Accent61">
    <w:name w:val="Colorful Shading - Accent 61"/>
    <w:basedOn w:val="TableNormal"/>
    <w:next w:val="ColorfulShading-Accent6"/>
    <w:uiPriority w:val="7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F79646" w:themeColor="accent6"/>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DarkList11">
    <w:name w:val="Dark List11"/>
    <w:basedOn w:val="TableNormal"/>
    <w:uiPriority w:val="70"/>
    <w:semiHidden/>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DarkList-Accent11">
    <w:name w:val="Dark List - Accent 11"/>
    <w:basedOn w:val="TableNormal"/>
    <w:next w:val="DarkList-Accent1"/>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DarkList-Accent21">
    <w:name w:val="Dark List - Accent 21"/>
    <w:basedOn w:val="TableNormal"/>
    <w:next w:val="DarkList-Accent2"/>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DarkList-Accent31">
    <w:name w:val="Dark List - Accent 31"/>
    <w:basedOn w:val="TableNormal"/>
    <w:next w:val="DarkList-Accent3"/>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DarkList-Accent41">
    <w:name w:val="Dark List - Accent 41"/>
    <w:basedOn w:val="TableNormal"/>
    <w:next w:val="DarkList-Accent4"/>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DarkList-Accent51">
    <w:name w:val="Dark List - Accent 51"/>
    <w:basedOn w:val="TableNormal"/>
    <w:next w:val="DarkList-Accent5"/>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DarkList-Accent61">
    <w:name w:val="Dark List - Accent 61"/>
    <w:basedOn w:val="TableNormal"/>
    <w:next w:val="DarkList-Accent6"/>
    <w:uiPriority w:val="70"/>
    <w:rsid w:val="001D43A2"/>
    <w:pPr>
      <w:suppressAutoHyphens/>
      <w:spacing w:after="120"/>
    </w:pPr>
    <w:rPr>
      <w:rFonts w:eastAsiaTheme="minorEastAsia" w:cstheme="minorBidi"/>
      <w:color w:val="FFFFFF" w:themeColor="background1"/>
      <w:sz w:val="20"/>
      <w:szCs w:val="20"/>
      <w:lang w:val="en-GB" w:eastAsia="en-GB"/>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LightGrid11">
    <w:name w:val="Light Grid11"/>
    <w:basedOn w:val="TableNormal"/>
    <w:uiPriority w:val="62"/>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ghtGrid-Accent111">
    <w:name w:val="Light Grid - Accent 111"/>
    <w:basedOn w:val="TableNormal"/>
    <w:uiPriority w:val="62"/>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Accent21">
    <w:name w:val="Light Grid - Accent 21"/>
    <w:basedOn w:val="TableNormal"/>
    <w:next w:val="LightGrid-Accent2"/>
    <w:uiPriority w:val="6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LightGrid-Accent31">
    <w:name w:val="Light Grid - Accent 31"/>
    <w:basedOn w:val="TableNormal"/>
    <w:next w:val="LightGrid-Accent3"/>
    <w:uiPriority w:val="6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LightGrid-Accent41">
    <w:name w:val="Light Grid - Accent 41"/>
    <w:basedOn w:val="TableNormal"/>
    <w:next w:val="LightGrid-Accent4"/>
    <w:uiPriority w:val="6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LightGrid-Accent51">
    <w:name w:val="Light Grid - Accent 51"/>
    <w:basedOn w:val="TableNormal"/>
    <w:next w:val="LightGrid-Accent5"/>
    <w:uiPriority w:val="6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61">
    <w:name w:val="Light Grid - Accent 61"/>
    <w:basedOn w:val="TableNormal"/>
    <w:next w:val="LightGrid-Accent6"/>
    <w:uiPriority w:val="62"/>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LightList11">
    <w:name w:val="Light List11"/>
    <w:basedOn w:val="TableNormal"/>
    <w:uiPriority w:val="61"/>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11">
    <w:name w:val="Light List - Accent 111"/>
    <w:basedOn w:val="TableNormal"/>
    <w:uiPriority w:val="61"/>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List-Accent21">
    <w:name w:val="Light List - Accent 21"/>
    <w:basedOn w:val="TableNormal"/>
    <w:next w:val="LightList-Accent2"/>
    <w:uiPriority w:val="6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ghtList-Accent31">
    <w:name w:val="Light List - Accent 31"/>
    <w:basedOn w:val="TableNormal"/>
    <w:next w:val="LightList-Accent3"/>
    <w:uiPriority w:val="6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ghtList-Accent41">
    <w:name w:val="Light List - Accent 41"/>
    <w:basedOn w:val="TableNormal"/>
    <w:next w:val="LightList-Accent4"/>
    <w:uiPriority w:val="6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LightList-Accent51">
    <w:name w:val="Light List - Accent 51"/>
    <w:basedOn w:val="TableNormal"/>
    <w:next w:val="LightList-Accent5"/>
    <w:uiPriority w:val="6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LightList-Accent61">
    <w:name w:val="Light List - Accent 61"/>
    <w:basedOn w:val="TableNormal"/>
    <w:next w:val="LightList-Accent6"/>
    <w:uiPriority w:val="61"/>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LightShading11">
    <w:name w:val="Light Shading11"/>
    <w:basedOn w:val="TableNormal"/>
    <w:uiPriority w:val="60"/>
    <w:semiHidden/>
    <w:rsid w:val="001D43A2"/>
    <w:pPr>
      <w:suppressAutoHyphens/>
      <w:spacing w:after="120"/>
    </w:pPr>
    <w:rPr>
      <w:rFonts w:eastAsiaTheme="minorEastAsia" w:cstheme="minorBidi"/>
      <w:color w:val="000000" w:themeColor="text1" w:themeShade="BF"/>
      <w:sz w:val="20"/>
      <w:szCs w:val="20"/>
      <w:lang w:val="en-GB"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1">
    <w:name w:val="Light Shading - Accent 111"/>
    <w:basedOn w:val="TableNormal"/>
    <w:uiPriority w:val="60"/>
    <w:semiHidden/>
    <w:rsid w:val="001D43A2"/>
    <w:pPr>
      <w:suppressAutoHyphens/>
      <w:spacing w:after="120"/>
    </w:pPr>
    <w:rPr>
      <w:rFonts w:eastAsiaTheme="minorEastAsia" w:cstheme="minorBidi"/>
      <w:color w:val="365F91" w:themeColor="accent1" w:themeShade="BF"/>
      <w:sz w:val="20"/>
      <w:szCs w:val="20"/>
      <w:lang w:val="en-GB" w:eastAsia="en-GB"/>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Shading-Accent21">
    <w:name w:val="Light Shading - Accent 21"/>
    <w:basedOn w:val="TableNormal"/>
    <w:next w:val="LightShading-Accent2"/>
    <w:uiPriority w:val="60"/>
    <w:rsid w:val="001D43A2"/>
    <w:pPr>
      <w:suppressAutoHyphens/>
      <w:spacing w:after="120"/>
    </w:pPr>
    <w:rPr>
      <w:rFonts w:eastAsiaTheme="minorEastAsia" w:cstheme="minorBidi"/>
      <w:color w:val="943634" w:themeColor="accent2" w:themeShade="BF"/>
      <w:sz w:val="20"/>
      <w:szCs w:val="20"/>
      <w:lang w:val="en-GB" w:eastAsia="en-GB"/>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Shading-Accent31">
    <w:name w:val="Light Shading - Accent 31"/>
    <w:basedOn w:val="TableNormal"/>
    <w:next w:val="LightShading-Accent3"/>
    <w:uiPriority w:val="60"/>
    <w:rsid w:val="001D43A2"/>
    <w:pPr>
      <w:suppressAutoHyphens/>
      <w:spacing w:after="120"/>
    </w:pPr>
    <w:rPr>
      <w:rFonts w:eastAsiaTheme="minorEastAsia" w:cstheme="minorBidi"/>
      <w:color w:val="76923C" w:themeColor="accent3" w:themeShade="BF"/>
      <w:sz w:val="20"/>
      <w:szCs w:val="20"/>
      <w:lang w:val="en-GB" w:eastAsia="en-GB"/>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LightShading-Accent41">
    <w:name w:val="Light Shading - Accent 41"/>
    <w:basedOn w:val="TableNormal"/>
    <w:next w:val="LightShading-Accent4"/>
    <w:uiPriority w:val="60"/>
    <w:rsid w:val="001D43A2"/>
    <w:pPr>
      <w:suppressAutoHyphens/>
      <w:spacing w:after="120"/>
    </w:pPr>
    <w:rPr>
      <w:rFonts w:eastAsiaTheme="minorEastAsia" w:cstheme="minorBidi"/>
      <w:color w:val="5F497A" w:themeColor="accent4" w:themeShade="BF"/>
      <w:sz w:val="20"/>
      <w:szCs w:val="20"/>
      <w:lang w:val="en-GB" w:eastAsia="en-GB"/>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LightShading-Accent51">
    <w:name w:val="Light Shading - Accent 51"/>
    <w:basedOn w:val="TableNormal"/>
    <w:next w:val="LightShading-Accent5"/>
    <w:uiPriority w:val="60"/>
    <w:rsid w:val="001D43A2"/>
    <w:pPr>
      <w:suppressAutoHyphens/>
      <w:spacing w:after="120"/>
    </w:pPr>
    <w:rPr>
      <w:rFonts w:eastAsiaTheme="minorEastAsia" w:cstheme="minorBidi"/>
      <w:color w:val="31849B" w:themeColor="accent5" w:themeShade="BF"/>
      <w:sz w:val="20"/>
      <w:szCs w:val="20"/>
      <w:lang w:val="en-GB" w:eastAsia="en-GB"/>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LightShading-Accent61">
    <w:name w:val="Light Shading - Accent 61"/>
    <w:basedOn w:val="TableNormal"/>
    <w:next w:val="LightShading-Accent6"/>
    <w:uiPriority w:val="60"/>
    <w:rsid w:val="001D43A2"/>
    <w:pPr>
      <w:suppressAutoHyphens/>
      <w:spacing w:after="120"/>
    </w:pPr>
    <w:rPr>
      <w:rFonts w:eastAsiaTheme="minorEastAsia" w:cstheme="minorBidi"/>
      <w:color w:val="E36C0A" w:themeColor="accent6" w:themeShade="BF"/>
      <w:sz w:val="20"/>
      <w:szCs w:val="20"/>
      <w:lang w:val="en-GB" w:eastAsia="en-GB"/>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MediumGrid111">
    <w:name w:val="Medium Grid 111"/>
    <w:basedOn w:val="TableNormal"/>
    <w:uiPriority w:val="67"/>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MediumGrid1-Accent11">
    <w:name w:val="Medium Grid 1 - Accent 11"/>
    <w:basedOn w:val="TableNormal"/>
    <w:next w:val="MediumGrid1-Accent1"/>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4F81BD" w:themeColor="accent1"/>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Accent21">
    <w:name w:val="Medium Grid 1 - Accent 21"/>
    <w:basedOn w:val="TableNormal"/>
    <w:next w:val="MediumGrid1-Accent2"/>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0504D" w:themeColor="accent2"/>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MediumGrid1-Accent31">
    <w:name w:val="Medium Grid 1 - Accent 31"/>
    <w:basedOn w:val="TableNormal"/>
    <w:next w:val="MediumGrid1-Accent3"/>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9BBB59" w:themeColor="accent3"/>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MediumGrid1-Accent41">
    <w:name w:val="Medium Grid 1 - Accent 41"/>
    <w:basedOn w:val="TableNormal"/>
    <w:next w:val="MediumGrid1-Accent4"/>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8064A2" w:themeColor="accent4"/>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MediumGrid1-Accent51">
    <w:name w:val="Medium Grid 1 - Accent 51"/>
    <w:basedOn w:val="TableNormal"/>
    <w:next w:val="MediumGrid1-Accent5"/>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4BACC6" w:themeColor="accent5"/>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MediumGrid1-Accent61">
    <w:name w:val="Medium Grid 1 - Accent 61"/>
    <w:basedOn w:val="TableNormal"/>
    <w:next w:val="MediumGrid1-Accent6"/>
    <w:uiPriority w:val="67"/>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79646" w:themeColor="accent6"/>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MediumGrid211">
    <w:name w:val="Medium Grid 211"/>
    <w:basedOn w:val="TableNormal"/>
    <w:uiPriority w:val="68"/>
    <w:semiHidden/>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MediumGrid2-Accent11">
    <w:name w:val="Medium Grid 2 - Accent 11"/>
    <w:basedOn w:val="TableNormal"/>
    <w:next w:val="MediumGrid2-Accent1"/>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MediumGrid2-Accent21">
    <w:name w:val="Medium Grid 2 - Accent 21"/>
    <w:basedOn w:val="TableNormal"/>
    <w:next w:val="MediumGrid2-Accent2"/>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MediumGrid2-Accent31">
    <w:name w:val="Medium Grid 2 - Accent 31"/>
    <w:basedOn w:val="TableNormal"/>
    <w:next w:val="MediumGrid2-Accent3"/>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MediumGrid2-Accent41">
    <w:name w:val="Medium Grid 2 - Accent 41"/>
    <w:basedOn w:val="TableNormal"/>
    <w:next w:val="MediumGrid2-Accent4"/>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MediumGrid2-Accent51">
    <w:name w:val="Medium Grid 2 - Accent 51"/>
    <w:basedOn w:val="TableNormal"/>
    <w:next w:val="MediumGrid2-Accent5"/>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MediumGrid2-Accent61">
    <w:name w:val="Medium Grid 2 - Accent 61"/>
    <w:basedOn w:val="TableNormal"/>
    <w:next w:val="MediumGrid2-Accent6"/>
    <w:uiPriority w:val="68"/>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MediumGrid311">
    <w:name w:val="Medium Grid 311"/>
    <w:basedOn w:val="TableNormal"/>
    <w:uiPriority w:val="69"/>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MediumGrid3-Accent11">
    <w:name w:val="Medium Grid 3 - Accent 11"/>
    <w:basedOn w:val="TableNormal"/>
    <w:next w:val="MediumGrid3-Accent1"/>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MediumGrid3-Accent21">
    <w:name w:val="Medium Grid 3 - Accent 21"/>
    <w:basedOn w:val="TableNormal"/>
    <w:next w:val="MediumGrid3-Accent2"/>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MediumGrid3-Accent31">
    <w:name w:val="Medium Grid 3 - Accent 31"/>
    <w:basedOn w:val="TableNormal"/>
    <w:next w:val="MediumGrid3-Accent3"/>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MediumGrid3-Accent41">
    <w:name w:val="Medium Grid 3 - Accent 41"/>
    <w:basedOn w:val="TableNormal"/>
    <w:next w:val="MediumGrid3-Accent4"/>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MediumGrid3-Accent51">
    <w:name w:val="Medium Grid 3 - Accent 51"/>
    <w:basedOn w:val="TableNormal"/>
    <w:next w:val="MediumGrid3-Accent5"/>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61">
    <w:name w:val="Medium Grid 3 - Accent 61"/>
    <w:basedOn w:val="TableNormal"/>
    <w:next w:val="MediumGrid3-Accent6"/>
    <w:uiPriority w:val="69"/>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MediumList111">
    <w:name w:val="Medium List 111"/>
    <w:basedOn w:val="TableNormal"/>
    <w:uiPriority w:val="65"/>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MediumList1-Accent111">
    <w:name w:val="Medium List 1 - Accent 111"/>
    <w:basedOn w:val="TableNormal"/>
    <w:uiPriority w:val="65"/>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MediumList1-Accent21">
    <w:name w:val="Medium List 1 - Accent 21"/>
    <w:basedOn w:val="TableNormal"/>
    <w:next w:val="MediumList1-Accent2"/>
    <w:uiPriority w:val="65"/>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MediumList1-Accent31">
    <w:name w:val="Medium List 1 - Accent 31"/>
    <w:basedOn w:val="TableNormal"/>
    <w:next w:val="MediumList1-Accent3"/>
    <w:uiPriority w:val="65"/>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MediumList1-Accent41">
    <w:name w:val="Medium List 1 - Accent 41"/>
    <w:basedOn w:val="TableNormal"/>
    <w:next w:val="MediumList1-Accent4"/>
    <w:uiPriority w:val="65"/>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MediumList1-Accent51">
    <w:name w:val="Medium List 1 - Accent 51"/>
    <w:basedOn w:val="TableNormal"/>
    <w:next w:val="MediumList1-Accent5"/>
    <w:uiPriority w:val="65"/>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MediumList1-Accent61">
    <w:name w:val="Medium List 1 - Accent 61"/>
    <w:basedOn w:val="TableNormal"/>
    <w:next w:val="MediumList1-Accent6"/>
    <w:uiPriority w:val="65"/>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MediumList211">
    <w:name w:val="Medium List 211"/>
    <w:basedOn w:val="TableNormal"/>
    <w:uiPriority w:val="66"/>
    <w:semiHidden/>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11">
    <w:name w:val="Medium List 2 - Accent 11"/>
    <w:basedOn w:val="TableNormal"/>
    <w:next w:val="MediumList2-Accent1"/>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21">
    <w:name w:val="Medium List 2 - Accent 21"/>
    <w:basedOn w:val="TableNormal"/>
    <w:next w:val="MediumList2-Accent2"/>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31">
    <w:name w:val="Medium List 2 - Accent 31"/>
    <w:basedOn w:val="TableNormal"/>
    <w:next w:val="MediumList2-Accent3"/>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41">
    <w:name w:val="Medium List 2 - Accent 41"/>
    <w:basedOn w:val="TableNormal"/>
    <w:next w:val="MediumList2-Accent4"/>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51">
    <w:name w:val="Medium List 2 - Accent 51"/>
    <w:basedOn w:val="TableNormal"/>
    <w:next w:val="MediumList2-Accent5"/>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61">
    <w:name w:val="Medium List 2 - Accent 61"/>
    <w:basedOn w:val="TableNormal"/>
    <w:next w:val="MediumList2-Accent6"/>
    <w:uiPriority w:val="66"/>
    <w:rsid w:val="001D43A2"/>
    <w:pPr>
      <w:suppressAutoHyphens/>
      <w:spacing w:after="120"/>
    </w:pPr>
    <w:rPr>
      <w:rFonts w:asciiTheme="majorHAnsi" w:eastAsiaTheme="majorEastAsia" w:hAnsiTheme="majorHAnsi" w:cstheme="majorBidi"/>
      <w:color w:val="000000" w:themeColor="text1"/>
      <w:sz w:val="20"/>
      <w:szCs w:val="20"/>
      <w:lang w:val="en-GB" w:eastAsia="en-GB"/>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111">
    <w:name w:val="Medium Shading 111"/>
    <w:basedOn w:val="TableNormal"/>
    <w:uiPriority w:val="63"/>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111">
    <w:name w:val="Medium Shading 1 - Accent 111"/>
    <w:basedOn w:val="TableNormal"/>
    <w:uiPriority w:val="63"/>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MediumShading1-Accent21">
    <w:name w:val="Medium Shading 1 - Accent 21"/>
    <w:basedOn w:val="TableNormal"/>
    <w:next w:val="MediumShading1-Accent2"/>
    <w:uiPriority w:val="6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MediumShading1-Accent31">
    <w:name w:val="Medium Shading 1 - Accent 31"/>
    <w:basedOn w:val="TableNormal"/>
    <w:next w:val="MediumShading1-Accent3"/>
    <w:uiPriority w:val="6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MediumShading1-Accent41">
    <w:name w:val="Medium Shading 1 - Accent 41"/>
    <w:basedOn w:val="TableNormal"/>
    <w:next w:val="MediumShading1-Accent4"/>
    <w:uiPriority w:val="6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MediumShading1-Accent51">
    <w:name w:val="Medium Shading 1 - Accent 51"/>
    <w:basedOn w:val="TableNormal"/>
    <w:next w:val="MediumShading1-Accent5"/>
    <w:uiPriority w:val="6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MediumShading1-Accent61">
    <w:name w:val="Medium Shading 1 - Accent 61"/>
    <w:basedOn w:val="TableNormal"/>
    <w:next w:val="MediumShading1-Accent6"/>
    <w:uiPriority w:val="63"/>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MediumShading211">
    <w:name w:val="Medium Shading 211"/>
    <w:basedOn w:val="TableNormal"/>
    <w:uiPriority w:val="64"/>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111">
    <w:name w:val="Medium Shading 2 - Accent 111"/>
    <w:basedOn w:val="TableNormal"/>
    <w:uiPriority w:val="64"/>
    <w:semiHidden/>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21">
    <w:name w:val="Medium Shading 2 - Accent 21"/>
    <w:basedOn w:val="TableNormal"/>
    <w:next w:val="MediumShading2-Accent2"/>
    <w:uiPriority w:val="64"/>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31">
    <w:name w:val="Medium Shading 2 - Accent 31"/>
    <w:basedOn w:val="TableNormal"/>
    <w:next w:val="MediumShading2-Accent3"/>
    <w:uiPriority w:val="64"/>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41">
    <w:name w:val="Medium Shading 2 - Accent 41"/>
    <w:basedOn w:val="TableNormal"/>
    <w:next w:val="MediumShading2-Accent4"/>
    <w:uiPriority w:val="64"/>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61">
    <w:name w:val="Medium Shading 2 - Accent 61"/>
    <w:basedOn w:val="TableNormal"/>
    <w:next w:val="MediumShading2-Accent6"/>
    <w:uiPriority w:val="64"/>
    <w:rsid w:val="001D43A2"/>
    <w:pPr>
      <w:suppressAutoHyphens/>
      <w:spacing w:after="120"/>
    </w:pPr>
    <w:rPr>
      <w:rFonts w:eastAsiaTheme="minorEastAsia" w:cstheme="minorBidi"/>
      <w:color w:val="000000" w:themeColor="text1"/>
      <w:sz w:val="20"/>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3Deffects11">
    <w:name w:val="Table 3D effects 11"/>
    <w:basedOn w:val="TableNormal"/>
    <w:next w:val="Table3Deffects1"/>
    <w:uiPriority w:val="99"/>
    <w:semiHidden/>
    <w:rsid w:val="001D43A2"/>
    <w:pPr>
      <w:suppressAutoHyphens/>
      <w:spacing w:after="120" w:line="360" w:lineRule="auto"/>
    </w:pPr>
    <w:rPr>
      <w:rFonts w:eastAsiaTheme="minorEastAsia" w:cstheme="minorBidi"/>
      <w:sz w:val="20"/>
      <w:szCs w:val="20"/>
      <w:lang w:val="en-GB" w:eastAsia="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uiPriority w:val="99"/>
    <w:semiHidden/>
    <w:rsid w:val="001D43A2"/>
    <w:pPr>
      <w:suppressAutoHyphens/>
      <w:spacing w:after="120" w:line="360" w:lineRule="auto"/>
    </w:pPr>
    <w:rPr>
      <w:rFonts w:eastAsiaTheme="minorEastAsia" w:cstheme="minorBidi"/>
      <w:sz w:val="20"/>
      <w:szCs w:val="20"/>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uiPriority w:val="99"/>
    <w:semiHidden/>
    <w:rsid w:val="001D43A2"/>
    <w:pPr>
      <w:suppressAutoHyphens/>
      <w:spacing w:after="120" w:line="360" w:lineRule="auto"/>
    </w:pPr>
    <w:rPr>
      <w:rFonts w:eastAsiaTheme="minorEastAsia" w:cstheme="minorBidi"/>
      <w:sz w:val="20"/>
      <w:szCs w:val="20"/>
      <w:lang w:val="en-GB" w:eastAsia="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uiPriority w:val="99"/>
    <w:semiHidden/>
    <w:rsid w:val="001D43A2"/>
    <w:pPr>
      <w:suppressAutoHyphens/>
      <w:spacing w:after="120" w:line="360" w:lineRule="auto"/>
    </w:pPr>
    <w:rPr>
      <w:rFonts w:eastAsiaTheme="minorEastAsia" w:cstheme="minorBidi"/>
      <w:color w:val="000080"/>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uiPriority w:val="99"/>
    <w:semiHidden/>
    <w:rsid w:val="001D43A2"/>
    <w:pPr>
      <w:suppressAutoHyphens/>
      <w:spacing w:after="120" w:line="360" w:lineRule="auto"/>
    </w:pPr>
    <w:rPr>
      <w:rFonts w:eastAsiaTheme="minorEastAsia" w:cstheme="minorBidi"/>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rPr>
      <w:tblPr/>
      <w:tcPr>
        <w:tcBorders>
          <w:tl2br w:val="none" w:sz="0" w:space="0" w:color="auto"/>
          <w:tr2bl w:val="none" w:sz="0" w:space="0" w:color="auto"/>
        </w:tcBorders>
        <w:shd w:val="solid" w:color="000000" w:fill="FFFFFF"/>
      </w:tcPr>
    </w:tblStylePr>
    <w:tblStylePr w:type="firstCol">
      <w:rPr>
        <w:b/>
        <w:bCs/>
        <w:i/>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uiPriority w:val="99"/>
    <w:semiHidden/>
    <w:rsid w:val="001D43A2"/>
    <w:pPr>
      <w:suppressAutoHyphens/>
      <w:spacing w:after="120" w:line="360" w:lineRule="auto"/>
    </w:pPr>
    <w:rPr>
      <w:rFonts w:eastAsiaTheme="minorEastAsia" w:cstheme="minorBidi"/>
      <w:sz w:val="20"/>
      <w:szCs w:val="20"/>
      <w:lang w:val="en-GB" w:eastAsia="en-GB"/>
    </w:rPr>
    <w:tblPr>
      <w:tblBorders>
        <w:bottom w:val="single" w:sz="12" w:space="0" w:color="000000"/>
      </w:tblBorders>
    </w:tblPr>
    <w:tcPr>
      <w:shd w:val="pct20" w:color="FFFF00" w:fill="FFFFFF"/>
    </w:tcPr>
    <w:tblStylePr w:type="firstRow">
      <w:rPr>
        <w:b/>
        <w:bCs/>
        <w:i/>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uiPriority w:val="99"/>
    <w:semiHidden/>
    <w:rsid w:val="001D43A2"/>
    <w:pPr>
      <w:suppressAutoHyphens/>
      <w:spacing w:after="120" w:line="360" w:lineRule="auto"/>
    </w:pPr>
    <w:rPr>
      <w:rFonts w:eastAsiaTheme="minorEastAsia" w:cstheme="minorBidi"/>
      <w:b/>
      <w:bCs/>
      <w:sz w:val="20"/>
      <w:szCs w:val="20"/>
      <w:lang w:val="en-GB" w:eastAsia="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uiPriority w:val="99"/>
    <w:semiHidden/>
    <w:rsid w:val="001D43A2"/>
    <w:pPr>
      <w:suppressAutoHyphens/>
      <w:spacing w:after="120" w:line="360" w:lineRule="auto"/>
    </w:pPr>
    <w:rPr>
      <w:rFonts w:eastAsiaTheme="minorEastAsia" w:cstheme="minorBidi"/>
      <w:b/>
      <w:bCs/>
      <w:sz w:val="20"/>
      <w:szCs w:val="20"/>
      <w:lang w:val="en-GB" w:eastAsia="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uiPriority w:val="99"/>
    <w:semiHidden/>
    <w:rsid w:val="001D43A2"/>
    <w:pPr>
      <w:suppressAutoHyphens/>
      <w:spacing w:after="120" w:line="360" w:lineRule="auto"/>
    </w:pPr>
    <w:rPr>
      <w:rFonts w:eastAsiaTheme="minorEastAsia" w:cstheme="minorBidi"/>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uiPriority w:val="99"/>
    <w:semiHidden/>
    <w:rsid w:val="001D43A2"/>
    <w:pPr>
      <w:suppressAutoHyphens/>
      <w:spacing w:after="120" w:line="360" w:lineRule="auto"/>
    </w:pPr>
    <w:rPr>
      <w:rFonts w:eastAsiaTheme="minorEastAsia" w:cstheme="minorBidi"/>
      <w:sz w:val="20"/>
      <w:szCs w:val="20"/>
      <w:lang w:val="en-GB" w:eastAsia="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TableNormal"/>
    <w:next w:val="TableElegant"/>
    <w:uiPriority w:val="99"/>
    <w:semiHidden/>
    <w:rsid w:val="001D43A2"/>
    <w:pPr>
      <w:suppressAutoHyphens/>
      <w:spacing w:after="120" w:line="360" w:lineRule="auto"/>
    </w:pPr>
    <w:rPr>
      <w:rFonts w:eastAsiaTheme="minorEastAsia" w:cstheme="minorBidi"/>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110">
    <w:name w:val="Table Grid 11"/>
    <w:basedOn w:val="TableNormal"/>
    <w:next w:val="TableGrid16"/>
    <w:uiPriority w:val="99"/>
    <w:semiHidden/>
    <w:rsid w:val="001D43A2"/>
    <w:pPr>
      <w:suppressAutoHyphens/>
      <w:spacing w:after="120" w:line="360" w:lineRule="auto"/>
    </w:pPr>
    <w:rPr>
      <w:rFonts w:eastAsiaTheme="minorEastAsia"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one" w:sz="0" w:space="0" w:color="auto"/>
          <w:tr2bl w:val="none" w:sz="0" w:space="0" w:color="auto"/>
        </w:tcBorders>
      </w:tcPr>
    </w:tblStylePr>
    <w:tblStylePr w:type="lastCol">
      <w:rPr>
        <w:i/>
      </w:rPr>
      <w:tblPr/>
      <w:tcPr>
        <w:tcBorders>
          <w:tl2br w:val="none" w:sz="0" w:space="0" w:color="auto"/>
          <w:tr2bl w:val="none" w:sz="0" w:space="0" w:color="auto"/>
        </w:tcBorders>
      </w:tcPr>
    </w:tblStylePr>
  </w:style>
  <w:style w:type="table" w:customStyle="1" w:styleId="TableGrid210">
    <w:name w:val="Table Grid 21"/>
    <w:basedOn w:val="TableNormal"/>
    <w:next w:val="TableGrid20"/>
    <w:uiPriority w:val="99"/>
    <w:semiHidden/>
    <w:rsid w:val="001D43A2"/>
    <w:pPr>
      <w:suppressAutoHyphens/>
      <w:spacing w:after="120" w:line="360" w:lineRule="auto"/>
    </w:pPr>
    <w:rPr>
      <w:rFonts w:eastAsiaTheme="minorEastAsia" w:cstheme="minorBidi"/>
      <w:sz w:val="20"/>
      <w:szCs w:val="20"/>
      <w:lang w:val="en-GB" w:eastAsia="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0">
    <w:name w:val="Table Grid 31"/>
    <w:basedOn w:val="TableNormal"/>
    <w:next w:val="TableGrid30"/>
    <w:uiPriority w:val="99"/>
    <w:semiHidden/>
    <w:rsid w:val="001D43A2"/>
    <w:pPr>
      <w:suppressAutoHyphens/>
      <w:spacing w:after="120" w:line="360" w:lineRule="auto"/>
    </w:pPr>
    <w:rPr>
      <w:rFonts w:eastAsiaTheme="minorEastAsia" w:cstheme="minorBidi"/>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0">
    <w:name w:val="Table Grid 41"/>
    <w:basedOn w:val="TableNormal"/>
    <w:next w:val="TableGrid40"/>
    <w:uiPriority w:val="99"/>
    <w:semiHidden/>
    <w:rsid w:val="001D43A2"/>
    <w:pPr>
      <w:suppressAutoHyphens/>
      <w:spacing w:after="120" w:line="360" w:lineRule="auto"/>
    </w:pPr>
    <w:rPr>
      <w:rFonts w:eastAsiaTheme="minorEastAsia" w:cstheme="minorBidi"/>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0">
    <w:name w:val="Table Grid 51"/>
    <w:basedOn w:val="TableNormal"/>
    <w:next w:val="TableGrid50"/>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0">
    <w:name w:val="Table Grid 61"/>
    <w:basedOn w:val="TableNormal"/>
    <w:next w:val="TableGrid60"/>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0">
    <w:name w:val="Table Grid 71"/>
    <w:basedOn w:val="TableNormal"/>
    <w:next w:val="TableGrid70"/>
    <w:uiPriority w:val="99"/>
    <w:semiHidden/>
    <w:rsid w:val="001D43A2"/>
    <w:pPr>
      <w:suppressAutoHyphens/>
      <w:spacing w:after="120" w:line="360" w:lineRule="auto"/>
    </w:pPr>
    <w:rPr>
      <w:rFonts w:eastAsiaTheme="minorEastAsia" w:cstheme="minorBidi"/>
      <w:b/>
      <w:bCs/>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0">
    <w:name w:val="Table Grid 81"/>
    <w:basedOn w:val="TableNormal"/>
    <w:next w:val="TableGrid80"/>
    <w:uiPriority w:val="99"/>
    <w:semiHidden/>
    <w:rsid w:val="001D43A2"/>
    <w:pPr>
      <w:suppressAutoHyphens/>
      <w:spacing w:after="120" w:line="360" w:lineRule="auto"/>
    </w:pPr>
    <w:rPr>
      <w:rFonts w:eastAsiaTheme="minorEastAsia" w:cstheme="minorBidi"/>
      <w:sz w:val="20"/>
      <w:szCs w:val="20"/>
      <w:lang w:val="en-GB"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uiPriority w:val="99"/>
    <w:semiHidden/>
    <w:rsid w:val="001D43A2"/>
    <w:pPr>
      <w:suppressAutoHyphens/>
      <w:spacing w:after="120" w:line="360" w:lineRule="auto"/>
    </w:pPr>
    <w:rPr>
      <w:rFonts w:eastAsiaTheme="minorEastAsia"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uiPriority w:val="99"/>
    <w:semiHidden/>
    <w:rsid w:val="001D43A2"/>
    <w:pPr>
      <w:suppressAutoHyphens/>
      <w:spacing w:after="120" w:line="360" w:lineRule="auto"/>
    </w:pPr>
    <w:rPr>
      <w:rFonts w:eastAsiaTheme="minorEastAsia" w:cstheme="minorBidi"/>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uiPriority w:val="99"/>
    <w:semiHidden/>
    <w:rsid w:val="001D43A2"/>
    <w:pPr>
      <w:suppressAutoHyphens/>
      <w:spacing w:after="120" w:line="360" w:lineRule="auto"/>
    </w:pPr>
    <w:rPr>
      <w:rFonts w:eastAsiaTheme="minorEastAsia" w:cstheme="minorBidi"/>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uiPriority w:val="99"/>
    <w:semiHidden/>
    <w:rsid w:val="001D43A2"/>
    <w:pPr>
      <w:suppressAutoHyphens/>
      <w:spacing w:after="120" w:line="360" w:lineRule="auto"/>
    </w:pPr>
    <w:rPr>
      <w:rFonts w:eastAsiaTheme="minorEastAsia" w:cstheme="minorBidi"/>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semiHidden/>
    <w:rsid w:val="001D43A2"/>
    <w:pPr>
      <w:suppressAutoHyphens/>
      <w:spacing w:after="120" w:line="360" w:lineRule="auto"/>
    </w:pPr>
    <w:rPr>
      <w:rFonts w:eastAsiaTheme="minorEastAsia" w:cstheme="minorBidi"/>
      <w:color w:val="000000" w:themeColor="text1"/>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TableNormal"/>
    <w:next w:val="TableWeb1"/>
    <w:uiPriority w:val="99"/>
    <w:semiHidden/>
    <w:rsid w:val="001D43A2"/>
    <w:pPr>
      <w:suppressAutoHyphens/>
      <w:spacing w:after="120" w:line="360" w:lineRule="auto"/>
    </w:pPr>
    <w:rPr>
      <w:rFonts w:eastAsiaTheme="minorEastAsia" w:cstheme="minorBidi"/>
      <w:sz w:val="20"/>
      <w:szCs w:val="20"/>
      <w:lang w:val="en-GB" w:eastAsia="en-GB"/>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uiPriority w:val="99"/>
    <w:semiHidden/>
    <w:rsid w:val="001D43A2"/>
    <w:pPr>
      <w:suppressAutoHyphens/>
      <w:spacing w:after="120" w:line="360" w:lineRule="auto"/>
    </w:pPr>
    <w:rPr>
      <w:rFonts w:eastAsiaTheme="minorEastAsia" w:cstheme="minorBidi"/>
      <w:sz w:val="20"/>
      <w:szCs w:val="20"/>
      <w:lang w:val="en-GB" w:eastAsia="en-GB"/>
    </w:rPr>
    <w:tblPr>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uiPriority w:val="99"/>
    <w:semiHidden/>
    <w:rsid w:val="001D43A2"/>
    <w:pPr>
      <w:suppressAutoHyphens/>
      <w:spacing w:after="120" w:line="360" w:lineRule="auto"/>
    </w:pPr>
    <w:rPr>
      <w:rFonts w:eastAsiaTheme="minorEastAsia" w:cstheme="minorBidi"/>
      <w:sz w:val="20"/>
      <w:szCs w:val="20"/>
      <w:lang w:val="en-GB" w:eastAsia="en-GB"/>
    </w:rPr>
    <w:tblPr>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RHDHVTable31">
    <w:name w:val="RHDHV Table3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41">
    <w:name w:val="RHDHV Table4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51">
    <w:name w:val="RHDHV Table5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61">
    <w:name w:val="RHDHV Table6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TableGrid161">
    <w:name w:val="Table Grid161"/>
    <w:basedOn w:val="TableNormal"/>
    <w:uiPriority w:val="59"/>
    <w:rsid w:val="001D43A2"/>
    <w:pPr>
      <w:suppressAutoHyphens/>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HDHVTable71">
    <w:name w:val="RHDHV Table7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81">
    <w:name w:val="RHDHV Table81"/>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92">
    <w:name w:val="RHDHV Table92"/>
    <w:basedOn w:val="RHDHVTableNormal"/>
    <w:uiPriority w:val="99"/>
    <w:unhideWhenUsed/>
    <w:rsid w:val="001D43A2"/>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911">
    <w:name w:val="RHDHV Table911"/>
    <w:basedOn w:val="TableNormal"/>
    <w:uiPriority w:val="99"/>
    <w:unhideWhenUsed/>
    <w:rsid w:val="001D43A2"/>
    <w:pPr>
      <w:suppressAutoHyphens/>
      <w:spacing w:line="271" w:lineRule="auto"/>
    </w:pPr>
    <w:rPr>
      <w:rFonts w:asciiTheme="minorHAnsi" w:eastAsiaTheme="minorEastAsia" w:hAnsiTheme="minorHAnsi" w:cstheme="minorBidi"/>
      <w:color w:val="000000" w:themeColor="text1"/>
      <w:sz w:val="20"/>
      <w:szCs w:val="20"/>
      <w:lang w:val="en-GB" w:eastAsia="en-GB"/>
    </w:rPr>
    <w:tblPr>
      <w:tblBorders>
        <w:insideH w:val="single" w:sz="8" w:space="0" w:color="FFFFFF"/>
        <w:insideV w:val="single" w:sz="8" w:space="0" w:color="FFFFFF"/>
      </w:tblBorders>
      <w:tblCellMar>
        <w:top w:w="57" w:type="dxa"/>
        <w:left w:w="0" w:type="dxa"/>
        <w:bottom w:w="57" w:type="dxa"/>
        <w:right w:w="0" w:type="dxa"/>
      </w:tblCellMar>
    </w:tblPr>
    <w:tcPr>
      <w:shd w:val="clear" w:color="auto" w:fill="E6F5C6"/>
      <w:vAlign w:val="center"/>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table" w:customStyle="1" w:styleId="RHDHVTable32">
    <w:name w:val="RHDHV Table32"/>
    <w:basedOn w:val="RHDHVTableNormal"/>
    <w:uiPriority w:val="99"/>
    <w:unhideWhenUsed/>
    <w:rsid w:val="00571C37"/>
    <w:pPr>
      <w:suppressAutoHyphens/>
      <w:spacing w:after="0" w:line="271" w:lineRule="auto"/>
    </w:pPr>
    <w:tblPr>
      <w:tblBorders>
        <w:insideH w:val="single" w:sz="8" w:space="0" w:color="FFFFFF"/>
        <w:insideV w:val="single" w:sz="8" w:space="0" w:color="FFFFFF"/>
      </w:tblBorders>
    </w:tblPr>
    <w:tcPr>
      <w:shd w:val="clear" w:color="auto" w:fill="E6F5C6"/>
    </w:tcPr>
    <w:tblStylePr w:type="firstRow">
      <w:rPr>
        <w:b/>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paragraph" w:customStyle="1" w:styleId="Header1IPC">
    <w:name w:val="Header 1 IPC"/>
    <w:basedOn w:val="PlainText"/>
    <w:autoRedefine/>
    <w:rsid w:val="00322BC9"/>
    <w:pPr>
      <w:widowControl w:val="0"/>
      <w:numPr>
        <w:numId w:val="33"/>
      </w:numPr>
      <w:jc w:val="both"/>
    </w:pPr>
    <w:rPr>
      <w:rFonts w:ascii="HebarU" w:eastAsia="MS Mincho" w:hAnsi="HebarU" w:cs="Times New Roman"/>
      <w:b/>
      <w:bCs/>
      <w:sz w:val="24"/>
      <w:szCs w:val="24"/>
      <w:lang w:val="bg-BG" w:eastAsia="bg-BG"/>
    </w:rPr>
  </w:style>
  <w:style w:type="paragraph" w:customStyle="1" w:styleId="NormalText0">
    <w:name w:val="Normal Text"/>
    <w:basedOn w:val="Normal"/>
    <w:qFormat/>
    <w:rsid w:val="003427C5"/>
    <w:pPr>
      <w:shd w:val="clear" w:color="auto" w:fill="FFFFFF"/>
      <w:autoSpaceDE w:val="0"/>
      <w:autoSpaceDN w:val="0"/>
      <w:adjustRightInd w:val="0"/>
      <w:spacing w:after="0" w:line="360" w:lineRule="auto"/>
      <w:ind w:firstLine="709"/>
    </w:pPr>
    <w:rPr>
      <w:rFonts w:eastAsia="Times New Roman"/>
      <w:color w:val="000000"/>
      <w:sz w:val="24"/>
      <w:szCs w:val="24"/>
      <w:lang w:val="bg-BG"/>
    </w:rPr>
  </w:style>
  <w:style w:type="paragraph" w:customStyle="1" w:styleId="BP-Figure">
    <w:name w:val="BP-Figure"/>
    <w:next w:val="Normal"/>
    <w:qFormat/>
    <w:rsid w:val="00421B41"/>
    <w:pPr>
      <w:numPr>
        <w:numId w:val="41"/>
      </w:numPr>
    </w:pPr>
    <w:rPr>
      <w:rFonts w:ascii="Times New Roman" w:eastAsia="Times New Roman" w:hAnsi="Times New Roman"/>
      <w:b/>
      <w:i/>
      <w:sz w:val="18"/>
      <w:szCs w:val="18"/>
      <w:lang w:eastAsia="tr-TR"/>
    </w:rPr>
  </w:style>
  <w:style w:type="character" w:customStyle="1" w:styleId="aa">
    <w:name w:val="Подпись к картинке_"/>
    <w:basedOn w:val="DefaultParagraphFont"/>
    <w:link w:val="ab"/>
    <w:locked/>
    <w:rsid w:val="002C6FF0"/>
    <w:rPr>
      <w:rFonts w:ascii="Times New Roman" w:eastAsia="Times New Roman" w:hAnsi="Times New Roman"/>
      <w:i/>
      <w:iCs/>
      <w:sz w:val="21"/>
      <w:szCs w:val="21"/>
      <w:shd w:val="clear" w:color="auto" w:fill="FFFFFF"/>
    </w:rPr>
  </w:style>
  <w:style w:type="paragraph" w:customStyle="1" w:styleId="ab">
    <w:name w:val="Подпись к картинке"/>
    <w:basedOn w:val="Normal"/>
    <w:link w:val="aa"/>
    <w:rsid w:val="002C6FF0"/>
    <w:pPr>
      <w:widowControl w:val="0"/>
      <w:shd w:val="clear" w:color="auto" w:fill="FFFFFF"/>
      <w:spacing w:after="0" w:line="0" w:lineRule="atLeast"/>
      <w:jc w:val="left"/>
    </w:pPr>
    <w:rPr>
      <w:rFonts w:ascii="Times New Roman" w:eastAsia="Times New Roman" w:hAnsi="Times New Roman"/>
      <w:i/>
      <w:iCs/>
      <w:sz w:val="21"/>
      <w:szCs w:val="21"/>
      <w:lang w:val="bg-BG" w:eastAsia="bg-BG"/>
    </w:rPr>
  </w:style>
  <w:style w:type="character" w:customStyle="1" w:styleId="ac">
    <w:name w:val="Основной текст + Полужирный"/>
    <w:basedOn w:val="a8"/>
    <w:rsid w:val="002C6FF0"/>
    <w:rPr>
      <w:rFonts w:ascii="Times New Roman" w:eastAsia="Times New Roman" w:hAnsi="Times New Roman"/>
      <w:b/>
      <w:bCs/>
      <w:color w:val="000000"/>
      <w:spacing w:val="0"/>
      <w:w w:val="100"/>
      <w:position w:val="0"/>
      <w:sz w:val="21"/>
      <w:szCs w:val="21"/>
      <w:shd w:val="clear" w:color="auto" w:fill="FFFFFF"/>
      <w:lang w:val="bg-BG" w:eastAsia="bg-BG" w:bidi="bg-BG"/>
    </w:rPr>
  </w:style>
  <w:style w:type="character" w:customStyle="1" w:styleId="ad">
    <w:name w:val="Основной текст + Курсив"/>
    <w:basedOn w:val="a8"/>
    <w:rsid w:val="002C6FF0"/>
    <w:rPr>
      <w:rFonts w:ascii="Times New Roman" w:eastAsia="Times New Roman" w:hAnsi="Times New Roman"/>
      <w:i/>
      <w:iCs/>
      <w:color w:val="000000"/>
      <w:spacing w:val="0"/>
      <w:w w:val="100"/>
      <w:position w:val="0"/>
      <w:sz w:val="21"/>
      <w:szCs w:val="21"/>
      <w:shd w:val="clear" w:color="auto" w:fill="FFFFFF"/>
      <w:lang w:val="bg-BG" w:eastAsia="bg-BG" w:bidi="bg-BG"/>
    </w:rPr>
  </w:style>
  <w:style w:type="character" w:customStyle="1" w:styleId="apple-converted-space">
    <w:name w:val="apple-converted-space"/>
    <w:basedOn w:val="DefaultParagraphFont"/>
    <w:rsid w:val="00E21053"/>
  </w:style>
  <w:style w:type="paragraph" w:customStyle="1" w:styleId="text">
    <w:name w:val="text"/>
    <w:basedOn w:val="Normal"/>
    <w:rsid w:val="00E21053"/>
    <w:pPr>
      <w:spacing w:before="100" w:beforeAutospacing="1" w:after="100" w:afterAutospacing="1" w:line="240" w:lineRule="auto"/>
    </w:pPr>
    <w:rPr>
      <w:rFonts w:ascii="Times New Roman" w:eastAsia="Times New Roman" w:hAnsi="Times New Roman"/>
      <w:sz w:val="24"/>
      <w:szCs w:val="24"/>
      <w:lang w:val="bg-BG" w:eastAsia="bg-BG"/>
    </w:rPr>
  </w:style>
  <w:style w:type="character" w:customStyle="1" w:styleId="A90">
    <w:name w:val="A9"/>
    <w:rsid w:val="00E21053"/>
    <w:rPr>
      <w:rFonts w:cs="OWBUTZ+HelenBg-Regular"/>
      <w:color w:val="000000"/>
      <w:sz w:val="19"/>
      <w:szCs w:val="19"/>
    </w:rPr>
  </w:style>
  <w:style w:type="paragraph" w:customStyle="1" w:styleId="Hdg1">
    <w:name w:val="_Hdg1#"/>
    <w:basedOn w:val="Heading1"/>
    <w:next w:val="Normal"/>
    <w:rsid w:val="00E21053"/>
    <w:pPr>
      <w:framePr w:w="10206" w:h="1882" w:wrap="notBeside" w:vAnchor="page" w:hAnchor="page" w:x="852" w:y="1277"/>
      <w:tabs>
        <w:tab w:val="left" w:pos="1729"/>
      </w:tabs>
      <w:suppressAutoHyphens w:val="0"/>
      <w:spacing w:line="600" w:lineRule="atLeast"/>
      <w:ind w:left="360" w:hanging="360"/>
      <w:jc w:val="left"/>
    </w:pPr>
    <w:rPr>
      <w:rFonts w:ascii="Times New Roman" w:hAnsi="Times New Roman" w:cs="Arial"/>
      <w:b w:val="0"/>
      <w:caps/>
      <w:color w:val="0076CC"/>
      <w:sz w:val="56"/>
      <w:szCs w:val="32"/>
      <w:u w:val="none"/>
      <w:lang w:eastAsia="bg-BG"/>
    </w:rPr>
  </w:style>
  <w:style w:type="paragraph" w:customStyle="1" w:styleId="Hdg2">
    <w:name w:val="_Hdg2#"/>
    <w:basedOn w:val="Heading2"/>
    <w:next w:val="Normal"/>
    <w:rsid w:val="00E21053"/>
    <w:pPr>
      <w:numPr>
        <w:ilvl w:val="0"/>
        <w:numId w:val="0"/>
      </w:numPr>
      <w:tabs>
        <w:tab w:val="left" w:pos="0"/>
      </w:tabs>
      <w:spacing w:line="240" w:lineRule="atLeast"/>
      <w:jc w:val="both"/>
    </w:pPr>
    <w:rPr>
      <w:rFonts w:ascii="Arial" w:eastAsia="Times New Roman" w:hAnsi="Arial"/>
      <w:caps/>
      <w:sz w:val="20"/>
      <w:szCs w:val="20"/>
      <w:lang w:eastAsia="bg-BG"/>
    </w:rPr>
  </w:style>
  <w:style w:type="paragraph" w:customStyle="1" w:styleId="Hdg3">
    <w:name w:val="_Hdg3#"/>
    <w:basedOn w:val="Heading3"/>
    <w:next w:val="Normal"/>
    <w:rsid w:val="00E21053"/>
    <w:pPr>
      <w:numPr>
        <w:ilvl w:val="0"/>
        <w:numId w:val="0"/>
      </w:numPr>
      <w:tabs>
        <w:tab w:val="left" w:pos="0"/>
      </w:tabs>
      <w:spacing w:line="240" w:lineRule="atLeast"/>
      <w:jc w:val="both"/>
    </w:pPr>
    <w:rPr>
      <w:rFonts w:ascii="Arial" w:eastAsia="Times New Roman" w:hAnsi="Arial"/>
      <w:b w:val="0"/>
      <w:i/>
      <w:caps/>
      <w:sz w:val="20"/>
      <w:szCs w:val="20"/>
      <w:lang w:eastAsia="bg-BG"/>
    </w:rPr>
  </w:style>
  <w:style w:type="paragraph" w:customStyle="1" w:styleId="Hdg4">
    <w:name w:val="_Hdg4#"/>
    <w:basedOn w:val="Heading4"/>
    <w:next w:val="Normal"/>
    <w:rsid w:val="00E21053"/>
    <w:pPr>
      <w:keepNext/>
      <w:numPr>
        <w:ilvl w:val="0"/>
        <w:numId w:val="0"/>
      </w:numPr>
      <w:tabs>
        <w:tab w:val="left" w:pos="0"/>
      </w:tabs>
      <w:spacing w:line="240" w:lineRule="atLeast"/>
    </w:pPr>
    <w:rPr>
      <w:rFonts w:ascii="Arial" w:eastAsia="Times New Roman" w:hAnsi="Arial"/>
      <w:b w:val="0"/>
      <w:sz w:val="20"/>
      <w:szCs w:val="20"/>
      <w:lang w:eastAsia="bg-BG"/>
    </w:rPr>
  </w:style>
  <w:style w:type="paragraph" w:customStyle="1" w:styleId="BulletLevel1">
    <w:name w:val="Bullet Level1"/>
    <w:basedOn w:val="Normal"/>
    <w:rsid w:val="00E21053"/>
    <w:pPr>
      <w:numPr>
        <w:numId w:val="46"/>
      </w:numPr>
      <w:spacing w:after="0" w:line="240" w:lineRule="atLeast"/>
    </w:pPr>
    <w:rPr>
      <w:rFonts w:ascii="Arial" w:eastAsia="Times New Roman" w:hAnsi="Arial"/>
      <w:sz w:val="20"/>
      <w:szCs w:val="20"/>
      <w:lang w:eastAsia="bg-BG"/>
    </w:rPr>
  </w:style>
  <w:style w:type="paragraph" w:customStyle="1" w:styleId="bullet1">
    <w:name w:val="bullet 1"/>
    <w:basedOn w:val="Normal"/>
    <w:rsid w:val="00E21053"/>
    <w:pPr>
      <w:numPr>
        <w:numId w:val="45"/>
      </w:numPr>
      <w:spacing w:before="40" w:after="40" w:line="240" w:lineRule="auto"/>
    </w:pPr>
    <w:rPr>
      <w:rFonts w:ascii="Times New Roman" w:eastAsia="Times New Roman" w:hAnsi="Times New Roman"/>
      <w:sz w:val="24"/>
      <w:szCs w:val="24"/>
      <w:lang w:eastAsia="zh-CN"/>
    </w:rPr>
  </w:style>
  <w:style w:type="paragraph" w:customStyle="1" w:styleId="CharCharChar">
    <w:name w:val="Char Char Char"/>
    <w:basedOn w:val="Normal"/>
    <w:rsid w:val="00E21053"/>
    <w:pPr>
      <w:tabs>
        <w:tab w:val="left" w:pos="1425"/>
      </w:tabs>
      <w:spacing w:after="0" w:line="240" w:lineRule="auto"/>
      <w:ind w:right="53"/>
    </w:pPr>
    <w:rPr>
      <w:rFonts w:ascii="Arial" w:eastAsia="Times New Roman" w:hAnsi="Arial"/>
      <w:sz w:val="20"/>
      <w:szCs w:val="20"/>
      <w:lang w:val="en-US" w:eastAsia="bg-BG"/>
    </w:rPr>
  </w:style>
  <w:style w:type="table" w:customStyle="1" w:styleId="ColorfulList-Accent52">
    <w:name w:val="Colorful List - Accent 52"/>
    <w:basedOn w:val="TableNormal"/>
    <w:next w:val="ColorfulList-Accent5"/>
    <w:uiPriority w:val="72"/>
    <w:rsid w:val="00E21053"/>
    <w:rPr>
      <w:rFonts w:asciiTheme="minorHAnsi" w:eastAsiaTheme="minorEastAsia" w:hAnsiTheme="minorHAnsi" w:cstheme="minorBidi"/>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TableGrid19">
    <w:name w:val="Table Grid19"/>
    <w:basedOn w:val="TableNormal"/>
    <w:next w:val="TableGrid"/>
    <w:rsid w:val="00E21053"/>
    <w:rPr>
      <w:rFonts w:asciiTheme="minorHAnsi"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1">
    <w:name w:val="long_text1"/>
    <w:basedOn w:val="DefaultParagraphFont"/>
    <w:rsid w:val="00E21053"/>
    <w:rPr>
      <w:sz w:val="20"/>
      <w:szCs w:val="20"/>
    </w:rPr>
  </w:style>
  <w:style w:type="paragraph" w:customStyle="1" w:styleId="Hdg2noTOC">
    <w:name w:val="_Hdg2 noTOC"/>
    <w:basedOn w:val="Heading2"/>
    <w:next w:val="Normal"/>
    <w:rsid w:val="00E21053"/>
    <w:pPr>
      <w:numPr>
        <w:ilvl w:val="0"/>
        <w:numId w:val="0"/>
      </w:numPr>
      <w:spacing w:line="240" w:lineRule="atLeast"/>
      <w:jc w:val="both"/>
      <w:outlineLvl w:val="9"/>
    </w:pPr>
    <w:rPr>
      <w:rFonts w:ascii="Arial" w:eastAsia="Times New Roman" w:hAnsi="Arial"/>
      <w:caps/>
      <w:sz w:val="20"/>
      <w:szCs w:val="20"/>
    </w:rPr>
  </w:style>
  <w:style w:type="paragraph" w:customStyle="1" w:styleId="SecDivider">
    <w:name w:val="_SecDivider#"/>
    <w:basedOn w:val="Normal"/>
    <w:next w:val="Normal"/>
    <w:rsid w:val="00E21053"/>
    <w:pPr>
      <w:keepNext/>
      <w:framePr w:w="10206" w:h="567" w:hSpace="181" w:vSpace="181" w:wrap="notBeside" w:hAnchor="page" w:x="852" w:yAlign="bottom"/>
      <w:numPr>
        <w:numId w:val="47"/>
      </w:numPr>
      <w:shd w:val="clear" w:color="FFFFFF" w:fill="auto"/>
      <w:tabs>
        <w:tab w:val="clear" w:pos="567"/>
      </w:tabs>
      <w:spacing w:after="0" w:line="600" w:lineRule="atLeast"/>
      <w:jc w:val="right"/>
    </w:pPr>
    <w:rPr>
      <w:rFonts w:ascii="Times New Roman" w:eastAsia="Times New Roman" w:hAnsi="Times New Roman" w:cs="Arial"/>
      <w:bCs/>
      <w:color w:val="0076CC"/>
      <w:kern w:val="32"/>
      <w:sz w:val="56"/>
      <w:szCs w:val="32"/>
    </w:rPr>
  </w:style>
  <w:style w:type="table" w:customStyle="1" w:styleId="ColorfulList-Accent511">
    <w:name w:val="Colorful List - Accent 511"/>
    <w:basedOn w:val="TableNormal"/>
    <w:next w:val="ColorfulList-Accent5"/>
    <w:uiPriority w:val="72"/>
    <w:rsid w:val="00E21053"/>
    <w:rPr>
      <w:rFonts w:asciiTheme="minorHAnsi" w:eastAsiaTheme="minorEastAsia" w:hAnsiTheme="minorHAnsi" w:cstheme="minorBidi"/>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paragraph" w:customStyle="1" w:styleId="5Normal">
    <w:name w:val="5 Normal"/>
    <w:link w:val="5NormalChar"/>
    <w:rsid w:val="00E21053"/>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jc w:val="both"/>
    </w:pPr>
    <w:rPr>
      <w:rFonts w:ascii="Arial" w:eastAsia="Times New Roman" w:hAnsi="Arial"/>
      <w:spacing w:val="-2"/>
      <w:szCs w:val="20"/>
      <w:lang w:val="en-GB" w:eastAsia="en-GB"/>
    </w:rPr>
  </w:style>
  <w:style w:type="character" w:customStyle="1" w:styleId="5NormalChar">
    <w:name w:val="5 Normal Char"/>
    <w:link w:val="5Normal"/>
    <w:rsid w:val="00E21053"/>
    <w:rPr>
      <w:rFonts w:ascii="Arial" w:eastAsia="Times New Roman" w:hAnsi="Arial"/>
      <w:spacing w:val="-2"/>
      <w:szCs w:val="20"/>
      <w:lang w:val="en-GB" w:eastAsia="en-GB"/>
    </w:rPr>
  </w:style>
  <w:style w:type="character" w:customStyle="1" w:styleId="BodyChar">
    <w:name w:val="Body Char"/>
    <w:locked/>
    <w:rsid w:val="00E21053"/>
    <w:rPr>
      <w:rFonts w:ascii="Arial" w:eastAsia="Times New Roman" w:hAnsi="Arial" w:cs="Times New Roman"/>
      <w:sz w:val="20"/>
      <w:szCs w:val="20"/>
      <w:lang w:val="en-GB"/>
    </w:rPr>
  </w:style>
  <w:style w:type="paragraph" w:customStyle="1" w:styleId="Appendix1">
    <w:name w:val="Appendix 1"/>
    <w:basedOn w:val="Heading1"/>
    <w:next w:val="Normal"/>
    <w:uiPriority w:val="99"/>
    <w:rsid w:val="00E21053"/>
    <w:pPr>
      <w:pageBreakBefore/>
      <w:numPr>
        <w:ilvl w:val="2"/>
        <w:numId w:val="48"/>
      </w:numPr>
      <w:tabs>
        <w:tab w:val="num" w:pos="1287"/>
      </w:tabs>
      <w:suppressAutoHyphens w:val="0"/>
      <w:spacing w:before="240" w:line="240" w:lineRule="auto"/>
      <w:ind w:left="1287"/>
      <w:jc w:val="left"/>
    </w:pPr>
    <w:rPr>
      <w:rFonts w:ascii="Arial" w:hAnsi="Arial"/>
      <w:kern w:val="28"/>
      <w:sz w:val="24"/>
      <w:u w:val="none"/>
      <w:lang w:eastAsia="de-DE"/>
    </w:rPr>
  </w:style>
  <w:style w:type="paragraph" w:customStyle="1" w:styleId="Appendix2">
    <w:name w:val="Appendix 2"/>
    <w:basedOn w:val="Appendix1"/>
    <w:next w:val="Normal"/>
    <w:uiPriority w:val="99"/>
    <w:rsid w:val="00E21053"/>
    <w:pPr>
      <w:pageBreakBefore w:val="0"/>
      <w:numPr>
        <w:ilvl w:val="1"/>
      </w:numPr>
      <w:tabs>
        <w:tab w:val="num" w:pos="643"/>
        <w:tab w:val="num" w:pos="720"/>
        <w:tab w:val="num" w:pos="926"/>
        <w:tab w:val="num" w:pos="2007"/>
      </w:tabs>
      <w:spacing w:after="0"/>
      <w:ind w:left="643"/>
    </w:pPr>
    <w:rPr>
      <w:b w:val="0"/>
      <w:bCs w:val="0"/>
      <w:caps/>
    </w:rPr>
  </w:style>
  <w:style w:type="paragraph" w:customStyle="1" w:styleId="Note">
    <w:name w:val="Note"/>
    <w:basedOn w:val="Normal"/>
    <w:next w:val="Normal"/>
    <w:uiPriority w:val="99"/>
    <w:rsid w:val="00E21053"/>
    <w:pPr>
      <w:numPr>
        <w:numId w:val="49"/>
      </w:numPr>
      <w:spacing w:before="60" w:after="60" w:line="240" w:lineRule="auto"/>
    </w:pPr>
    <w:rPr>
      <w:rFonts w:ascii="Arial" w:hAnsi="Arial"/>
      <w:sz w:val="20"/>
      <w:szCs w:val="20"/>
      <w:lang w:val="bg-BG" w:eastAsia="de-DE"/>
    </w:rPr>
  </w:style>
  <w:style w:type="paragraph" w:customStyle="1" w:styleId="TxBr5p24">
    <w:name w:val="TxBr_5p24"/>
    <w:basedOn w:val="Normal"/>
    <w:rsid w:val="00E21053"/>
    <w:pPr>
      <w:tabs>
        <w:tab w:val="left" w:pos="204"/>
      </w:tabs>
      <w:spacing w:after="0" w:line="240" w:lineRule="atLeast"/>
    </w:pPr>
    <w:rPr>
      <w:rFonts w:ascii="Times New Roman" w:eastAsia="Times New Roman" w:hAnsi="Times New Roman"/>
      <w:snapToGrid w:val="0"/>
      <w:sz w:val="24"/>
      <w:szCs w:val="20"/>
    </w:rPr>
  </w:style>
  <w:style w:type="table" w:customStyle="1" w:styleId="TableGrid54">
    <w:name w:val="Table Grid54"/>
    <w:basedOn w:val="TableNormal"/>
    <w:next w:val="TableGrid"/>
    <w:uiPriority w:val="59"/>
    <w:rsid w:val="00E21053"/>
    <w:rPr>
      <w:rFonts w:asciiTheme="minorHAnsi"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ATONAV10">
    <w:name w:val="LATONA_V10"/>
    <w:basedOn w:val="Normal"/>
    <w:rsid w:val="00E21053"/>
    <w:pPr>
      <w:spacing w:after="120" w:line="240" w:lineRule="auto"/>
    </w:pPr>
    <w:rPr>
      <w:rFonts w:ascii="Verdana" w:eastAsia="Times New Roman" w:hAnsi="Verdana"/>
      <w:noProof/>
      <w:sz w:val="20"/>
      <w:lang w:val="bg-BG"/>
    </w:rPr>
  </w:style>
  <w:style w:type="paragraph" w:customStyle="1" w:styleId="Bulets">
    <w:name w:val="Bulets"/>
    <w:basedOn w:val="Normal"/>
    <w:link w:val="BuletsChar"/>
    <w:rsid w:val="00E21053"/>
    <w:pPr>
      <w:numPr>
        <w:numId w:val="50"/>
      </w:numPr>
      <w:spacing w:before="120" w:after="0" w:line="240" w:lineRule="auto"/>
    </w:pPr>
    <w:rPr>
      <w:rFonts w:ascii="Arial" w:eastAsia="Times New Roman" w:hAnsi="Arial"/>
      <w:sz w:val="24"/>
      <w:szCs w:val="20"/>
      <w:lang w:val="en-US"/>
    </w:rPr>
  </w:style>
  <w:style w:type="character" w:customStyle="1" w:styleId="BuletsChar">
    <w:name w:val="Bulets Char"/>
    <w:basedOn w:val="DefaultParagraphFont"/>
    <w:link w:val="Bulets"/>
    <w:rsid w:val="00E21053"/>
    <w:rPr>
      <w:rFonts w:ascii="Arial" w:eastAsia="Times New Roman" w:hAnsi="Arial"/>
      <w:sz w:val="24"/>
      <w:szCs w:val="20"/>
      <w:lang w:val="en-US" w:eastAsia="en-US"/>
    </w:rPr>
  </w:style>
  <w:style w:type="table" w:customStyle="1" w:styleId="ColorfulList-Accent5111">
    <w:name w:val="Colorful List - Accent 5111"/>
    <w:basedOn w:val="TableNormal"/>
    <w:next w:val="ColorfulList-Accent5"/>
    <w:uiPriority w:val="72"/>
    <w:rsid w:val="00E21053"/>
    <w:rPr>
      <w:rFonts w:asciiTheme="minorHAnsi" w:eastAsiaTheme="minorEastAsia" w:hAnsiTheme="minorHAnsi" w:cstheme="minorBidi"/>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TitleChar1">
    <w:name w:val="Title Char1"/>
    <w:aliases w:val="Char Char Char1"/>
    <w:rsid w:val="00E21053"/>
    <w:rPr>
      <w:rFonts w:ascii="Times New Roman" w:eastAsia="Times New Roman" w:hAnsi="Times New Roman" w:cs="Times New Roman"/>
      <w:b/>
      <w:sz w:val="24"/>
      <w:szCs w:val="20"/>
      <w:lang w:eastAsia="bg-BG"/>
    </w:rPr>
  </w:style>
  <w:style w:type="table" w:customStyle="1" w:styleId="MediumShading2-Accent512">
    <w:name w:val="Medium Shading 2 - Accent 512"/>
    <w:basedOn w:val="TableNormal"/>
    <w:next w:val="MediumShading2-Accent5"/>
    <w:uiPriority w:val="64"/>
    <w:rsid w:val="00E21053"/>
    <w:rPr>
      <w:rFonts w:asciiTheme="minorHAnsi" w:hAnsiTheme="minorHAnsi" w:cstheme="minorBidi"/>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3">
    <w:name w:val="Medium Shading 2 - Accent 53"/>
    <w:basedOn w:val="TableNormal"/>
    <w:next w:val="MediumShading2-Accent5"/>
    <w:uiPriority w:val="64"/>
    <w:semiHidden/>
    <w:unhideWhenUsed/>
    <w:rsid w:val="00E21053"/>
    <w:rPr>
      <w:rFonts w:asciiTheme="minorHAnsi" w:eastAsiaTheme="minorEastAsia" w:hAnsiTheme="minorHAnsi" w:cstheme="minorBid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ColorfulList-Accent53">
    <w:name w:val="Colorful List - Accent 53"/>
    <w:basedOn w:val="TableNormal"/>
    <w:next w:val="ColorfulList-Accent5"/>
    <w:uiPriority w:val="72"/>
    <w:rsid w:val="00E21053"/>
    <w:rPr>
      <w:rFonts w:asciiTheme="minorHAnsi" w:eastAsiaTheme="minorEastAsia" w:hAnsiTheme="minorHAnsi" w:cstheme="minorBidi"/>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TableGrid132">
    <w:name w:val="Table Grid132"/>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21053"/>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512">
    <w:name w:val="Colorful List - Accent 512"/>
    <w:basedOn w:val="TableNormal"/>
    <w:next w:val="ColorfulList-Accent5"/>
    <w:uiPriority w:val="72"/>
    <w:rsid w:val="00E21053"/>
    <w:rPr>
      <w:rFonts w:asciiTheme="minorHAnsi" w:eastAsiaTheme="minorEastAsia" w:hAnsiTheme="minorHAnsi" w:cstheme="minorBidi"/>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TableGrid412">
    <w:name w:val="Table Grid412"/>
    <w:basedOn w:val="TableNormal"/>
    <w:next w:val="TableGrid"/>
    <w:uiPriority w:val="59"/>
    <w:rsid w:val="00E21053"/>
    <w:rPr>
      <w:rFonts w:asciiTheme="minorHAnsi"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521">
    <w:name w:val="Colorful List - Accent 521"/>
    <w:basedOn w:val="TableNormal"/>
    <w:next w:val="ColorfulList-Accent5"/>
    <w:uiPriority w:val="72"/>
    <w:rsid w:val="00E21053"/>
    <w:rPr>
      <w:rFonts w:asciiTheme="minorHAnsi" w:eastAsiaTheme="minorEastAsia" w:hAnsiTheme="minorHAnsi" w:cstheme="minorBidi"/>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TableGrid513">
    <w:name w:val="Table Grid513"/>
    <w:basedOn w:val="TableNormal"/>
    <w:next w:val="TableGrid"/>
    <w:uiPriority w:val="59"/>
    <w:rsid w:val="00E21053"/>
    <w:rPr>
      <w:rFonts w:asciiTheme="minorHAnsi"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E21053"/>
    <w:rPr>
      <w:rFonts w:asciiTheme="minorHAnsi" w:eastAsiaTheme="minorHAnsi" w:hAnsiTheme="minorHAnsi" w:cstheme="minorBid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Char1CharChar">
    <w:name w:val="Body Char1 Char Char"/>
    <w:aliases w:val="body Char1 Char Char"/>
    <w:basedOn w:val="Normal"/>
    <w:rsid w:val="00E21053"/>
    <w:pPr>
      <w:spacing w:before="120" w:after="120" w:line="300" w:lineRule="atLeast"/>
      <w:jc w:val="left"/>
    </w:pPr>
    <w:rPr>
      <w:rFonts w:ascii="Arial" w:eastAsia="Times New Roman" w:hAnsi="Arial" w:cs="Arial"/>
      <w:sz w:val="20"/>
      <w:lang w:eastAsia="zh-CN"/>
    </w:rPr>
  </w:style>
  <w:style w:type="paragraph" w:customStyle="1" w:styleId="Texte2">
    <w:name w:val="Texte2"/>
    <w:basedOn w:val="Normal"/>
    <w:rsid w:val="00E21053"/>
    <w:pPr>
      <w:spacing w:after="0" w:line="240" w:lineRule="auto"/>
    </w:pPr>
    <w:rPr>
      <w:rFonts w:ascii="Arial" w:eastAsia="Times New Roman" w:hAnsi="Arial" w:cs="Arial"/>
      <w:sz w:val="20"/>
    </w:rPr>
  </w:style>
  <w:style w:type="paragraph" w:customStyle="1" w:styleId="0Absatz03pt">
    <w:name w:val="0. Absatz 03 pt"/>
    <w:basedOn w:val="Normal"/>
    <w:rsid w:val="00E21053"/>
    <w:pPr>
      <w:spacing w:after="60" w:line="220" w:lineRule="atLeast"/>
    </w:pPr>
    <w:rPr>
      <w:rFonts w:ascii="Arial" w:eastAsia="Times New Roman" w:hAnsi="Arial"/>
      <w:sz w:val="18"/>
      <w:szCs w:val="20"/>
      <w:lang w:val="de-DE" w:eastAsia="de-DE"/>
    </w:rPr>
  </w:style>
  <w:style w:type="paragraph" w:customStyle="1" w:styleId="Graphic">
    <w:name w:val="Graphic"/>
    <w:basedOn w:val="Normal"/>
    <w:next w:val="Normal"/>
    <w:rsid w:val="00E21053"/>
    <w:pPr>
      <w:keepNext/>
      <w:widowControl w:val="0"/>
      <w:spacing w:before="240" w:after="0" w:line="240" w:lineRule="auto"/>
      <w:jc w:val="left"/>
    </w:pPr>
    <w:rPr>
      <w:rFonts w:ascii="Arial" w:eastAsia="Times New Roman" w:hAnsi="Arial"/>
      <w:sz w:val="24"/>
      <w:szCs w:val="20"/>
      <w:lang w:eastAsia="de-DE"/>
    </w:rPr>
  </w:style>
  <w:style w:type="paragraph" w:customStyle="1" w:styleId="TableHeader0">
    <w:name w:val="TableHeader"/>
    <w:basedOn w:val="Normal"/>
    <w:qFormat/>
    <w:rsid w:val="00E21053"/>
    <w:pPr>
      <w:keepNext/>
      <w:spacing w:before="60" w:after="60" w:line="240" w:lineRule="exact"/>
      <w:jc w:val="left"/>
    </w:pPr>
    <w:rPr>
      <w:rFonts w:ascii="Arial" w:eastAsia="Times New Roman" w:hAnsi="Arial"/>
      <w:b/>
      <w:sz w:val="18"/>
      <w:szCs w:val="20"/>
      <w:lang w:eastAsia="de-DE"/>
    </w:rPr>
  </w:style>
  <w:style w:type="paragraph" w:customStyle="1" w:styleId="TableRow">
    <w:name w:val="TableRow"/>
    <w:basedOn w:val="Normal"/>
    <w:qFormat/>
    <w:rsid w:val="00E21053"/>
    <w:pPr>
      <w:spacing w:before="60" w:after="60" w:line="240" w:lineRule="exact"/>
      <w:jc w:val="left"/>
    </w:pPr>
    <w:rPr>
      <w:rFonts w:ascii="Arial" w:eastAsia="Times New Roman" w:hAnsi="Arial"/>
      <w:sz w:val="18"/>
      <w:szCs w:val="20"/>
      <w:lang w:eastAsia="de-DE"/>
    </w:rPr>
  </w:style>
  <w:style w:type="paragraph" w:customStyle="1" w:styleId="TitleGraphic">
    <w:name w:val="TitleGraphic"/>
    <w:basedOn w:val="Normal"/>
    <w:next w:val="Normal"/>
    <w:rsid w:val="00E21053"/>
    <w:pPr>
      <w:widowControl w:val="0"/>
      <w:tabs>
        <w:tab w:val="left" w:pos="1134"/>
      </w:tabs>
      <w:spacing w:before="60" w:after="180" w:line="240" w:lineRule="exact"/>
      <w:ind w:left="1134" w:hanging="1134"/>
      <w:jc w:val="left"/>
    </w:pPr>
    <w:rPr>
      <w:rFonts w:ascii="Arial" w:eastAsia="Times New Roman" w:hAnsi="Arial"/>
      <w:snapToGrid w:val="0"/>
      <w:sz w:val="18"/>
      <w:szCs w:val="20"/>
      <w:lang w:eastAsia="de-DE"/>
    </w:rPr>
  </w:style>
  <w:style w:type="paragraph" w:customStyle="1" w:styleId="TitleTab">
    <w:name w:val="TitleTab"/>
    <w:basedOn w:val="Normal"/>
    <w:next w:val="Normal"/>
    <w:rsid w:val="00E21053"/>
    <w:pPr>
      <w:widowControl w:val="0"/>
      <w:tabs>
        <w:tab w:val="left" w:pos="1021"/>
      </w:tabs>
      <w:spacing w:before="60" w:after="180" w:line="240" w:lineRule="exact"/>
      <w:ind w:left="1021" w:hanging="1021"/>
      <w:jc w:val="left"/>
    </w:pPr>
    <w:rPr>
      <w:rFonts w:ascii="Arial" w:eastAsia="Times New Roman" w:hAnsi="Arial"/>
      <w:snapToGrid w:val="0"/>
      <w:sz w:val="18"/>
      <w:szCs w:val="20"/>
      <w:lang w:eastAsia="de-DE"/>
    </w:rPr>
  </w:style>
  <w:style w:type="paragraph" w:customStyle="1" w:styleId="ParaAboveTable">
    <w:name w:val="ParaAboveTable"/>
    <w:basedOn w:val="Normal"/>
    <w:rsid w:val="00E21053"/>
    <w:pPr>
      <w:spacing w:after="0" w:line="240" w:lineRule="auto"/>
      <w:jc w:val="left"/>
    </w:pPr>
    <w:rPr>
      <w:rFonts w:ascii="Arial" w:eastAsia="Times New Roman" w:hAnsi="Arial"/>
      <w:sz w:val="18"/>
      <w:szCs w:val="20"/>
      <w:lang w:eastAsia="de-DE"/>
    </w:rPr>
  </w:style>
  <w:style w:type="paragraph" w:customStyle="1" w:styleId="msonormal0">
    <w:name w:val="msonormal"/>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xl63">
    <w:name w:val="xl63"/>
    <w:basedOn w:val="Normal"/>
    <w:rsid w:val="00E21053"/>
    <w:pPr>
      <w:pBdr>
        <w:top w:val="single" w:sz="4" w:space="0" w:color="000000"/>
        <w:left w:val="single" w:sz="4" w:space="0" w:color="000000"/>
        <w:right w:val="single" w:sz="4" w:space="0" w:color="000000"/>
      </w:pBdr>
      <w:spacing w:before="100" w:beforeAutospacing="1" w:after="100" w:afterAutospacing="1" w:line="240" w:lineRule="auto"/>
      <w:jc w:val="left"/>
      <w:textAlignment w:val="top"/>
    </w:pPr>
    <w:rPr>
      <w:rFonts w:ascii="Times New Roman" w:eastAsia="Times New Roman" w:hAnsi="Times New Roman"/>
      <w:sz w:val="22"/>
      <w:lang w:val="bg-BG" w:eastAsia="bg-BG"/>
    </w:rPr>
  </w:style>
  <w:style w:type="paragraph" w:customStyle="1" w:styleId="xl64">
    <w:name w:val="xl64"/>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xl65">
    <w:name w:val="xl65"/>
    <w:basedOn w:val="Normal"/>
    <w:rsid w:val="00E21053"/>
    <w:pPr>
      <w:pBdr>
        <w:left w:val="single" w:sz="4" w:space="0" w:color="000000"/>
        <w:right w:val="single" w:sz="4" w:space="0" w:color="000000"/>
      </w:pBdr>
      <w:spacing w:before="100" w:beforeAutospacing="1" w:after="100" w:afterAutospacing="1" w:line="240" w:lineRule="auto"/>
      <w:jc w:val="left"/>
      <w:textAlignment w:val="top"/>
    </w:pPr>
    <w:rPr>
      <w:rFonts w:ascii="Times New Roman" w:eastAsia="Times New Roman" w:hAnsi="Times New Roman"/>
      <w:sz w:val="22"/>
      <w:lang w:val="bg-BG" w:eastAsia="bg-BG"/>
    </w:rPr>
  </w:style>
  <w:style w:type="paragraph" w:customStyle="1" w:styleId="xl66">
    <w:name w:val="xl66"/>
    <w:basedOn w:val="Normal"/>
    <w:rsid w:val="00E21053"/>
    <w:pPr>
      <w:pBdr>
        <w:left w:val="single" w:sz="4" w:space="0" w:color="000000"/>
        <w:bottom w:val="single" w:sz="12" w:space="0" w:color="000000"/>
        <w:right w:val="single" w:sz="4" w:space="0" w:color="000000"/>
      </w:pBdr>
      <w:spacing w:before="100" w:beforeAutospacing="1" w:after="100" w:afterAutospacing="1" w:line="240" w:lineRule="auto"/>
      <w:jc w:val="left"/>
      <w:textAlignment w:val="top"/>
    </w:pPr>
    <w:rPr>
      <w:rFonts w:ascii="Times New Roman" w:eastAsia="Times New Roman" w:hAnsi="Times New Roman"/>
      <w:sz w:val="22"/>
      <w:lang w:val="bg-BG" w:eastAsia="bg-BG"/>
    </w:rPr>
  </w:style>
  <w:style w:type="paragraph" w:customStyle="1" w:styleId="xl97">
    <w:name w:val="xl97"/>
    <w:basedOn w:val="Normal"/>
    <w:rsid w:val="00E21053"/>
    <w:pPr>
      <w:pBdr>
        <w:top w:val="single" w:sz="4" w:space="0" w:color="000000"/>
        <w:left w:val="single" w:sz="4" w:space="0" w:color="000000"/>
        <w:bottom w:val="single" w:sz="4" w:space="0" w:color="000000"/>
        <w:right w:val="single" w:sz="4" w:space="0" w:color="000000"/>
      </w:pBdr>
      <w:shd w:val="clear" w:color="93C47D" w:fill="E2EFDA"/>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16">
    <w:name w:val="xl116"/>
    <w:basedOn w:val="Normal"/>
    <w:rsid w:val="00E21053"/>
    <w:pPr>
      <w:pBdr>
        <w:top w:val="single" w:sz="4" w:space="0" w:color="000000"/>
        <w:left w:val="single" w:sz="4" w:space="0" w:color="000000"/>
        <w:bottom w:val="single" w:sz="4" w:space="0" w:color="000000"/>
        <w:right w:val="single" w:sz="4"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17">
    <w:name w:val="xl117"/>
    <w:basedOn w:val="Normal"/>
    <w:rsid w:val="00E21053"/>
    <w:pPr>
      <w:pBdr>
        <w:top w:val="single" w:sz="4" w:space="0" w:color="000000"/>
        <w:left w:val="single" w:sz="4" w:space="0" w:color="000000"/>
        <w:bottom w:val="single" w:sz="4" w:space="0" w:color="000000"/>
        <w:right w:val="single" w:sz="12"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18">
    <w:name w:val="xl118"/>
    <w:basedOn w:val="Normal"/>
    <w:rsid w:val="00E21053"/>
    <w:pPr>
      <w:pBdr>
        <w:top w:val="single" w:sz="4" w:space="0" w:color="000000"/>
        <w:left w:val="single" w:sz="4" w:space="0" w:color="000000"/>
        <w:bottom w:val="single" w:sz="4" w:space="0" w:color="000000"/>
        <w:right w:val="single" w:sz="4"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19">
    <w:name w:val="xl119"/>
    <w:basedOn w:val="Normal"/>
    <w:rsid w:val="00E21053"/>
    <w:pPr>
      <w:pBdr>
        <w:top w:val="single" w:sz="4" w:space="0" w:color="000000"/>
        <w:left w:val="single" w:sz="4" w:space="0" w:color="000000"/>
        <w:bottom w:val="single" w:sz="4" w:space="0" w:color="000000"/>
        <w:right w:val="single" w:sz="12"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20">
    <w:name w:val="xl120"/>
    <w:basedOn w:val="Normal"/>
    <w:rsid w:val="00E21053"/>
    <w:pPr>
      <w:pBdr>
        <w:top w:val="single" w:sz="4" w:space="0" w:color="000000"/>
        <w:left w:val="single" w:sz="4" w:space="0" w:color="000000"/>
        <w:bottom w:val="single" w:sz="4" w:space="0" w:color="000000"/>
        <w:right w:val="single" w:sz="4"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21">
    <w:name w:val="xl121"/>
    <w:basedOn w:val="Normal"/>
    <w:rsid w:val="00E21053"/>
    <w:pPr>
      <w:pBdr>
        <w:top w:val="single" w:sz="4" w:space="0" w:color="000000"/>
        <w:left w:val="single" w:sz="4" w:space="0" w:color="000000"/>
        <w:bottom w:val="single" w:sz="4" w:space="0" w:color="000000"/>
        <w:right w:val="single" w:sz="12"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22">
    <w:name w:val="xl122"/>
    <w:basedOn w:val="Normal"/>
    <w:rsid w:val="00E21053"/>
    <w:pPr>
      <w:pBdr>
        <w:top w:val="single" w:sz="4" w:space="0" w:color="000000"/>
        <w:left w:val="single" w:sz="4" w:space="0" w:color="000000"/>
        <w:bottom w:val="single" w:sz="12" w:space="0" w:color="000000"/>
        <w:right w:val="single" w:sz="4"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paragraph" w:customStyle="1" w:styleId="xl123">
    <w:name w:val="xl123"/>
    <w:basedOn w:val="Normal"/>
    <w:rsid w:val="00E21053"/>
    <w:pPr>
      <w:pBdr>
        <w:top w:val="single" w:sz="4" w:space="0" w:color="000000"/>
        <w:left w:val="single" w:sz="4" w:space="0" w:color="000000"/>
        <w:bottom w:val="single" w:sz="12" w:space="0" w:color="000000"/>
        <w:right w:val="single" w:sz="12" w:space="0" w:color="000000"/>
      </w:pBdr>
      <w:shd w:val="clear" w:color="000000" w:fill="FCE4D6"/>
      <w:spacing w:before="100" w:beforeAutospacing="1" w:after="100" w:afterAutospacing="1" w:line="240" w:lineRule="auto"/>
      <w:jc w:val="center"/>
      <w:textAlignment w:val="center"/>
    </w:pPr>
    <w:rPr>
      <w:rFonts w:ascii="Times New Roman" w:eastAsia="Times New Roman" w:hAnsi="Times New Roman"/>
      <w:sz w:val="22"/>
      <w:lang w:val="bg-BG" w:eastAsia="bg-BG"/>
    </w:rPr>
  </w:style>
  <w:style w:type="character" w:customStyle="1" w:styleId="UnresolvedMention11">
    <w:name w:val="Unresolved Mention11"/>
    <w:basedOn w:val="DefaultParagraphFont"/>
    <w:uiPriority w:val="99"/>
    <w:semiHidden/>
    <w:unhideWhenUsed/>
    <w:rsid w:val="00E21053"/>
    <w:rPr>
      <w:color w:val="605E5C"/>
      <w:shd w:val="clear" w:color="auto" w:fill="E1DFDD"/>
    </w:rPr>
  </w:style>
  <w:style w:type="character" w:customStyle="1" w:styleId="UnresolvedMention2">
    <w:name w:val="Unresolved Mention2"/>
    <w:basedOn w:val="DefaultParagraphFont"/>
    <w:uiPriority w:val="99"/>
    <w:semiHidden/>
    <w:unhideWhenUsed/>
    <w:rsid w:val="00E21053"/>
    <w:rPr>
      <w:color w:val="605E5C"/>
      <w:shd w:val="clear" w:color="auto" w:fill="E1DFDD"/>
    </w:rPr>
  </w:style>
  <w:style w:type="paragraph" w:customStyle="1" w:styleId="A1">
    <w:name w:val="A1"/>
    <w:basedOn w:val="Normal"/>
    <w:uiPriority w:val="99"/>
    <w:rsid w:val="00E21053"/>
    <w:pPr>
      <w:keepNext/>
      <w:keepLines/>
      <w:numPr>
        <w:numId w:val="51"/>
      </w:numPr>
      <w:spacing w:before="240" w:after="240" w:line="240" w:lineRule="auto"/>
      <w:outlineLvl w:val="0"/>
    </w:pPr>
    <w:rPr>
      <w:rFonts w:ascii="Times New Roman" w:eastAsia="Times New Roman" w:hAnsi="Times New Roman"/>
      <w:b/>
      <w:sz w:val="24"/>
      <w:szCs w:val="28"/>
      <w:lang w:val="bg-BG" w:eastAsia="bg-BG"/>
    </w:rPr>
  </w:style>
  <w:style w:type="paragraph" w:customStyle="1" w:styleId="A2">
    <w:name w:val="A2"/>
    <w:basedOn w:val="Normal"/>
    <w:uiPriority w:val="99"/>
    <w:rsid w:val="00E21053"/>
    <w:pPr>
      <w:keepNext/>
      <w:keepLines/>
      <w:numPr>
        <w:ilvl w:val="1"/>
        <w:numId w:val="51"/>
      </w:numPr>
      <w:tabs>
        <w:tab w:val="left" w:pos="907"/>
      </w:tabs>
      <w:spacing w:before="120" w:after="120" w:line="240" w:lineRule="auto"/>
      <w:outlineLvl w:val="1"/>
    </w:pPr>
    <w:rPr>
      <w:rFonts w:ascii="Times New Roman" w:eastAsia="Times New Roman" w:hAnsi="Times New Roman"/>
      <w:b/>
      <w:sz w:val="24"/>
      <w:szCs w:val="26"/>
      <w:lang w:val="bg-BG" w:eastAsia="bg-BG"/>
    </w:rPr>
  </w:style>
  <w:style w:type="paragraph" w:customStyle="1" w:styleId="A3">
    <w:name w:val="A3"/>
    <w:basedOn w:val="Normal"/>
    <w:uiPriority w:val="99"/>
    <w:rsid w:val="00E21053"/>
    <w:pPr>
      <w:keepNext/>
      <w:keepLines/>
      <w:numPr>
        <w:ilvl w:val="2"/>
        <w:numId w:val="51"/>
      </w:numPr>
      <w:tabs>
        <w:tab w:val="left" w:pos="1361"/>
      </w:tabs>
      <w:spacing w:before="120" w:after="120" w:line="240" w:lineRule="auto"/>
      <w:outlineLvl w:val="2"/>
    </w:pPr>
    <w:rPr>
      <w:rFonts w:ascii="Times New Roman" w:eastAsia="Times New Roman" w:hAnsi="Times New Roman"/>
      <w:b/>
      <w:sz w:val="24"/>
      <w:szCs w:val="24"/>
      <w:lang w:val="bg-BG" w:eastAsia="bg-BG"/>
    </w:rPr>
  </w:style>
  <w:style w:type="paragraph" w:customStyle="1" w:styleId="A4">
    <w:name w:val="A4"/>
    <w:basedOn w:val="Normal"/>
    <w:uiPriority w:val="99"/>
    <w:rsid w:val="00E21053"/>
    <w:pPr>
      <w:keepNext/>
      <w:keepLines/>
      <w:numPr>
        <w:ilvl w:val="3"/>
        <w:numId w:val="51"/>
      </w:numPr>
      <w:tabs>
        <w:tab w:val="left" w:pos="1985"/>
      </w:tabs>
      <w:spacing w:after="0" w:line="240" w:lineRule="auto"/>
      <w:outlineLvl w:val="3"/>
    </w:pPr>
    <w:rPr>
      <w:rFonts w:ascii="Times New Roman" w:eastAsia="Times New Roman" w:hAnsi="Times New Roman"/>
      <w:iCs/>
      <w:sz w:val="24"/>
      <w:szCs w:val="24"/>
      <w:lang w:val="bg-BG" w:eastAsia="bg-BG"/>
    </w:rPr>
  </w:style>
  <w:style w:type="paragraph" w:customStyle="1" w:styleId="A5">
    <w:name w:val="A5"/>
    <w:basedOn w:val="Normal"/>
    <w:uiPriority w:val="99"/>
    <w:rsid w:val="00E21053"/>
    <w:pPr>
      <w:keepNext/>
      <w:keepLines/>
      <w:numPr>
        <w:ilvl w:val="4"/>
        <w:numId w:val="51"/>
      </w:numPr>
      <w:tabs>
        <w:tab w:val="left" w:pos="2552"/>
      </w:tabs>
      <w:spacing w:after="0" w:line="240" w:lineRule="auto"/>
      <w:outlineLvl w:val="4"/>
    </w:pPr>
    <w:rPr>
      <w:rFonts w:ascii="Times New Roman" w:eastAsia="Times New Roman" w:hAnsi="Times New Roman"/>
      <w:bCs/>
      <w:sz w:val="24"/>
      <w:szCs w:val="24"/>
      <w:lang w:val="bg-BG" w:eastAsia="bg-BG"/>
    </w:rPr>
  </w:style>
  <w:style w:type="character" w:customStyle="1" w:styleId="gmail-st">
    <w:name w:val="gmail-st"/>
    <w:basedOn w:val="DefaultParagraphFont"/>
    <w:rsid w:val="00E21053"/>
  </w:style>
  <w:style w:type="paragraph" w:customStyle="1" w:styleId="statut">
    <w:name w:val="statut"/>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m">
    <w:name w:val="m"/>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firstline">
    <w:name w:val="firstline"/>
    <w:basedOn w:val="Normal"/>
    <w:rsid w:val="00E21053"/>
    <w:pPr>
      <w:spacing w:after="0" w:line="240" w:lineRule="atLeast"/>
      <w:ind w:firstLine="640"/>
    </w:pPr>
    <w:rPr>
      <w:rFonts w:ascii="Times New Roman" w:eastAsia="Times New Roman" w:hAnsi="Times New Roman"/>
      <w:color w:val="000000"/>
      <w:sz w:val="24"/>
      <w:szCs w:val="24"/>
      <w:lang w:val="bg-BG" w:eastAsia="bg-BG"/>
    </w:rPr>
  </w:style>
  <w:style w:type="character" w:customStyle="1" w:styleId="ldef">
    <w:name w:val="ldef"/>
    <w:basedOn w:val="DefaultParagraphFont"/>
    <w:rsid w:val="00E21053"/>
  </w:style>
  <w:style w:type="paragraph" w:customStyle="1" w:styleId="Text0">
    <w:name w:val="Text"/>
    <w:basedOn w:val="Normal"/>
    <w:rsid w:val="00E21053"/>
    <w:pPr>
      <w:spacing w:before="130" w:after="0" w:line="260" w:lineRule="exact"/>
    </w:pPr>
    <w:rPr>
      <w:rFonts w:ascii="Times New Roman" w:eastAsia="Times New Roman" w:hAnsi="Times New Roman"/>
      <w:sz w:val="22"/>
      <w:szCs w:val="20"/>
    </w:rPr>
  </w:style>
  <w:style w:type="paragraph" w:customStyle="1" w:styleId="CharCharCharCharChar">
    <w:name w:val="Char Char Char Знак Char Char Знак"/>
    <w:basedOn w:val="Normal"/>
    <w:rsid w:val="00E21053"/>
    <w:pPr>
      <w:tabs>
        <w:tab w:val="left" w:pos="709"/>
      </w:tabs>
      <w:spacing w:after="0" w:line="240" w:lineRule="auto"/>
      <w:jc w:val="left"/>
    </w:pPr>
    <w:rPr>
      <w:rFonts w:ascii="Tahoma" w:eastAsia="Times New Roman" w:hAnsi="Tahoma" w:cs="Tahoma"/>
      <w:sz w:val="24"/>
      <w:szCs w:val="24"/>
      <w:lang w:val="pl-PL" w:eastAsia="pl-PL"/>
    </w:rPr>
  </w:style>
  <w:style w:type="paragraph" w:customStyle="1" w:styleId="ClauseTitle">
    <w:name w:val="Clause Title"/>
    <w:basedOn w:val="Normal"/>
    <w:rsid w:val="00E21053"/>
    <w:pPr>
      <w:keepNext/>
      <w:overflowPunct w:val="0"/>
      <w:autoSpaceDE w:val="0"/>
      <w:autoSpaceDN w:val="0"/>
      <w:adjustRightInd w:val="0"/>
      <w:spacing w:after="240" w:line="240" w:lineRule="auto"/>
      <w:jc w:val="center"/>
    </w:pPr>
    <w:rPr>
      <w:rFonts w:ascii="Times New Roman" w:eastAsia="Times New Roman" w:hAnsi="Times New Roman"/>
      <w:b/>
      <w:sz w:val="24"/>
      <w:szCs w:val="20"/>
      <w:lang w:val="en-US"/>
    </w:rPr>
  </w:style>
  <w:style w:type="paragraph" w:customStyle="1" w:styleId="CharCharChar0">
    <w:name w:val="Char Char Char Знак"/>
    <w:basedOn w:val="Normal"/>
    <w:rsid w:val="00E21053"/>
    <w:pPr>
      <w:tabs>
        <w:tab w:val="left" w:pos="709"/>
      </w:tabs>
      <w:spacing w:after="0" w:line="240" w:lineRule="auto"/>
      <w:jc w:val="left"/>
    </w:pPr>
    <w:rPr>
      <w:rFonts w:ascii="Tahoma" w:eastAsia="Times New Roman" w:hAnsi="Tahoma" w:cs="Tahoma"/>
      <w:sz w:val="24"/>
      <w:szCs w:val="24"/>
      <w:lang w:val="pl-PL" w:eastAsia="pl-PL"/>
    </w:rPr>
  </w:style>
  <w:style w:type="paragraph" w:customStyle="1" w:styleId="Style2">
    <w:name w:val="Style2"/>
    <w:basedOn w:val="Normal"/>
    <w:rsid w:val="00E21053"/>
    <w:pPr>
      <w:autoSpaceDE w:val="0"/>
      <w:autoSpaceDN w:val="0"/>
      <w:spacing w:after="120" w:line="240" w:lineRule="auto"/>
      <w:ind w:right="-666" w:firstLine="708"/>
    </w:pPr>
    <w:rPr>
      <w:rFonts w:ascii="Times New Roman" w:eastAsia="Times New Roman" w:hAnsi="Times New Roman"/>
      <w:sz w:val="24"/>
      <w:szCs w:val="24"/>
      <w:lang w:val="bg-BG" w:eastAsia="bg-BG"/>
    </w:rPr>
  </w:style>
  <w:style w:type="paragraph" w:customStyle="1" w:styleId="title2">
    <w:name w:val="title2"/>
    <w:basedOn w:val="Normal"/>
    <w:rsid w:val="00E21053"/>
    <w:pPr>
      <w:spacing w:before="100" w:beforeAutospacing="1" w:after="100" w:afterAutospacing="1" w:line="240" w:lineRule="auto"/>
      <w:ind w:firstLine="887"/>
    </w:pPr>
    <w:rPr>
      <w:rFonts w:ascii="Times New Roman" w:eastAsia="Times New Roman" w:hAnsi="Times New Roman"/>
      <w:i/>
      <w:iCs/>
      <w:sz w:val="24"/>
      <w:szCs w:val="24"/>
      <w:lang w:val="bg-BG" w:eastAsia="bg-BG"/>
    </w:rPr>
  </w:style>
  <w:style w:type="paragraph" w:customStyle="1" w:styleId="title6">
    <w:name w:val="title6"/>
    <w:basedOn w:val="Normal"/>
    <w:rsid w:val="00E21053"/>
    <w:pPr>
      <w:spacing w:before="100" w:beforeAutospacing="1" w:after="100" w:afterAutospacing="1" w:line="240" w:lineRule="auto"/>
      <w:jc w:val="center"/>
    </w:pPr>
    <w:rPr>
      <w:rFonts w:ascii="Times New Roman" w:eastAsia="Times New Roman" w:hAnsi="Times New Roman"/>
      <w:b/>
      <w:bCs/>
      <w:sz w:val="26"/>
      <w:szCs w:val="26"/>
      <w:lang w:val="bg-BG" w:eastAsia="bg-BG"/>
    </w:rPr>
  </w:style>
  <w:style w:type="paragraph" w:customStyle="1" w:styleId="ShortReturnAddress">
    <w:name w:val="Short Return Address"/>
    <w:basedOn w:val="Normal"/>
    <w:rsid w:val="00E21053"/>
    <w:pPr>
      <w:spacing w:after="0" w:line="240" w:lineRule="auto"/>
      <w:jc w:val="left"/>
    </w:pPr>
    <w:rPr>
      <w:rFonts w:ascii="MS Sans Serif" w:eastAsia="Times New Roman" w:hAnsi="MS Sans Serif"/>
      <w:sz w:val="20"/>
      <w:szCs w:val="20"/>
      <w:lang w:val="en-US"/>
    </w:rPr>
  </w:style>
  <w:style w:type="paragraph" w:customStyle="1" w:styleId="bullets0">
    <w:name w:val="bullets"/>
    <w:basedOn w:val="Normal"/>
    <w:rsid w:val="00E21053"/>
    <w:pPr>
      <w:tabs>
        <w:tab w:val="num" w:pos="851"/>
      </w:tabs>
      <w:spacing w:after="0" w:line="240" w:lineRule="auto"/>
      <w:ind w:left="851" w:hanging="397"/>
    </w:pPr>
    <w:rPr>
      <w:rFonts w:ascii="UnvCyr" w:eastAsia="Times New Roman" w:hAnsi="UnvCyr"/>
      <w:sz w:val="24"/>
      <w:szCs w:val="20"/>
      <w:lang w:val="bg-BG"/>
    </w:rPr>
  </w:style>
  <w:style w:type="paragraph" w:customStyle="1" w:styleId="A-2">
    <w:name w:val="A-2"/>
    <w:basedOn w:val="Heading3"/>
    <w:next w:val="Normal"/>
    <w:rsid w:val="00E21053"/>
    <w:pPr>
      <w:keepNext w:val="0"/>
      <w:keepLines/>
      <w:numPr>
        <w:ilvl w:val="0"/>
        <w:numId w:val="0"/>
      </w:numPr>
      <w:spacing w:before="200" w:after="100" w:line="240" w:lineRule="auto"/>
      <w:ind w:left="720" w:hanging="360"/>
      <w:jc w:val="both"/>
      <w:outlineLvl w:val="9"/>
    </w:pPr>
    <w:rPr>
      <w:rFonts w:ascii="Dutch" w:eastAsia="Times New Roman" w:hAnsi="Dutch"/>
      <w:i/>
      <w:caps/>
      <w:sz w:val="24"/>
      <w:szCs w:val="24"/>
      <w:lang w:val="en-US" w:eastAsia="x-none"/>
    </w:rPr>
  </w:style>
  <w:style w:type="paragraph" w:customStyle="1" w:styleId="font5">
    <w:name w:val="font5"/>
    <w:basedOn w:val="Normal"/>
    <w:rsid w:val="00E21053"/>
    <w:pPr>
      <w:spacing w:before="100" w:beforeAutospacing="1" w:after="100" w:afterAutospacing="1" w:line="240" w:lineRule="auto"/>
      <w:jc w:val="left"/>
    </w:pPr>
    <w:rPr>
      <w:rFonts w:ascii="Times New Roman" w:eastAsia="Times New Roman" w:hAnsi="Times New Roman"/>
      <w:b/>
      <w:bCs/>
      <w:sz w:val="20"/>
      <w:szCs w:val="20"/>
      <w:lang w:val="en-US"/>
    </w:rPr>
  </w:style>
  <w:style w:type="paragraph" w:customStyle="1" w:styleId="font6">
    <w:name w:val="font6"/>
    <w:basedOn w:val="Normal"/>
    <w:rsid w:val="00E21053"/>
    <w:pPr>
      <w:spacing w:before="100" w:beforeAutospacing="1" w:after="100" w:afterAutospacing="1" w:line="240" w:lineRule="auto"/>
      <w:jc w:val="left"/>
    </w:pPr>
    <w:rPr>
      <w:rFonts w:ascii="Times New Roman" w:eastAsia="Times New Roman" w:hAnsi="Times New Roman"/>
      <w:sz w:val="14"/>
      <w:szCs w:val="14"/>
      <w:lang w:val="en-US"/>
    </w:rPr>
  </w:style>
  <w:style w:type="paragraph" w:customStyle="1" w:styleId="font7">
    <w:name w:val="font7"/>
    <w:basedOn w:val="Normal"/>
    <w:rsid w:val="00E21053"/>
    <w:pPr>
      <w:spacing w:before="100" w:beforeAutospacing="1" w:after="100" w:afterAutospacing="1" w:line="240" w:lineRule="auto"/>
      <w:jc w:val="left"/>
    </w:pPr>
    <w:rPr>
      <w:rFonts w:ascii="Times New Roman" w:eastAsia="Times New Roman" w:hAnsi="Times New Roman"/>
      <w:b/>
      <w:bCs/>
      <w:sz w:val="18"/>
      <w:szCs w:val="18"/>
      <w:lang w:val="en-US"/>
    </w:rPr>
  </w:style>
  <w:style w:type="paragraph" w:customStyle="1" w:styleId="font8">
    <w:name w:val="font8"/>
    <w:basedOn w:val="Normal"/>
    <w:rsid w:val="00E21053"/>
    <w:pPr>
      <w:spacing w:before="100" w:beforeAutospacing="1" w:after="100" w:afterAutospacing="1" w:line="240" w:lineRule="auto"/>
      <w:jc w:val="left"/>
    </w:pPr>
    <w:rPr>
      <w:rFonts w:ascii="Times New Roman" w:eastAsia="Times New Roman" w:hAnsi="Times New Roman"/>
      <w:b/>
      <w:bCs/>
      <w:sz w:val="16"/>
      <w:szCs w:val="16"/>
      <w:lang w:val="en-US"/>
    </w:rPr>
  </w:style>
  <w:style w:type="paragraph" w:customStyle="1" w:styleId="font9">
    <w:name w:val="font9"/>
    <w:basedOn w:val="Normal"/>
    <w:rsid w:val="00E21053"/>
    <w:pPr>
      <w:spacing w:before="100" w:beforeAutospacing="1" w:after="100" w:afterAutospacing="1" w:line="240" w:lineRule="auto"/>
      <w:jc w:val="left"/>
    </w:pPr>
    <w:rPr>
      <w:rFonts w:ascii="Times New Roman" w:eastAsia="Times New Roman" w:hAnsi="Times New Roman"/>
      <w:b/>
      <w:bCs/>
      <w:sz w:val="14"/>
      <w:szCs w:val="14"/>
      <w:lang w:val="en-US"/>
    </w:rPr>
  </w:style>
  <w:style w:type="paragraph" w:customStyle="1" w:styleId="font10">
    <w:name w:val="font10"/>
    <w:basedOn w:val="Normal"/>
    <w:rsid w:val="00E21053"/>
    <w:pPr>
      <w:spacing w:before="100" w:beforeAutospacing="1" w:after="100" w:afterAutospacing="1" w:line="240" w:lineRule="auto"/>
      <w:jc w:val="left"/>
    </w:pPr>
    <w:rPr>
      <w:rFonts w:ascii="Times New Roman" w:eastAsia="Times New Roman" w:hAnsi="Times New Roman"/>
      <w:b/>
      <w:bCs/>
      <w:sz w:val="14"/>
      <w:szCs w:val="14"/>
      <w:lang w:val="en-US"/>
    </w:rPr>
  </w:style>
  <w:style w:type="paragraph" w:customStyle="1" w:styleId="font11">
    <w:name w:val="font11"/>
    <w:basedOn w:val="Normal"/>
    <w:rsid w:val="00E21053"/>
    <w:pPr>
      <w:spacing w:before="100" w:beforeAutospacing="1" w:after="100" w:afterAutospacing="1" w:line="240" w:lineRule="auto"/>
      <w:jc w:val="left"/>
    </w:pPr>
    <w:rPr>
      <w:rFonts w:ascii="Times New Roman" w:eastAsia="Times New Roman" w:hAnsi="Times New Roman"/>
      <w:sz w:val="14"/>
      <w:szCs w:val="14"/>
      <w:lang w:val="en-US"/>
    </w:rPr>
  </w:style>
  <w:style w:type="paragraph" w:customStyle="1" w:styleId="font12">
    <w:name w:val="font12"/>
    <w:basedOn w:val="Normal"/>
    <w:rsid w:val="00E21053"/>
    <w:pPr>
      <w:spacing w:before="100" w:beforeAutospacing="1" w:after="100" w:afterAutospacing="1" w:line="240" w:lineRule="auto"/>
      <w:jc w:val="left"/>
    </w:pPr>
    <w:rPr>
      <w:rFonts w:ascii="Times New Roman" w:eastAsia="Times New Roman" w:hAnsi="Times New Roman"/>
      <w:sz w:val="16"/>
      <w:szCs w:val="16"/>
      <w:lang w:val="en-US"/>
    </w:rPr>
  </w:style>
  <w:style w:type="paragraph" w:customStyle="1" w:styleId="font13">
    <w:name w:val="font13"/>
    <w:basedOn w:val="Normal"/>
    <w:rsid w:val="00E21053"/>
    <w:pPr>
      <w:spacing w:before="100" w:beforeAutospacing="1" w:after="100" w:afterAutospacing="1" w:line="240" w:lineRule="auto"/>
      <w:jc w:val="left"/>
    </w:pPr>
    <w:rPr>
      <w:rFonts w:ascii="Times New Roman" w:eastAsia="Times New Roman" w:hAnsi="Times New Roman"/>
      <w:sz w:val="22"/>
      <w:lang w:val="en-US"/>
    </w:rPr>
  </w:style>
  <w:style w:type="paragraph" w:customStyle="1" w:styleId="Header2IPC">
    <w:name w:val="Header 2 IPC"/>
    <w:basedOn w:val="PlainText"/>
    <w:autoRedefine/>
    <w:rsid w:val="00E21053"/>
    <w:pPr>
      <w:widowControl w:val="0"/>
      <w:tabs>
        <w:tab w:val="num" w:pos="720"/>
      </w:tabs>
      <w:ind w:left="720" w:hanging="360"/>
      <w:jc w:val="both"/>
    </w:pPr>
    <w:rPr>
      <w:rFonts w:ascii="HebarU" w:eastAsia="MS Mincho" w:hAnsi="HebarU" w:cs="Times New Roman"/>
      <w:b/>
      <w:bCs/>
      <w:i/>
      <w:sz w:val="24"/>
      <w:szCs w:val="24"/>
      <w:lang w:val="x-none" w:eastAsia="x-none"/>
    </w:rPr>
  </w:style>
  <w:style w:type="paragraph" w:customStyle="1" w:styleId="Prilojenia">
    <w:name w:val="Prilojenia"/>
    <w:basedOn w:val="Normal"/>
    <w:autoRedefine/>
    <w:rsid w:val="00E21053"/>
    <w:pPr>
      <w:spacing w:after="0" w:line="240" w:lineRule="auto"/>
    </w:pPr>
    <w:rPr>
      <w:rFonts w:ascii="HebarU" w:eastAsia="Times New Roman" w:hAnsi="HebarU" w:cs="Arial"/>
      <w:b/>
      <w:sz w:val="24"/>
      <w:szCs w:val="24"/>
      <w:lang w:val="bg-BG" w:eastAsia="bg-BG"/>
    </w:rPr>
  </w:style>
  <w:style w:type="paragraph" w:customStyle="1" w:styleId="StyleHeader1IPCHebarUBold">
    <w:name w:val="Style Header 1 IPC + HebarU Bold"/>
    <w:basedOn w:val="Header1IPC"/>
    <w:autoRedefine/>
    <w:rsid w:val="00E21053"/>
    <w:pPr>
      <w:numPr>
        <w:numId w:val="0"/>
      </w:numPr>
      <w:spacing w:after="240"/>
      <w:jc w:val="left"/>
    </w:pPr>
    <w:rPr>
      <w:b w:val="0"/>
      <w:lang w:val="x-none" w:eastAsia="x-none"/>
    </w:rPr>
  </w:style>
  <w:style w:type="paragraph" w:customStyle="1" w:styleId="Header3IPC">
    <w:name w:val="Header 3 IPC"/>
    <w:basedOn w:val="Header2IPC"/>
    <w:autoRedefine/>
    <w:rsid w:val="00E21053"/>
    <w:pPr>
      <w:tabs>
        <w:tab w:val="clear" w:pos="720"/>
      </w:tabs>
      <w:ind w:left="360" w:firstLine="0"/>
    </w:pPr>
    <w:rPr>
      <w:b w:val="0"/>
      <w:lang w:val="en-US"/>
    </w:rPr>
  </w:style>
  <w:style w:type="paragraph" w:customStyle="1" w:styleId="zaglawie">
    <w:name w:val="zaglawie"/>
    <w:basedOn w:val="Normal"/>
    <w:rsid w:val="00E21053"/>
    <w:pPr>
      <w:spacing w:before="100" w:after="100" w:line="240" w:lineRule="auto"/>
      <w:ind w:left="200"/>
      <w:jc w:val="center"/>
    </w:pPr>
    <w:rPr>
      <w:rFonts w:ascii="HebarU" w:eastAsia="Times New Roman" w:hAnsi="HebarU"/>
      <w:b/>
      <w:bCs/>
      <w:color w:val="000000"/>
      <w:sz w:val="28"/>
      <w:szCs w:val="28"/>
      <w:lang w:val="bg-BG" w:eastAsia="bg-BG"/>
    </w:rPr>
  </w:style>
  <w:style w:type="paragraph" w:customStyle="1" w:styleId="firstline0">
    <w:name w:val="firstline_"/>
    <w:basedOn w:val="Normal"/>
    <w:rsid w:val="00E21053"/>
    <w:pPr>
      <w:spacing w:after="0" w:line="240" w:lineRule="auto"/>
      <w:ind w:firstLine="400"/>
      <w:jc w:val="left"/>
    </w:pPr>
    <w:rPr>
      <w:rFonts w:ascii="HebarU" w:eastAsia="Times New Roman" w:hAnsi="HebarU"/>
      <w:color w:val="0000FF"/>
      <w:sz w:val="24"/>
      <w:szCs w:val="24"/>
      <w:lang w:val="en-US"/>
    </w:rPr>
  </w:style>
  <w:style w:type="paragraph" w:customStyle="1" w:styleId="Bullet">
    <w:name w:val="Bullet"/>
    <w:basedOn w:val="Normal"/>
    <w:rsid w:val="00E21053"/>
    <w:pPr>
      <w:spacing w:after="240" w:line="240" w:lineRule="auto"/>
      <w:ind w:left="851" w:hanging="284"/>
    </w:pPr>
    <w:rPr>
      <w:rFonts w:ascii="HebarU" w:eastAsia="Times New Roman" w:hAnsi="HebarU"/>
      <w:sz w:val="22"/>
      <w:szCs w:val="20"/>
      <w:lang w:val="bg-BG"/>
    </w:rPr>
  </w:style>
  <w:style w:type="paragraph" w:customStyle="1" w:styleId="ACBulletLv1">
    <w:name w:val="AC Bullet Lv 1"/>
    <w:basedOn w:val="Normal"/>
    <w:rsid w:val="00E21053"/>
    <w:pPr>
      <w:tabs>
        <w:tab w:val="num" w:pos="360"/>
        <w:tab w:val="left" w:pos="720"/>
      </w:tabs>
      <w:spacing w:after="240" w:line="240" w:lineRule="auto"/>
      <w:outlineLvl w:val="0"/>
    </w:pPr>
    <w:rPr>
      <w:rFonts w:ascii="HebarU" w:eastAsia="Times New Roman" w:hAnsi="HebarU"/>
      <w:sz w:val="24"/>
      <w:szCs w:val="24"/>
      <w:lang w:eastAsia="en-GB"/>
    </w:rPr>
  </w:style>
  <w:style w:type="paragraph" w:customStyle="1" w:styleId="ACBulletLv2">
    <w:name w:val="AC Bullet Lv 2"/>
    <w:basedOn w:val="Normal"/>
    <w:rsid w:val="00E21053"/>
    <w:pPr>
      <w:tabs>
        <w:tab w:val="left" w:pos="1440"/>
      </w:tabs>
      <w:spacing w:after="240" w:line="240" w:lineRule="auto"/>
      <w:ind w:left="1440" w:hanging="720"/>
      <w:outlineLvl w:val="1"/>
    </w:pPr>
    <w:rPr>
      <w:rFonts w:ascii="HebarU" w:eastAsia="Times New Roman" w:hAnsi="HebarU"/>
      <w:sz w:val="24"/>
      <w:szCs w:val="24"/>
      <w:lang w:eastAsia="en-GB"/>
    </w:rPr>
  </w:style>
  <w:style w:type="paragraph" w:customStyle="1" w:styleId="ACBulletLv3">
    <w:name w:val="AC Bullet Lv 3"/>
    <w:basedOn w:val="Normal"/>
    <w:rsid w:val="00E21053"/>
    <w:pPr>
      <w:tabs>
        <w:tab w:val="left" w:pos="2160"/>
      </w:tabs>
      <w:spacing w:after="240" w:line="240" w:lineRule="auto"/>
      <w:ind w:left="2160" w:hanging="720"/>
      <w:outlineLvl w:val="2"/>
    </w:pPr>
    <w:rPr>
      <w:rFonts w:ascii="HebarU" w:eastAsia="Times New Roman" w:hAnsi="HebarU"/>
      <w:sz w:val="24"/>
      <w:szCs w:val="24"/>
      <w:lang w:eastAsia="en-GB"/>
    </w:rPr>
  </w:style>
  <w:style w:type="paragraph" w:customStyle="1" w:styleId="ACBulletLv4">
    <w:name w:val="AC Bullet Lv 4"/>
    <w:basedOn w:val="Normal"/>
    <w:rsid w:val="00E21053"/>
    <w:pPr>
      <w:tabs>
        <w:tab w:val="left" w:pos="2880"/>
      </w:tabs>
      <w:spacing w:after="240" w:line="240" w:lineRule="auto"/>
      <w:ind w:left="2880" w:hanging="720"/>
      <w:outlineLvl w:val="3"/>
    </w:pPr>
    <w:rPr>
      <w:rFonts w:ascii="HebarU" w:eastAsia="Times New Roman" w:hAnsi="HebarU"/>
      <w:sz w:val="24"/>
      <w:szCs w:val="24"/>
      <w:lang w:eastAsia="en-GB"/>
    </w:rPr>
  </w:style>
  <w:style w:type="paragraph" w:customStyle="1" w:styleId="ACBulletLv5">
    <w:name w:val="AC Bullet Lv 5"/>
    <w:basedOn w:val="Normal"/>
    <w:rsid w:val="00E21053"/>
    <w:pPr>
      <w:tabs>
        <w:tab w:val="left" w:pos="3600"/>
      </w:tabs>
      <w:spacing w:after="240" w:line="240" w:lineRule="auto"/>
      <w:ind w:left="3600" w:hanging="720"/>
      <w:outlineLvl w:val="4"/>
    </w:pPr>
    <w:rPr>
      <w:rFonts w:ascii="HebarU" w:eastAsia="Times New Roman" w:hAnsi="HebarU"/>
      <w:sz w:val="24"/>
      <w:szCs w:val="24"/>
      <w:lang w:eastAsia="en-GB"/>
    </w:rPr>
  </w:style>
  <w:style w:type="paragraph" w:customStyle="1" w:styleId="xl26">
    <w:name w:val="xl26"/>
    <w:basedOn w:val="Normal"/>
    <w:rsid w:val="00E21053"/>
    <w:pPr>
      <w:pBdr>
        <w:left w:val="single" w:sz="4" w:space="0" w:color="auto"/>
        <w:bottom w:val="single" w:sz="4" w:space="0" w:color="auto"/>
        <w:right w:val="single" w:sz="4" w:space="0" w:color="auto"/>
      </w:pBdr>
      <w:spacing w:before="100" w:beforeAutospacing="1" w:after="100" w:afterAutospacing="1" w:line="240" w:lineRule="auto"/>
      <w:jc w:val="left"/>
    </w:pPr>
    <w:rPr>
      <w:rFonts w:ascii="Arial" w:eastAsia="Arial Unicode MS" w:hAnsi="Arial" w:cs="Arial"/>
      <w:b/>
      <w:bCs/>
      <w:sz w:val="24"/>
      <w:szCs w:val="24"/>
    </w:rPr>
  </w:style>
  <w:style w:type="paragraph" w:customStyle="1" w:styleId="xl50">
    <w:name w:val="xl50"/>
    <w:basedOn w:val="Normal"/>
    <w:rsid w:val="00E21053"/>
    <w:pPr>
      <w:spacing w:before="100" w:beforeAutospacing="1" w:after="100" w:afterAutospacing="1" w:line="240" w:lineRule="auto"/>
      <w:jc w:val="center"/>
    </w:pPr>
    <w:rPr>
      <w:rFonts w:ascii="Arial" w:eastAsia="Arial Unicode MS" w:hAnsi="Arial" w:cs="Arial"/>
      <w:b/>
      <w:bCs/>
      <w:sz w:val="24"/>
      <w:szCs w:val="24"/>
    </w:rPr>
  </w:style>
  <w:style w:type="paragraph" w:customStyle="1" w:styleId="ILF-Standard">
    <w:name w:val="ILF-Standard"/>
    <w:rsid w:val="00E21053"/>
    <w:rPr>
      <w:rFonts w:ascii="Humnst777 Lt BT" w:eastAsia="Times New Roman" w:hAnsi="Humnst777 Lt BT"/>
      <w:szCs w:val="20"/>
      <w:lang w:val="de-DE"/>
    </w:rPr>
  </w:style>
  <w:style w:type="paragraph" w:customStyle="1" w:styleId="E1">
    <w:name w:val="E1"/>
    <w:basedOn w:val="ILF-Standard"/>
    <w:rsid w:val="00E21053"/>
    <w:pPr>
      <w:ind w:left="851"/>
      <w:jc w:val="both"/>
    </w:pPr>
    <w:rPr>
      <w:rFonts w:ascii="Arial" w:hAnsi="Arial"/>
    </w:rPr>
  </w:style>
  <w:style w:type="paragraph" w:customStyle="1" w:styleId="E0">
    <w:name w:val="E0"/>
    <w:basedOn w:val="ILF-Standard"/>
    <w:rsid w:val="00E21053"/>
    <w:pPr>
      <w:spacing w:after="160" w:line="320" w:lineRule="atLeast"/>
      <w:jc w:val="both"/>
    </w:pPr>
  </w:style>
  <w:style w:type="paragraph" w:customStyle="1" w:styleId="N0">
    <w:name w:val="N0"/>
    <w:basedOn w:val="ILF-Standard"/>
    <w:rsid w:val="00E21053"/>
    <w:pPr>
      <w:spacing w:line="320" w:lineRule="atLeast"/>
      <w:ind w:left="425" w:hanging="425"/>
      <w:jc w:val="both"/>
    </w:pPr>
  </w:style>
  <w:style w:type="paragraph" w:customStyle="1" w:styleId="B0">
    <w:name w:val="B0"/>
    <w:basedOn w:val="ILF-Standard"/>
    <w:rsid w:val="00E21053"/>
    <w:pPr>
      <w:spacing w:line="320" w:lineRule="atLeast"/>
      <w:ind w:left="425" w:hanging="425"/>
      <w:jc w:val="both"/>
    </w:pPr>
  </w:style>
  <w:style w:type="paragraph" w:customStyle="1" w:styleId="P0">
    <w:name w:val="P0"/>
    <w:basedOn w:val="ILF-Standard"/>
    <w:rsid w:val="00E21053"/>
    <w:pPr>
      <w:spacing w:line="320" w:lineRule="atLeast"/>
      <w:ind w:left="425" w:hanging="425"/>
      <w:jc w:val="both"/>
    </w:pPr>
  </w:style>
  <w:style w:type="paragraph" w:customStyle="1" w:styleId="N1">
    <w:name w:val="N1"/>
    <w:basedOn w:val="ILF-Standard"/>
    <w:rsid w:val="00E21053"/>
    <w:pPr>
      <w:spacing w:line="320" w:lineRule="atLeast"/>
      <w:ind w:left="1276" w:hanging="425"/>
      <w:jc w:val="both"/>
    </w:pPr>
  </w:style>
  <w:style w:type="paragraph" w:customStyle="1" w:styleId="B1">
    <w:name w:val="B1"/>
    <w:basedOn w:val="ILF-Standard"/>
    <w:rsid w:val="00E21053"/>
    <w:pPr>
      <w:spacing w:line="320" w:lineRule="atLeast"/>
      <w:ind w:left="1276" w:hanging="425"/>
      <w:jc w:val="both"/>
    </w:pPr>
  </w:style>
  <w:style w:type="paragraph" w:customStyle="1" w:styleId="P10">
    <w:name w:val="P1"/>
    <w:basedOn w:val="ILF-Standard"/>
    <w:rsid w:val="00E21053"/>
    <w:pPr>
      <w:spacing w:line="320" w:lineRule="atLeast"/>
      <w:ind w:left="1276" w:hanging="425"/>
      <w:jc w:val="both"/>
    </w:pPr>
  </w:style>
  <w:style w:type="paragraph" w:customStyle="1" w:styleId="E2">
    <w:name w:val="E2"/>
    <w:basedOn w:val="ILF-Standard"/>
    <w:rsid w:val="00E21053"/>
    <w:pPr>
      <w:spacing w:after="160" w:line="320" w:lineRule="atLeast"/>
      <w:ind w:left="1276"/>
      <w:jc w:val="both"/>
    </w:pPr>
  </w:style>
  <w:style w:type="paragraph" w:customStyle="1" w:styleId="N2">
    <w:name w:val="N2"/>
    <w:basedOn w:val="ILF-Standard"/>
    <w:rsid w:val="00E21053"/>
    <w:pPr>
      <w:spacing w:line="320" w:lineRule="atLeast"/>
      <w:ind w:left="1701" w:hanging="425"/>
      <w:jc w:val="both"/>
    </w:pPr>
  </w:style>
  <w:style w:type="paragraph" w:customStyle="1" w:styleId="B2">
    <w:name w:val="B2"/>
    <w:basedOn w:val="ILF-Standard"/>
    <w:rsid w:val="00E21053"/>
    <w:pPr>
      <w:spacing w:line="320" w:lineRule="atLeast"/>
      <w:ind w:left="1701" w:hanging="425"/>
      <w:jc w:val="both"/>
    </w:pPr>
  </w:style>
  <w:style w:type="paragraph" w:customStyle="1" w:styleId="P20">
    <w:name w:val="P2"/>
    <w:basedOn w:val="ILF-Standard"/>
    <w:rsid w:val="00E21053"/>
    <w:pPr>
      <w:spacing w:line="320" w:lineRule="atLeast"/>
      <w:ind w:left="1701" w:hanging="425"/>
      <w:jc w:val="both"/>
    </w:pPr>
  </w:style>
  <w:style w:type="paragraph" w:customStyle="1" w:styleId="E3">
    <w:name w:val="E3"/>
    <w:basedOn w:val="ILF-Standard"/>
    <w:rsid w:val="00E21053"/>
    <w:pPr>
      <w:spacing w:after="160" w:line="320" w:lineRule="atLeast"/>
      <w:ind w:left="1701"/>
      <w:jc w:val="both"/>
    </w:pPr>
  </w:style>
  <w:style w:type="paragraph" w:customStyle="1" w:styleId="N3">
    <w:name w:val="N3"/>
    <w:basedOn w:val="ILF-Standard"/>
    <w:rsid w:val="00E21053"/>
    <w:pPr>
      <w:spacing w:line="320" w:lineRule="atLeast"/>
      <w:ind w:left="2126" w:hanging="425"/>
      <w:jc w:val="both"/>
    </w:pPr>
  </w:style>
  <w:style w:type="paragraph" w:customStyle="1" w:styleId="B3">
    <w:name w:val="B3"/>
    <w:basedOn w:val="ILF-Standard"/>
    <w:rsid w:val="00E21053"/>
    <w:pPr>
      <w:spacing w:line="320" w:lineRule="atLeast"/>
      <w:ind w:left="2126" w:hanging="425"/>
      <w:jc w:val="both"/>
    </w:pPr>
  </w:style>
  <w:style w:type="paragraph" w:customStyle="1" w:styleId="P3">
    <w:name w:val="P3"/>
    <w:basedOn w:val="ILF-Standard"/>
    <w:rsid w:val="00E21053"/>
    <w:pPr>
      <w:spacing w:line="320" w:lineRule="atLeast"/>
      <w:ind w:left="2126" w:hanging="425"/>
      <w:jc w:val="both"/>
    </w:pPr>
  </w:style>
  <w:style w:type="paragraph" w:customStyle="1" w:styleId="Betrifft">
    <w:name w:val="Betrifft"/>
    <w:basedOn w:val="ILF-Standard"/>
    <w:rsid w:val="00E21053"/>
    <w:pPr>
      <w:tabs>
        <w:tab w:val="left" w:pos="1134"/>
      </w:tabs>
      <w:spacing w:before="320"/>
      <w:jc w:val="center"/>
    </w:pPr>
    <w:rPr>
      <w:rFonts w:ascii="Humnst777 BT" w:hAnsi="Humnst777 BT"/>
      <w:b/>
      <w:sz w:val="40"/>
    </w:rPr>
  </w:style>
  <w:style w:type="paragraph" w:customStyle="1" w:styleId="Pfad">
    <w:name w:val="Pfad"/>
    <w:basedOn w:val="ILF-Standard"/>
    <w:rsid w:val="00E21053"/>
    <w:rPr>
      <w:rFonts w:ascii="Humnst777 BT" w:hAnsi="Humnst777 BT"/>
      <w:sz w:val="10"/>
    </w:rPr>
  </w:style>
  <w:style w:type="paragraph" w:customStyle="1" w:styleId="Projektname">
    <w:name w:val="Projektname"/>
    <w:basedOn w:val="Betrifft"/>
    <w:rsid w:val="00E21053"/>
  </w:style>
  <w:style w:type="paragraph" w:customStyle="1" w:styleId="ILFDatum">
    <w:name w:val="ILFDatum"/>
    <w:basedOn w:val="Normal"/>
    <w:rsid w:val="00E21053"/>
    <w:pPr>
      <w:spacing w:after="0" w:line="240" w:lineRule="auto"/>
      <w:jc w:val="center"/>
    </w:pPr>
    <w:rPr>
      <w:rFonts w:ascii="Humnst777 BT" w:eastAsia="Times New Roman" w:hAnsi="Humnst777 BT"/>
      <w:b/>
      <w:sz w:val="22"/>
      <w:szCs w:val="20"/>
      <w:lang w:eastAsia="bg-BG"/>
    </w:rPr>
  </w:style>
  <w:style w:type="paragraph" w:customStyle="1" w:styleId="table">
    <w:name w:val="table"/>
    <w:basedOn w:val="Normal"/>
    <w:rsid w:val="00E21053"/>
    <w:pPr>
      <w:spacing w:after="0" w:line="240" w:lineRule="auto"/>
      <w:jc w:val="center"/>
    </w:pPr>
    <w:rPr>
      <w:rFonts w:ascii="Arial" w:eastAsia="Times New Roman" w:hAnsi="Arial"/>
      <w:sz w:val="18"/>
      <w:szCs w:val="20"/>
      <w:lang w:val="en-US" w:eastAsia="bg-BG"/>
    </w:rPr>
  </w:style>
  <w:style w:type="paragraph" w:customStyle="1" w:styleId="subsection">
    <w:name w:val="subsection"/>
    <w:basedOn w:val="Normal"/>
    <w:rsid w:val="00E21053"/>
    <w:pPr>
      <w:overflowPunct w:val="0"/>
      <w:topLinePunct/>
      <w:adjustRightInd w:val="0"/>
      <w:spacing w:after="0" w:line="240" w:lineRule="auto"/>
    </w:pPr>
    <w:rPr>
      <w:rFonts w:ascii="Times New Roman" w:eastAsia="MS Mincho" w:hAnsi="Times New Roman"/>
      <w:sz w:val="24"/>
      <w:szCs w:val="20"/>
      <w:lang w:val="en-US" w:eastAsia="ja-JP"/>
    </w:rPr>
  </w:style>
  <w:style w:type="paragraph" w:customStyle="1" w:styleId="bodysection">
    <w:name w:val="body_section"/>
    <w:basedOn w:val="Normal"/>
    <w:rsid w:val="00E21053"/>
    <w:pPr>
      <w:overflowPunct w:val="0"/>
      <w:topLinePunct/>
      <w:adjustRightInd w:val="0"/>
      <w:spacing w:after="0" w:line="240" w:lineRule="auto"/>
      <w:ind w:left="709"/>
    </w:pPr>
    <w:rPr>
      <w:rFonts w:ascii="Times New Roman" w:eastAsia="MS Mincho" w:hAnsi="Times New Roman"/>
      <w:sz w:val="24"/>
      <w:szCs w:val="20"/>
      <w:lang w:val="en-US" w:eastAsia="ja-JP"/>
    </w:rPr>
  </w:style>
  <w:style w:type="paragraph" w:customStyle="1" w:styleId="bodyitem2">
    <w:name w:val="body_item2"/>
    <w:basedOn w:val="Normal"/>
    <w:rsid w:val="00E21053"/>
    <w:pPr>
      <w:overflowPunct w:val="0"/>
      <w:topLinePunct/>
      <w:adjustRightInd w:val="0"/>
      <w:spacing w:after="0" w:line="240" w:lineRule="auto"/>
      <w:ind w:left="1559"/>
    </w:pPr>
    <w:rPr>
      <w:rFonts w:ascii="Times New Roman" w:eastAsia="MS Mincho" w:hAnsi="Times New Roman"/>
      <w:sz w:val="24"/>
      <w:szCs w:val="20"/>
      <w:lang w:val="en-US" w:eastAsia="ja-JP"/>
    </w:rPr>
  </w:style>
  <w:style w:type="paragraph" w:customStyle="1" w:styleId="bodychapter">
    <w:name w:val="body_chapter"/>
    <w:basedOn w:val="bodysection"/>
    <w:rsid w:val="00E21053"/>
  </w:style>
  <w:style w:type="paragraph" w:customStyle="1" w:styleId="Item1textbody">
    <w:name w:val="Item 1 text body"/>
    <w:basedOn w:val="Normal"/>
    <w:rsid w:val="00E21053"/>
    <w:pPr>
      <w:overflowPunct w:val="0"/>
      <w:autoSpaceDE w:val="0"/>
      <w:autoSpaceDN w:val="0"/>
      <w:adjustRightInd w:val="0"/>
      <w:spacing w:after="0" w:line="240" w:lineRule="auto"/>
      <w:ind w:left="1134"/>
    </w:pPr>
    <w:rPr>
      <w:rFonts w:ascii="Times New Roman" w:eastAsia="MS Mincho" w:hAnsi="Times New Roman"/>
      <w:sz w:val="24"/>
      <w:szCs w:val="20"/>
      <w:lang w:val="en-US"/>
    </w:rPr>
  </w:style>
  <w:style w:type="paragraph" w:customStyle="1" w:styleId="ITEM3Body">
    <w:name w:val="ITEM 3 Body"/>
    <w:basedOn w:val="Normal"/>
    <w:rsid w:val="00E21053"/>
    <w:pPr>
      <w:overflowPunct w:val="0"/>
      <w:autoSpaceDE w:val="0"/>
      <w:autoSpaceDN w:val="0"/>
      <w:adjustRightInd w:val="0"/>
      <w:spacing w:after="0" w:line="240" w:lineRule="auto"/>
      <w:ind w:left="1985"/>
    </w:pPr>
    <w:rPr>
      <w:rFonts w:ascii="Times New Roman" w:eastAsia="MS Mincho" w:hAnsi="Times New Roman"/>
      <w:color w:val="000000"/>
      <w:sz w:val="24"/>
      <w:szCs w:val="20"/>
      <w:lang w:val="en-US"/>
    </w:rPr>
  </w:style>
  <w:style w:type="paragraph" w:customStyle="1" w:styleId="ITEM2Title">
    <w:name w:val="ITEM 2 Title"/>
    <w:basedOn w:val="Normal"/>
    <w:rsid w:val="00E21053"/>
    <w:pPr>
      <w:overflowPunct w:val="0"/>
      <w:autoSpaceDE w:val="0"/>
      <w:autoSpaceDN w:val="0"/>
      <w:adjustRightInd w:val="0"/>
      <w:spacing w:after="0" w:line="240" w:lineRule="auto"/>
      <w:ind w:left="1559" w:hanging="425"/>
      <w:jc w:val="left"/>
    </w:pPr>
    <w:rPr>
      <w:rFonts w:ascii="Times New Roman" w:eastAsia="MS Mincho" w:hAnsi="Times New Roman"/>
      <w:color w:val="000000"/>
      <w:sz w:val="24"/>
      <w:szCs w:val="20"/>
      <w:lang w:val="en-US"/>
    </w:rPr>
  </w:style>
  <w:style w:type="paragraph" w:customStyle="1" w:styleId="bodyitem1">
    <w:name w:val="body_item1"/>
    <w:basedOn w:val="Normal"/>
    <w:rsid w:val="00E21053"/>
    <w:pPr>
      <w:spacing w:after="0" w:line="240" w:lineRule="auto"/>
      <w:ind w:left="1276"/>
    </w:pPr>
    <w:rPr>
      <w:rFonts w:ascii="Times New Roman" w:eastAsia="MS Mincho" w:hAnsi="Times New Roman"/>
      <w:sz w:val="24"/>
      <w:szCs w:val="24"/>
      <w:lang w:val="bg-BG" w:eastAsia="ja-JP"/>
    </w:rPr>
  </w:style>
  <w:style w:type="paragraph" w:customStyle="1" w:styleId="item1title">
    <w:name w:val="item1(title)"/>
    <w:basedOn w:val="Normal"/>
    <w:rsid w:val="00E21053"/>
    <w:pPr>
      <w:spacing w:after="0" w:line="240" w:lineRule="auto"/>
      <w:ind w:left="1276" w:hanging="425"/>
      <w:jc w:val="left"/>
    </w:pPr>
    <w:rPr>
      <w:rFonts w:ascii="Times New Roman" w:eastAsia="Times New Roman" w:hAnsi="Times New Roman"/>
      <w:b/>
      <w:noProof/>
      <w:sz w:val="24"/>
      <w:szCs w:val="24"/>
      <w:lang w:val="bg-BG" w:eastAsia="bg-BG"/>
    </w:rPr>
  </w:style>
  <w:style w:type="paragraph" w:customStyle="1" w:styleId="tabletitle">
    <w:name w:val="table(title)"/>
    <w:basedOn w:val="Normal"/>
    <w:rsid w:val="00E21053"/>
    <w:pPr>
      <w:suppressAutoHyphens/>
      <w:spacing w:after="120" w:line="240" w:lineRule="auto"/>
      <w:jc w:val="center"/>
    </w:pPr>
    <w:rPr>
      <w:rFonts w:ascii="Times New Roman" w:eastAsia="Times New Roman" w:hAnsi="Times New Roman"/>
      <w:b/>
      <w:noProof/>
      <w:sz w:val="24"/>
      <w:szCs w:val="24"/>
      <w:lang w:val="bg-BG" w:eastAsia="bg-BG"/>
    </w:rPr>
  </w:style>
  <w:style w:type="paragraph" w:customStyle="1" w:styleId="bodysubsection">
    <w:name w:val="body_subsection"/>
    <w:basedOn w:val="Normal"/>
    <w:rsid w:val="00E21053"/>
    <w:pPr>
      <w:suppressAutoHyphens/>
      <w:spacing w:after="0" w:line="240" w:lineRule="auto"/>
      <w:ind w:left="851"/>
      <w:jc w:val="left"/>
    </w:pPr>
    <w:rPr>
      <w:rFonts w:ascii="Times New Roman" w:eastAsia="Times New Roman" w:hAnsi="Times New Roman"/>
      <w:noProof/>
      <w:sz w:val="24"/>
      <w:szCs w:val="24"/>
      <w:lang w:val="bg-BG" w:eastAsia="bg-BG"/>
    </w:rPr>
  </w:style>
  <w:style w:type="paragraph" w:customStyle="1" w:styleId="emission">
    <w:name w:val="emission"/>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rfrenceinstitutionnelle">
    <w:name w:val="rfrenceinstitutionnelle"/>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rfrenceinterinstitutionnelle">
    <w:name w:val="rfrenceinterinstitutionnelle"/>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typedudocumentcp">
    <w:name w:val="typedudocument_cp"/>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paragraph" w:customStyle="1" w:styleId="titreobjetcp">
    <w:name w:val="titreobjet_cp"/>
    <w:basedOn w:val="Normal"/>
    <w:rsid w:val="00E21053"/>
    <w:pPr>
      <w:spacing w:before="100" w:beforeAutospacing="1" w:after="100" w:afterAutospacing="1" w:line="240" w:lineRule="auto"/>
      <w:jc w:val="left"/>
    </w:pPr>
    <w:rPr>
      <w:rFonts w:ascii="Times New Roman" w:eastAsia="Times New Roman" w:hAnsi="Times New Roman"/>
      <w:sz w:val="24"/>
      <w:szCs w:val="24"/>
      <w:lang w:val="bg-BG" w:eastAsia="bg-BG"/>
    </w:rPr>
  </w:style>
  <w:style w:type="character" w:customStyle="1" w:styleId="legaldocreference1">
    <w:name w:val="legaldocreference1"/>
    <w:rsid w:val="00E21053"/>
    <w:rPr>
      <w:i w:val="0"/>
      <w:iCs w:val="0"/>
      <w:color w:val="840084"/>
      <w:u w:val="single"/>
    </w:rPr>
  </w:style>
  <w:style w:type="character" w:customStyle="1" w:styleId="newdocreference1">
    <w:name w:val="newdocreference1"/>
    <w:rsid w:val="00E21053"/>
    <w:rPr>
      <w:i w:val="0"/>
      <w:iCs w:val="0"/>
      <w:color w:val="0000FF"/>
      <w:u w:val="single"/>
    </w:rPr>
  </w:style>
  <w:style w:type="character" w:customStyle="1" w:styleId="samedocreference1">
    <w:name w:val="samedocreference1"/>
    <w:rsid w:val="00E21053"/>
    <w:rPr>
      <w:i w:val="0"/>
      <w:iCs w:val="0"/>
      <w:color w:val="8B0000"/>
      <w:u w:val="single"/>
    </w:rPr>
  </w:style>
  <w:style w:type="character" w:customStyle="1" w:styleId="historyitem">
    <w:name w:val="historyitem"/>
    <w:basedOn w:val="DefaultParagraphFont"/>
    <w:rsid w:val="00E21053"/>
  </w:style>
  <w:style w:type="character" w:customStyle="1" w:styleId="historyitemselected1">
    <w:name w:val="historyitemselected1"/>
    <w:rsid w:val="00E21053"/>
    <w:rPr>
      <w:b/>
      <w:bCs/>
      <w:color w:val="0086C6"/>
    </w:rPr>
  </w:style>
  <w:style w:type="character" w:customStyle="1" w:styleId="samedocreference2">
    <w:name w:val="samedocreference2"/>
    <w:rsid w:val="00E21053"/>
    <w:rPr>
      <w:i w:val="0"/>
      <w:iCs w:val="0"/>
      <w:color w:val="8B0000"/>
      <w:u w:val="single"/>
    </w:rPr>
  </w:style>
  <w:style w:type="character" w:customStyle="1" w:styleId="newdocreference">
    <w:name w:val="newdocreference"/>
    <w:basedOn w:val="DefaultParagraphFont"/>
    <w:rsid w:val="00E21053"/>
  </w:style>
  <w:style w:type="character" w:customStyle="1" w:styleId="samedocreference">
    <w:name w:val="samedocreference"/>
    <w:basedOn w:val="DefaultParagraphFont"/>
    <w:rsid w:val="00E21053"/>
  </w:style>
  <w:style w:type="character" w:customStyle="1" w:styleId="CharChar24">
    <w:name w:val="Char Char24"/>
    <w:rsid w:val="00E21053"/>
    <w:rPr>
      <w:rFonts w:ascii="Arial" w:eastAsia="Times New Roman" w:hAnsi="Arial" w:cs="Arial" w:hint="default"/>
      <w:b/>
      <w:bCs/>
      <w:i/>
      <w:iCs/>
      <w:sz w:val="28"/>
      <w:szCs w:val="28"/>
      <w:lang w:eastAsia="bg-BG"/>
    </w:rPr>
  </w:style>
  <w:style w:type="character" w:customStyle="1" w:styleId="CharChar13">
    <w:name w:val="Char Char13"/>
    <w:rsid w:val="00E21053"/>
    <w:rPr>
      <w:rFonts w:ascii="HebarU" w:hAnsi="HebarU" w:hint="default"/>
      <w:sz w:val="24"/>
      <w:szCs w:val="24"/>
      <w:lang w:val="bg-BG" w:eastAsia="bg-BG" w:bidi="ar-SA"/>
    </w:rPr>
  </w:style>
  <w:style w:type="character" w:customStyle="1" w:styleId="CharChar10">
    <w:name w:val="Char Char10"/>
    <w:rsid w:val="00E21053"/>
    <w:rPr>
      <w:rFonts w:ascii="HebarU" w:hAnsi="HebarU" w:hint="default"/>
      <w:kern w:val="24"/>
      <w:sz w:val="24"/>
      <w:szCs w:val="24"/>
      <w:lang w:val="bg-BG" w:eastAsia="bg-BG" w:bidi="ar-SA"/>
    </w:rPr>
  </w:style>
  <w:style w:type="character" w:customStyle="1" w:styleId="highlight">
    <w:name w:val="highlight"/>
    <w:basedOn w:val="DefaultParagraphFont"/>
    <w:rsid w:val="00E21053"/>
  </w:style>
  <w:style w:type="character" w:customStyle="1" w:styleId="ala">
    <w:name w:val="al_a"/>
    <w:basedOn w:val="DefaultParagraphFont"/>
    <w:rsid w:val="00E21053"/>
  </w:style>
  <w:style w:type="character" w:customStyle="1" w:styleId="alt">
    <w:name w:val="al_t"/>
    <w:basedOn w:val="DefaultParagraphFont"/>
    <w:rsid w:val="00E21053"/>
  </w:style>
  <w:style w:type="character" w:customStyle="1" w:styleId="alcapt">
    <w:name w:val="al_capt"/>
    <w:basedOn w:val="DefaultParagraphFont"/>
    <w:rsid w:val="00E21053"/>
  </w:style>
  <w:style w:type="character" w:customStyle="1" w:styleId="subpardislink">
    <w:name w:val="subpardislink"/>
    <w:basedOn w:val="DefaultParagraphFont"/>
    <w:rsid w:val="00E21053"/>
  </w:style>
  <w:style w:type="character" w:customStyle="1" w:styleId="subparinclink">
    <w:name w:val="subparinclink"/>
    <w:basedOn w:val="DefaultParagraphFont"/>
    <w:rsid w:val="00E21053"/>
  </w:style>
  <w:style w:type="character" w:customStyle="1" w:styleId="articlehistory">
    <w:name w:val="article_history"/>
    <w:basedOn w:val="DefaultParagraphFont"/>
    <w:rsid w:val="00E21053"/>
  </w:style>
  <w:style w:type="character" w:customStyle="1" w:styleId="light">
    <w:name w:val="light"/>
    <w:basedOn w:val="DefaultParagraphFont"/>
    <w:rsid w:val="00E21053"/>
  </w:style>
  <w:style w:type="character" w:customStyle="1" w:styleId="UnresolvedMention3">
    <w:name w:val="Unresolved Mention3"/>
    <w:basedOn w:val="DefaultParagraphFont"/>
    <w:uiPriority w:val="99"/>
    <w:semiHidden/>
    <w:unhideWhenUsed/>
    <w:rsid w:val="00E21053"/>
    <w:rPr>
      <w:color w:val="605E5C"/>
      <w:shd w:val="clear" w:color="auto" w:fill="E1DFDD"/>
    </w:rPr>
  </w:style>
  <w:style w:type="table" w:customStyle="1" w:styleId="TableGrid200">
    <w:name w:val="Table Grid20"/>
    <w:basedOn w:val="TableNormal"/>
    <w:next w:val="TableGrid"/>
    <w:uiPriority w:val="39"/>
    <w:rsid w:val="000C1EA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harChar">
    <w:name w:val="Знак Знак2 Char Char Знак Знак"/>
    <w:basedOn w:val="Normal"/>
    <w:rsid w:val="007E5520"/>
    <w:pPr>
      <w:tabs>
        <w:tab w:val="left" w:pos="709"/>
      </w:tabs>
      <w:spacing w:after="0" w:line="240" w:lineRule="auto"/>
      <w:jc w:val="left"/>
    </w:pPr>
    <w:rPr>
      <w:rFonts w:ascii="Tahoma" w:eastAsia="Times New Roman" w:hAnsi="Tahoma" w:cs="Tahoma"/>
      <w:sz w:val="24"/>
      <w:szCs w:val="24"/>
      <w:lang w:val="pl-PL" w:eastAsia="pl-PL"/>
    </w:rPr>
  </w:style>
  <w:style w:type="table" w:customStyle="1" w:styleId="TableGrid25">
    <w:name w:val="Table Grid25"/>
    <w:basedOn w:val="TableNormal"/>
    <w:next w:val="TableGrid"/>
    <w:uiPriority w:val="39"/>
    <w:rsid w:val="00B81AE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6655">
      <w:bodyDiv w:val="1"/>
      <w:marLeft w:val="0"/>
      <w:marRight w:val="0"/>
      <w:marTop w:val="0"/>
      <w:marBottom w:val="0"/>
      <w:divBdr>
        <w:top w:val="none" w:sz="0" w:space="0" w:color="auto"/>
        <w:left w:val="none" w:sz="0" w:space="0" w:color="auto"/>
        <w:bottom w:val="none" w:sz="0" w:space="0" w:color="auto"/>
        <w:right w:val="none" w:sz="0" w:space="0" w:color="auto"/>
      </w:divBdr>
    </w:div>
    <w:div w:id="26026569">
      <w:bodyDiv w:val="1"/>
      <w:marLeft w:val="0"/>
      <w:marRight w:val="0"/>
      <w:marTop w:val="0"/>
      <w:marBottom w:val="0"/>
      <w:divBdr>
        <w:top w:val="none" w:sz="0" w:space="0" w:color="auto"/>
        <w:left w:val="none" w:sz="0" w:space="0" w:color="auto"/>
        <w:bottom w:val="none" w:sz="0" w:space="0" w:color="auto"/>
        <w:right w:val="none" w:sz="0" w:space="0" w:color="auto"/>
      </w:divBdr>
    </w:div>
    <w:div w:id="46533667">
      <w:bodyDiv w:val="1"/>
      <w:marLeft w:val="0"/>
      <w:marRight w:val="0"/>
      <w:marTop w:val="0"/>
      <w:marBottom w:val="0"/>
      <w:divBdr>
        <w:top w:val="none" w:sz="0" w:space="0" w:color="auto"/>
        <w:left w:val="none" w:sz="0" w:space="0" w:color="auto"/>
        <w:bottom w:val="none" w:sz="0" w:space="0" w:color="auto"/>
        <w:right w:val="none" w:sz="0" w:space="0" w:color="auto"/>
      </w:divBdr>
    </w:div>
    <w:div w:id="60520820">
      <w:bodyDiv w:val="1"/>
      <w:marLeft w:val="0"/>
      <w:marRight w:val="0"/>
      <w:marTop w:val="0"/>
      <w:marBottom w:val="0"/>
      <w:divBdr>
        <w:top w:val="none" w:sz="0" w:space="0" w:color="auto"/>
        <w:left w:val="none" w:sz="0" w:space="0" w:color="auto"/>
        <w:bottom w:val="none" w:sz="0" w:space="0" w:color="auto"/>
        <w:right w:val="none" w:sz="0" w:space="0" w:color="auto"/>
      </w:divBdr>
    </w:div>
    <w:div w:id="75323240">
      <w:bodyDiv w:val="1"/>
      <w:marLeft w:val="0"/>
      <w:marRight w:val="0"/>
      <w:marTop w:val="0"/>
      <w:marBottom w:val="0"/>
      <w:divBdr>
        <w:top w:val="none" w:sz="0" w:space="0" w:color="auto"/>
        <w:left w:val="none" w:sz="0" w:space="0" w:color="auto"/>
        <w:bottom w:val="none" w:sz="0" w:space="0" w:color="auto"/>
        <w:right w:val="none" w:sz="0" w:space="0" w:color="auto"/>
      </w:divBdr>
    </w:div>
    <w:div w:id="89132064">
      <w:bodyDiv w:val="1"/>
      <w:marLeft w:val="0"/>
      <w:marRight w:val="0"/>
      <w:marTop w:val="0"/>
      <w:marBottom w:val="0"/>
      <w:divBdr>
        <w:top w:val="none" w:sz="0" w:space="0" w:color="auto"/>
        <w:left w:val="none" w:sz="0" w:space="0" w:color="auto"/>
        <w:bottom w:val="none" w:sz="0" w:space="0" w:color="auto"/>
        <w:right w:val="none" w:sz="0" w:space="0" w:color="auto"/>
      </w:divBdr>
    </w:div>
    <w:div w:id="100270829">
      <w:bodyDiv w:val="1"/>
      <w:marLeft w:val="0"/>
      <w:marRight w:val="0"/>
      <w:marTop w:val="0"/>
      <w:marBottom w:val="0"/>
      <w:divBdr>
        <w:top w:val="none" w:sz="0" w:space="0" w:color="auto"/>
        <w:left w:val="none" w:sz="0" w:space="0" w:color="auto"/>
        <w:bottom w:val="none" w:sz="0" w:space="0" w:color="auto"/>
        <w:right w:val="none" w:sz="0" w:space="0" w:color="auto"/>
      </w:divBdr>
    </w:div>
    <w:div w:id="139002887">
      <w:bodyDiv w:val="1"/>
      <w:marLeft w:val="0"/>
      <w:marRight w:val="0"/>
      <w:marTop w:val="0"/>
      <w:marBottom w:val="0"/>
      <w:divBdr>
        <w:top w:val="none" w:sz="0" w:space="0" w:color="auto"/>
        <w:left w:val="none" w:sz="0" w:space="0" w:color="auto"/>
        <w:bottom w:val="none" w:sz="0" w:space="0" w:color="auto"/>
        <w:right w:val="none" w:sz="0" w:space="0" w:color="auto"/>
      </w:divBdr>
    </w:div>
    <w:div w:id="191188183">
      <w:bodyDiv w:val="1"/>
      <w:marLeft w:val="0"/>
      <w:marRight w:val="0"/>
      <w:marTop w:val="0"/>
      <w:marBottom w:val="0"/>
      <w:divBdr>
        <w:top w:val="none" w:sz="0" w:space="0" w:color="auto"/>
        <w:left w:val="none" w:sz="0" w:space="0" w:color="auto"/>
        <w:bottom w:val="none" w:sz="0" w:space="0" w:color="auto"/>
        <w:right w:val="none" w:sz="0" w:space="0" w:color="auto"/>
      </w:divBdr>
    </w:div>
    <w:div w:id="255749105">
      <w:bodyDiv w:val="1"/>
      <w:marLeft w:val="0"/>
      <w:marRight w:val="0"/>
      <w:marTop w:val="0"/>
      <w:marBottom w:val="0"/>
      <w:divBdr>
        <w:top w:val="none" w:sz="0" w:space="0" w:color="auto"/>
        <w:left w:val="none" w:sz="0" w:space="0" w:color="auto"/>
        <w:bottom w:val="none" w:sz="0" w:space="0" w:color="auto"/>
        <w:right w:val="none" w:sz="0" w:space="0" w:color="auto"/>
      </w:divBdr>
    </w:div>
    <w:div w:id="282032221">
      <w:bodyDiv w:val="1"/>
      <w:marLeft w:val="0"/>
      <w:marRight w:val="0"/>
      <w:marTop w:val="0"/>
      <w:marBottom w:val="0"/>
      <w:divBdr>
        <w:top w:val="none" w:sz="0" w:space="0" w:color="auto"/>
        <w:left w:val="none" w:sz="0" w:space="0" w:color="auto"/>
        <w:bottom w:val="none" w:sz="0" w:space="0" w:color="auto"/>
        <w:right w:val="none" w:sz="0" w:space="0" w:color="auto"/>
      </w:divBdr>
    </w:div>
    <w:div w:id="286089288">
      <w:bodyDiv w:val="1"/>
      <w:marLeft w:val="0"/>
      <w:marRight w:val="0"/>
      <w:marTop w:val="0"/>
      <w:marBottom w:val="0"/>
      <w:divBdr>
        <w:top w:val="none" w:sz="0" w:space="0" w:color="auto"/>
        <w:left w:val="none" w:sz="0" w:space="0" w:color="auto"/>
        <w:bottom w:val="none" w:sz="0" w:space="0" w:color="auto"/>
        <w:right w:val="none" w:sz="0" w:space="0" w:color="auto"/>
      </w:divBdr>
    </w:div>
    <w:div w:id="309015593">
      <w:bodyDiv w:val="1"/>
      <w:marLeft w:val="0"/>
      <w:marRight w:val="0"/>
      <w:marTop w:val="0"/>
      <w:marBottom w:val="0"/>
      <w:divBdr>
        <w:top w:val="none" w:sz="0" w:space="0" w:color="auto"/>
        <w:left w:val="none" w:sz="0" w:space="0" w:color="auto"/>
        <w:bottom w:val="none" w:sz="0" w:space="0" w:color="auto"/>
        <w:right w:val="none" w:sz="0" w:space="0" w:color="auto"/>
      </w:divBdr>
    </w:div>
    <w:div w:id="321738155">
      <w:bodyDiv w:val="1"/>
      <w:marLeft w:val="0"/>
      <w:marRight w:val="0"/>
      <w:marTop w:val="0"/>
      <w:marBottom w:val="0"/>
      <w:divBdr>
        <w:top w:val="none" w:sz="0" w:space="0" w:color="auto"/>
        <w:left w:val="none" w:sz="0" w:space="0" w:color="auto"/>
        <w:bottom w:val="none" w:sz="0" w:space="0" w:color="auto"/>
        <w:right w:val="none" w:sz="0" w:space="0" w:color="auto"/>
      </w:divBdr>
    </w:div>
    <w:div w:id="353505037">
      <w:bodyDiv w:val="1"/>
      <w:marLeft w:val="0"/>
      <w:marRight w:val="0"/>
      <w:marTop w:val="0"/>
      <w:marBottom w:val="0"/>
      <w:divBdr>
        <w:top w:val="none" w:sz="0" w:space="0" w:color="auto"/>
        <w:left w:val="none" w:sz="0" w:space="0" w:color="auto"/>
        <w:bottom w:val="none" w:sz="0" w:space="0" w:color="auto"/>
        <w:right w:val="none" w:sz="0" w:space="0" w:color="auto"/>
      </w:divBdr>
    </w:div>
    <w:div w:id="370887240">
      <w:bodyDiv w:val="1"/>
      <w:marLeft w:val="0"/>
      <w:marRight w:val="0"/>
      <w:marTop w:val="0"/>
      <w:marBottom w:val="0"/>
      <w:divBdr>
        <w:top w:val="none" w:sz="0" w:space="0" w:color="auto"/>
        <w:left w:val="none" w:sz="0" w:space="0" w:color="auto"/>
        <w:bottom w:val="none" w:sz="0" w:space="0" w:color="auto"/>
        <w:right w:val="none" w:sz="0" w:space="0" w:color="auto"/>
      </w:divBdr>
    </w:div>
    <w:div w:id="398094285">
      <w:bodyDiv w:val="1"/>
      <w:marLeft w:val="0"/>
      <w:marRight w:val="0"/>
      <w:marTop w:val="0"/>
      <w:marBottom w:val="0"/>
      <w:divBdr>
        <w:top w:val="none" w:sz="0" w:space="0" w:color="auto"/>
        <w:left w:val="none" w:sz="0" w:space="0" w:color="auto"/>
        <w:bottom w:val="none" w:sz="0" w:space="0" w:color="auto"/>
        <w:right w:val="none" w:sz="0" w:space="0" w:color="auto"/>
      </w:divBdr>
    </w:div>
    <w:div w:id="401677905">
      <w:bodyDiv w:val="1"/>
      <w:marLeft w:val="0"/>
      <w:marRight w:val="0"/>
      <w:marTop w:val="0"/>
      <w:marBottom w:val="0"/>
      <w:divBdr>
        <w:top w:val="none" w:sz="0" w:space="0" w:color="auto"/>
        <w:left w:val="none" w:sz="0" w:space="0" w:color="auto"/>
        <w:bottom w:val="none" w:sz="0" w:space="0" w:color="auto"/>
        <w:right w:val="none" w:sz="0" w:space="0" w:color="auto"/>
      </w:divBdr>
    </w:div>
    <w:div w:id="409234458">
      <w:bodyDiv w:val="1"/>
      <w:marLeft w:val="0"/>
      <w:marRight w:val="0"/>
      <w:marTop w:val="0"/>
      <w:marBottom w:val="0"/>
      <w:divBdr>
        <w:top w:val="none" w:sz="0" w:space="0" w:color="auto"/>
        <w:left w:val="none" w:sz="0" w:space="0" w:color="auto"/>
        <w:bottom w:val="none" w:sz="0" w:space="0" w:color="auto"/>
        <w:right w:val="none" w:sz="0" w:space="0" w:color="auto"/>
      </w:divBdr>
    </w:div>
    <w:div w:id="430860691">
      <w:bodyDiv w:val="1"/>
      <w:marLeft w:val="0"/>
      <w:marRight w:val="0"/>
      <w:marTop w:val="0"/>
      <w:marBottom w:val="0"/>
      <w:divBdr>
        <w:top w:val="none" w:sz="0" w:space="0" w:color="auto"/>
        <w:left w:val="none" w:sz="0" w:space="0" w:color="auto"/>
        <w:bottom w:val="none" w:sz="0" w:space="0" w:color="auto"/>
        <w:right w:val="none" w:sz="0" w:space="0" w:color="auto"/>
      </w:divBdr>
    </w:div>
    <w:div w:id="465241825">
      <w:bodyDiv w:val="1"/>
      <w:marLeft w:val="0"/>
      <w:marRight w:val="0"/>
      <w:marTop w:val="0"/>
      <w:marBottom w:val="0"/>
      <w:divBdr>
        <w:top w:val="none" w:sz="0" w:space="0" w:color="auto"/>
        <w:left w:val="none" w:sz="0" w:space="0" w:color="auto"/>
        <w:bottom w:val="none" w:sz="0" w:space="0" w:color="auto"/>
        <w:right w:val="none" w:sz="0" w:space="0" w:color="auto"/>
      </w:divBdr>
    </w:div>
    <w:div w:id="482695380">
      <w:bodyDiv w:val="1"/>
      <w:marLeft w:val="0"/>
      <w:marRight w:val="0"/>
      <w:marTop w:val="0"/>
      <w:marBottom w:val="0"/>
      <w:divBdr>
        <w:top w:val="none" w:sz="0" w:space="0" w:color="auto"/>
        <w:left w:val="none" w:sz="0" w:space="0" w:color="auto"/>
        <w:bottom w:val="none" w:sz="0" w:space="0" w:color="auto"/>
        <w:right w:val="none" w:sz="0" w:space="0" w:color="auto"/>
      </w:divBdr>
    </w:div>
    <w:div w:id="488862386">
      <w:bodyDiv w:val="1"/>
      <w:marLeft w:val="0"/>
      <w:marRight w:val="0"/>
      <w:marTop w:val="0"/>
      <w:marBottom w:val="0"/>
      <w:divBdr>
        <w:top w:val="none" w:sz="0" w:space="0" w:color="auto"/>
        <w:left w:val="none" w:sz="0" w:space="0" w:color="auto"/>
        <w:bottom w:val="none" w:sz="0" w:space="0" w:color="auto"/>
        <w:right w:val="none" w:sz="0" w:space="0" w:color="auto"/>
      </w:divBdr>
    </w:div>
    <w:div w:id="568540526">
      <w:bodyDiv w:val="1"/>
      <w:marLeft w:val="0"/>
      <w:marRight w:val="0"/>
      <w:marTop w:val="0"/>
      <w:marBottom w:val="0"/>
      <w:divBdr>
        <w:top w:val="none" w:sz="0" w:space="0" w:color="auto"/>
        <w:left w:val="none" w:sz="0" w:space="0" w:color="auto"/>
        <w:bottom w:val="none" w:sz="0" w:space="0" w:color="auto"/>
        <w:right w:val="none" w:sz="0" w:space="0" w:color="auto"/>
      </w:divBdr>
    </w:div>
    <w:div w:id="570507181">
      <w:bodyDiv w:val="1"/>
      <w:marLeft w:val="0"/>
      <w:marRight w:val="0"/>
      <w:marTop w:val="0"/>
      <w:marBottom w:val="0"/>
      <w:divBdr>
        <w:top w:val="none" w:sz="0" w:space="0" w:color="auto"/>
        <w:left w:val="none" w:sz="0" w:space="0" w:color="auto"/>
        <w:bottom w:val="none" w:sz="0" w:space="0" w:color="auto"/>
        <w:right w:val="none" w:sz="0" w:space="0" w:color="auto"/>
      </w:divBdr>
    </w:div>
    <w:div w:id="572349810">
      <w:bodyDiv w:val="1"/>
      <w:marLeft w:val="0"/>
      <w:marRight w:val="0"/>
      <w:marTop w:val="0"/>
      <w:marBottom w:val="0"/>
      <w:divBdr>
        <w:top w:val="none" w:sz="0" w:space="0" w:color="auto"/>
        <w:left w:val="none" w:sz="0" w:space="0" w:color="auto"/>
        <w:bottom w:val="none" w:sz="0" w:space="0" w:color="auto"/>
        <w:right w:val="none" w:sz="0" w:space="0" w:color="auto"/>
      </w:divBdr>
    </w:div>
    <w:div w:id="582033274">
      <w:bodyDiv w:val="1"/>
      <w:marLeft w:val="0"/>
      <w:marRight w:val="0"/>
      <w:marTop w:val="0"/>
      <w:marBottom w:val="0"/>
      <w:divBdr>
        <w:top w:val="none" w:sz="0" w:space="0" w:color="auto"/>
        <w:left w:val="none" w:sz="0" w:space="0" w:color="auto"/>
        <w:bottom w:val="none" w:sz="0" w:space="0" w:color="auto"/>
        <w:right w:val="none" w:sz="0" w:space="0" w:color="auto"/>
      </w:divBdr>
    </w:div>
    <w:div w:id="627130854">
      <w:bodyDiv w:val="1"/>
      <w:marLeft w:val="0"/>
      <w:marRight w:val="0"/>
      <w:marTop w:val="0"/>
      <w:marBottom w:val="0"/>
      <w:divBdr>
        <w:top w:val="none" w:sz="0" w:space="0" w:color="auto"/>
        <w:left w:val="none" w:sz="0" w:space="0" w:color="auto"/>
        <w:bottom w:val="none" w:sz="0" w:space="0" w:color="auto"/>
        <w:right w:val="none" w:sz="0" w:space="0" w:color="auto"/>
      </w:divBdr>
    </w:div>
    <w:div w:id="634986519">
      <w:bodyDiv w:val="1"/>
      <w:marLeft w:val="0"/>
      <w:marRight w:val="0"/>
      <w:marTop w:val="0"/>
      <w:marBottom w:val="0"/>
      <w:divBdr>
        <w:top w:val="none" w:sz="0" w:space="0" w:color="auto"/>
        <w:left w:val="none" w:sz="0" w:space="0" w:color="auto"/>
        <w:bottom w:val="none" w:sz="0" w:space="0" w:color="auto"/>
        <w:right w:val="none" w:sz="0" w:space="0" w:color="auto"/>
      </w:divBdr>
    </w:div>
    <w:div w:id="637033939">
      <w:bodyDiv w:val="1"/>
      <w:marLeft w:val="0"/>
      <w:marRight w:val="0"/>
      <w:marTop w:val="0"/>
      <w:marBottom w:val="0"/>
      <w:divBdr>
        <w:top w:val="none" w:sz="0" w:space="0" w:color="auto"/>
        <w:left w:val="none" w:sz="0" w:space="0" w:color="auto"/>
        <w:bottom w:val="none" w:sz="0" w:space="0" w:color="auto"/>
        <w:right w:val="none" w:sz="0" w:space="0" w:color="auto"/>
      </w:divBdr>
    </w:div>
    <w:div w:id="662047135">
      <w:bodyDiv w:val="1"/>
      <w:marLeft w:val="0"/>
      <w:marRight w:val="0"/>
      <w:marTop w:val="0"/>
      <w:marBottom w:val="0"/>
      <w:divBdr>
        <w:top w:val="none" w:sz="0" w:space="0" w:color="auto"/>
        <w:left w:val="none" w:sz="0" w:space="0" w:color="auto"/>
        <w:bottom w:val="none" w:sz="0" w:space="0" w:color="auto"/>
        <w:right w:val="none" w:sz="0" w:space="0" w:color="auto"/>
      </w:divBdr>
    </w:div>
    <w:div w:id="672076086">
      <w:bodyDiv w:val="1"/>
      <w:marLeft w:val="0"/>
      <w:marRight w:val="0"/>
      <w:marTop w:val="0"/>
      <w:marBottom w:val="0"/>
      <w:divBdr>
        <w:top w:val="none" w:sz="0" w:space="0" w:color="auto"/>
        <w:left w:val="none" w:sz="0" w:space="0" w:color="auto"/>
        <w:bottom w:val="none" w:sz="0" w:space="0" w:color="auto"/>
        <w:right w:val="none" w:sz="0" w:space="0" w:color="auto"/>
      </w:divBdr>
    </w:div>
    <w:div w:id="706417081">
      <w:bodyDiv w:val="1"/>
      <w:marLeft w:val="0"/>
      <w:marRight w:val="0"/>
      <w:marTop w:val="0"/>
      <w:marBottom w:val="0"/>
      <w:divBdr>
        <w:top w:val="none" w:sz="0" w:space="0" w:color="auto"/>
        <w:left w:val="none" w:sz="0" w:space="0" w:color="auto"/>
        <w:bottom w:val="none" w:sz="0" w:space="0" w:color="auto"/>
        <w:right w:val="none" w:sz="0" w:space="0" w:color="auto"/>
      </w:divBdr>
    </w:div>
    <w:div w:id="721639682">
      <w:bodyDiv w:val="1"/>
      <w:marLeft w:val="0"/>
      <w:marRight w:val="0"/>
      <w:marTop w:val="0"/>
      <w:marBottom w:val="0"/>
      <w:divBdr>
        <w:top w:val="none" w:sz="0" w:space="0" w:color="auto"/>
        <w:left w:val="none" w:sz="0" w:space="0" w:color="auto"/>
        <w:bottom w:val="none" w:sz="0" w:space="0" w:color="auto"/>
        <w:right w:val="none" w:sz="0" w:space="0" w:color="auto"/>
      </w:divBdr>
    </w:div>
    <w:div w:id="739905148">
      <w:bodyDiv w:val="1"/>
      <w:marLeft w:val="0"/>
      <w:marRight w:val="0"/>
      <w:marTop w:val="0"/>
      <w:marBottom w:val="0"/>
      <w:divBdr>
        <w:top w:val="none" w:sz="0" w:space="0" w:color="auto"/>
        <w:left w:val="none" w:sz="0" w:space="0" w:color="auto"/>
        <w:bottom w:val="none" w:sz="0" w:space="0" w:color="auto"/>
        <w:right w:val="none" w:sz="0" w:space="0" w:color="auto"/>
      </w:divBdr>
    </w:div>
    <w:div w:id="749499456">
      <w:bodyDiv w:val="1"/>
      <w:marLeft w:val="0"/>
      <w:marRight w:val="0"/>
      <w:marTop w:val="0"/>
      <w:marBottom w:val="0"/>
      <w:divBdr>
        <w:top w:val="none" w:sz="0" w:space="0" w:color="auto"/>
        <w:left w:val="none" w:sz="0" w:space="0" w:color="auto"/>
        <w:bottom w:val="none" w:sz="0" w:space="0" w:color="auto"/>
        <w:right w:val="none" w:sz="0" w:space="0" w:color="auto"/>
      </w:divBdr>
    </w:div>
    <w:div w:id="752512171">
      <w:bodyDiv w:val="1"/>
      <w:marLeft w:val="0"/>
      <w:marRight w:val="0"/>
      <w:marTop w:val="0"/>
      <w:marBottom w:val="0"/>
      <w:divBdr>
        <w:top w:val="none" w:sz="0" w:space="0" w:color="auto"/>
        <w:left w:val="none" w:sz="0" w:space="0" w:color="auto"/>
        <w:bottom w:val="none" w:sz="0" w:space="0" w:color="auto"/>
        <w:right w:val="none" w:sz="0" w:space="0" w:color="auto"/>
      </w:divBdr>
    </w:div>
    <w:div w:id="787505450">
      <w:bodyDiv w:val="1"/>
      <w:marLeft w:val="0"/>
      <w:marRight w:val="0"/>
      <w:marTop w:val="0"/>
      <w:marBottom w:val="0"/>
      <w:divBdr>
        <w:top w:val="none" w:sz="0" w:space="0" w:color="auto"/>
        <w:left w:val="none" w:sz="0" w:space="0" w:color="auto"/>
        <w:bottom w:val="none" w:sz="0" w:space="0" w:color="auto"/>
        <w:right w:val="none" w:sz="0" w:space="0" w:color="auto"/>
      </w:divBdr>
      <w:divsChild>
        <w:div w:id="1270427309">
          <w:marLeft w:val="0"/>
          <w:marRight w:val="0"/>
          <w:marTop w:val="0"/>
          <w:marBottom w:val="0"/>
          <w:divBdr>
            <w:top w:val="none" w:sz="0" w:space="0" w:color="auto"/>
            <w:left w:val="none" w:sz="0" w:space="0" w:color="auto"/>
            <w:bottom w:val="none" w:sz="0" w:space="0" w:color="auto"/>
            <w:right w:val="none" w:sz="0" w:space="0" w:color="auto"/>
          </w:divBdr>
          <w:divsChild>
            <w:div w:id="2105878209">
              <w:marLeft w:val="0"/>
              <w:marRight w:val="0"/>
              <w:marTop w:val="0"/>
              <w:marBottom w:val="0"/>
              <w:divBdr>
                <w:top w:val="none" w:sz="0" w:space="0" w:color="auto"/>
                <w:left w:val="none" w:sz="0" w:space="0" w:color="auto"/>
                <w:bottom w:val="none" w:sz="0" w:space="0" w:color="auto"/>
                <w:right w:val="none" w:sz="0" w:space="0" w:color="auto"/>
              </w:divBdr>
              <w:divsChild>
                <w:div w:id="683243712">
                  <w:marLeft w:val="0"/>
                  <w:marRight w:val="0"/>
                  <w:marTop w:val="0"/>
                  <w:marBottom w:val="0"/>
                  <w:divBdr>
                    <w:top w:val="none" w:sz="0" w:space="0" w:color="auto"/>
                    <w:left w:val="none" w:sz="0" w:space="0" w:color="auto"/>
                    <w:bottom w:val="none" w:sz="0" w:space="0" w:color="auto"/>
                    <w:right w:val="none" w:sz="0" w:space="0" w:color="auto"/>
                  </w:divBdr>
                  <w:divsChild>
                    <w:div w:id="1807115349">
                      <w:marLeft w:val="0"/>
                      <w:marRight w:val="0"/>
                      <w:marTop w:val="0"/>
                      <w:marBottom w:val="0"/>
                      <w:divBdr>
                        <w:top w:val="none" w:sz="0" w:space="0" w:color="auto"/>
                        <w:left w:val="none" w:sz="0" w:space="0" w:color="auto"/>
                        <w:bottom w:val="none" w:sz="0" w:space="0" w:color="auto"/>
                        <w:right w:val="none" w:sz="0" w:space="0" w:color="auto"/>
                      </w:divBdr>
                      <w:divsChild>
                        <w:div w:id="1601328851">
                          <w:marLeft w:val="0"/>
                          <w:marRight w:val="0"/>
                          <w:marTop w:val="0"/>
                          <w:marBottom w:val="0"/>
                          <w:divBdr>
                            <w:top w:val="none" w:sz="0" w:space="0" w:color="auto"/>
                            <w:left w:val="none" w:sz="0" w:space="0" w:color="auto"/>
                            <w:bottom w:val="none" w:sz="0" w:space="0" w:color="auto"/>
                            <w:right w:val="none" w:sz="0" w:space="0" w:color="auto"/>
                          </w:divBdr>
                          <w:divsChild>
                            <w:div w:id="530000631">
                              <w:marLeft w:val="0"/>
                              <w:marRight w:val="0"/>
                              <w:marTop w:val="0"/>
                              <w:marBottom w:val="0"/>
                              <w:divBdr>
                                <w:top w:val="none" w:sz="0" w:space="0" w:color="auto"/>
                                <w:left w:val="none" w:sz="0" w:space="0" w:color="auto"/>
                                <w:bottom w:val="none" w:sz="0" w:space="0" w:color="auto"/>
                                <w:right w:val="none" w:sz="0" w:space="0" w:color="auto"/>
                              </w:divBdr>
                              <w:divsChild>
                                <w:div w:id="1742831135">
                                  <w:marLeft w:val="0"/>
                                  <w:marRight w:val="0"/>
                                  <w:marTop w:val="0"/>
                                  <w:marBottom w:val="0"/>
                                  <w:divBdr>
                                    <w:top w:val="none" w:sz="0" w:space="0" w:color="auto"/>
                                    <w:left w:val="none" w:sz="0" w:space="0" w:color="auto"/>
                                    <w:bottom w:val="none" w:sz="0" w:space="0" w:color="auto"/>
                                    <w:right w:val="none" w:sz="0" w:space="0" w:color="auto"/>
                                  </w:divBdr>
                                  <w:divsChild>
                                    <w:div w:id="149291438">
                                      <w:marLeft w:val="35"/>
                                      <w:marRight w:val="0"/>
                                      <w:marTop w:val="0"/>
                                      <w:marBottom w:val="0"/>
                                      <w:divBdr>
                                        <w:top w:val="none" w:sz="0" w:space="0" w:color="auto"/>
                                        <w:left w:val="none" w:sz="0" w:space="0" w:color="auto"/>
                                        <w:bottom w:val="none" w:sz="0" w:space="0" w:color="auto"/>
                                        <w:right w:val="none" w:sz="0" w:space="0" w:color="auto"/>
                                      </w:divBdr>
                                      <w:divsChild>
                                        <w:div w:id="391151355">
                                          <w:marLeft w:val="0"/>
                                          <w:marRight w:val="0"/>
                                          <w:marTop w:val="0"/>
                                          <w:marBottom w:val="0"/>
                                          <w:divBdr>
                                            <w:top w:val="none" w:sz="0" w:space="0" w:color="auto"/>
                                            <w:left w:val="none" w:sz="0" w:space="0" w:color="auto"/>
                                            <w:bottom w:val="none" w:sz="0" w:space="0" w:color="auto"/>
                                            <w:right w:val="none" w:sz="0" w:space="0" w:color="auto"/>
                                          </w:divBdr>
                                          <w:divsChild>
                                            <w:div w:id="1233196101">
                                              <w:marLeft w:val="0"/>
                                              <w:marRight w:val="0"/>
                                              <w:marTop w:val="0"/>
                                              <w:marBottom w:val="71"/>
                                              <w:divBdr>
                                                <w:top w:val="single" w:sz="4" w:space="0" w:color="F5F5F5"/>
                                                <w:left w:val="single" w:sz="4" w:space="0" w:color="F5F5F5"/>
                                                <w:bottom w:val="single" w:sz="4" w:space="0" w:color="F5F5F5"/>
                                                <w:right w:val="single" w:sz="4" w:space="0" w:color="F5F5F5"/>
                                              </w:divBdr>
                                              <w:divsChild>
                                                <w:div w:id="1053039233">
                                                  <w:marLeft w:val="0"/>
                                                  <w:marRight w:val="0"/>
                                                  <w:marTop w:val="0"/>
                                                  <w:marBottom w:val="0"/>
                                                  <w:divBdr>
                                                    <w:top w:val="none" w:sz="0" w:space="0" w:color="auto"/>
                                                    <w:left w:val="none" w:sz="0" w:space="0" w:color="auto"/>
                                                    <w:bottom w:val="none" w:sz="0" w:space="0" w:color="auto"/>
                                                    <w:right w:val="none" w:sz="0" w:space="0" w:color="auto"/>
                                                  </w:divBdr>
                                                  <w:divsChild>
                                                    <w:div w:id="382599426">
                                                      <w:marLeft w:val="0"/>
                                                      <w:marRight w:val="0"/>
                                                      <w:marTop w:val="0"/>
                                                      <w:marBottom w:val="0"/>
                                                      <w:divBdr>
                                                        <w:top w:val="none" w:sz="0" w:space="0" w:color="auto"/>
                                                        <w:left w:val="none" w:sz="0" w:space="0" w:color="auto"/>
                                                        <w:bottom w:val="none" w:sz="0" w:space="0" w:color="auto"/>
                                                        <w:right w:val="none" w:sz="0" w:space="0" w:color="auto"/>
                                                      </w:divBdr>
                                                    </w:div>
                                                  </w:divsChild>
                                                </w:div>
                                                <w:div w:id="2066445768">
                                                  <w:marLeft w:val="0"/>
                                                  <w:marRight w:val="0"/>
                                                  <w:marTop w:val="0"/>
                                                  <w:marBottom w:val="0"/>
                                                  <w:divBdr>
                                                    <w:top w:val="none" w:sz="0" w:space="0" w:color="auto"/>
                                                    <w:left w:val="none" w:sz="0" w:space="0" w:color="auto"/>
                                                    <w:bottom w:val="none" w:sz="0" w:space="0" w:color="auto"/>
                                                    <w:right w:val="none" w:sz="0" w:space="0" w:color="auto"/>
                                                  </w:divBdr>
                                                  <w:divsChild>
                                                    <w:div w:id="45652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9300039">
      <w:bodyDiv w:val="1"/>
      <w:marLeft w:val="0"/>
      <w:marRight w:val="0"/>
      <w:marTop w:val="0"/>
      <w:marBottom w:val="0"/>
      <w:divBdr>
        <w:top w:val="none" w:sz="0" w:space="0" w:color="auto"/>
        <w:left w:val="none" w:sz="0" w:space="0" w:color="auto"/>
        <w:bottom w:val="none" w:sz="0" w:space="0" w:color="auto"/>
        <w:right w:val="none" w:sz="0" w:space="0" w:color="auto"/>
      </w:divBdr>
    </w:div>
    <w:div w:id="805666333">
      <w:bodyDiv w:val="1"/>
      <w:marLeft w:val="0"/>
      <w:marRight w:val="0"/>
      <w:marTop w:val="0"/>
      <w:marBottom w:val="0"/>
      <w:divBdr>
        <w:top w:val="none" w:sz="0" w:space="0" w:color="auto"/>
        <w:left w:val="none" w:sz="0" w:space="0" w:color="auto"/>
        <w:bottom w:val="none" w:sz="0" w:space="0" w:color="auto"/>
        <w:right w:val="none" w:sz="0" w:space="0" w:color="auto"/>
      </w:divBdr>
    </w:div>
    <w:div w:id="812143895">
      <w:bodyDiv w:val="1"/>
      <w:marLeft w:val="0"/>
      <w:marRight w:val="0"/>
      <w:marTop w:val="0"/>
      <w:marBottom w:val="0"/>
      <w:divBdr>
        <w:top w:val="none" w:sz="0" w:space="0" w:color="auto"/>
        <w:left w:val="none" w:sz="0" w:space="0" w:color="auto"/>
        <w:bottom w:val="none" w:sz="0" w:space="0" w:color="auto"/>
        <w:right w:val="none" w:sz="0" w:space="0" w:color="auto"/>
      </w:divBdr>
    </w:div>
    <w:div w:id="820459550">
      <w:bodyDiv w:val="1"/>
      <w:marLeft w:val="0"/>
      <w:marRight w:val="0"/>
      <w:marTop w:val="0"/>
      <w:marBottom w:val="0"/>
      <w:divBdr>
        <w:top w:val="none" w:sz="0" w:space="0" w:color="auto"/>
        <w:left w:val="none" w:sz="0" w:space="0" w:color="auto"/>
        <w:bottom w:val="none" w:sz="0" w:space="0" w:color="auto"/>
        <w:right w:val="none" w:sz="0" w:space="0" w:color="auto"/>
      </w:divBdr>
    </w:div>
    <w:div w:id="868226498">
      <w:bodyDiv w:val="1"/>
      <w:marLeft w:val="0"/>
      <w:marRight w:val="0"/>
      <w:marTop w:val="0"/>
      <w:marBottom w:val="0"/>
      <w:divBdr>
        <w:top w:val="none" w:sz="0" w:space="0" w:color="auto"/>
        <w:left w:val="none" w:sz="0" w:space="0" w:color="auto"/>
        <w:bottom w:val="none" w:sz="0" w:space="0" w:color="auto"/>
        <w:right w:val="none" w:sz="0" w:space="0" w:color="auto"/>
      </w:divBdr>
    </w:div>
    <w:div w:id="900869826">
      <w:bodyDiv w:val="1"/>
      <w:marLeft w:val="0"/>
      <w:marRight w:val="0"/>
      <w:marTop w:val="0"/>
      <w:marBottom w:val="0"/>
      <w:divBdr>
        <w:top w:val="none" w:sz="0" w:space="0" w:color="auto"/>
        <w:left w:val="none" w:sz="0" w:space="0" w:color="auto"/>
        <w:bottom w:val="none" w:sz="0" w:space="0" w:color="auto"/>
        <w:right w:val="none" w:sz="0" w:space="0" w:color="auto"/>
      </w:divBdr>
    </w:div>
    <w:div w:id="912473953">
      <w:bodyDiv w:val="1"/>
      <w:marLeft w:val="0"/>
      <w:marRight w:val="0"/>
      <w:marTop w:val="0"/>
      <w:marBottom w:val="0"/>
      <w:divBdr>
        <w:top w:val="none" w:sz="0" w:space="0" w:color="auto"/>
        <w:left w:val="none" w:sz="0" w:space="0" w:color="auto"/>
        <w:bottom w:val="none" w:sz="0" w:space="0" w:color="auto"/>
        <w:right w:val="none" w:sz="0" w:space="0" w:color="auto"/>
      </w:divBdr>
    </w:div>
    <w:div w:id="915751512">
      <w:bodyDiv w:val="1"/>
      <w:marLeft w:val="0"/>
      <w:marRight w:val="0"/>
      <w:marTop w:val="0"/>
      <w:marBottom w:val="0"/>
      <w:divBdr>
        <w:top w:val="none" w:sz="0" w:space="0" w:color="auto"/>
        <w:left w:val="none" w:sz="0" w:space="0" w:color="auto"/>
        <w:bottom w:val="none" w:sz="0" w:space="0" w:color="auto"/>
        <w:right w:val="none" w:sz="0" w:space="0" w:color="auto"/>
      </w:divBdr>
    </w:div>
    <w:div w:id="919826740">
      <w:bodyDiv w:val="1"/>
      <w:marLeft w:val="0"/>
      <w:marRight w:val="0"/>
      <w:marTop w:val="0"/>
      <w:marBottom w:val="0"/>
      <w:divBdr>
        <w:top w:val="none" w:sz="0" w:space="0" w:color="auto"/>
        <w:left w:val="none" w:sz="0" w:space="0" w:color="auto"/>
        <w:bottom w:val="none" w:sz="0" w:space="0" w:color="auto"/>
        <w:right w:val="none" w:sz="0" w:space="0" w:color="auto"/>
      </w:divBdr>
    </w:div>
    <w:div w:id="977223670">
      <w:bodyDiv w:val="1"/>
      <w:marLeft w:val="0"/>
      <w:marRight w:val="0"/>
      <w:marTop w:val="0"/>
      <w:marBottom w:val="0"/>
      <w:divBdr>
        <w:top w:val="none" w:sz="0" w:space="0" w:color="auto"/>
        <w:left w:val="none" w:sz="0" w:space="0" w:color="auto"/>
        <w:bottom w:val="none" w:sz="0" w:space="0" w:color="auto"/>
        <w:right w:val="none" w:sz="0" w:space="0" w:color="auto"/>
      </w:divBdr>
    </w:div>
    <w:div w:id="998070707">
      <w:bodyDiv w:val="1"/>
      <w:marLeft w:val="0"/>
      <w:marRight w:val="0"/>
      <w:marTop w:val="0"/>
      <w:marBottom w:val="0"/>
      <w:divBdr>
        <w:top w:val="none" w:sz="0" w:space="0" w:color="auto"/>
        <w:left w:val="none" w:sz="0" w:space="0" w:color="auto"/>
        <w:bottom w:val="none" w:sz="0" w:space="0" w:color="auto"/>
        <w:right w:val="none" w:sz="0" w:space="0" w:color="auto"/>
      </w:divBdr>
    </w:div>
    <w:div w:id="1000546919">
      <w:bodyDiv w:val="1"/>
      <w:marLeft w:val="0"/>
      <w:marRight w:val="0"/>
      <w:marTop w:val="0"/>
      <w:marBottom w:val="0"/>
      <w:divBdr>
        <w:top w:val="none" w:sz="0" w:space="0" w:color="auto"/>
        <w:left w:val="none" w:sz="0" w:space="0" w:color="auto"/>
        <w:bottom w:val="none" w:sz="0" w:space="0" w:color="auto"/>
        <w:right w:val="none" w:sz="0" w:space="0" w:color="auto"/>
      </w:divBdr>
    </w:div>
    <w:div w:id="1022901887">
      <w:bodyDiv w:val="1"/>
      <w:marLeft w:val="0"/>
      <w:marRight w:val="0"/>
      <w:marTop w:val="0"/>
      <w:marBottom w:val="0"/>
      <w:divBdr>
        <w:top w:val="none" w:sz="0" w:space="0" w:color="auto"/>
        <w:left w:val="none" w:sz="0" w:space="0" w:color="auto"/>
        <w:bottom w:val="none" w:sz="0" w:space="0" w:color="auto"/>
        <w:right w:val="none" w:sz="0" w:space="0" w:color="auto"/>
      </w:divBdr>
    </w:div>
    <w:div w:id="1031298382">
      <w:bodyDiv w:val="1"/>
      <w:marLeft w:val="0"/>
      <w:marRight w:val="0"/>
      <w:marTop w:val="0"/>
      <w:marBottom w:val="0"/>
      <w:divBdr>
        <w:top w:val="none" w:sz="0" w:space="0" w:color="auto"/>
        <w:left w:val="none" w:sz="0" w:space="0" w:color="auto"/>
        <w:bottom w:val="none" w:sz="0" w:space="0" w:color="auto"/>
        <w:right w:val="none" w:sz="0" w:space="0" w:color="auto"/>
      </w:divBdr>
    </w:div>
    <w:div w:id="1035501330">
      <w:bodyDiv w:val="1"/>
      <w:marLeft w:val="0"/>
      <w:marRight w:val="0"/>
      <w:marTop w:val="0"/>
      <w:marBottom w:val="0"/>
      <w:divBdr>
        <w:top w:val="none" w:sz="0" w:space="0" w:color="auto"/>
        <w:left w:val="none" w:sz="0" w:space="0" w:color="auto"/>
        <w:bottom w:val="none" w:sz="0" w:space="0" w:color="auto"/>
        <w:right w:val="none" w:sz="0" w:space="0" w:color="auto"/>
      </w:divBdr>
    </w:div>
    <w:div w:id="1036931428">
      <w:bodyDiv w:val="1"/>
      <w:marLeft w:val="0"/>
      <w:marRight w:val="0"/>
      <w:marTop w:val="0"/>
      <w:marBottom w:val="0"/>
      <w:divBdr>
        <w:top w:val="none" w:sz="0" w:space="0" w:color="auto"/>
        <w:left w:val="none" w:sz="0" w:space="0" w:color="auto"/>
        <w:bottom w:val="none" w:sz="0" w:space="0" w:color="auto"/>
        <w:right w:val="none" w:sz="0" w:space="0" w:color="auto"/>
      </w:divBdr>
    </w:div>
    <w:div w:id="1044213040">
      <w:bodyDiv w:val="1"/>
      <w:marLeft w:val="0"/>
      <w:marRight w:val="0"/>
      <w:marTop w:val="0"/>
      <w:marBottom w:val="0"/>
      <w:divBdr>
        <w:top w:val="none" w:sz="0" w:space="0" w:color="auto"/>
        <w:left w:val="none" w:sz="0" w:space="0" w:color="auto"/>
        <w:bottom w:val="none" w:sz="0" w:space="0" w:color="auto"/>
        <w:right w:val="none" w:sz="0" w:space="0" w:color="auto"/>
      </w:divBdr>
    </w:div>
    <w:div w:id="1081610075">
      <w:bodyDiv w:val="1"/>
      <w:marLeft w:val="0"/>
      <w:marRight w:val="0"/>
      <w:marTop w:val="0"/>
      <w:marBottom w:val="0"/>
      <w:divBdr>
        <w:top w:val="none" w:sz="0" w:space="0" w:color="auto"/>
        <w:left w:val="none" w:sz="0" w:space="0" w:color="auto"/>
        <w:bottom w:val="none" w:sz="0" w:space="0" w:color="auto"/>
        <w:right w:val="none" w:sz="0" w:space="0" w:color="auto"/>
      </w:divBdr>
    </w:div>
    <w:div w:id="1083333765">
      <w:bodyDiv w:val="1"/>
      <w:marLeft w:val="0"/>
      <w:marRight w:val="0"/>
      <w:marTop w:val="0"/>
      <w:marBottom w:val="0"/>
      <w:divBdr>
        <w:top w:val="none" w:sz="0" w:space="0" w:color="auto"/>
        <w:left w:val="none" w:sz="0" w:space="0" w:color="auto"/>
        <w:bottom w:val="none" w:sz="0" w:space="0" w:color="auto"/>
        <w:right w:val="none" w:sz="0" w:space="0" w:color="auto"/>
      </w:divBdr>
    </w:div>
    <w:div w:id="1091664602">
      <w:bodyDiv w:val="1"/>
      <w:marLeft w:val="0"/>
      <w:marRight w:val="0"/>
      <w:marTop w:val="0"/>
      <w:marBottom w:val="0"/>
      <w:divBdr>
        <w:top w:val="none" w:sz="0" w:space="0" w:color="auto"/>
        <w:left w:val="none" w:sz="0" w:space="0" w:color="auto"/>
        <w:bottom w:val="none" w:sz="0" w:space="0" w:color="auto"/>
        <w:right w:val="none" w:sz="0" w:space="0" w:color="auto"/>
      </w:divBdr>
    </w:div>
    <w:div w:id="1102920561">
      <w:bodyDiv w:val="1"/>
      <w:marLeft w:val="0"/>
      <w:marRight w:val="0"/>
      <w:marTop w:val="0"/>
      <w:marBottom w:val="0"/>
      <w:divBdr>
        <w:top w:val="none" w:sz="0" w:space="0" w:color="auto"/>
        <w:left w:val="none" w:sz="0" w:space="0" w:color="auto"/>
        <w:bottom w:val="none" w:sz="0" w:space="0" w:color="auto"/>
        <w:right w:val="none" w:sz="0" w:space="0" w:color="auto"/>
      </w:divBdr>
    </w:div>
    <w:div w:id="1115447956">
      <w:bodyDiv w:val="1"/>
      <w:marLeft w:val="0"/>
      <w:marRight w:val="0"/>
      <w:marTop w:val="0"/>
      <w:marBottom w:val="0"/>
      <w:divBdr>
        <w:top w:val="none" w:sz="0" w:space="0" w:color="auto"/>
        <w:left w:val="none" w:sz="0" w:space="0" w:color="auto"/>
        <w:bottom w:val="none" w:sz="0" w:space="0" w:color="auto"/>
        <w:right w:val="none" w:sz="0" w:space="0" w:color="auto"/>
      </w:divBdr>
    </w:div>
    <w:div w:id="1134833382">
      <w:bodyDiv w:val="1"/>
      <w:marLeft w:val="0"/>
      <w:marRight w:val="0"/>
      <w:marTop w:val="0"/>
      <w:marBottom w:val="0"/>
      <w:divBdr>
        <w:top w:val="none" w:sz="0" w:space="0" w:color="auto"/>
        <w:left w:val="none" w:sz="0" w:space="0" w:color="auto"/>
        <w:bottom w:val="none" w:sz="0" w:space="0" w:color="auto"/>
        <w:right w:val="none" w:sz="0" w:space="0" w:color="auto"/>
      </w:divBdr>
    </w:div>
    <w:div w:id="1140343624">
      <w:bodyDiv w:val="1"/>
      <w:marLeft w:val="0"/>
      <w:marRight w:val="0"/>
      <w:marTop w:val="0"/>
      <w:marBottom w:val="0"/>
      <w:divBdr>
        <w:top w:val="none" w:sz="0" w:space="0" w:color="auto"/>
        <w:left w:val="none" w:sz="0" w:space="0" w:color="auto"/>
        <w:bottom w:val="none" w:sz="0" w:space="0" w:color="auto"/>
        <w:right w:val="none" w:sz="0" w:space="0" w:color="auto"/>
      </w:divBdr>
    </w:div>
    <w:div w:id="1146626479">
      <w:bodyDiv w:val="1"/>
      <w:marLeft w:val="0"/>
      <w:marRight w:val="0"/>
      <w:marTop w:val="0"/>
      <w:marBottom w:val="0"/>
      <w:divBdr>
        <w:top w:val="none" w:sz="0" w:space="0" w:color="auto"/>
        <w:left w:val="none" w:sz="0" w:space="0" w:color="auto"/>
        <w:bottom w:val="none" w:sz="0" w:space="0" w:color="auto"/>
        <w:right w:val="none" w:sz="0" w:space="0" w:color="auto"/>
      </w:divBdr>
    </w:div>
    <w:div w:id="1162158136">
      <w:bodyDiv w:val="1"/>
      <w:marLeft w:val="0"/>
      <w:marRight w:val="0"/>
      <w:marTop w:val="0"/>
      <w:marBottom w:val="0"/>
      <w:divBdr>
        <w:top w:val="none" w:sz="0" w:space="0" w:color="auto"/>
        <w:left w:val="none" w:sz="0" w:space="0" w:color="auto"/>
        <w:bottom w:val="none" w:sz="0" w:space="0" w:color="auto"/>
        <w:right w:val="none" w:sz="0" w:space="0" w:color="auto"/>
      </w:divBdr>
    </w:div>
    <w:div w:id="1218203264">
      <w:bodyDiv w:val="1"/>
      <w:marLeft w:val="0"/>
      <w:marRight w:val="0"/>
      <w:marTop w:val="0"/>
      <w:marBottom w:val="0"/>
      <w:divBdr>
        <w:top w:val="none" w:sz="0" w:space="0" w:color="auto"/>
        <w:left w:val="none" w:sz="0" w:space="0" w:color="auto"/>
        <w:bottom w:val="none" w:sz="0" w:space="0" w:color="auto"/>
        <w:right w:val="none" w:sz="0" w:space="0" w:color="auto"/>
      </w:divBdr>
    </w:div>
    <w:div w:id="1223062072">
      <w:marLeft w:val="0"/>
      <w:marRight w:val="0"/>
      <w:marTop w:val="0"/>
      <w:marBottom w:val="0"/>
      <w:divBdr>
        <w:top w:val="none" w:sz="0" w:space="0" w:color="auto"/>
        <w:left w:val="none" w:sz="0" w:space="0" w:color="auto"/>
        <w:bottom w:val="none" w:sz="0" w:space="0" w:color="auto"/>
        <w:right w:val="none" w:sz="0" w:space="0" w:color="auto"/>
      </w:divBdr>
    </w:div>
    <w:div w:id="1223062073">
      <w:marLeft w:val="0"/>
      <w:marRight w:val="0"/>
      <w:marTop w:val="0"/>
      <w:marBottom w:val="0"/>
      <w:divBdr>
        <w:top w:val="none" w:sz="0" w:space="0" w:color="auto"/>
        <w:left w:val="none" w:sz="0" w:space="0" w:color="auto"/>
        <w:bottom w:val="none" w:sz="0" w:space="0" w:color="auto"/>
        <w:right w:val="none" w:sz="0" w:space="0" w:color="auto"/>
      </w:divBdr>
    </w:div>
    <w:div w:id="1227453897">
      <w:bodyDiv w:val="1"/>
      <w:marLeft w:val="0"/>
      <w:marRight w:val="0"/>
      <w:marTop w:val="0"/>
      <w:marBottom w:val="0"/>
      <w:divBdr>
        <w:top w:val="none" w:sz="0" w:space="0" w:color="auto"/>
        <w:left w:val="none" w:sz="0" w:space="0" w:color="auto"/>
        <w:bottom w:val="none" w:sz="0" w:space="0" w:color="auto"/>
        <w:right w:val="none" w:sz="0" w:space="0" w:color="auto"/>
      </w:divBdr>
    </w:div>
    <w:div w:id="1230073899">
      <w:bodyDiv w:val="1"/>
      <w:marLeft w:val="0"/>
      <w:marRight w:val="0"/>
      <w:marTop w:val="0"/>
      <w:marBottom w:val="0"/>
      <w:divBdr>
        <w:top w:val="none" w:sz="0" w:space="0" w:color="auto"/>
        <w:left w:val="none" w:sz="0" w:space="0" w:color="auto"/>
        <w:bottom w:val="none" w:sz="0" w:space="0" w:color="auto"/>
        <w:right w:val="none" w:sz="0" w:space="0" w:color="auto"/>
      </w:divBdr>
    </w:div>
    <w:div w:id="1340230468">
      <w:bodyDiv w:val="1"/>
      <w:marLeft w:val="0"/>
      <w:marRight w:val="0"/>
      <w:marTop w:val="0"/>
      <w:marBottom w:val="0"/>
      <w:divBdr>
        <w:top w:val="none" w:sz="0" w:space="0" w:color="auto"/>
        <w:left w:val="none" w:sz="0" w:space="0" w:color="auto"/>
        <w:bottom w:val="none" w:sz="0" w:space="0" w:color="auto"/>
        <w:right w:val="none" w:sz="0" w:space="0" w:color="auto"/>
      </w:divBdr>
    </w:div>
    <w:div w:id="1362049700">
      <w:bodyDiv w:val="1"/>
      <w:marLeft w:val="0"/>
      <w:marRight w:val="0"/>
      <w:marTop w:val="0"/>
      <w:marBottom w:val="0"/>
      <w:divBdr>
        <w:top w:val="none" w:sz="0" w:space="0" w:color="auto"/>
        <w:left w:val="none" w:sz="0" w:space="0" w:color="auto"/>
        <w:bottom w:val="none" w:sz="0" w:space="0" w:color="auto"/>
        <w:right w:val="none" w:sz="0" w:space="0" w:color="auto"/>
      </w:divBdr>
    </w:div>
    <w:div w:id="1393964953">
      <w:bodyDiv w:val="1"/>
      <w:marLeft w:val="0"/>
      <w:marRight w:val="0"/>
      <w:marTop w:val="0"/>
      <w:marBottom w:val="0"/>
      <w:divBdr>
        <w:top w:val="none" w:sz="0" w:space="0" w:color="auto"/>
        <w:left w:val="none" w:sz="0" w:space="0" w:color="auto"/>
        <w:bottom w:val="none" w:sz="0" w:space="0" w:color="auto"/>
        <w:right w:val="none" w:sz="0" w:space="0" w:color="auto"/>
      </w:divBdr>
    </w:div>
    <w:div w:id="1401640007">
      <w:bodyDiv w:val="1"/>
      <w:marLeft w:val="0"/>
      <w:marRight w:val="0"/>
      <w:marTop w:val="0"/>
      <w:marBottom w:val="0"/>
      <w:divBdr>
        <w:top w:val="none" w:sz="0" w:space="0" w:color="auto"/>
        <w:left w:val="none" w:sz="0" w:space="0" w:color="auto"/>
        <w:bottom w:val="none" w:sz="0" w:space="0" w:color="auto"/>
        <w:right w:val="none" w:sz="0" w:space="0" w:color="auto"/>
      </w:divBdr>
    </w:div>
    <w:div w:id="1402368060">
      <w:bodyDiv w:val="1"/>
      <w:marLeft w:val="0"/>
      <w:marRight w:val="0"/>
      <w:marTop w:val="0"/>
      <w:marBottom w:val="0"/>
      <w:divBdr>
        <w:top w:val="none" w:sz="0" w:space="0" w:color="auto"/>
        <w:left w:val="none" w:sz="0" w:space="0" w:color="auto"/>
        <w:bottom w:val="none" w:sz="0" w:space="0" w:color="auto"/>
        <w:right w:val="none" w:sz="0" w:space="0" w:color="auto"/>
      </w:divBdr>
    </w:div>
    <w:div w:id="1403673305">
      <w:bodyDiv w:val="1"/>
      <w:marLeft w:val="0"/>
      <w:marRight w:val="0"/>
      <w:marTop w:val="0"/>
      <w:marBottom w:val="0"/>
      <w:divBdr>
        <w:top w:val="none" w:sz="0" w:space="0" w:color="auto"/>
        <w:left w:val="none" w:sz="0" w:space="0" w:color="auto"/>
        <w:bottom w:val="none" w:sz="0" w:space="0" w:color="auto"/>
        <w:right w:val="none" w:sz="0" w:space="0" w:color="auto"/>
      </w:divBdr>
    </w:div>
    <w:div w:id="1425112064">
      <w:bodyDiv w:val="1"/>
      <w:marLeft w:val="0"/>
      <w:marRight w:val="0"/>
      <w:marTop w:val="0"/>
      <w:marBottom w:val="0"/>
      <w:divBdr>
        <w:top w:val="none" w:sz="0" w:space="0" w:color="auto"/>
        <w:left w:val="none" w:sz="0" w:space="0" w:color="auto"/>
        <w:bottom w:val="none" w:sz="0" w:space="0" w:color="auto"/>
        <w:right w:val="none" w:sz="0" w:space="0" w:color="auto"/>
      </w:divBdr>
    </w:div>
    <w:div w:id="1432434943">
      <w:bodyDiv w:val="1"/>
      <w:marLeft w:val="0"/>
      <w:marRight w:val="0"/>
      <w:marTop w:val="0"/>
      <w:marBottom w:val="0"/>
      <w:divBdr>
        <w:top w:val="none" w:sz="0" w:space="0" w:color="auto"/>
        <w:left w:val="none" w:sz="0" w:space="0" w:color="auto"/>
        <w:bottom w:val="none" w:sz="0" w:space="0" w:color="auto"/>
        <w:right w:val="none" w:sz="0" w:space="0" w:color="auto"/>
      </w:divBdr>
    </w:div>
    <w:div w:id="1487474717">
      <w:bodyDiv w:val="1"/>
      <w:marLeft w:val="0"/>
      <w:marRight w:val="0"/>
      <w:marTop w:val="0"/>
      <w:marBottom w:val="0"/>
      <w:divBdr>
        <w:top w:val="none" w:sz="0" w:space="0" w:color="auto"/>
        <w:left w:val="none" w:sz="0" w:space="0" w:color="auto"/>
        <w:bottom w:val="none" w:sz="0" w:space="0" w:color="auto"/>
        <w:right w:val="none" w:sz="0" w:space="0" w:color="auto"/>
      </w:divBdr>
    </w:div>
    <w:div w:id="1523854780">
      <w:bodyDiv w:val="1"/>
      <w:marLeft w:val="0"/>
      <w:marRight w:val="0"/>
      <w:marTop w:val="0"/>
      <w:marBottom w:val="0"/>
      <w:divBdr>
        <w:top w:val="none" w:sz="0" w:space="0" w:color="auto"/>
        <w:left w:val="none" w:sz="0" w:space="0" w:color="auto"/>
        <w:bottom w:val="none" w:sz="0" w:space="0" w:color="auto"/>
        <w:right w:val="none" w:sz="0" w:space="0" w:color="auto"/>
      </w:divBdr>
    </w:div>
    <w:div w:id="1542205021">
      <w:bodyDiv w:val="1"/>
      <w:marLeft w:val="0"/>
      <w:marRight w:val="0"/>
      <w:marTop w:val="0"/>
      <w:marBottom w:val="0"/>
      <w:divBdr>
        <w:top w:val="none" w:sz="0" w:space="0" w:color="auto"/>
        <w:left w:val="none" w:sz="0" w:space="0" w:color="auto"/>
        <w:bottom w:val="none" w:sz="0" w:space="0" w:color="auto"/>
        <w:right w:val="none" w:sz="0" w:space="0" w:color="auto"/>
      </w:divBdr>
    </w:div>
    <w:div w:id="1568033326">
      <w:bodyDiv w:val="1"/>
      <w:marLeft w:val="0"/>
      <w:marRight w:val="0"/>
      <w:marTop w:val="0"/>
      <w:marBottom w:val="0"/>
      <w:divBdr>
        <w:top w:val="none" w:sz="0" w:space="0" w:color="auto"/>
        <w:left w:val="none" w:sz="0" w:space="0" w:color="auto"/>
        <w:bottom w:val="none" w:sz="0" w:space="0" w:color="auto"/>
        <w:right w:val="none" w:sz="0" w:space="0" w:color="auto"/>
      </w:divBdr>
    </w:div>
    <w:div w:id="1569730702">
      <w:bodyDiv w:val="1"/>
      <w:marLeft w:val="0"/>
      <w:marRight w:val="0"/>
      <w:marTop w:val="0"/>
      <w:marBottom w:val="0"/>
      <w:divBdr>
        <w:top w:val="none" w:sz="0" w:space="0" w:color="auto"/>
        <w:left w:val="none" w:sz="0" w:space="0" w:color="auto"/>
        <w:bottom w:val="none" w:sz="0" w:space="0" w:color="auto"/>
        <w:right w:val="none" w:sz="0" w:space="0" w:color="auto"/>
      </w:divBdr>
    </w:div>
    <w:div w:id="1613510070">
      <w:bodyDiv w:val="1"/>
      <w:marLeft w:val="0"/>
      <w:marRight w:val="0"/>
      <w:marTop w:val="0"/>
      <w:marBottom w:val="0"/>
      <w:divBdr>
        <w:top w:val="none" w:sz="0" w:space="0" w:color="auto"/>
        <w:left w:val="none" w:sz="0" w:space="0" w:color="auto"/>
        <w:bottom w:val="none" w:sz="0" w:space="0" w:color="auto"/>
        <w:right w:val="none" w:sz="0" w:space="0" w:color="auto"/>
      </w:divBdr>
    </w:div>
    <w:div w:id="1674986078">
      <w:bodyDiv w:val="1"/>
      <w:marLeft w:val="0"/>
      <w:marRight w:val="0"/>
      <w:marTop w:val="0"/>
      <w:marBottom w:val="0"/>
      <w:divBdr>
        <w:top w:val="none" w:sz="0" w:space="0" w:color="auto"/>
        <w:left w:val="none" w:sz="0" w:space="0" w:color="auto"/>
        <w:bottom w:val="none" w:sz="0" w:space="0" w:color="auto"/>
        <w:right w:val="none" w:sz="0" w:space="0" w:color="auto"/>
      </w:divBdr>
    </w:div>
    <w:div w:id="1676573563">
      <w:bodyDiv w:val="1"/>
      <w:marLeft w:val="0"/>
      <w:marRight w:val="0"/>
      <w:marTop w:val="0"/>
      <w:marBottom w:val="0"/>
      <w:divBdr>
        <w:top w:val="none" w:sz="0" w:space="0" w:color="auto"/>
        <w:left w:val="none" w:sz="0" w:space="0" w:color="auto"/>
        <w:bottom w:val="none" w:sz="0" w:space="0" w:color="auto"/>
        <w:right w:val="none" w:sz="0" w:space="0" w:color="auto"/>
      </w:divBdr>
    </w:div>
    <w:div w:id="1684936816">
      <w:bodyDiv w:val="1"/>
      <w:marLeft w:val="0"/>
      <w:marRight w:val="0"/>
      <w:marTop w:val="0"/>
      <w:marBottom w:val="0"/>
      <w:divBdr>
        <w:top w:val="none" w:sz="0" w:space="0" w:color="auto"/>
        <w:left w:val="none" w:sz="0" w:space="0" w:color="auto"/>
        <w:bottom w:val="none" w:sz="0" w:space="0" w:color="auto"/>
        <w:right w:val="none" w:sz="0" w:space="0" w:color="auto"/>
      </w:divBdr>
    </w:div>
    <w:div w:id="1689024603">
      <w:bodyDiv w:val="1"/>
      <w:marLeft w:val="0"/>
      <w:marRight w:val="0"/>
      <w:marTop w:val="0"/>
      <w:marBottom w:val="0"/>
      <w:divBdr>
        <w:top w:val="none" w:sz="0" w:space="0" w:color="auto"/>
        <w:left w:val="none" w:sz="0" w:space="0" w:color="auto"/>
        <w:bottom w:val="none" w:sz="0" w:space="0" w:color="auto"/>
        <w:right w:val="none" w:sz="0" w:space="0" w:color="auto"/>
      </w:divBdr>
    </w:div>
    <w:div w:id="1727949052">
      <w:bodyDiv w:val="1"/>
      <w:marLeft w:val="0"/>
      <w:marRight w:val="0"/>
      <w:marTop w:val="0"/>
      <w:marBottom w:val="0"/>
      <w:divBdr>
        <w:top w:val="none" w:sz="0" w:space="0" w:color="auto"/>
        <w:left w:val="none" w:sz="0" w:space="0" w:color="auto"/>
        <w:bottom w:val="none" w:sz="0" w:space="0" w:color="auto"/>
        <w:right w:val="none" w:sz="0" w:space="0" w:color="auto"/>
      </w:divBdr>
    </w:div>
    <w:div w:id="1745444985">
      <w:bodyDiv w:val="1"/>
      <w:marLeft w:val="0"/>
      <w:marRight w:val="0"/>
      <w:marTop w:val="0"/>
      <w:marBottom w:val="0"/>
      <w:divBdr>
        <w:top w:val="none" w:sz="0" w:space="0" w:color="auto"/>
        <w:left w:val="none" w:sz="0" w:space="0" w:color="auto"/>
        <w:bottom w:val="none" w:sz="0" w:space="0" w:color="auto"/>
        <w:right w:val="none" w:sz="0" w:space="0" w:color="auto"/>
      </w:divBdr>
    </w:div>
    <w:div w:id="1749380749">
      <w:bodyDiv w:val="1"/>
      <w:marLeft w:val="0"/>
      <w:marRight w:val="0"/>
      <w:marTop w:val="0"/>
      <w:marBottom w:val="0"/>
      <w:divBdr>
        <w:top w:val="none" w:sz="0" w:space="0" w:color="auto"/>
        <w:left w:val="none" w:sz="0" w:space="0" w:color="auto"/>
        <w:bottom w:val="none" w:sz="0" w:space="0" w:color="auto"/>
        <w:right w:val="none" w:sz="0" w:space="0" w:color="auto"/>
      </w:divBdr>
    </w:div>
    <w:div w:id="1749838226">
      <w:bodyDiv w:val="1"/>
      <w:marLeft w:val="0"/>
      <w:marRight w:val="0"/>
      <w:marTop w:val="0"/>
      <w:marBottom w:val="0"/>
      <w:divBdr>
        <w:top w:val="none" w:sz="0" w:space="0" w:color="auto"/>
        <w:left w:val="none" w:sz="0" w:space="0" w:color="auto"/>
        <w:bottom w:val="none" w:sz="0" w:space="0" w:color="auto"/>
        <w:right w:val="none" w:sz="0" w:space="0" w:color="auto"/>
      </w:divBdr>
    </w:div>
    <w:div w:id="1759717446">
      <w:bodyDiv w:val="1"/>
      <w:marLeft w:val="0"/>
      <w:marRight w:val="0"/>
      <w:marTop w:val="0"/>
      <w:marBottom w:val="0"/>
      <w:divBdr>
        <w:top w:val="none" w:sz="0" w:space="0" w:color="auto"/>
        <w:left w:val="none" w:sz="0" w:space="0" w:color="auto"/>
        <w:bottom w:val="none" w:sz="0" w:space="0" w:color="auto"/>
        <w:right w:val="none" w:sz="0" w:space="0" w:color="auto"/>
      </w:divBdr>
    </w:div>
    <w:div w:id="1771075139">
      <w:bodyDiv w:val="1"/>
      <w:marLeft w:val="0"/>
      <w:marRight w:val="0"/>
      <w:marTop w:val="0"/>
      <w:marBottom w:val="0"/>
      <w:divBdr>
        <w:top w:val="none" w:sz="0" w:space="0" w:color="auto"/>
        <w:left w:val="none" w:sz="0" w:space="0" w:color="auto"/>
        <w:bottom w:val="none" w:sz="0" w:space="0" w:color="auto"/>
        <w:right w:val="none" w:sz="0" w:space="0" w:color="auto"/>
      </w:divBdr>
    </w:div>
    <w:div w:id="1841190175">
      <w:bodyDiv w:val="1"/>
      <w:marLeft w:val="0"/>
      <w:marRight w:val="0"/>
      <w:marTop w:val="0"/>
      <w:marBottom w:val="0"/>
      <w:divBdr>
        <w:top w:val="none" w:sz="0" w:space="0" w:color="auto"/>
        <w:left w:val="none" w:sz="0" w:space="0" w:color="auto"/>
        <w:bottom w:val="none" w:sz="0" w:space="0" w:color="auto"/>
        <w:right w:val="none" w:sz="0" w:space="0" w:color="auto"/>
      </w:divBdr>
    </w:div>
    <w:div w:id="1857109996">
      <w:bodyDiv w:val="1"/>
      <w:marLeft w:val="0"/>
      <w:marRight w:val="0"/>
      <w:marTop w:val="0"/>
      <w:marBottom w:val="0"/>
      <w:divBdr>
        <w:top w:val="none" w:sz="0" w:space="0" w:color="auto"/>
        <w:left w:val="none" w:sz="0" w:space="0" w:color="auto"/>
        <w:bottom w:val="none" w:sz="0" w:space="0" w:color="auto"/>
        <w:right w:val="none" w:sz="0" w:space="0" w:color="auto"/>
      </w:divBdr>
    </w:div>
    <w:div w:id="1858032454">
      <w:bodyDiv w:val="1"/>
      <w:marLeft w:val="0"/>
      <w:marRight w:val="0"/>
      <w:marTop w:val="0"/>
      <w:marBottom w:val="0"/>
      <w:divBdr>
        <w:top w:val="none" w:sz="0" w:space="0" w:color="auto"/>
        <w:left w:val="none" w:sz="0" w:space="0" w:color="auto"/>
        <w:bottom w:val="none" w:sz="0" w:space="0" w:color="auto"/>
        <w:right w:val="none" w:sz="0" w:space="0" w:color="auto"/>
      </w:divBdr>
    </w:div>
    <w:div w:id="1883595993">
      <w:bodyDiv w:val="1"/>
      <w:marLeft w:val="0"/>
      <w:marRight w:val="0"/>
      <w:marTop w:val="0"/>
      <w:marBottom w:val="0"/>
      <w:divBdr>
        <w:top w:val="none" w:sz="0" w:space="0" w:color="auto"/>
        <w:left w:val="none" w:sz="0" w:space="0" w:color="auto"/>
        <w:bottom w:val="none" w:sz="0" w:space="0" w:color="auto"/>
        <w:right w:val="none" w:sz="0" w:space="0" w:color="auto"/>
      </w:divBdr>
    </w:div>
    <w:div w:id="1895383401">
      <w:bodyDiv w:val="1"/>
      <w:marLeft w:val="0"/>
      <w:marRight w:val="0"/>
      <w:marTop w:val="0"/>
      <w:marBottom w:val="0"/>
      <w:divBdr>
        <w:top w:val="none" w:sz="0" w:space="0" w:color="auto"/>
        <w:left w:val="none" w:sz="0" w:space="0" w:color="auto"/>
        <w:bottom w:val="none" w:sz="0" w:space="0" w:color="auto"/>
        <w:right w:val="none" w:sz="0" w:space="0" w:color="auto"/>
      </w:divBdr>
    </w:div>
    <w:div w:id="1907765364">
      <w:bodyDiv w:val="1"/>
      <w:marLeft w:val="0"/>
      <w:marRight w:val="0"/>
      <w:marTop w:val="0"/>
      <w:marBottom w:val="0"/>
      <w:divBdr>
        <w:top w:val="none" w:sz="0" w:space="0" w:color="auto"/>
        <w:left w:val="none" w:sz="0" w:space="0" w:color="auto"/>
        <w:bottom w:val="none" w:sz="0" w:space="0" w:color="auto"/>
        <w:right w:val="none" w:sz="0" w:space="0" w:color="auto"/>
      </w:divBdr>
    </w:div>
    <w:div w:id="2024356915">
      <w:bodyDiv w:val="1"/>
      <w:marLeft w:val="0"/>
      <w:marRight w:val="0"/>
      <w:marTop w:val="0"/>
      <w:marBottom w:val="0"/>
      <w:divBdr>
        <w:top w:val="none" w:sz="0" w:space="0" w:color="auto"/>
        <w:left w:val="none" w:sz="0" w:space="0" w:color="auto"/>
        <w:bottom w:val="none" w:sz="0" w:space="0" w:color="auto"/>
        <w:right w:val="none" w:sz="0" w:space="0" w:color="auto"/>
      </w:divBdr>
    </w:div>
    <w:div w:id="2033603354">
      <w:bodyDiv w:val="1"/>
      <w:marLeft w:val="0"/>
      <w:marRight w:val="0"/>
      <w:marTop w:val="0"/>
      <w:marBottom w:val="0"/>
      <w:divBdr>
        <w:top w:val="none" w:sz="0" w:space="0" w:color="auto"/>
        <w:left w:val="none" w:sz="0" w:space="0" w:color="auto"/>
        <w:bottom w:val="none" w:sz="0" w:space="0" w:color="auto"/>
        <w:right w:val="none" w:sz="0" w:space="0" w:color="auto"/>
      </w:divBdr>
    </w:div>
    <w:div w:id="2063169090">
      <w:bodyDiv w:val="1"/>
      <w:marLeft w:val="0"/>
      <w:marRight w:val="0"/>
      <w:marTop w:val="0"/>
      <w:marBottom w:val="0"/>
      <w:divBdr>
        <w:top w:val="none" w:sz="0" w:space="0" w:color="auto"/>
        <w:left w:val="none" w:sz="0" w:space="0" w:color="auto"/>
        <w:bottom w:val="none" w:sz="0" w:space="0" w:color="auto"/>
        <w:right w:val="none" w:sz="0" w:space="0" w:color="auto"/>
      </w:divBdr>
    </w:div>
    <w:div w:id="2071690693">
      <w:bodyDiv w:val="1"/>
      <w:marLeft w:val="0"/>
      <w:marRight w:val="0"/>
      <w:marTop w:val="0"/>
      <w:marBottom w:val="0"/>
      <w:divBdr>
        <w:top w:val="none" w:sz="0" w:space="0" w:color="auto"/>
        <w:left w:val="none" w:sz="0" w:space="0" w:color="auto"/>
        <w:bottom w:val="none" w:sz="0" w:space="0" w:color="auto"/>
        <w:right w:val="none" w:sz="0" w:space="0" w:color="auto"/>
      </w:divBdr>
    </w:div>
    <w:div w:id="2093500165">
      <w:bodyDiv w:val="1"/>
      <w:marLeft w:val="0"/>
      <w:marRight w:val="0"/>
      <w:marTop w:val="0"/>
      <w:marBottom w:val="0"/>
      <w:divBdr>
        <w:top w:val="none" w:sz="0" w:space="0" w:color="auto"/>
        <w:left w:val="none" w:sz="0" w:space="0" w:color="auto"/>
        <w:bottom w:val="none" w:sz="0" w:space="0" w:color="auto"/>
        <w:right w:val="none" w:sz="0" w:space="0" w:color="auto"/>
      </w:divBdr>
    </w:div>
    <w:div w:id="2105108190">
      <w:bodyDiv w:val="1"/>
      <w:marLeft w:val="0"/>
      <w:marRight w:val="0"/>
      <w:marTop w:val="0"/>
      <w:marBottom w:val="0"/>
      <w:divBdr>
        <w:top w:val="none" w:sz="0" w:space="0" w:color="auto"/>
        <w:left w:val="none" w:sz="0" w:space="0" w:color="auto"/>
        <w:bottom w:val="none" w:sz="0" w:space="0" w:color="auto"/>
        <w:right w:val="none" w:sz="0" w:space="0" w:color="auto"/>
      </w:divBdr>
    </w:div>
    <w:div w:id="2122066435">
      <w:bodyDiv w:val="1"/>
      <w:marLeft w:val="0"/>
      <w:marRight w:val="0"/>
      <w:marTop w:val="0"/>
      <w:marBottom w:val="0"/>
      <w:divBdr>
        <w:top w:val="none" w:sz="0" w:space="0" w:color="auto"/>
        <w:left w:val="none" w:sz="0" w:space="0" w:color="auto"/>
        <w:bottom w:val="none" w:sz="0" w:space="0" w:color="auto"/>
        <w:right w:val="none" w:sz="0" w:space="0" w:color="auto"/>
      </w:divBdr>
    </w:div>
    <w:div w:id="21302753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42" Type="http://schemas.openxmlformats.org/officeDocument/2006/relationships/image" Target="media/image33.jpeg"/><Relationship Id="rId47" Type="http://schemas.openxmlformats.org/officeDocument/2006/relationships/hyperlink" Target="http://www.bgports.bg/bg/page/205" TargetMode="External"/><Relationship Id="rId63" Type="http://schemas.openxmlformats.org/officeDocument/2006/relationships/chart" Target="charts/chart2.xml"/><Relationship Id="rId68" Type="http://schemas.openxmlformats.org/officeDocument/2006/relationships/chart" Target="charts/chart7.xml"/><Relationship Id="rId84" Type="http://schemas.openxmlformats.org/officeDocument/2006/relationships/footer" Target="footer1.xml"/><Relationship Id="rId16" Type="http://schemas.openxmlformats.org/officeDocument/2006/relationships/image" Target="media/image9.png"/><Relationship Id="rId11" Type="http://schemas.openxmlformats.org/officeDocument/2006/relationships/image" Target="media/image4.jpeg"/><Relationship Id="rId32" Type="http://schemas.openxmlformats.org/officeDocument/2006/relationships/image" Target="media/image24.png"/><Relationship Id="rId37" Type="http://schemas.openxmlformats.org/officeDocument/2006/relationships/image" Target="media/image29.jpeg"/><Relationship Id="rId53" Type="http://schemas.openxmlformats.org/officeDocument/2006/relationships/hyperlink" Target="http://epi.bg/display.php?oid=28080" TargetMode="External"/><Relationship Id="rId58" Type="http://schemas.openxmlformats.org/officeDocument/2006/relationships/hyperlink" Target="https://web.apis.bg/p.php?i=12108&amp;b=0" TargetMode="External"/><Relationship Id="rId74" Type="http://schemas.openxmlformats.org/officeDocument/2006/relationships/image" Target="media/image42.emf"/><Relationship Id="rId79" Type="http://schemas.openxmlformats.org/officeDocument/2006/relationships/image" Target="media/image47.png"/><Relationship Id="rId5" Type="http://schemas.openxmlformats.org/officeDocument/2006/relationships/webSettings" Target="webSettings.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s://web.apis.bg/p.php?i=12108" TargetMode="External"/><Relationship Id="rId48" Type="http://schemas.openxmlformats.org/officeDocument/2006/relationships/hyperlink" Target="https://web.apis.bg/p.php?i=12108" TargetMode="External"/><Relationship Id="rId56" Type="http://schemas.openxmlformats.org/officeDocument/2006/relationships/hyperlink" Target="https://web.apis.bg/p.php?i=12108&amp;b=0" TargetMode="External"/><Relationship Id="rId64" Type="http://schemas.openxmlformats.org/officeDocument/2006/relationships/chart" Target="charts/chart3.xml"/><Relationship Id="rId69" Type="http://schemas.openxmlformats.org/officeDocument/2006/relationships/image" Target="media/image37.emf"/><Relationship Id="rId77" Type="http://schemas.openxmlformats.org/officeDocument/2006/relationships/image" Target="media/image45.emf"/><Relationship Id="rId8" Type="http://schemas.openxmlformats.org/officeDocument/2006/relationships/image" Target="media/image2.png"/><Relationship Id="rId51" Type="http://schemas.openxmlformats.org/officeDocument/2006/relationships/hyperlink" Target="http://epi.bg/display.php?oid=28163" TargetMode="External"/><Relationship Id="rId72" Type="http://schemas.openxmlformats.org/officeDocument/2006/relationships/image" Target="media/image40.emf"/><Relationship Id="rId80" Type="http://schemas.openxmlformats.org/officeDocument/2006/relationships/image" Target="media/image48.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hyperlink" Target="https://eur-lex.europa.eu/legal-content/BG/TXT/HTML/?uri=CELEX:32017R0352&amp;qid=1587983221749&amp;from=BG" TargetMode="External"/><Relationship Id="rId59" Type="http://schemas.openxmlformats.org/officeDocument/2006/relationships/image" Target="media/image34.jpeg"/><Relationship Id="rId67" Type="http://schemas.openxmlformats.org/officeDocument/2006/relationships/chart" Target="charts/chart6.xml"/><Relationship Id="rId20" Type="http://schemas.openxmlformats.org/officeDocument/2006/relationships/image" Target="media/image13.jpeg"/><Relationship Id="rId41" Type="http://schemas.openxmlformats.org/officeDocument/2006/relationships/hyperlink" Target="https://web.apis.bg/p.php?i=3206736" TargetMode="External"/><Relationship Id="rId54" Type="http://schemas.openxmlformats.org/officeDocument/2006/relationships/hyperlink" Target="http://epi.bg/display.php?oid=28191" TargetMode="External"/><Relationship Id="rId62" Type="http://schemas.openxmlformats.org/officeDocument/2006/relationships/chart" Target="charts/chart1.xml"/><Relationship Id="rId70" Type="http://schemas.openxmlformats.org/officeDocument/2006/relationships/image" Target="media/image38.emf"/><Relationship Id="rId75" Type="http://schemas.openxmlformats.org/officeDocument/2006/relationships/image" Target="media/image43.emf"/><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hyperlink" Target="https://sealevel.nasa.gov/ipcc-ar6-sea-level-projection-tool?psmsl_id=317&amp;data_layer=scenario" TargetMode="External"/><Relationship Id="rId36" Type="http://schemas.openxmlformats.org/officeDocument/2006/relationships/image" Target="media/image28.png"/><Relationship Id="rId49" Type="http://schemas.openxmlformats.org/officeDocument/2006/relationships/hyperlink" Target="https://web.apis.bg/p.php?i=4544385&amp;b=0" TargetMode="External"/><Relationship Id="rId57" Type="http://schemas.openxmlformats.org/officeDocument/2006/relationships/hyperlink" Target="https://web.apis.bg/p.php?i=12108&amp;b=0" TargetMode="External"/><Relationship Id="rId10" Type="http://schemas.openxmlformats.org/officeDocument/2006/relationships/hyperlink" Target="https://port-burgas.bg/karta" TargetMode="External"/><Relationship Id="rId31" Type="http://schemas.openxmlformats.org/officeDocument/2006/relationships/image" Target="media/image23.png"/><Relationship Id="rId44" Type="http://schemas.openxmlformats.org/officeDocument/2006/relationships/hyperlink" Target="https://web.apis.bg/p.php?i=3237972" TargetMode="External"/><Relationship Id="rId52" Type="http://schemas.openxmlformats.org/officeDocument/2006/relationships/hyperlink" Target="http://epi.bg/display.php?oid=35883" TargetMode="External"/><Relationship Id="rId60" Type="http://schemas.openxmlformats.org/officeDocument/2006/relationships/image" Target="media/image35.jpeg"/><Relationship Id="rId65" Type="http://schemas.openxmlformats.org/officeDocument/2006/relationships/chart" Target="charts/chart4.xml"/><Relationship Id="rId73" Type="http://schemas.openxmlformats.org/officeDocument/2006/relationships/image" Target="media/image41.emf"/><Relationship Id="rId78" Type="http://schemas.openxmlformats.org/officeDocument/2006/relationships/image" Target="media/image46.emf"/><Relationship Id="rId81" Type="http://schemas.openxmlformats.org/officeDocument/2006/relationships/image" Target="media/image49.emf"/><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jpeg"/><Relationship Id="rId34" Type="http://schemas.openxmlformats.org/officeDocument/2006/relationships/image" Target="media/image26.png"/><Relationship Id="rId50" Type="http://schemas.openxmlformats.org/officeDocument/2006/relationships/hyperlink" Target="http://epi.bg/display.php?oid=45713" TargetMode="External"/><Relationship Id="rId55" Type="http://schemas.openxmlformats.org/officeDocument/2006/relationships/hyperlink" Target="https://web.apis.bg/p.php?i=3206736" TargetMode="External"/><Relationship Id="rId76"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image" Target="media/image39.emf"/><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7.jpeg"/><Relationship Id="rId40" Type="http://schemas.openxmlformats.org/officeDocument/2006/relationships/image" Target="media/image32.jpeg"/><Relationship Id="rId45" Type="http://schemas.openxmlformats.org/officeDocument/2006/relationships/hyperlink" Target="https://web.apis.bg/p.php?i=3237972" TargetMode="External"/><Relationship Id="rId66" Type="http://schemas.openxmlformats.org/officeDocument/2006/relationships/chart" Target="charts/chart5.xml"/><Relationship Id="rId61" Type="http://schemas.openxmlformats.org/officeDocument/2006/relationships/image" Target="media/image36.jpeg"/><Relationship Id="rId82" Type="http://schemas.openxmlformats.org/officeDocument/2006/relationships/image" Target="media/image50.emf"/></Relationships>
</file>

<file path=word/_rels/footer1.xml.rels><?xml version="1.0" encoding="UTF-8" standalone="yes"?>
<Relationships xmlns="http://schemas.openxmlformats.org/package/2006/relationships"><Relationship Id="rId1" Type="http://schemas.openxmlformats.org/officeDocument/2006/relationships/hyperlink" Target="http://www.eufunds.bg"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ec.europa.eu/eurostat/web/euro-indicators" TargetMode="External"/><Relationship Id="rId13" Type="http://schemas.openxmlformats.org/officeDocument/2006/relationships/hyperlink" Target="https://www.burgas.bg/uploads/posts/2022/plan-za-integrirano-razvitie-na-obshtina-burgas-2021-2027-g1.pdf" TargetMode="External"/><Relationship Id="rId18" Type="http://schemas.openxmlformats.org/officeDocument/2006/relationships/hyperlink" Target="https://www.nsi.bg/bg/content/1753/215-&#1088;&#1077;&#1095;&#1077;&#1085;-&#1090;&#1088;&#1072;&#1085;&#1089;&#1087;&#1086;&#1088;&#1090;" TargetMode="External"/><Relationship Id="rId3" Type="http://schemas.openxmlformats.org/officeDocument/2006/relationships/hyperlink" Target="http://epi.bg/display.php?oid=28191" TargetMode="External"/><Relationship Id="rId21" Type="http://schemas.openxmlformats.org/officeDocument/2006/relationships/hyperlink" Target="https://eur-lex.europa.eu/legal-content/BG/TXT/?uri=CELEX%3A32015R0207" TargetMode="External"/><Relationship Id="rId7" Type="http://schemas.openxmlformats.org/officeDocument/2006/relationships/hyperlink" Target="https://ec.europa.eu/eurostat/databrowser/view/tec00118/default/line?lang=en" TargetMode="External"/><Relationship Id="rId12" Type="http://schemas.openxmlformats.org/officeDocument/2006/relationships/hyperlink" Target="https://www.bnb.bg/bnbweb/groups/public/documents/bnb_download/s_macro_indicators_a1_pdf_bg.pdf" TargetMode="External"/><Relationship Id="rId17" Type="http://schemas.openxmlformats.org/officeDocument/2006/relationships/hyperlink" Target="http://www.nsi.bg/bg/content/1755/&#1084;&#1086;&#1088;&#1089;&#1082;&#1080;-&#1090;&#1088;&#1072;&#1085;&#1089;&#1087;&#1086;&#1088;&#1090;" TargetMode="External"/><Relationship Id="rId2" Type="http://schemas.openxmlformats.org/officeDocument/2006/relationships/hyperlink" Target="http://epi.bg/display.php?oid=28191" TargetMode="External"/><Relationship Id="rId16" Type="http://schemas.openxmlformats.org/officeDocument/2006/relationships/hyperlink" Target="https://reader.elsevier.com/reader/sd/pii/S2352146521003756?token=7A0174D662D2620ED8225DE675F4C%20306096695B0D007209F7984CBBE1DBA83A4BD3F43CB780C8739D2205076DEAC56BF&amp;originRegion=eu-west-1&amp;originCreation=20211029054241" TargetMode="External"/><Relationship Id="rId20" Type="http://schemas.openxmlformats.org/officeDocument/2006/relationships/hyperlink" Target="https://ec.europa.eu/regional_policy/en/information/publications/guides/2021/economic-appraisal-vademecum-2021-2027-general-principles-and-sector-applications" TargetMode="External"/><Relationship Id="rId1" Type="http://schemas.openxmlformats.org/officeDocument/2006/relationships/hyperlink" Target="http://epi.bg/display.php?oid=28191" TargetMode="External"/><Relationship Id="rId6" Type="http://schemas.openxmlformats.org/officeDocument/2006/relationships/hyperlink" Target="https://ec.europa.eu/eurostat/databrowser/view/tec00115/default/line?lang=en" TargetMode="External"/><Relationship Id="rId11" Type="http://schemas.openxmlformats.org/officeDocument/2006/relationships/hyperlink" Target="https://www.nsi.bg/bg/content/11474&#1073;&#1088;&#1091;&#1090;&#1077;&#1085;-&#1074;&#1098;&#1090;&#1088;&#1077;&#1096;&#1077;&#1085;-&#1087;&#1088;&#1086;&#1076;&#1091;&#1082;&#1090;-&#1087;&#1086;-&#1087;&#1072;&#1079;&#1072;&#1088;&#1085;&#1080;-&#1094;&#1077;&#1085;&#1080;" TargetMode="External"/><Relationship Id="rId24" Type="http://schemas.openxmlformats.org/officeDocument/2006/relationships/hyperlink" Target="https://eur-lex.europa.eu/legal-content/bg/TXT/?uri=celex%3A32013R1303" TargetMode="External"/><Relationship Id="rId5" Type="http://schemas.openxmlformats.org/officeDocument/2006/relationships/hyperlink" Target="https://nsi.bg/bg/content/806/&#1073;&#1098;&#1083;&#1075;&#1072;&#1088;&#1080;&#1103;-&#1080;-&#1077;&#1074;&#1088;&#1086;&#1087;&#1077;&#1081;&#1089;&#1082;&#1080;&#1103;-&#1089;&#1098;&#1102;&#1079;" TargetMode="External"/><Relationship Id="rId15" Type="http://schemas.openxmlformats.org/officeDocument/2006/relationships/hyperlink" Target="https://nsi.bg/bg/content/11406/&#1086;&#1073;&#1083;&#1072;&#1089;&#1090;-&#1073;&#1091;&#1088;&#1075;&#1072;&#1089;" TargetMode="External"/><Relationship Id="rId23" Type="http://schemas.openxmlformats.org/officeDocument/2006/relationships/hyperlink" Target="https://ec.europa.eu/regional_policy/en/information/publications/guides/2021/economic-appraisal-vademecum-2021-2027-general-principles-and-sector-applications" TargetMode="External"/><Relationship Id="rId10" Type="http://schemas.openxmlformats.org/officeDocument/2006/relationships/hyperlink" Target="https://ec.europa.eu/eurostat/documents/2995521/11563339/2-22102021-BP-EN.pdf/5adc2494-bacd-999e-19b9-adcda427cdc5?t=1634897043682" TargetMode="External"/><Relationship Id="rId19" Type="http://schemas.openxmlformats.org/officeDocument/2006/relationships/hyperlink" Target="https://nsi.bg/sites/default/files/files/pressreleases/Transport2021q2_T1R7MTK.pdf" TargetMode="External"/><Relationship Id="rId4" Type="http://schemas.openxmlformats.org/officeDocument/2006/relationships/hyperlink" Target="http://epi.bg/display.php?oid=28191" TargetMode="External"/><Relationship Id="rId9" Type="http://schemas.openxmlformats.org/officeDocument/2006/relationships/hyperlink" Target="https://ec.europa.eu/eurostat/databrowser/view/tps00203/default/line?lang=en" TargetMode="External"/><Relationship Id="rId14" Type="http://schemas.openxmlformats.org/officeDocument/2006/relationships/hyperlink" Target="https://nsi.bg/bg/content/11406/&#1086;&#1073;&#1083;&#1072;&#1089;&#1090;-&#1073;&#1091;&#1088;&#1075;&#1072;&#1089;" TargetMode="External"/><Relationship Id="rId22" Type="http://schemas.openxmlformats.org/officeDocument/2006/relationships/hyperlink" Target="https://ec.europa.eu/regional_policy/sources/docgener/studies/pdf/cba_guide.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2.png"/><Relationship Id="rId1" Type="http://schemas.openxmlformats.org/officeDocument/2006/relationships/image" Target="media/image51.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C:\Users\Mariya%20Tchakarova\Desktop\&#1054;&#1073;&#1093;&#1086;&#1076;%20&#1041;&#1091;&#1088;&#1075;&#1072;&#1089;\Working%20version%20CBA\Macro%20statistic.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Динамика</a:t>
            </a:r>
            <a:r>
              <a:rPr lang="bg-BG" baseline="0"/>
              <a:t> на държавния дълг спрямо БВП</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bg-BG"/>
        </a:p>
      </c:txPr>
    </c:title>
    <c:autoTitleDeleted val="0"/>
    <c:plotArea>
      <c:layout/>
      <c:lineChart>
        <c:grouping val="standard"/>
        <c:varyColors val="0"/>
        <c:ser>
          <c:idx val="0"/>
          <c:order val="0"/>
          <c:tx>
            <c:strRef>
              <c:f>Sheet1!$B$4</c:f>
              <c:strCache>
                <c:ptCount val="1"/>
                <c:pt idx="0">
                  <c:v>България</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Sheet1!$C$3:$N$3</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Sheet1!$C$4:$N$4</c:f>
              <c:numCache>
                <c:formatCode>0.00</c:formatCode>
                <c:ptCount val="12"/>
                <c:pt idx="0">
                  <c:v>-1.7</c:v>
                </c:pt>
                <c:pt idx="1">
                  <c:v>-0.8</c:v>
                </c:pt>
                <c:pt idx="2">
                  <c:v>-0.7</c:v>
                </c:pt>
                <c:pt idx="3">
                  <c:v>-5.4</c:v>
                </c:pt>
                <c:pt idx="4">
                  <c:v>-1.9</c:v>
                </c:pt>
                <c:pt idx="5">
                  <c:v>0.3</c:v>
                </c:pt>
                <c:pt idx="6">
                  <c:v>1.6</c:v>
                </c:pt>
                <c:pt idx="7">
                  <c:v>1.7</c:v>
                </c:pt>
                <c:pt idx="8">
                  <c:v>2.1</c:v>
                </c:pt>
                <c:pt idx="9">
                  <c:v>-3.8</c:v>
                </c:pt>
                <c:pt idx="10">
                  <c:v>-3.9</c:v>
                </c:pt>
                <c:pt idx="11">
                  <c:v>-2</c:v>
                </c:pt>
              </c:numCache>
            </c:numRef>
          </c:val>
          <c:smooth val="0"/>
          <c:extLst>
            <c:ext xmlns:c16="http://schemas.microsoft.com/office/drawing/2014/chart" uri="{C3380CC4-5D6E-409C-BE32-E72D297353CC}">
              <c16:uniqueId val="{00000000-72B1-4EA9-B50E-B44914087C2E}"/>
            </c:ext>
          </c:extLst>
        </c:ser>
        <c:ser>
          <c:idx val="1"/>
          <c:order val="1"/>
          <c:tx>
            <c:strRef>
              <c:f>Sheet1!$B$5</c:f>
              <c:strCache>
                <c:ptCount val="1"/>
                <c:pt idx="0">
                  <c:v>Европейски съюз</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Sheet1!$C$3:$N$3</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Sheet1!$C$5:$N$5</c:f>
              <c:numCache>
                <c:formatCode>0.00</c:formatCode>
                <c:ptCount val="12"/>
                <c:pt idx="0">
                  <c:v>-4.0999999999999996</c:v>
                </c:pt>
                <c:pt idx="1">
                  <c:v>-3.7</c:v>
                </c:pt>
                <c:pt idx="2">
                  <c:v>-3</c:v>
                </c:pt>
                <c:pt idx="3">
                  <c:v>-2.4</c:v>
                </c:pt>
                <c:pt idx="4">
                  <c:v>-1.9</c:v>
                </c:pt>
                <c:pt idx="5">
                  <c:v>-1.4</c:v>
                </c:pt>
                <c:pt idx="6">
                  <c:v>-0.8</c:v>
                </c:pt>
                <c:pt idx="7">
                  <c:v>-0.4</c:v>
                </c:pt>
                <c:pt idx="8">
                  <c:v>-0.5</c:v>
                </c:pt>
                <c:pt idx="9">
                  <c:v>-6.7</c:v>
                </c:pt>
                <c:pt idx="10">
                  <c:v>-4.8</c:v>
                </c:pt>
                <c:pt idx="11">
                  <c:v>-3.4</c:v>
                </c:pt>
              </c:numCache>
            </c:numRef>
          </c:val>
          <c:smooth val="0"/>
          <c:extLst>
            <c:ext xmlns:c16="http://schemas.microsoft.com/office/drawing/2014/chart" uri="{C3380CC4-5D6E-409C-BE32-E72D297353CC}">
              <c16:uniqueId val="{00000001-72B1-4EA9-B50E-B44914087C2E}"/>
            </c:ext>
          </c:extLst>
        </c:ser>
        <c:dLbls>
          <c:showLegendKey val="0"/>
          <c:showVal val="0"/>
          <c:showCatName val="0"/>
          <c:showSerName val="0"/>
          <c:showPercent val="0"/>
          <c:showBubbleSize val="0"/>
        </c:dLbls>
        <c:marker val="1"/>
        <c:smooth val="0"/>
        <c:axId val="355775928"/>
        <c:axId val="355776712"/>
      </c:lineChart>
      <c:catAx>
        <c:axId val="355775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355776712"/>
        <c:crosses val="autoZero"/>
        <c:auto val="1"/>
        <c:lblAlgn val="ctr"/>
        <c:lblOffset val="100"/>
        <c:noMultiLvlLbl val="0"/>
      </c:catAx>
      <c:valAx>
        <c:axId val="3557767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355775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bg-BG" sz="1200"/>
              <a:t>Естествен прираст в ‰</a:t>
            </a:r>
            <a:endParaRPr lang="en-US" sz="1200"/>
          </a:p>
        </c:rich>
      </c:tx>
      <c:overlay val="0"/>
      <c:spPr>
        <a:noFill/>
        <a:ln>
          <a:noFill/>
        </a:ln>
        <a:effectLst/>
      </c:spPr>
    </c:title>
    <c:autoTitleDeleted val="0"/>
    <c:plotArea>
      <c:layout/>
      <c:barChart>
        <c:barDir val="col"/>
        <c:grouping val="clustered"/>
        <c:varyColors val="0"/>
        <c:ser>
          <c:idx val="0"/>
          <c:order val="0"/>
          <c:tx>
            <c:strRef>
              <c:f>'Seaports '!$B$22</c:f>
              <c:strCache>
                <c:ptCount val="1"/>
                <c:pt idx="0">
                  <c:v>Средно за България</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'Seaports '!$C$21:$I$21</c:f>
              <c:numCache>
                <c:formatCode>General</c:formatCode>
                <c:ptCount val="7"/>
                <c:pt idx="0">
                  <c:v>2016</c:v>
                </c:pt>
                <c:pt idx="1">
                  <c:v>2017</c:v>
                </c:pt>
                <c:pt idx="2">
                  <c:v>2018</c:v>
                </c:pt>
                <c:pt idx="3">
                  <c:v>2019</c:v>
                </c:pt>
                <c:pt idx="4">
                  <c:v>2020</c:v>
                </c:pt>
                <c:pt idx="5">
                  <c:v>2021</c:v>
                </c:pt>
                <c:pt idx="6">
                  <c:v>2022</c:v>
                </c:pt>
              </c:numCache>
            </c:numRef>
          </c:cat>
          <c:val>
            <c:numRef>
              <c:f>'Seaports '!$C$22:$I$22</c:f>
              <c:numCache>
                <c:formatCode>0.00</c:formatCode>
                <c:ptCount val="7"/>
                <c:pt idx="0">
                  <c:v>-6</c:v>
                </c:pt>
                <c:pt idx="1">
                  <c:v>-7.5</c:v>
                </c:pt>
                <c:pt idx="2">
                  <c:v>-6.5</c:v>
                </c:pt>
                <c:pt idx="3">
                  <c:v>-6.7</c:v>
                </c:pt>
                <c:pt idx="4">
                  <c:v>-9.5</c:v>
                </c:pt>
                <c:pt idx="5">
                  <c:v>-13.2</c:v>
                </c:pt>
                <c:pt idx="6" formatCode="General">
                  <c:v>-9.6</c:v>
                </c:pt>
              </c:numCache>
            </c:numRef>
          </c:val>
          <c:extLst>
            <c:ext xmlns:c16="http://schemas.microsoft.com/office/drawing/2014/chart" uri="{C3380CC4-5D6E-409C-BE32-E72D297353CC}">
              <c16:uniqueId val="{00000000-62DB-4AD4-96AB-3E4EA3A798CD}"/>
            </c:ext>
          </c:extLst>
        </c:ser>
        <c:ser>
          <c:idx val="1"/>
          <c:order val="1"/>
          <c:tx>
            <c:strRef>
              <c:f>'Seaports '!$B$23</c:f>
              <c:strCache>
                <c:ptCount val="1"/>
                <c:pt idx="0">
                  <c:v>Област Бургас</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'Seaports '!$C$21:$I$21</c:f>
              <c:numCache>
                <c:formatCode>General</c:formatCode>
                <c:ptCount val="7"/>
                <c:pt idx="0">
                  <c:v>2016</c:v>
                </c:pt>
                <c:pt idx="1">
                  <c:v>2017</c:v>
                </c:pt>
                <c:pt idx="2">
                  <c:v>2018</c:v>
                </c:pt>
                <c:pt idx="3">
                  <c:v>2019</c:v>
                </c:pt>
                <c:pt idx="4">
                  <c:v>2020</c:v>
                </c:pt>
                <c:pt idx="5">
                  <c:v>2021</c:v>
                </c:pt>
                <c:pt idx="6">
                  <c:v>2022</c:v>
                </c:pt>
              </c:numCache>
            </c:numRef>
          </c:cat>
          <c:val>
            <c:numRef>
              <c:f>'Seaports '!$C$23:$I$23</c:f>
              <c:numCache>
                <c:formatCode>General</c:formatCode>
                <c:ptCount val="7"/>
                <c:pt idx="0">
                  <c:v>-3.6</c:v>
                </c:pt>
                <c:pt idx="1">
                  <c:v>-4.3</c:v>
                </c:pt>
                <c:pt idx="2">
                  <c:v>-4.3</c:v>
                </c:pt>
                <c:pt idx="3">
                  <c:v>-4.7</c:v>
                </c:pt>
                <c:pt idx="4">
                  <c:v>-6.6</c:v>
                </c:pt>
                <c:pt idx="5">
                  <c:v>-9.9</c:v>
                </c:pt>
                <c:pt idx="6">
                  <c:v>-8.6</c:v>
                </c:pt>
              </c:numCache>
            </c:numRef>
          </c:val>
          <c:extLst>
            <c:ext xmlns:c16="http://schemas.microsoft.com/office/drawing/2014/chart" uri="{C3380CC4-5D6E-409C-BE32-E72D297353CC}">
              <c16:uniqueId val="{00000001-62DB-4AD4-96AB-3E4EA3A798CD}"/>
            </c:ext>
          </c:extLst>
        </c:ser>
        <c:dLbls>
          <c:dLblPos val="inEnd"/>
          <c:showLegendKey val="0"/>
          <c:showVal val="1"/>
          <c:showCatName val="0"/>
          <c:showSerName val="0"/>
          <c:showPercent val="0"/>
          <c:showBubbleSize val="0"/>
        </c:dLbls>
        <c:gapWidth val="65"/>
        <c:axId val="355774360"/>
        <c:axId val="355774752"/>
      </c:barChart>
      <c:catAx>
        <c:axId val="35577436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1" i="0" u="none" strike="noStrike" kern="1200" cap="all" baseline="0">
                <a:solidFill>
                  <a:schemeClr val="dk1">
                    <a:lumMod val="75000"/>
                    <a:lumOff val="25000"/>
                  </a:schemeClr>
                </a:solidFill>
                <a:latin typeface="+mn-lt"/>
                <a:ea typeface="+mn-ea"/>
                <a:cs typeface="+mn-cs"/>
              </a:defRPr>
            </a:pPr>
            <a:endParaRPr lang="bg-BG"/>
          </a:p>
        </c:txPr>
        <c:crossAx val="355774752"/>
        <c:crosses val="autoZero"/>
        <c:auto val="1"/>
        <c:lblAlgn val="ctr"/>
        <c:lblOffset val="100"/>
        <c:noMultiLvlLbl val="0"/>
      </c:catAx>
      <c:valAx>
        <c:axId val="355774752"/>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 sourceLinked="1"/>
        <c:majorTickMark val="none"/>
        <c:minorTickMark val="none"/>
        <c:tickLblPos val="nextTo"/>
        <c:crossAx val="355774360"/>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bg-BG"/>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bg-BG"/>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bg-BG" sz="1200"/>
              <a:t>Коефициент</a:t>
            </a:r>
            <a:r>
              <a:rPr lang="bg-BG" sz="1200" baseline="0"/>
              <a:t> на безработица в %</a:t>
            </a:r>
            <a:endParaRPr lang="en-US" sz="1200"/>
          </a:p>
        </c:rich>
      </c:tx>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bg-BG"/>
        </a:p>
      </c:txPr>
    </c:title>
    <c:autoTitleDeleted val="0"/>
    <c:plotArea>
      <c:layout/>
      <c:barChart>
        <c:barDir val="col"/>
        <c:grouping val="clustered"/>
        <c:varyColors val="0"/>
        <c:ser>
          <c:idx val="0"/>
          <c:order val="0"/>
          <c:tx>
            <c:strRef>
              <c:f>'Seaports '!$B$26</c:f>
              <c:strCache>
                <c:ptCount val="1"/>
                <c:pt idx="0">
                  <c:v>Средно за България</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'Seaports '!$C$25:$G$25</c:f>
              <c:numCache>
                <c:formatCode>General</c:formatCode>
                <c:ptCount val="5"/>
                <c:pt idx="0">
                  <c:v>2016</c:v>
                </c:pt>
                <c:pt idx="1">
                  <c:v>2017</c:v>
                </c:pt>
                <c:pt idx="2">
                  <c:v>2018</c:v>
                </c:pt>
                <c:pt idx="3">
                  <c:v>2019</c:v>
                </c:pt>
                <c:pt idx="4">
                  <c:v>2020</c:v>
                </c:pt>
              </c:numCache>
            </c:numRef>
          </c:cat>
          <c:val>
            <c:numRef>
              <c:f>'Seaports '!$C$26:$G$26</c:f>
              <c:numCache>
                <c:formatCode>0.0</c:formatCode>
                <c:ptCount val="5"/>
                <c:pt idx="0">
                  <c:v>6.7</c:v>
                </c:pt>
                <c:pt idx="1">
                  <c:v>5.7</c:v>
                </c:pt>
                <c:pt idx="2">
                  <c:v>4.7</c:v>
                </c:pt>
                <c:pt idx="3">
                  <c:v>5.9</c:v>
                </c:pt>
                <c:pt idx="4">
                  <c:v>6.7</c:v>
                </c:pt>
              </c:numCache>
            </c:numRef>
          </c:val>
          <c:extLst>
            <c:ext xmlns:c16="http://schemas.microsoft.com/office/drawing/2014/chart" uri="{C3380CC4-5D6E-409C-BE32-E72D297353CC}">
              <c16:uniqueId val="{00000000-D042-4306-AE53-687FAD923260}"/>
            </c:ext>
          </c:extLst>
        </c:ser>
        <c:ser>
          <c:idx val="1"/>
          <c:order val="1"/>
          <c:tx>
            <c:strRef>
              <c:f>'Seaports '!$B$27</c:f>
              <c:strCache>
                <c:ptCount val="1"/>
                <c:pt idx="0">
                  <c:v>Област Бургас</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'Seaports '!$C$25:$G$25</c:f>
              <c:numCache>
                <c:formatCode>General</c:formatCode>
                <c:ptCount val="5"/>
                <c:pt idx="0">
                  <c:v>2016</c:v>
                </c:pt>
                <c:pt idx="1">
                  <c:v>2017</c:v>
                </c:pt>
                <c:pt idx="2">
                  <c:v>2018</c:v>
                </c:pt>
                <c:pt idx="3">
                  <c:v>2019</c:v>
                </c:pt>
                <c:pt idx="4">
                  <c:v>2020</c:v>
                </c:pt>
              </c:numCache>
            </c:numRef>
          </c:cat>
          <c:val>
            <c:numRef>
              <c:f>'Seaports '!$C$27:$G$27</c:f>
              <c:numCache>
                <c:formatCode>0.0</c:formatCode>
                <c:ptCount val="5"/>
                <c:pt idx="0">
                  <c:v>8.9</c:v>
                </c:pt>
                <c:pt idx="1">
                  <c:v>8.6999999999999993</c:v>
                </c:pt>
                <c:pt idx="2">
                  <c:v>5.3</c:v>
                </c:pt>
                <c:pt idx="3">
                  <c:v>3.6</c:v>
                </c:pt>
                <c:pt idx="4">
                  <c:v>4.9000000000000004</c:v>
                </c:pt>
              </c:numCache>
            </c:numRef>
          </c:val>
          <c:extLst>
            <c:ext xmlns:c16="http://schemas.microsoft.com/office/drawing/2014/chart" uri="{C3380CC4-5D6E-409C-BE32-E72D297353CC}">
              <c16:uniqueId val="{00000001-D042-4306-AE53-687FAD923260}"/>
            </c:ext>
          </c:extLst>
        </c:ser>
        <c:dLbls>
          <c:dLblPos val="inEnd"/>
          <c:showLegendKey val="0"/>
          <c:showVal val="1"/>
          <c:showCatName val="0"/>
          <c:showSerName val="0"/>
          <c:showPercent val="0"/>
          <c:showBubbleSize val="0"/>
        </c:dLbls>
        <c:gapWidth val="65"/>
        <c:axId val="499290968"/>
        <c:axId val="499291360"/>
      </c:barChart>
      <c:catAx>
        <c:axId val="49929096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bg-BG"/>
          </a:p>
        </c:txPr>
        <c:crossAx val="499291360"/>
        <c:crosses val="autoZero"/>
        <c:auto val="1"/>
        <c:lblAlgn val="ctr"/>
        <c:lblOffset val="100"/>
        <c:noMultiLvlLbl val="0"/>
      </c:catAx>
      <c:valAx>
        <c:axId val="499291360"/>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 sourceLinked="1"/>
        <c:majorTickMark val="none"/>
        <c:minorTickMark val="none"/>
        <c:tickLblPos val="nextTo"/>
        <c:crossAx val="499290968"/>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bg-BG"/>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bg-BG"/>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bg-BG" sz="1200"/>
              <a:t>Ръст</a:t>
            </a:r>
            <a:r>
              <a:rPr lang="bg-BG" sz="1200" baseline="0"/>
              <a:t> на БВП на глава от населението в %</a:t>
            </a:r>
            <a:endParaRPr lang="en-US" sz="1200"/>
          </a:p>
        </c:rich>
      </c:tx>
      <c:layout>
        <c:manualLayout>
          <c:xMode val="edge"/>
          <c:yMode val="edge"/>
          <c:x val="0.15865266841644796"/>
          <c:y val="2.4305555555555556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bg-BG"/>
        </a:p>
      </c:txPr>
    </c:title>
    <c:autoTitleDeleted val="0"/>
    <c:plotArea>
      <c:layout/>
      <c:barChart>
        <c:barDir val="col"/>
        <c:grouping val="clustered"/>
        <c:varyColors val="0"/>
        <c:ser>
          <c:idx val="0"/>
          <c:order val="0"/>
          <c:tx>
            <c:strRef>
              <c:f>'Seaports '!$B$30</c:f>
              <c:strCache>
                <c:ptCount val="1"/>
                <c:pt idx="0">
                  <c:v>Средно за България</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'Seaports '!$C$29:$G$29</c:f>
              <c:numCache>
                <c:formatCode>General</c:formatCode>
                <c:ptCount val="5"/>
                <c:pt idx="0">
                  <c:v>2016</c:v>
                </c:pt>
                <c:pt idx="1">
                  <c:v>2017</c:v>
                </c:pt>
                <c:pt idx="2">
                  <c:v>2018</c:v>
                </c:pt>
                <c:pt idx="3">
                  <c:v>2019</c:v>
                </c:pt>
                <c:pt idx="4">
                  <c:v>2020</c:v>
                </c:pt>
              </c:numCache>
            </c:numRef>
          </c:cat>
          <c:val>
            <c:numRef>
              <c:f>'Seaports '!$C$30:$G$30</c:f>
              <c:numCache>
                <c:formatCode>0.00</c:formatCode>
                <c:ptCount val="5"/>
                <c:pt idx="0">
                  <c:v>7.2368421052631584</c:v>
                </c:pt>
                <c:pt idx="1">
                  <c:v>8.3698510078878172</c:v>
                </c:pt>
                <c:pt idx="2">
                  <c:v>7.9929909691333068</c:v>
                </c:pt>
                <c:pt idx="3">
                  <c:v>8.3374937593609584</c:v>
                </c:pt>
                <c:pt idx="4">
                  <c:v>1.8990582121357642</c:v>
                </c:pt>
              </c:numCache>
            </c:numRef>
          </c:val>
          <c:extLst>
            <c:ext xmlns:c16="http://schemas.microsoft.com/office/drawing/2014/chart" uri="{C3380CC4-5D6E-409C-BE32-E72D297353CC}">
              <c16:uniqueId val="{00000000-440E-4109-8560-E272FCF19067}"/>
            </c:ext>
          </c:extLst>
        </c:ser>
        <c:ser>
          <c:idx val="1"/>
          <c:order val="1"/>
          <c:tx>
            <c:strRef>
              <c:f>'Seaports '!$B$31</c:f>
              <c:strCache>
                <c:ptCount val="1"/>
                <c:pt idx="0">
                  <c:v>Област Бургас</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bg-BG"/>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'Seaports '!$C$29:$G$29</c:f>
              <c:numCache>
                <c:formatCode>General</c:formatCode>
                <c:ptCount val="5"/>
                <c:pt idx="0">
                  <c:v>2016</c:v>
                </c:pt>
                <c:pt idx="1">
                  <c:v>2017</c:v>
                </c:pt>
                <c:pt idx="2">
                  <c:v>2018</c:v>
                </c:pt>
                <c:pt idx="3">
                  <c:v>2019</c:v>
                </c:pt>
                <c:pt idx="4">
                  <c:v>2020</c:v>
                </c:pt>
              </c:numCache>
            </c:numRef>
          </c:cat>
          <c:val>
            <c:numRef>
              <c:f>'Seaports '!$C$31:$G$31</c:f>
              <c:numCache>
                <c:formatCode>0.00</c:formatCode>
                <c:ptCount val="5"/>
                <c:pt idx="0" formatCode="General">
                  <c:v>8.9</c:v>
                </c:pt>
                <c:pt idx="1">
                  <c:v>8.1639683086462291</c:v>
                </c:pt>
                <c:pt idx="2">
                  <c:v>0.44585987261146498</c:v>
                </c:pt>
                <c:pt idx="3">
                  <c:v>7.0624603677869366</c:v>
                </c:pt>
                <c:pt idx="4">
                  <c:v>-17.220700377581995</c:v>
                </c:pt>
              </c:numCache>
            </c:numRef>
          </c:val>
          <c:extLst>
            <c:ext xmlns:c16="http://schemas.microsoft.com/office/drawing/2014/chart" uri="{C3380CC4-5D6E-409C-BE32-E72D297353CC}">
              <c16:uniqueId val="{00000001-440E-4109-8560-E272FCF19067}"/>
            </c:ext>
          </c:extLst>
        </c:ser>
        <c:dLbls>
          <c:dLblPos val="inEnd"/>
          <c:showLegendKey val="0"/>
          <c:showVal val="1"/>
          <c:showCatName val="0"/>
          <c:showSerName val="0"/>
          <c:showPercent val="0"/>
          <c:showBubbleSize val="0"/>
        </c:dLbls>
        <c:gapWidth val="65"/>
        <c:axId val="499292144"/>
        <c:axId val="499288616"/>
      </c:barChart>
      <c:catAx>
        <c:axId val="49929214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bg-BG"/>
          </a:p>
        </c:txPr>
        <c:crossAx val="499288616"/>
        <c:crosses val="autoZero"/>
        <c:auto val="1"/>
        <c:lblAlgn val="ctr"/>
        <c:lblOffset val="100"/>
        <c:noMultiLvlLbl val="0"/>
      </c:catAx>
      <c:valAx>
        <c:axId val="49928861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 sourceLinked="1"/>
        <c:majorTickMark val="none"/>
        <c:minorTickMark val="none"/>
        <c:tickLblPos val="nextTo"/>
        <c:crossAx val="499292144"/>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bg-BG"/>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bg-BG"/>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bg-BG" sz="1200"/>
              <a:t>Товарооборт в морските пристанища в хил.тона</a:t>
            </a:r>
          </a:p>
        </c:rich>
      </c:tx>
      <c:overlay val="0"/>
      <c:spPr>
        <a:noFill/>
        <a:ln>
          <a:noFill/>
        </a:ln>
        <a:effectLst/>
      </c:spPr>
    </c:title>
    <c:autoTitleDeleted val="0"/>
    <c:plotArea>
      <c:layout/>
      <c:barChart>
        <c:barDir val="col"/>
        <c:grouping val="clustered"/>
        <c:varyColors val="0"/>
        <c:ser>
          <c:idx val="0"/>
          <c:order val="0"/>
          <c:tx>
            <c:strRef>
              <c:f>Статистика!$I$10</c:f>
              <c:strCache>
                <c:ptCount val="1"/>
                <c:pt idx="0">
                  <c:v>млн.ткм</c:v>
                </c:pt>
              </c:strCache>
            </c:strRef>
          </c:tx>
          <c:spPr>
            <a:solidFill>
              <a:schemeClr val="accent1"/>
            </a:solidFill>
            <a:ln>
              <a:noFill/>
            </a:ln>
            <a:effectLst/>
          </c:spPr>
          <c:invertIfNegative val="0"/>
          <c:cat>
            <c:numRef>
              <c:f>Статистика!$J$9:$T$9</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Статистика!$J$10:$T$10</c:f>
              <c:numCache>
                <c:formatCode>General</c:formatCode>
                <c:ptCount val="11"/>
                <c:pt idx="0">
                  <c:v>25185</c:v>
                </c:pt>
                <c:pt idx="1">
                  <c:v>26012</c:v>
                </c:pt>
                <c:pt idx="2">
                  <c:v>28841</c:v>
                </c:pt>
                <c:pt idx="3">
                  <c:v>27235</c:v>
                </c:pt>
                <c:pt idx="4">
                  <c:v>27166</c:v>
                </c:pt>
                <c:pt idx="5">
                  <c:v>28685</c:v>
                </c:pt>
                <c:pt idx="6">
                  <c:v>30953</c:v>
                </c:pt>
                <c:pt idx="7">
                  <c:v>27868</c:v>
                </c:pt>
                <c:pt idx="8">
                  <c:v>30997</c:v>
                </c:pt>
                <c:pt idx="9">
                  <c:v>25258</c:v>
                </c:pt>
                <c:pt idx="10">
                  <c:v>27585</c:v>
                </c:pt>
              </c:numCache>
            </c:numRef>
          </c:val>
          <c:extLst>
            <c:ext xmlns:c16="http://schemas.microsoft.com/office/drawing/2014/chart" uri="{C3380CC4-5D6E-409C-BE32-E72D297353CC}">
              <c16:uniqueId val="{00000000-35DD-476A-83C4-0B29AF4BE785}"/>
            </c:ext>
          </c:extLst>
        </c:ser>
        <c:dLbls>
          <c:showLegendKey val="0"/>
          <c:showVal val="0"/>
          <c:showCatName val="0"/>
          <c:showSerName val="0"/>
          <c:showPercent val="0"/>
          <c:showBubbleSize val="0"/>
        </c:dLbls>
        <c:gapWidth val="219"/>
        <c:overlap val="-27"/>
        <c:axId val="499289400"/>
        <c:axId val="505842216"/>
      </c:barChart>
      <c:catAx>
        <c:axId val="499289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505842216"/>
        <c:crosses val="autoZero"/>
        <c:auto val="1"/>
        <c:lblAlgn val="ctr"/>
        <c:lblOffset val="100"/>
        <c:noMultiLvlLbl val="0"/>
      </c:catAx>
      <c:valAx>
        <c:axId val="5058422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4992894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bg-BG" sz="1200" baseline="0"/>
              <a:t>Товарооборот в речните пристанища в хил. тона</a:t>
            </a:r>
            <a:endParaRPr lang="bg-BG" sz="1200"/>
          </a:p>
        </c:rich>
      </c:tx>
      <c:overlay val="0"/>
      <c:spPr>
        <a:noFill/>
        <a:ln>
          <a:noFill/>
        </a:ln>
        <a:effectLst/>
      </c:spPr>
    </c:title>
    <c:autoTitleDeleted val="0"/>
    <c:plotArea>
      <c:layout/>
      <c:barChart>
        <c:barDir val="col"/>
        <c:grouping val="clustered"/>
        <c:varyColors val="0"/>
        <c:ser>
          <c:idx val="0"/>
          <c:order val="0"/>
          <c:tx>
            <c:strRef>
              <c:f>Статистика!$I$20</c:f>
              <c:strCache>
                <c:ptCount val="1"/>
                <c:pt idx="0">
                  <c:v>млн.ткм</c:v>
                </c:pt>
              </c:strCache>
            </c:strRef>
          </c:tx>
          <c:spPr>
            <a:solidFill>
              <a:schemeClr val="accent2"/>
            </a:solidFill>
            <a:ln>
              <a:noFill/>
            </a:ln>
            <a:effectLst/>
          </c:spPr>
          <c:invertIfNegative val="0"/>
          <c:cat>
            <c:numRef>
              <c:f>Статистика!$J$19:$T$19</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Статистика!$J$20:$T$20</c:f>
              <c:numCache>
                <c:formatCode>General</c:formatCode>
                <c:ptCount val="11"/>
                <c:pt idx="0">
                  <c:v>4230</c:v>
                </c:pt>
                <c:pt idx="1">
                  <c:v>3894</c:v>
                </c:pt>
                <c:pt idx="2">
                  <c:v>3831</c:v>
                </c:pt>
                <c:pt idx="3">
                  <c:v>4529</c:v>
                </c:pt>
                <c:pt idx="4">
                  <c:v>4568</c:v>
                </c:pt>
                <c:pt idx="5">
                  <c:v>3993</c:v>
                </c:pt>
                <c:pt idx="6">
                  <c:v>3705</c:v>
                </c:pt>
                <c:pt idx="7">
                  <c:v>3547</c:v>
                </c:pt>
                <c:pt idx="8">
                  <c:v>4038</c:v>
                </c:pt>
                <c:pt idx="9">
                  <c:v>3815</c:v>
                </c:pt>
                <c:pt idx="10">
                  <c:v>3871</c:v>
                </c:pt>
              </c:numCache>
            </c:numRef>
          </c:val>
          <c:extLst>
            <c:ext xmlns:c16="http://schemas.microsoft.com/office/drawing/2014/chart" uri="{C3380CC4-5D6E-409C-BE32-E72D297353CC}">
              <c16:uniqueId val="{00000000-7526-4540-8D5D-520FA358F2E2}"/>
            </c:ext>
          </c:extLst>
        </c:ser>
        <c:dLbls>
          <c:showLegendKey val="0"/>
          <c:showVal val="0"/>
          <c:showCatName val="0"/>
          <c:showSerName val="0"/>
          <c:showPercent val="0"/>
          <c:showBubbleSize val="0"/>
        </c:dLbls>
        <c:gapWidth val="219"/>
        <c:overlap val="-27"/>
        <c:axId val="505842608"/>
        <c:axId val="505841040"/>
      </c:barChart>
      <c:catAx>
        <c:axId val="50584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505841040"/>
        <c:crosses val="autoZero"/>
        <c:auto val="1"/>
        <c:lblAlgn val="ctr"/>
        <c:lblOffset val="100"/>
        <c:noMultiLvlLbl val="0"/>
      </c:catAx>
      <c:valAx>
        <c:axId val="5058410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5058426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bg-BG" sz="1200"/>
              <a:t>Превозени</a:t>
            </a:r>
            <a:r>
              <a:rPr lang="bg-BG" sz="1200" baseline="0"/>
              <a:t> </a:t>
            </a:r>
            <a:r>
              <a:rPr lang="bg-BG" sz="1200"/>
              <a:t>бр.пътници с воден транспорт</a:t>
            </a:r>
          </a:p>
        </c:rich>
      </c:tx>
      <c:overlay val="0"/>
      <c:spPr>
        <a:noFill/>
        <a:ln>
          <a:noFill/>
        </a:ln>
        <a:effectLst/>
      </c:spPr>
    </c:title>
    <c:autoTitleDeleted val="0"/>
    <c:plotArea>
      <c:layout/>
      <c:barChart>
        <c:barDir val="col"/>
        <c:grouping val="clustered"/>
        <c:varyColors val="0"/>
        <c:ser>
          <c:idx val="0"/>
          <c:order val="0"/>
          <c:tx>
            <c:strRef>
              <c:f>Статистика!$A$29</c:f>
              <c:strCache>
                <c:ptCount val="1"/>
                <c:pt idx="0">
                  <c:v>бр.пътници за година</c:v>
                </c:pt>
              </c:strCache>
            </c:strRef>
          </c:tx>
          <c:spPr>
            <a:solidFill>
              <a:srgbClr val="92D050"/>
            </a:solidFill>
            <a:ln>
              <a:noFill/>
            </a:ln>
            <a:effectLst/>
          </c:spPr>
          <c:invertIfNegative val="0"/>
          <c:cat>
            <c:numRef>
              <c:f>Статистика!$B$28:$I$28</c:f>
              <c:numCache>
                <c:formatCode>General</c:formatCode>
                <c:ptCount val="8"/>
                <c:pt idx="0">
                  <c:v>2014</c:v>
                </c:pt>
                <c:pt idx="1">
                  <c:v>2015</c:v>
                </c:pt>
                <c:pt idx="2">
                  <c:v>2016</c:v>
                </c:pt>
                <c:pt idx="3">
                  <c:v>2017</c:v>
                </c:pt>
                <c:pt idx="4">
                  <c:v>2018</c:v>
                </c:pt>
                <c:pt idx="5">
                  <c:v>2019</c:v>
                </c:pt>
                <c:pt idx="6">
                  <c:v>2020</c:v>
                </c:pt>
                <c:pt idx="7">
                  <c:v>2021</c:v>
                </c:pt>
              </c:numCache>
            </c:numRef>
          </c:cat>
          <c:val>
            <c:numRef>
              <c:f>Статистика!$B$29:$I$29</c:f>
              <c:numCache>
                <c:formatCode>#,##0</c:formatCode>
                <c:ptCount val="8"/>
                <c:pt idx="0">
                  <c:v>90400</c:v>
                </c:pt>
                <c:pt idx="1">
                  <c:v>114700</c:v>
                </c:pt>
                <c:pt idx="2">
                  <c:v>119200</c:v>
                </c:pt>
                <c:pt idx="3">
                  <c:v>108500</c:v>
                </c:pt>
                <c:pt idx="4">
                  <c:v>113900</c:v>
                </c:pt>
                <c:pt idx="5" formatCode="General">
                  <c:v>127800</c:v>
                </c:pt>
                <c:pt idx="6" formatCode="General">
                  <c:v>65200</c:v>
                </c:pt>
                <c:pt idx="7" formatCode="General">
                  <c:v>96414</c:v>
                </c:pt>
              </c:numCache>
            </c:numRef>
          </c:val>
          <c:extLst>
            <c:ext xmlns:c16="http://schemas.microsoft.com/office/drawing/2014/chart" uri="{C3380CC4-5D6E-409C-BE32-E72D297353CC}">
              <c16:uniqueId val="{00000000-7095-41D7-82E3-6F507A91997D}"/>
            </c:ext>
          </c:extLst>
        </c:ser>
        <c:dLbls>
          <c:showLegendKey val="0"/>
          <c:showVal val="0"/>
          <c:showCatName val="0"/>
          <c:showSerName val="0"/>
          <c:showPercent val="0"/>
          <c:showBubbleSize val="0"/>
        </c:dLbls>
        <c:gapWidth val="219"/>
        <c:overlap val="-27"/>
        <c:axId val="505839864"/>
        <c:axId val="505840256"/>
      </c:barChart>
      <c:catAx>
        <c:axId val="505839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505840256"/>
        <c:crosses val="autoZero"/>
        <c:auto val="1"/>
        <c:lblAlgn val="ctr"/>
        <c:lblOffset val="100"/>
        <c:noMultiLvlLbl val="0"/>
      </c:catAx>
      <c:valAx>
        <c:axId val="5058402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5058398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E2FF2A-651B-47E9-BF88-3E498626B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150</Pages>
  <Words>40384</Words>
  <Characters>230193</Characters>
  <Application>Microsoft Office Word</Application>
  <DocSecurity>0</DocSecurity>
  <Lines>1918</Lines>
  <Paragraphs>540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Mariya Tchakarova</dc:creator>
  <cp:keywords/>
  <dc:description/>
  <cp:lastModifiedBy>User 1214</cp:lastModifiedBy>
  <cp:revision>5</cp:revision>
  <cp:lastPrinted>2023-08-04T09:23:00Z</cp:lastPrinted>
  <dcterms:created xsi:type="dcterms:W3CDTF">2023-12-07T12:38:00Z</dcterms:created>
  <dcterms:modified xsi:type="dcterms:W3CDTF">2023-12-07T12:41:00Z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98021814e320e1dd94a37055aec70c48c916481aa67c5b6cb6edade7c350cb0a</vt:lpwstr>
  </property>
</Properties>
</file>