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gif" ContentType="image/gif"/>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header3.xml" ContentType="application/vnd.openxmlformats-officedocument.wordprocessingml.head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style1.xml" ContentType="application/vnd.ms-office.chartstyle+xml"/>
  <Override PartName="/word/charts/colors1.xml" ContentType="application/vnd.ms-office.chartcolorstyle+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BC0CFE1" w14:textId="77777777" w:rsidR="003912F8" w:rsidRPr="00BB0022" w:rsidRDefault="003912F8" w:rsidP="003912F8">
      <w:pPr>
        <w:jc w:val="both"/>
        <w:rPr>
          <w:rFonts w:cs="Arial"/>
          <w:lang w:val="en-GB"/>
        </w:rPr>
      </w:pPr>
      <w:bookmarkStart w:id="0" w:name="_Hlk20663577"/>
      <w:bookmarkStart w:id="1" w:name="_Toc240964732"/>
      <w:bookmarkStart w:id="2" w:name="_Toc196489871"/>
      <w:bookmarkStart w:id="3" w:name="_Toc224301911"/>
      <w:bookmarkEnd w:id="0"/>
    </w:p>
    <w:p w14:paraId="0EF3DDD5" w14:textId="77777777" w:rsidR="00EA5C92" w:rsidRPr="002E1E19" w:rsidRDefault="00EA5C92" w:rsidP="003912F8">
      <w:pPr>
        <w:jc w:val="both"/>
        <w:rPr>
          <w:rFonts w:cs="Arial"/>
        </w:rPr>
      </w:pPr>
    </w:p>
    <w:p w14:paraId="3C91E7DB" w14:textId="77777777" w:rsidR="003912F8" w:rsidRDefault="003912F8" w:rsidP="003912F8">
      <w:pPr>
        <w:pStyle w:val="a"/>
        <w:ind w:left="1701"/>
        <w:rPr>
          <w:rFonts w:ascii="Arial" w:hAnsi="Arial" w:cs="Arial"/>
        </w:rPr>
      </w:pPr>
    </w:p>
    <w:p w14:paraId="44788E3B" w14:textId="77777777" w:rsidR="00687C58" w:rsidRPr="002E1E19" w:rsidRDefault="00687C58" w:rsidP="003912F8">
      <w:pPr>
        <w:pStyle w:val="a"/>
        <w:ind w:left="1701"/>
        <w:rPr>
          <w:rFonts w:ascii="Arial" w:hAnsi="Arial" w:cs="Arial"/>
        </w:rPr>
      </w:pPr>
    </w:p>
    <w:p w14:paraId="5FF546D2" w14:textId="77777777" w:rsidR="003912F8" w:rsidRPr="00687C58" w:rsidRDefault="003912F8" w:rsidP="003912F8">
      <w:pPr>
        <w:tabs>
          <w:tab w:val="left" w:pos="540"/>
        </w:tabs>
        <w:jc w:val="both"/>
        <w:rPr>
          <w:rFonts w:cs="Arial"/>
          <w:b/>
          <w:bCs/>
          <w:i/>
          <w:iCs/>
          <w:smallCaps/>
          <w:color w:val="808080"/>
          <w:sz w:val="56"/>
          <w:szCs w:val="56"/>
        </w:rPr>
      </w:pPr>
    </w:p>
    <w:p w14:paraId="5FAADAE0" w14:textId="77777777" w:rsidR="00F75F06" w:rsidRPr="00687C58" w:rsidRDefault="00687C58"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АНАЛИЗ „РАЗХОДИ – ПОЛЗИ“</w:t>
      </w:r>
    </w:p>
    <w:p w14:paraId="389BB57E" w14:textId="77777777" w:rsidR="000602E4" w:rsidRDefault="000602E4" w:rsidP="00F75F06">
      <w:pPr>
        <w:pStyle w:val="Footer"/>
        <w:tabs>
          <w:tab w:val="clear" w:pos="4703"/>
        </w:tabs>
        <w:spacing w:line="360" w:lineRule="auto"/>
        <w:jc w:val="center"/>
        <w:rPr>
          <w:rFonts w:cs="Arial"/>
          <w:b/>
          <w:iCs/>
          <w:sz w:val="56"/>
          <w:szCs w:val="56"/>
          <w:lang w:eastAsia="ar-SA"/>
        </w:rPr>
      </w:pPr>
    </w:p>
    <w:p w14:paraId="488E6EC0" w14:textId="77777777" w:rsidR="00F75F06" w:rsidRPr="00687C58" w:rsidRDefault="00A61B5E" w:rsidP="00F75F06">
      <w:pPr>
        <w:pStyle w:val="Footer"/>
        <w:tabs>
          <w:tab w:val="clear" w:pos="4703"/>
        </w:tabs>
        <w:spacing w:line="360" w:lineRule="auto"/>
        <w:jc w:val="center"/>
        <w:rPr>
          <w:rFonts w:cs="Arial"/>
          <w:b/>
          <w:iCs/>
          <w:sz w:val="56"/>
          <w:szCs w:val="56"/>
          <w:lang w:eastAsia="ar-SA"/>
        </w:rPr>
      </w:pPr>
      <w:r w:rsidRPr="00687C58">
        <w:rPr>
          <w:rFonts w:cs="Arial"/>
          <w:b/>
          <w:iCs/>
          <w:sz w:val="56"/>
          <w:szCs w:val="56"/>
          <w:lang w:eastAsia="ar-SA"/>
        </w:rPr>
        <w:t>за проект</w:t>
      </w:r>
    </w:p>
    <w:p w14:paraId="1B3B9CA3" w14:textId="77777777" w:rsidR="003912F8" w:rsidRPr="002E1E19" w:rsidRDefault="00687C58" w:rsidP="00687C58">
      <w:pPr>
        <w:pStyle w:val="a8"/>
        <w:spacing w:before="120" w:after="120" w:line="360" w:lineRule="auto"/>
        <w:rPr>
          <w:rFonts w:ascii="Arial" w:hAnsi="Arial" w:cs="Arial"/>
          <w:color w:val="auto"/>
        </w:rPr>
      </w:pPr>
      <w:r>
        <w:rPr>
          <w:rFonts w:ascii="Arial" w:hAnsi="Arial" w:cs="Arial"/>
          <w:color w:val="auto"/>
          <w:sz w:val="40"/>
          <w:szCs w:val="40"/>
        </w:rPr>
        <w:t>„</w:t>
      </w:r>
      <w:r w:rsidRPr="00687C58">
        <w:rPr>
          <w:rFonts w:ascii="Arial" w:hAnsi="Arial" w:cs="Arial"/>
          <w:color w:val="auto"/>
          <w:sz w:val="40"/>
          <w:szCs w:val="40"/>
        </w:rPr>
        <w:t>Превенция от наводнение на гр. Лом и терминал Лом</w:t>
      </w:r>
      <w:r>
        <w:rPr>
          <w:rFonts w:ascii="Arial" w:hAnsi="Arial" w:cs="Arial"/>
          <w:color w:val="auto"/>
          <w:sz w:val="40"/>
          <w:szCs w:val="40"/>
        </w:rPr>
        <w:t>,</w:t>
      </w:r>
      <w:r w:rsidRPr="00687C58">
        <w:rPr>
          <w:rFonts w:ascii="Arial" w:hAnsi="Arial" w:cs="Arial"/>
          <w:color w:val="auto"/>
          <w:sz w:val="40"/>
          <w:szCs w:val="40"/>
        </w:rPr>
        <w:t xml:space="preserve"> чрез реконструкция на Източен кей</w:t>
      </w:r>
      <w:r>
        <w:rPr>
          <w:rFonts w:ascii="Arial" w:hAnsi="Arial" w:cs="Arial"/>
          <w:color w:val="auto"/>
          <w:sz w:val="40"/>
          <w:szCs w:val="40"/>
        </w:rPr>
        <w:t>“</w:t>
      </w:r>
    </w:p>
    <w:p w14:paraId="58F4C75F" w14:textId="77777777" w:rsidR="003912F8" w:rsidRPr="002E1E19" w:rsidRDefault="003912F8" w:rsidP="00C02D5D">
      <w:pPr>
        <w:pStyle w:val="a8"/>
        <w:rPr>
          <w:rFonts w:ascii="Arial" w:hAnsi="Arial" w:cs="Arial"/>
          <w:color w:val="auto"/>
        </w:rPr>
      </w:pPr>
    </w:p>
    <w:p w14:paraId="41915D28" w14:textId="77777777" w:rsidR="00F75F06" w:rsidRPr="002E1E19" w:rsidRDefault="00F75F06" w:rsidP="00C02D5D">
      <w:pPr>
        <w:pStyle w:val="a8"/>
        <w:rPr>
          <w:rFonts w:ascii="Arial" w:hAnsi="Arial" w:cs="Arial"/>
          <w:color w:val="auto"/>
        </w:rPr>
      </w:pPr>
    </w:p>
    <w:p w14:paraId="00AF929D" w14:textId="77777777" w:rsidR="00F75F06" w:rsidRPr="002E1E19" w:rsidRDefault="00F75F06" w:rsidP="00C02D5D">
      <w:pPr>
        <w:pStyle w:val="a8"/>
        <w:rPr>
          <w:rFonts w:ascii="Arial" w:hAnsi="Arial" w:cs="Arial"/>
          <w:color w:val="auto"/>
        </w:rPr>
      </w:pPr>
    </w:p>
    <w:p w14:paraId="6A9844A9" w14:textId="77777777" w:rsidR="00687C58" w:rsidRDefault="00687C58" w:rsidP="003912F8">
      <w:pPr>
        <w:pStyle w:val="a8"/>
        <w:rPr>
          <w:rFonts w:ascii="Arial" w:hAnsi="Arial" w:cs="Arial"/>
          <w:color w:val="auto"/>
        </w:rPr>
      </w:pPr>
    </w:p>
    <w:p w14:paraId="6E8EE700" w14:textId="77777777" w:rsidR="00687C58" w:rsidRDefault="00687C58" w:rsidP="003912F8">
      <w:pPr>
        <w:pStyle w:val="a8"/>
        <w:rPr>
          <w:rFonts w:ascii="Arial" w:hAnsi="Arial" w:cs="Arial"/>
          <w:color w:val="auto"/>
        </w:rPr>
      </w:pPr>
    </w:p>
    <w:p w14:paraId="7B40EDF9" w14:textId="77777777" w:rsidR="00687C58" w:rsidRDefault="00687C58" w:rsidP="003912F8">
      <w:pPr>
        <w:pStyle w:val="a8"/>
        <w:rPr>
          <w:rFonts w:ascii="Arial" w:hAnsi="Arial" w:cs="Arial"/>
          <w:color w:val="auto"/>
        </w:rPr>
      </w:pPr>
    </w:p>
    <w:p w14:paraId="04F656C8" w14:textId="77777777" w:rsidR="00687C58" w:rsidRDefault="00687C58" w:rsidP="003912F8">
      <w:pPr>
        <w:pStyle w:val="a8"/>
        <w:rPr>
          <w:rFonts w:ascii="Arial" w:hAnsi="Arial" w:cs="Arial"/>
          <w:color w:val="auto"/>
        </w:rPr>
      </w:pPr>
    </w:p>
    <w:p w14:paraId="796BEABA" w14:textId="77777777" w:rsidR="00687C58" w:rsidRDefault="00687C58" w:rsidP="003912F8">
      <w:pPr>
        <w:pStyle w:val="a8"/>
        <w:rPr>
          <w:rFonts w:ascii="Arial" w:hAnsi="Arial" w:cs="Arial"/>
          <w:color w:val="auto"/>
        </w:rPr>
      </w:pPr>
    </w:p>
    <w:p w14:paraId="2A0C2A2A" w14:textId="01F9829F" w:rsidR="00CD5CAA" w:rsidRDefault="003912F8" w:rsidP="00687C58">
      <w:pPr>
        <w:pStyle w:val="a8"/>
        <w:rPr>
          <w:rFonts w:ascii="Arial" w:hAnsi="Arial" w:cs="Arial"/>
          <w:color w:val="auto"/>
        </w:rPr>
      </w:pPr>
      <w:r w:rsidRPr="00E15BFC">
        <w:rPr>
          <w:rFonts w:ascii="Arial" w:hAnsi="Arial" w:cs="Arial"/>
          <w:color w:val="auto"/>
        </w:rPr>
        <w:t xml:space="preserve">м. </w:t>
      </w:r>
      <w:r w:rsidR="00E51494">
        <w:rPr>
          <w:rFonts w:ascii="Arial" w:hAnsi="Arial" w:cs="Arial"/>
          <w:color w:val="auto"/>
        </w:rPr>
        <w:t>февруари</w:t>
      </w:r>
      <w:r w:rsidRPr="00F33975">
        <w:rPr>
          <w:rFonts w:ascii="Arial" w:hAnsi="Arial" w:cs="Arial"/>
          <w:color w:val="auto"/>
        </w:rPr>
        <w:t>, 202</w:t>
      </w:r>
      <w:r w:rsidR="00E51494">
        <w:rPr>
          <w:rFonts w:ascii="Arial" w:hAnsi="Arial" w:cs="Arial"/>
          <w:color w:val="auto"/>
        </w:rPr>
        <w:t>5</w:t>
      </w:r>
      <w:r w:rsidRPr="00F33975">
        <w:rPr>
          <w:rFonts w:ascii="Arial" w:hAnsi="Arial" w:cs="Arial"/>
          <w:color w:val="auto"/>
        </w:rPr>
        <w:t xml:space="preserve"> г</w:t>
      </w:r>
      <w:r w:rsidR="002D1ADB" w:rsidRPr="00F33975">
        <w:rPr>
          <w:rFonts w:ascii="Arial" w:hAnsi="Arial" w:cs="Arial"/>
          <w:color w:val="auto"/>
        </w:rPr>
        <w:t>.</w:t>
      </w:r>
    </w:p>
    <w:p w14:paraId="189CCF19" w14:textId="77777777" w:rsidR="00CD5CAA" w:rsidRDefault="00CD5CAA" w:rsidP="00687C58">
      <w:pPr>
        <w:pStyle w:val="a8"/>
        <w:rPr>
          <w:rFonts w:ascii="Arial" w:hAnsi="Arial" w:cs="Arial"/>
          <w:color w:val="auto"/>
        </w:rPr>
      </w:pPr>
    </w:p>
    <w:p w14:paraId="4ED1783E" w14:textId="77777777" w:rsidR="00CD5CAA" w:rsidRDefault="00CD5CAA" w:rsidP="00687C58">
      <w:pPr>
        <w:pStyle w:val="a8"/>
        <w:rPr>
          <w:rFonts w:ascii="Arial" w:hAnsi="Arial" w:cs="Arial"/>
          <w:color w:val="auto"/>
        </w:rPr>
      </w:pPr>
    </w:p>
    <w:p w14:paraId="52C1BDE9" w14:textId="77777777" w:rsidR="00CD5CAA" w:rsidRPr="00547828" w:rsidRDefault="00CD5CAA" w:rsidP="00687C58">
      <w:pPr>
        <w:pStyle w:val="a8"/>
        <w:rPr>
          <w:rFonts w:ascii="Arial" w:hAnsi="Arial" w:cs="Arial"/>
          <w:color w:val="auto"/>
          <w:lang w:val="en-US"/>
        </w:rPr>
      </w:pPr>
    </w:p>
    <w:p w14:paraId="3C18EAFD" w14:textId="2FBA495A" w:rsidR="00F75F06" w:rsidRPr="00687C58" w:rsidRDefault="00F75F06" w:rsidP="00687C58">
      <w:pPr>
        <w:pStyle w:val="a8"/>
        <w:rPr>
          <w:rFonts w:ascii="Arial" w:hAnsi="Arial" w:cs="Arial"/>
          <w:color w:val="auto"/>
        </w:rPr>
        <w:sectPr w:rsidR="00F75F06" w:rsidRPr="00687C58" w:rsidSect="00EC280C">
          <w:headerReference w:type="default" r:id="rId8"/>
          <w:headerReference w:type="first" r:id="rId9"/>
          <w:footerReference w:type="first" r:id="rId10"/>
          <w:pgSz w:w="11906" w:h="16838" w:code="9"/>
          <w:pgMar w:top="2160" w:right="1134" w:bottom="1418" w:left="1418" w:header="709" w:footer="578" w:gutter="0"/>
          <w:pgNumType w:start="0"/>
          <w:cols w:space="708"/>
          <w:docGrid w:linePitch="360"/>
        </w:sectPr>
      </w:pPr>
      <w:r w:rsidRPr="002E1E19">
        <w:rPr>
          <w:rFonts w:cs="Arial"/>
        </w:rPr>
        <w:br w:type="page"/>
      </w:r>
    </w:p>
    <w:p w14:paraId="30A19FA1" w14:textId="544CD914" w:rsidR="000F51CB" w:rsidRPr="00FF0D3F" w:rsidRDefault="00547D8F" w:rsidP="00FF0D3F">
      <w:pPr>
        <w:pStyle w:val="TOCHeading"/>
        <w:rPr>
          <w:rFonts w:ascii="Arial" w:hAnsi="Arial" w:cs="Arial"/>
          <w:bCs w:val="0"/>
          <w:caps/>
          <w:color w:val="auto"/>
          <w:sz w:val="24"/>
          <w:szCs w:val="20"/>
          <w:lang w:val="bg-BG"/>
        </w:rPr>
      </w:pPr>
      <w:r w:rsidRPr="00670591">
        <w:rPr>
          <w:rFonts w:ascii="Arial" w:hAnsi="Arial" w:cs="Arial"/>
          <w:bCs w:val="0"/>
          <w:caps/>
          <w:color w:val="auto"/>
          <w:sz w:val="24"/>
          <w:szCs w:val="20"/>
          <w:lang w:val="bg-BG"/>
        </w:rPr>
        <w:lastRenderedPageBreak/>
        <w:t>СЪДЪРЖАНИЕ:</w:t>
      </w:r>
    </w:p>
    <w:p w14:paraId="000D23DA" w14:textId="1C08C08F" w:rsidR="00794FF7" w:rsidRPr="00FF0D3F" w:rsidRDefault="00F11028"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r w:rsidRPr="00FF0D3F">
        <w:rPr>
          <w:rFonts w:ascii="Arial" w:hAnsi="Arial" w:cs="Arial"/>
          <w:sz w:val="22"/>
          <w:szCs w:val="22"/>
          <w:lang w:val="bg-BG"/>
        </w:rPr>
        <w:fldChar w:fldCharType="begin"/>
      </w:r>
      <w:r w:rsidR="00547D8F" w:rsidRPr="00FF0D3F">
        <w:rPr>
          <w:rFonts w:ascii="Arial" w:hAnsi="Arial" w:cs="Arial"/>
          <w:sz w:val="22"/>
          <w:szCs w:val="22"/>
          <w:lang w:val="bg-BG"/>
        </w:rPr>
        <w:instrText xml:space="preserve"> TOC \o "1-3" \h \z \u </w:instrText>
      </w:r>
      <w:r w:rsidRPr="00FF0D3F">
        <w:rPr>
          <w:rFonts w:ascii="Arial" w:hAnsi="Arial" w:cs="Arial"/>
          <w:sz w:val="22"/>
          <w:szCs w:val="22"/>
          <w:lang w:val="bg-BG"/>
        </w:rPr>
        <w:fldChar w:fldCharType="separate"/>
      </w:r>
      <w:hyperlink w:anchor="_Toc143694157" w:history="1">
        <w:r w:rsidR="00794FF7" w:rsidRPr="00FF0D3F">
          <w:rPr>
            <w:rStyle w:val="Hyperlink"/>
            <w:rFonts w:ascii="Arial" w:hAnsi="Arial" w:cs="Arial"/>
            <w:noProof/>
            <w:lang w:val="bg-BG"/>
          </w:rPr>
          <w:t>1.</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СОЦИАЛНО-ИКОНОМИЧЕСКИ УСЛОВИЯ ПРИ ИЗПЪЛНЕНИЕ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9</w:t>
        </w:r>
        <w:r w:rsidR="00794FF7" w:rsidRPr="00FF0D3F">
          <w:rPr>
            <w:rFonts w:ascii="Arial" w:hAnsi="Arial" w:cs="Arial"/>
            <w:noProof/>
            <w:webHidden/>
          </w:rPr>
          <w:fldChar w:fldCharType="end"/>
        </w:r>
      </w:hyperlink>
    </w:p>
    <w:p w14:paraId="132512FA" w14:textId="0D7BAF7B"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58" w:history="1">
        <w:r w:rsidR="00794FF7" w:rsidRPr="00FF0D3F">
          <w:rPr>
            <w:rStyle w:val="Hyperlink"/>
            <w:rFonts w:ascii="Arial" w:hAnsi="Arial" w:cs="Arial"/>
            <w:noProof/>
            <w:lang w:val="bg-BG"/>
          </w:rPr>
          <w:t>1.1.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Макроикономически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9</w:t>
        </w:r>
        <w:r w:rsidR="00794FF7" w:rsidRPr="00FF0D3F">
          <w:rPr>
            <w:rFonts w:ascii="Arial" w:hAnsi="Arial" w:cs="Arial"/>
            <w:noProof/>
            <w:webHidden/>
          </w:rPr>
          <w:fldChar w:fldCharType="end"/>
        </w:r>
      </w:hyperlink>
    </w:p>
    <w:p w14:paraId="1055BDD1" w14:textId="492B8119"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59" w:history="1">
        <w:r w:rsidR="00794FF7" w:rsidRPr="00FF0D3F">
          <w:rPr>
            <w:rStyle w:val="Hyperlink"/>
            <w:rFonts w:ascii="Arial" w:hAnsi="Arial" w:cs="Arial"/>
            <w:noProof/>
            <w:lang w:val="bg-BG"/>
          </w:rPr>
          <w:t>1.2.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Анализ на търсенето</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_Toc143694159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16</w:t>
        </w:r>
        <w:r w:rsidR="00794FF7" w:rsidRPr="00FF0D3F">
          <w:rPr>
            <w:rFonts w:ascii="Arial" w:hAnsi="Arial" w:cs="Arial"/>
            <w:noProof/>
            <w:webHidden/>
          </w:rPr>
          <w:fldChar w:fldCharType="end"/>
        </w:r>
      </w:hyperlink>
    </w:p>
    <w:p w14:paraId="445FB683" w14:textId="48977C47"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0" w:history="1">
        <w:r w:rsidR="00794FF7" w:rsidRPr="00FF0D3F">
          <w:rPr>
            <w:rStyle w:val="Hyperlink"/>
            <w:rFonts w:ascii="Arial" w:hAnsi="Arial" w:cs="Arial"/>
            <w:noProof/>
            <w:lang w:val="bg-BG"/>
          </w:rPr>
          <w:t>1.3.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Институционални аспекти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23</w:t>
        </w:r>
        <w:r w:rsidR="00794FF7" w:rsidRPr="00FF0D3F">
          <w:rPr>
            <w:rFonts w:ascii="Arial" w:hAnsi="Arial" w:cs="Arial"/>
            <w:noProof/>
            <w:webHidden/>
          </w:rPr>
          <w:fldChar w:fldCharType="end"/>
        </w:r>
      </w:hyperlink>
    </w:p>
    <w:p w14:paraId="0BEE992A" w14:textId="198773B9"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4" w:history="1">
        <w:r w:rsidR="00794FF7" w:rsidRPr="00FF0D3F">
          <w:rPr>
            <w:rStyle w:val="Hyperlink"/>
            <w:rFonts w:ascii="Arial" w:hAnsi="Arial" w:cs="Arial"/>
            <w:noProof/>
            <w:lang w:val="bg-BG"/>
          </w:rPr>
          <w:t>1.4.</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Орган отговорен за изпълнението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26</w:t>
        </w:r>
        <w:r w:rsidR="00794FF7" w:rsidRPr="00FF0D3F">
          <w:rPr>
            <w:rFonts w:ascii="Arial" w:hAnsi="Arial" w:cs="Arial"/>
            <w:noProof/>
            <w:webHidden/>
          </w:rPr>
          <w:fldChar w:fldCharType="end"/>
        </w:r>
      </w:hyperlink>
    </w:p>
    <w:p w14:paraId="5B7684AC" w14:textId="63665577"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65" w:history="1">
        <w:r w:rsidR="00794FF7" w:rsidRPr="00FF0D3F">
          <w:rPr>
            <w:rStyle w:val="Hyperlink"/>
            <w:rFonts w:ascii="Arial" w:hAnsi="Arial" w:cs="Arial"/>
            <w:noProof/>
            <w:lang w:val="bg-BG"/>
          </w:rPr>
          <w:t>2.</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ЦЕЛИ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29</w:t>
        </w:r>
        <w:r w:rsidR="00794FF7" w:rsidRPr="00FF0D3F">
          <w:rPr>
            <w:rFonts w:ascii="Arial" w:hAnsi="Arial" w:cs="Arial"/>
            <w:noProof/>
            <w:webHidden/>
          </w:rPr>
          <w:fldChar w:fldCharType="end"/>
        </w:r>
      </w:hyperlink>
    </w:p>
    <w:p w14:paraId="6CCC9EF6" w14:textId="51CD8D59"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66" w:history="1">
        <w:r w:rsidR="00794FF7" w:rsidRPr="00FF0D3F">
          <w:rPr>
            <w:rStyle w:val="Hyperlink"/>
            <w:rFonts w:ascii="Arial" w:hAnsi="Arial" w:cs="Arial"/>
            <w:noProof/>
            <w:lang w:val="bg-BG"/>
          </w:rPr>
          <w:t>3.</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идентификация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30</w:t>
        </w:r>
        <w:r w:rsidR="00794FF7" w:rsidRPr="00FF0D3F">
          <w:rPr>
            <w:rFonts w:ascii="Arial" w:hAnsi="Arial" w:cs="Arial"/>
            <w:noProof/>
            <w:webHidden/>
          </w:rPr>
          <w:fldChar w:fldCharType="end"/>
        </w:r>
      </w:hyperlink>
    </w:p>
    <w:p w14:paraId="00FB3377" w14:textId="54D12106"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67" w:history="1">
        <w:r w:rsidR="00794FF7" w:rsidRPr="00FF0D3F">
          <w:rPr>
            <w:rStyle w:val="Hyperlink"/>
            <w:rFonts w:ascii="Arial" w:hAnsi="Arial" w:cs="Arial"/>
            <w:noProof/>
            <w:lang w:val="bg-BG"/>
          </w:rPr>
          <w:t>3.1.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Описание на съществуващото положение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_Toc143694167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30</w:t>
        </w:r>
        <w:r w:rsidR="00794FF7" w:rsidRPr="00FF0D3F">
          <w:rPr>
            <w:rFonts w:ascii="Arial" w:hAnsi="Arial" w:cs="Arial"/>
            <w:noProof/>
            <w:webHidden/>
          </w:rPr>
          <w:fldChar w:fldCharType="end"/>
        </w:r>
      </w:hyperlink>
    </w:p>
    <w:p w14:paraId="7DA3AD42" w14:textId="600190CA"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74" w:history="1">
        <w:r w:rsidR="00794FF7" w:rsidRPr="00FF0D3F">
          <w:rPr>
            <w:rStyle w:val="Hyperlink"/>
            <w:rFonts w:ascii="Arial" w:hAnsi="Arial" w:cs="Arial"/>
            <w:noProof/>
            <w:lang w:val="bg-BG"/>
          </w:rPr>
          <w:t>3.2.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Описание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37</w:t>
        </w:r>
        <w:r w:rsidR="00794FF7" w:rsidRPr="00FF0D3F">
          <w:rPr>
            <w:rFonts w:ascii="Arial" w:hAnsi="Arial" w:cs="Arial"/>
            <w:noProof/>
            <w:webHidden/>
          </w:rPr>
          <w:fldChar w:fldCharType="end"/>
        </w:r>
      </w:hyperlink>
    </w:p>
    <w:p w14:paraId="0B3AC1AE" w14:textId="527E7209"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5" w:history="1">
        <w:r w:rsidR="00794FF7" w:rsidRPr="00FF0D3F">
          <w:rPr>
            <w:rStyle w:val="Hyperlink"/>
            <w:rFonts w:ascii="Arial" w:hAnsi="Arial" w:cs="Arial"/>
            <w:noProof/>
          </w:rPr>
          <w:t>3.2.1.</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Местоположение</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38</w:t>
        </w:r>
        <w:r w:rsidR="00794FF7" w:rsidRPr="00FF0D3F">
          <w:rPr>
            <w:rFonts w:ascii="Arial" w:hAnsi="Arial" w:cs="Arial"/>
            <w:noProof/>
            <w:webHidden/>
          </w:rPr>
          <w:fldChar w:fldCharType="end"/>
        </w:r>
      </w:hyperlink>
    </w:p>
    <w:p w14:paraId="6824D7B2" w14:textId="44ADC4C3"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6" w:history="1">
        <w:r w:rsidR="00794FF7" w:rsidRPr="00FF0D3F">
          <w:rPr>
            <w:rStyle w:val="Hyperlink"/>
            <w:rFonts w:ascii="Arial" w:hAnsi="Arial" w:cs="Arial"/>
            <w:noProof/>
          </w:rPr>
          <w:t>3.2.2.</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Заинтересовани страни от изпълнението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39</w:t>
        </w:r>
        <w:r w:rsidR="00794FF7" w:rsidRPr="00FF0D3F">
          <w:rPr>
            <w:rFonts w:ascii="Arial" w:hAnsi="Arial" w:cs="Arial"/>
            <w:noProof/>
            <w:webHidden/>
          </w:rPr>
          <w:fldChar w:fldCharType="end"/>
        </w:r>
      </w:hyperlink>
    </w:p>
    <w:p w14:paraId="6873BD4D" w14:textId="55E820F7"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7" w:history="1">
        <w:r w:rsidR="00794FF7" w:rsidRPr="00FF0D3F">
          <w:rPr>
            <w:rStyle w:val="Hyperlink"/>
            <w:rFonts w:ascii="Arial" w:hAnsi="Arial" w:cs="Arial"/>
            <w:noProof/>
          </w:rPr>
          <w:t>3.2.3.</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Описание на дейностите по проекта</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39</w:t>
        </w:r>
        <w:r w:rsidR="00794FF7" w:rsidRPr="00FF0D3F">
          <w:rPr>
            <w:rFonts w:ascii="Arial" w:hAnsi="Arial" w:cs="Arial"/>
            <w:noProof/>
            <w:webHidden/>
          </w:rPr>
          <w:fldChar w:fldCharType="end"/>
        </w:r>
      </w:hyperlink>
    </w:p>
    <w:p w14:paraId="3B32138E" w14:textId="1C7046E4"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8" w:history="1">
        <w:r w:rsidR="00794FF7" w:rsidRPr="00FF0D3F">
          <w:rPr>
            <w:rStyle w:val="Hyperlink"/>
            <w:rFonts w:ascii="Arial" w:hAnsi="Arial" w:cs="Arial"/>
            <w:noProof/>
          </w:rPr>
          <w:t>3.2.4.</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Очаквани резултати от проекта</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41</w:t>
        </w:r>
        <w:r w:rsidR="00794FF7" w:rsidRPr="00FF0D3F">
          <w:rPr>
            <w:rFonts w:ascii="Arial" w:hAnsi="Arial" w:cs="Arial"/>
            <w:noProof/>
            <w:webHidden/>
          </w:rPr>
          <w:fldChar w:fldCharType="end"/>
        </w:r>
      </w:hyperlink>
    </w:p>
    <w:p w14:paraId="0B250D99" w14:textId="086CE0F7"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79" w:history="1">
        <w:r w:rsidR="00794FF7" w:rsidRPr="00FF0D3F">
          <w:rPr>
            <w:rStyle w:val="Hyperlink"/>
            <w:rFonts w:ascii="Arial" w:hAnsi="Arial" w:cs="Arial"/>
            <w:noProof/>
          </w:rPr>
          <w:t>3.2.5.</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Проучване за осъществимост на проекта</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_Toc143694179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41</w:t>
        </w:r>
        <w:r w:rsidR="00794FF7" w:rsidRPr="00FF0D3F">
          <w:rPr>
            <w:rFonts w:ascii="Arial" w:hAnsi="Arial" w:cs="Arial"/>
            <w:noProof/>
            <w:webHidden/>
          </w:rPr>
          <w:fldChar w:fldCharType="end"/>
        </w:r>
      </w:hyperlink>
    </w:p>
    <w:p w14:paraId="27876659" w14:textId="04D5D194"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80" w:history="1">
        <w:r w:rsidR="00794FF7" w:rsidRPr="00FF0D3F">
          <w:rPr>
            <w:rStyle w:val="Hyperlink"/>
            <w:rFonts w:ascii="Arial" w:hAnsi="Arial" w:cs="Arial"/>
            <w:noProof/>
            <w:lang w:val="bg-BG"/>
          </w:rPr>
          <w:t>4.</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АНАЛИЗ НА ВАРИАНТИТЕ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43</w:t>
        </w:r>
        <w:r w:rsidR="00794FF7" w:rsidRPr="00FF0D3F">
          <w:rPr>
            <w:rFonts w:ascii="Arial" w:hAnsi="Arial" w:cs="Arial"/>
            <w:noProof/>
            <w:webHidden/>
          </w:rPr>
          <w:fldChar w:fldCharType="end"/>
        </w:r>
      </w:hyperlink>
    </w:p>
    <w:p w14:paraId="106E2DEA" w14:textId="17BBB5E0"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1" w:history="1">
        <w:r w:rsidR="00794FF7" w:rsidRPr="00FF0D3F">
          <w:rPr>
            <w:rStyle w:val="Hyperlink"/>
            <w:rFonts w:ascii="Arial" w:hAnsi="Arial" w:cs="Arial"/>
            <w:noProof/>
            <w:lang w:val="bg-BG"/>
          </w:rPr>
          <w:t>4.1.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Описание на вариантите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_Toc143694181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43</w:t>
        </w:r>
        <w:r w:rsidR="00794FF7" w:rsidRPr="00FF0D3F">
          <w:rPr>
            <w:rFonts w:ascii="Arial" w:hAnsi="Arial" w:cs="Arial"/>
            <w:noProof/>
            <w:webHidden/>
          </w:rPr>
          <w:fldChar w:fldCharType="end"/>
        </w:r>
      </w:hyperlink>
    </w:p>
    <w:p w14:paraId="6DE42BB8" w14:textId="1FCC7791"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2" w:history="1">
        <w:r w:rsidR="00794FF7" w:rsidRPr="00FF0D3F">
          <w:rPr>
            <w:rStyle w:val="Hyperlink"/>
            <w:rFonts w:ascii="Arial" w:hAnsi="Arial" w:cs="Arial"/>
            <w:noProof/>
            <w:lang w:val="bg-BG"/>
          </w:rPr>
          <w:t>4.2.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Методология за прилагане на мултикритериален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_Toc143694182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45</w:t>
        </w:r>
        <w:r w:rsidR="00794FF7" w:rsidRPr="00FF0D3F">
          <w:rPr>
            <w:rFonts w:ascii="Arial" w:hAnsi="Arial" w:cs="Arial"/>
            <w:noProof/>
            <w:webHidden/>
          </w:rPr>
          <w:fldChar w:fldCharType="end"/>
        </w:r>
      </w:hyperlink>
    </w:p>
    <w:p w14:paraId="656E1725" w14:textId="6A655D07"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83" w:history="1">
        <w:r w:rsidR="00794FF7" w:rsidRPr="00FF0D3F">
          <w:rPr>
            <w:rStyle w:val="Hyperlink"/>
            <w:rFonts w:ascii="Arial" w:hAnsi="Arial" w:cs="Arial"/>
            <w:noProof/>
            <w:lang w:val="bg-BG"/>
          </w:rPr>
          <w:t>5.</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ФИНАНСОВ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_Toc143694183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52</w:t>
        </w:r>
        <w:r w:rsidR="00794FF7" w:rsidRPr="00FF0D3F">
          <w:rPr>
            <w:rFonts w:ascii="Arial" w:hAnsi="Arial" w:cs="Arial"/>
            <w:noProof/>
            <w:webHidden/>
          </w:rPr>
          <w:fldChar w:fldCharType="end"/>
        </w:r>
      </w:hyperlink>
    </w:p>
    <w:p w14:paraId="4B7AD675" w14:textId="622385DA"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4" w:history="1">
        <w:r w:rsidR="00794FF7" w:rsidRPr="00FF0D3F">
          <w:rPr>
            <w:rStyle w:val="Hyperlink"/>
            <w:rFonts w:ascii="Arial" w:hAnsi="Arial" w:cs="Arial"/>
            <w:noProof/>
            <w:lang w:val="bg-BG"/>
          </w:rPr>
          <w:t>5.1.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Методология за определяне на финансовите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52</w:t>
        </w:r>
        <w:r w:rsidR="00794FF7" w:rsidRPr="00FF0D3F">
          <w:rPr>
            <w:rFonts w:ascii="Arial" w:hAnsi="Arial" w:cs="Arial"/>
            <w:noProof/>
            <w:webHidden/>
          </w:rPr>
          <w:fldChar w:fldCharType="end"/>
        </w:r>
      </w:hyperlink>
    </w:p>
    <w:p w14:paraId="4282358C" w14:textId="583DB90F"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5" w:history="1">
        <w:r w:rsidR="00794FF7" w:rsidRPr="00FF0D3F">
          <w:rPr>
            <w:rStyle w:val="Hyperlink"/>
            <w:rFonts w:ascii="Arial" w:hAnsi="Arial" w:cs="Arial"/>
            <w:noProof/>
            <w:lang w:val="bg-BG"/>
          </w:rPr>
          <w:t>5.2.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Основни допускания за финансовия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53</w:t>
        </w:r>
        <w:r w:rsidR="00794FF7" w:rsidRPr="00FF0D3F">
          <w:rPr>
            <w:rFonts w:ascii="Arial" w:hAnsi="Arial" w:cs="Arial"/>
            <w:noProof/>
            <w:webHidden/>
          </w:rPr>
          <w:fldChar w:fldCharType="end"/>
        </w:r>
      </w:hyperlink>
    </w:p>
    <w:p w14:paraId="184D1D0B" w14:textId="51B55C7A"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6" w:history="1">
        <w:r w:rsidR="00794FF7" w:rsidRPr="00FF0D3F">
          <w:rPr>
            <w:rStyle w:val="Hyperlink"/>
            <w:rFonts w:ascii="Arial" w:hAnsi="Arial" w:cs="Arial"/>
            <w:noProof/>
            <w:lang w:val="bg-BG"/>
          </w:rPr>
          <w:t>5.3.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Инвестиционни разходи и програма за изпълнение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54</w:t>
        </w:r>
        <w:r w:rsidR="00794FF7" w:rsidRPr="00FF0D3F">
          <w:rPr>
            <w:rFonts w:ascii="Arial" w:hAnsi="Arial" w:cs="Arial"/>
            <w:noProof/>
            <w:webHidden/>
          </w:rPr>
          <w:fldChar w:fldCharType="end"/>
        </w:r>
      </w:hyperlink>
    </w:p>
    <w:p w14:paraId="615FF906" w14:textId="02E4DE89"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7" w:history="1">
        <w:r w:rsidR="00794FF7" w:rsidRPr="00FF0D3F">
          <w:rPr>
            <w:rStyle w:val="Hyperlink"/>
            <w:rFonts w:ascii="Arial" w:hAnsi="Arial" w:cs="Arial"/>
            <w:noProof/>
            <w:lang w:val="bg-BG"/>
          </w:rPr>
          <w:t>5.4.</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Остатъчна стойност на активите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57</w:t>
        </w:r>
        <w:r w:rsidR="00794FF7" w:rsidRPr="00FF0D3F">
          <w:rPr>
            <w:rFonts w:ascii="Arial" w:hAnsi="Arial" w:cs="Arial"/>
            <w:noProof/>
            <w:webHidden/>
          </w:rPr>
          <w:fldChar w:fldCharType="end"/>
        </w:r>
      </w:hyperlink>
    </w:p>
    <w:p w14:paraId="39E146B4" w14:textId="026BB490"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88" w:history="1">
        <w:r w:rsidR="00794FF7" w:rsidRPr="00FF0D3F">
          <w:rPr>
            <w:rStyle w:val="Hyperlink"/>
            <w:rFonts w:ascii="Arial" w:hAnsi="Arial" w:cs="Arial"/>
            <w:noProof/>
            <w:lang w:val="bg-BG"/>
          </w:rPr>
          <w:t>5.5.</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Разходи за експлоатация и поддържане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58</w:t>
        </w:r>
        <w:r w:rsidR="00794FF7" w:rsidRPr="00FF0D3F">
          <w:rPr>
            <w:rFonts w:ascii="Arial" w:hAnsi="Arial" w:cs="Arial"/>
            <w:noProof/>
            <w:webHidden/>
          </w:rPr>
          <w:fldChar w:fldCharType="end"/>
        </w:r>
      </w:hyperlink>
    </w:p>
    <w:p w14:paraId="126233F8" w14:textId="0354C5D6"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89" w:history="1">
        <w:r w:rsidR="00794FF7" w:rsidRPr="00FF0D3F">
          <w:rPr>
            <w:rStyle w:val="Hyperlink"/>
            <w:rFonts w:ascii="Arial" w:hAnsi="Arial" w:cs="Arial"/>
            <w:noProof/>
          </w:rPr>
          <w:t>5.5.1.</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Методика за прогнозиране на разходите за ЕиП</w:t>
        </w:r>
        <w:r w:rsidR="00794FF7" w:rsidRP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_Toc143694189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58</w:t>
        </w:r>
        <w:r w:rsidR="00794FF7" w:rsidRPr="00FF0D3F">
          <w:rPr>
            <w:rFonts w:ascii="Arial" w:hAnsi="Arial" w:cs="Arial"/>
            <w:noProof/>
            <w:webHidden/>
          </w:rPr>
          <w:fldChar w:fldCharType="end"/>
        </w:r>
      </w:hyperlink>
    </w:p>
    <w:p w14:paraId="5C707CFF" w14:textId="63255B43"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0" w:history="1">
        <w:r w:rsidR="00794FF7" w:rsidRPr="00FF0D3F">
          <w:rPr>
            <w:rStyle w:val="Hyperlink"/>
            <w:rFonts w:ascii="Arial" w:hAnsi="Arial" w:cs="Arial"/>
            <w:noProof/>
          </w:rPr>
          <w:t>5.5.2.</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Определяне на постоянните и променливи разходи за ЕиП</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59</w:t>
        </w:r>
        <w:r w:rsidR="00794FF7" w:rsidRPr="00FF0D3F">
          <w:rPr>
            <w:rFonts w:ascii="Arial" w:hAnsi="Arial" w:cs="Arial"/>
            <w:noProof/>
            <w:webHidden/>
          </w:rPr>
          <w:fldChar w:fldCharType="end"/>
        </w:r>
      </w:hyperlink>
    </w:p>
    <w:p w14:paraId="62781C8D" w14:textId="4B3C3B4A"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1" w:history="1">
        <w:r w:rsidR="00794FF7" w:rsidRPr="00FF0D3F">
          <w:rPr>
            <w:rStyle w:val="Hyperlink"/>
            <w:rFonts w:ascii="Arial" w:hAnsi="Arial" w:cs="Arial"/>
            <w:noProof/>
          </w:rPr>
          <w:t>5.5.3.</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Прогнозиране на разходите за ЕиП</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_Toc143694191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61</w:t>
        </w:r>
        <w:r w:rsidR="00794FF7" w:rsidRPr="00FF0D3F">
          <w:rPr>
            <w:rFonts w:ascii="Arial" w:hAnsi="Arial" w:cs="Arial"/>
            <w:noProof/>
            <w:webHidden/>
          </w:rPr>
          <w:fldChar w:fldCharType="end"/>
        </w:r>
      </w:hyperlink>
    </w:p>
    <w:p w14:paraId="34EC25DD" w14:textId="7F261B90"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2" w:history="1">
        <w:r w:rsidR="00794FF7" w:rsidRPr="00FF0D3F">
          <w:rPr>
            <w:rStyle w:val="Hyperlink"/>
            <w:rFonts w:ascii="Arial" w:hAnsi="Arial" w:cs="Arial"/>
            <w:noProof/>
            <w:lang w:val="bg-BG"/>
          </w:rPr>
          <w:t>5.6.</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Приходи от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_Toc143694192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62</w:t>
        </w:r>
        <w:r w:rsidR="00794FF7" w:rsidRPr="00FF0D3F">
          <w:rPr>
            <w:rFonts w:ascii="Arial" w:hAnsi="Arial" w:cs="Arial"/>
            <w:noProof/>
            <w:webHidden/>
          </w:rPr>
          <w:fldChar w:fldCharType="end"/>
        </w:r>
      </w:hyperlink>
    </w:p>
    <w:p w14:paraId="6275648D" w14:textId="05D51DBD"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3" w:history="1">
        <w:r w:rsidR="00794FF7" w:rsidRPr="00FF0D3F">
          <w:rPr>
            <w:rStyle w:val="Hyperlink"/>
            <w:rFonts w:ascii="Arial" w:hAnsi="Arial" w:cs="Arial"/>
            <w:noProof/>
          </w:rPr>
          <w:t>5.6.1.</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Методология и общи допускания</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_Toc143694193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62</w:t>
        </w:r>
        <w:r w:rsidR="00794FF7" w:rsidRPr="00FF0D3F">
          <w:rPr>
            <w:rFonts w:ascii="Arial" w:hAnsi="Arial" w:cs="Arial"/>
            <w:noProof/>
            <w:webHidden/>
          </w:rPr>
          <w:fldChar w:fldCharType="end"/>
        </w:r>
      </w:hyperlink>
    </w:p>
    <w:p w14:paraId="4C9F6A2F" w14:textId="44093BD8"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4" w:history="1">
        <w:r w:rsidR="00794FF7" w:rsidRPr="00FF0D3F">
          <w:rPr>
            <w:rStyle w:val="Hyperlink"/>
            <w:rFonts w:ascii="Arial" w:hAnsi="Arial" w:cs="Arial"/>
            <w:noProof/>
          </w:rPr>
          <w:t>5.6.2.</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Определяне на единичната стойност на  приходите</w:t>
        </w:r>
        <w:r w:rsidR="00794FF7" w:rsidRP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63</w:t>
        </w:r>
        <w:r w:rsidR="00794FF7" w:rsidRPr="00FF0D3F">
          <w:rPr>
            <w:rFonts w:ascii="Arial" w:hAnsi="Arial" w:cs="Arial"/>
            <w:noProof/>
            <w:webHidden/>
          </w:rPr>
          <w:fldChar w:fldCharType="end"/>
        </w:r>
      </w:hyperlink>
    </w:p>
    <w:p w14:paraId="1AB97BAC" w14:textId="3053A348" w:rsidR="00794FF7" w:rsidRPr="00FF0D3F" w:rsidRDefault="001F0D64" w:rsidP="00FF0D3F">
      <w:pPr>
        <w:pStyle w:val="TOC3"/>
        <w:tabs>
          <w:tab w:val="left" w:pos="880"/>
        </w:tabs>
        <w:spacing w:before="120" w:after="0" w:line="240" w:lineRule="auto"/>
        <w:rPr>
          <w:rFonts w:ascii="Arial" w:eastAsiaTheme="minorEastAsia" w:hAnsi="Arial" w:cs="Arial"/>
          <w:noProof/>
          <w:sz w:val="22"/>
          <w:szCs w:val="22"/>
          <w:lang w:val="en-US"/>
        </w:rPr>
      </w:pPr>
      <w:hyperlink w:anchor="_Toc143694195" w:history="1">
        <w:r w:rsidR="00794FF7" w:rsidRPr="00FF0D3F">
          <w:rPr>
            <w:rStyle w:val="Hyperlink"/>
            <w:rFonts w:ascii="Arial" w:hAnsi="Arial" w:cs="Arial"/>
            <w:noProof/>
          </w:rPr>
          <w:t>5.6.3.</w:t>
        </w:r>
        <w:r w:rsidR="00794FF7" w:rsidRPr="00FF0D3F">
          <w:rPr>
            <w:rFonts w:ascii="Arial" w:eastAsiaTheme="minorEastAsia" w:hAnsi="Arial" w:cs="Arial"/>
            <w:noProof/>
            <w:sz w:val="22"/>
            <w:szCs w:val="22"/>
            <w:lang w:val="en-US"/>
          </w:rPr>
          <w:tab/>
        </w:r>
        <w:r w:rsidR="00794FF7" w:rsidRPr="00FF0D3F">
          <w:rPr>
            <w:rStyle w:val="Hyperlink"/>
            <w:rFonts w:ascii="Arial" w:hAnsi="Arial" w:cs="Arial"/>
            <w:noProof/>
          </w:rPr>
          <w:t>Прогнозиране на оперативните приходи</w:t>
        </w:r>
        <w:r w:rsidR="00794FF7" w:rsidRPr="00FF0D3F">
          <w:rPr>
            <w:rFonts w:ascii="Arial" w:hAnsi="Arial" w:cs="Arial"/>
            <w:noProof/>
            <w:webHidden/>
          </w:rPr>
          <w:tab/>
        </w:r>
        <w:r w:rsidR="00FF0D3F">
          <w:rPr>
            <w:rFonts w:ascii="Arial" w:hAnsi="Arial" w:cs="Arial"/>
            <w:noProof/>
            <w:webHidden/>
          </w:rPr>
          <w:tab/>
        </w:r>
        <w:r w:rsid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64</w:t>
        </w:r>
        <w:r w:rsidR="00794FF7" w:rsidRPr="00FF0D3F">
          <w:rPr>
            <w:rFonts w:ascii="Arial" w:hAnsi="Arial" w:cs="Arial"/>
            <w:noProof/>
            <w:webHidden/>
          </w:rPr>
          <w:fldChar w:fldCharType="end"/>
        </w:r>
      </w:hyperlink>
    </w:p>
    <w:p w14:paraId="58CA2CDB" w14:textId="2D8946CD"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6" w:history="1">
        <w:r w:rsidR="00794FF7" w:rsidRPr="00FF0D3F">
          <w:rPr>
            <w:rStyle w:val="Hyperlink"/>
            <w:rFonts w:ascii="Arial" w:hAnsi="Arial" w:cs="Arial"/>
            <w:noProof/>
            <w:lang w:val="bg-BG"/>
          </w:rPr>
          <w:t>5.7.</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Финансовите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64</w:t>
        </w:r>
        <w:r w:rsidR="00794FF7" w:rsidRPr="00FF0D3F">
          <w:rPr>
            <w:rFonts w:ascii="Arial" w:hAnsi="Arial" w:cs="Arial"/>
            <w:noProof/>
            <w:webHidden/>
          </w:rPr>
          <w:fldChar w:fldCharType="end"/>
        </w:r>
      </w:hyperlink>
    </w:p>
    <w:p w14:paraId="5F27B050" w14:textId="7653E638"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7" w:history="1">
        <w:r w:rsidR="00794FF7" w:rsidRPr="00FF0D3F">
          <w:rPr>
            <w:rStyle w:val="Hyperlink"/>
            <w:rFonts w:ascii="Arial" w:hAnsi="Arial" w:cs="Arial"/>
            <w:noProof/>
            <w:lang w:val="bg-BG"/>
          </w:rPr>
          <w:t>5.8.</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финансовия дефицит и Финансов план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66</w:t>
        </w:r>
        <w:r w:rsidR="00794FF7" w:rsidRPr="00FF0D3F">
          <w:rPr>
            <w:rFonts w:ascii="Arial" w:hAnsi="Arial" w:cs="Arial"/>
            <w:noProof/>
            <w:webHidden/>
          </w:rPr>
          <w:fldChar w:fldCharType="end"/>
        </w:r>
      </w:hyperlink>
    </w:p>
    <w:p w14:paraId="10A3D657" w14:textId="57B4DA00"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198" w:history="1">
        <w:r w:rsidR="00794FF7" w:rsidRPr="00FF0D3F">
          <w:rPr>
            <w:rStyle w:val="Hyperlink"/>
            <w:rFonts w:ascii="Arial" w:hAnsi="Arial" w:cs="Arial"/>
            <w:noProof/>
            <w:lang w:val="bg-BG"/>
          </w:rPr>
          <w:t>5.9.</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 xml:space="preserve">Финансова </w:t>
        </w:r>
        <w:r w:rsidR="00F07220">
          <w:rPr>
            <w:rStyle w:val="Hyperlink"/>
            <w:rFonts w:ascii="Arial" w:hAnsi="Arial" w:cs="Arial"/>
            <w:noProof/>
            <w:lang w:val="bg-BG"/>
          </w:rPr>
          <w:t>устойчивост</w:t>
        </w:r>
        <w:r w:rsidR="00794FF7" w:rsidRPr="00FF0D3F">
          <w:rPr>
            <w:rStyle w:val="Hyperlink"/>
            <w:rFonts w:ascii="Arial" w:hAnsi="Arial" w:cs="Arial"/>
            <w:noProof/>
            <w:lang w:val="bg-BG"/>
          </w:rPr>
          <w:t xml:space="preserve"> на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67</w:t>
        </w:r>
        <w:r w:rsidR="00794FF7" w:rsidRPr="00FF0D3F">
          <w:rPr>
            <w:rFonts w:ascii="Arial" w:hAnsi="Arial" w:cs="Arial"/>
            <w:noProof/>
            <w:webHidden/>
          </w:rPr>
          <w:fldChar w:fldCharType="end"/>
        </w:r>
      </w:hyperlink>
    </w:p>
    <w:p w14:paraId="786282F2" w14:textId="453704DF"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199" w:history="1">
        <w:r w:rsidR="00794FF7" w:rsidRPr="00FF0D3F">
          <w:rPr>
            <w:rStyle w:val="Hyperlink"/>
            <w:rFonts w:ascii="Arial" w:hAnsi="Arial" w:cs="Arial"/>
            <w:noProof/>
            <w:lang w:val="bg-BG"/>
          </w:rPr>
          <w:t>6.</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икономически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_Toc143694199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69</w:t>
        </w:r>
        <w:r w:rsidR="00794FF7" w:rsidRPr="00FF0D3F">
          <w:rPr>
            <w:rFonts w:ascii="Arial" w:hAnsi="Arial" w:cs="Arial"/>
            <w:noProof/>
            <w:webHidden/>
          </w:rPr>
          <w:fldChar w:fldCharType="end"/>
        </w:r>
      </w:hyperlink>
    </w:p>
    <w:p w14:paraId="764678B8" w14:textId="6C2C5407"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0" w:history="1">
        <w:r w:rsidR="00794FF7" w:rsidRPr="00FF0D3F">
          <w:rPr>
            <w:rStyle w:val="Hyperlink"/>
            <w:rFonts w:ascii="Arial" w:hAnsi="Arial" w:cs="Arial"/>
            <w:noProof/>
            <w:lang w:val="bg-BG"/>
          </w:rPr>
          <w:t>6.1.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Методология за определяне на икономическите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69</w:t>
        </w:r>
        <w:r w:rsidR="00794FF7" w:rsidRPr="00FF0D3F">
          <w:rPr>
            <w:rFonts w:ascii="Arial" w:hAnsi="Arial" w:cs="Arial"/>
            <w:noProof/>
            <w:webHidden/>
          </w:rPr>
          <w:fldChar w:fldCharType="end"/>
        </w:r>
      </w:hyperlink>
    </w:p>
    <w:p w14:paraId="08921FF6" w14:textId="72A9E2A5"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1" w:history="1">
        <w:r w:rsidR="00794FF7" w:rsidRPr="00FF0D3F">
          <w:rPr>
            <w:rStyle w:val="Hyperlink"/>
            <w:rFonts w:ascii="Arial" w:hAnsi="Arial" w:cs="Arial"/>
            <w:noProof/>
            <w:lang w:val="bg-BG"/>
          </w:rPr>
          <w:t>6.2.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Основни допускания за икономическия анализ</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_Toc143694201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70</w:t>
        </w:r>
        <w:r w:rsidR="00794FF7" w:rsidRPr="00FF0D3F">
          <w:rPr>
            <w:rFonts w:ascii="Arial" w:hAnsi="Arial" w:cs="Arial"/>
            <w:noProof/>
            <w:webHidden/>
          </w:rPr>
          <w:fldChar w:fldCharType="end"/>
        </w:r>
      </w:hyperlink>
    </w:p>
    <w:p w14:paraId="68E0D03F" w14:textId="7C9E21EA"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2" w:history="1">
        <w:r w:rsidR="00794FF7" w:rsidRPr="00FF0D3F">
          <w:rPr>
            <w:rStyle w:val="Hyperlink"/>
            <w:rFonts w:ascii="Arial" w:hAnsi="Arial" w:cs="Arial"/>
            <w:noProof/>
            <w:lang w:val="bg-BG"/>
          </w:rPr>
          <w:t>6.3.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икономическите ползи от проекта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_Toc143694202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70</w:t>
        </w:r>
        <w:r w:rsidR="00794FF7" w:rsidRPr="00FF0D3F">
          <w:rPr>
            <w:rFonts w:ascii="Arial" w:hAnsi="Arial" w:cs="Arial"/>
            <w:noProof/>
            <w:webHidden/>
          </w:rPr>
          <w:fldChar w:fldCharType="end"/>
        </w:r>
      </w:hyperlink>
    </w:p>
    <w:p w14:paraId="13A1DD5A" w14:textId="527925AD"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3" w:history="1">
        <w:r w:rsidR="00794FF7" w:rsidRPr="00FF0D3F">
          <w:rPr>
            <w:rStyle w:val="Hyperlink"/>
            <w:rFonts w:ascii="Arial" w:hAnsi="Arial" w:cs="Arial"/>
            <w:noProof/>
            <w:lang w:val="bg-BG"/>
          </w:rPr>
          <w:t>6.4.</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количествата парникови газове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_Toc143694203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71</w:t>
        </w:r>
        <w:r w:rsidR="00794FF7" w:rsidRPr="00FF0D3F">
          <w:rPr>
            <w:rFonts w:ascii="Arial" w:hAnsi="Arial" w:cs="Arial"/>
            <w:noProof/>
            <w:webHidden/>
          </w:rPr>
          <w:fldChar w:fldCharType="end"/>
        </w:r>
      </w:hyperlink>
    </w:p>
    <w:p w14:paraId="43B57EB7" w14:textId="23370E6B"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4" w:history="1">
        <w:r w:rsidR="00794FF7" w:rsidRPr="00FF0D3F">
          <w:rPr>
            <w:rStyle w:val="Hyperlink"/>
            <w:rFonts w:ascii="Arial" w:hAnsi="Arial" w:cs="Arial"/>
            <w:noProof/>
            <w:lang w:val="bg-BG"/>
          </w:rPr>
          <w:t>6.5.</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Определяне на икономическите индикатори</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_Toc143694204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75</w:t>
        </w:r>
        <w:r w:rsidR="00794FF7" w:rsidRPr="00FF0D3F">
          <w:rPr>
            <w:rFonts w:ascii="Arial" w:hAnsi="Arial" w:cs="Arial"/>
            <w:noProof/>
            <w:webHidden/>
          </w:rPr>
          <w:fldChar w:fldCharType="end"/>
        </w:r>
      </w:hyperlink>
    </w:p>
    <w:p w14:paraId="24CB1517" w14:textId="1CE8F672"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05" w:history="1">
        <w:r w:rsidR="00794FF7" w:rsidRPr="00FF0D3F">
          <w:rPr>
            <w:rStyle w:val="Hyperlink"/>
            <w:rFonts w:ascii="Arial" w:hAnsi="Arial" w:cs="Arial"/>
            <w:noProof/>
            <w:lang w:val="bg-BG"/>
          </w:rPr>
          <w:t>7.</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АНАЛИЗ НА ЧУВСТВИТЕЛНОСТТА И ОЦЕНКА НА РИСКА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_Toc143694205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76</w:t>
        </w:r>
        <w:r w:rsidR="00794FF7" w:rsidRPr="00FF0D3F">
          <w:rPr>
            <w:rFonts w:ascii="Arial" w:hAnsi="Arial" w:cs="Arial"/>
            <w:noProof/>
            <w:webHidden/>
          </w:rPr>
          <w:fldChar w:fldCharType="end"/>
        </w:r>
      </w:hyperlink>
    </w:p>
    <w:p w14:paraId="1DF4C855" w14:textId="2CADEC35"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6" w:history="1">
        <w:r w:rsidR="00794FF7" w:rsidRPr="00FF0D3F">
          <w:rPr>
            <w:rStyle w:val="Hyperlink"/>
            <w:rFonts w:ascii="Arial" w:hAnsi="Arial" w:cs="Arial"/>
            <w:noProof/>
            <w:lang w:val="bg-BG"/>
          </w:rPr>
          <w:t>7.1.</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Анализ на чувствителността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_Toc143694206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76</w:t>
        </w:r>
        <w:r w:rsidR="00794FF7" w:rsidRPr="00FF0D3F">
          <w:rPr>
            <w:rFonts w:ascii="Arial" w:hAnsi="Arial" w:cs="Arial"/>
            <w:noProof/>
            <w:webHidden/>
          </w:rPr>
          <w:fldChar w:fldCharType="end"/>
        </w:r>
      </w:hyperlink>
    </w:p>
    <w:p w14:paraId="52B62877" w14:textId="63D3FD37"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7" w:history="1">
        <w:r w:rsidR="00794FF7" w:rsidRPr="00FF0D3F">
          <w:rPr>
            <w:rStyle w:val="Hyperlink"/>
            <w:rFonts w:ascii="Arial" w:hAnsi="Arial" w:cs="Arial"/>
            <w:noProof/>
            <w:lang w:val="bg-BG"/>
          </w:rPr>
          <w:t>7.2.</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Анализ на сценариите</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_Toc143694207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78</w:t>
        </w:r>
        <w:r w:rsidR="00794FF7" w:rsidRPr="00FF0D3F">
          <w:rPr>
            <w:rFonts w:ascii="Arial" w:hAnsi="Arial" w:cs="Arial"/>
            <w:noProof/>
            <w:webHidden/>
          </w:rPr>
          <w:fldChar w:fldCharType="end"/>
        </w:r>
      </w:hyperlink>
    </w:p>
    <w:p w14:paraId="313B30ED" w14:textId="0539474E" w:rsidR="00794FF7" w:rsidRPr="00FF0D3F" w:rsidRDefault="001F0D64" w:rsidP="00FF0D3F">
      <w:pPr>
        <w:pStyle w:val="TOC2"/>
        <w:tabs>
          <w:tab w:val="left" w:pos="660"/>
          <w:tab w:val="right" w:pos="9487"/>
        </w:tabs>
        <w:spacing w:before="120" w:after="0" w:line="240" w:lineRule="auto"/>
        <w:rPr>
          <w:rFonts w:ascii="Arial" w:eastAsiaTheme="minorEastAsia" w:hAnsi="Arial" w:cs="Arial"/>
          <w:b w:val="0"/>
          <w:bCs w:val="0"/>
          <w:noProof/>
          <w:sz w:val="22"/>
          <w:szCs w:val="22"/>
          <w:lang w:val="en-US"/>
        </w:rPr>
      </w:pPr>
      <w:hyperlink w:anchor="_Toc143694208" w:history="1">
        <w:r w:rsidR="00794FF7" w:rsidRPr="00FF0D3F">
          <w:rPr>
            <w:rStyle w:val="Hyperlink"/>
            <w:rFonts w:ascii="Arial" w:hAnsi="Arial" w:cs="Arial"/>
            <w:noProof/>
            <w:lang w:val="bg-BG"/>
          </w:rPr>
          <w:t>7.3.</w:t>
        </w:r>
        <w:r w:rsidR="00794FF7" w:rsidRPr="00FF0D3F">
          <w:rPr>
            <w:rFonts w:ascii="Arial" w:eastAsiaTheme="minorEastAsia" w:hAnsi="Arial" w:cs="Arial"/>
            <w:b w:val="0"/>
            <w:bCs w:val="0"/>
            <w:noProof/>
            <w:sz w:val="22"/>
            <w:szCs w:val="22"/>
            <w:lang w:val="en-US"/>
          </w:rPr>
          <w:tab/>
        </w:r>
        <w:r w:rsidR="00794FF7" w:rsidRPr="00FF0D3F">
          <w:rPr>
            <w:rStyle w:val="Hyperlink"/>
            <w:rFonts w:ascii="Arial" w:hAnsi="Arial" w:cs="Arial"/>
            <w:noProof/>
            <w:lang w:val="bg-BG"/>
          </w:rPr>
          <w:t>Оценка на риска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_Toc143694208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78</w:t>
        </w:r>
        <w:r w:rsidR="00794FF7" w:rsidRPr="00FF0D3F">
          <w:rPr>
            <w:rFonts w:ascii="Arial" w:hAnsi="Arial" w:cs="Arial"/>
            <w:noProof/>
            <w:webHidden/>
          </w:rPr>
          <w:fldChar w:fldCharType="end"/>
        </w:r>
      </w:hyperlink>
    </w:p>
    <w:p w14:paraId="46D0C9D1" w14:textId="022DA2CF"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09" w:history="1">
        <w:r w:rsidR="00794FF7" w:rsidRPr="00FF0D3F">
          <w:rPr>
            <w:rStyle w:val="Hyperlink"/>
            <w:rFonts w:ascii="Arial" w:hAnsi="Arial" w:cs="Arial"/>
            <w:noProof/>
            <w:lang w:val="bg-BG"/>
          </w:rPr>
          <w:t>8.</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Изводи от АРП</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_Toc143694209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85</w:t>
        </w:r>
        <w:r w:rsidR="00794FF7" w:rsidRPr="00FF0D3F">
          <w:rPr>
            <w:rFonts w:ascii="Arial" w:hAnsi="Arial" w:cs="Arial"/>
            <w:noProof/>
            <w:webHidden/>
          </w:rPr>
          <w:fldChar w:fldCharType="end"/>
        </w:r>
      </w:hyperlink>
    </w:p>
    <w:p w14:paraId="52DB28F9" w14:textId="40C463DB" w:rsidR="00794FF7" w:rsidRPr="00FF0D3F" w:rsidRDefault="001F0D64" w:rsidP="00FF0D3F">
      <w:pPr>
        <w:pStyle w:val="TOC1"/>
        <w:tabs>
          <w:tab w:val="left" w:pos="440"/>
          <w:tab w:val="right" w:pos="9487"/>
        </w:tabs>
        <w:spacing w:before="120" w:after="0" w:line="240" w:lineRule="auto"/>
        <w:rPr>
          <w:rFonts w:ascii="Arial" w:eastAsiaTheme="minorEastAsia" w:hAnsi="Arial" w:cs="Arial"/>
          <w:b w:val="0"/>
          <w:bCs w:val="0"/>
          <w:caps w:val="0"/>
          <w:noProof/>
          <w:sz w:val="22"/>
          <w:szCs w:val="22"/>
          <w:lang w:val="en-US"/>
        </w:rPr>
      </w:pPr>
      <w:hyperlink w:anchor="_Toc143694210" w:history="1">
        <w:r w:rsidR="00794FF7" w:rsidRPr="00FF0D3F">
          <w:rPr>
            <w:rStyle w:val="Hyperlink"/>
            <w:rFonts w:ascii="Arial" w:hAnsi="Arial" w:cs="Arial"/>
            <w:noProof/>
            <w:lang w:val="bg-BG"/>
          </w:rPr>
          <w:t>9.</w:t>
        </w:r>
        <w:r w:rsidR="00794FF7" w:rsidRPr="00FF0D3F">
          <w:rPr>
            <w:rFonts w:ascii="Arial" w:eastAsiaTheme="minorEastAsia" w:hAnsi="Arial" w:cs="Arial"/>
            <w:b w:val="0"/>
            <w:bCs w:val="0"/>
            <w:caps w:val="0"/>
            <w:noProof/>
            <w:sz w:val="22"/>
            <w:szCs w:val="22"/>
            <w:lang w:val="en-US"/>
          </w:rPr>
          <w:tab/>
        </w:r>
        <w:r w:rsidR="00794FF7" w:rsidRPr="00FF0D3F">
          <w:rPr>
            <w:rStyle w:val="Hyperlink"/>
            <w:rFonts w:ascii="Arial" w:hAnsi="Arial" w:cs="Arial"/>
            <w:noProof/>
            <w:lang w:val="bg-BG"/>
          </w:rPr>
          <w:t>СПИСЪК НА ПРИЛОЖЕНИЯТА КЪМ ДОКЛАДА</w:t>
        </w:r>
        <w:r w:rsidR="00794FF7" w:rsidRPr="00FF0D3F">
          <w:rPr>
            <w:rFonts w:ascii="Arial" w:hAnsi="Arial" w:cs="Arial"/>
            <w:noProof/>
            <w:webHidden/>
          </w:rPr>
          <w:tab/>
        </w:r>
        <w:r w:rsidR="00794FF7" w:rsidRPr="00FF0D3F">
          <w:rPr>
            <w:rFonts w:ascii="Arial" w:hAnsi="Arial" w:cs="Arial"/>
            <w:noProof/>
            <w:webHidden/>
          </w:rPr>
          <w:fldChar w:fldCharType="begin"/>
        </w:r>
        <w:r w:rsidR="00794FF7" w:rsidRPr="00FF0D3F">
          <w:rPr>
            <w:rFonts w:ascii="Arial" w:hAnsi="Arial" w:cs="Arial"/>
            <w:noProof/>
            <w:webHidden/>
          </w:rPr>
          <w:instrText xml:space="preserve"> PAGEREF _Toc143694210 \h </w:instrText>
        </w:r>
        <w:r w:rsidR="00794FF7" w:rsidRPr="00FF0D3F">
          <w:rPr>
            <w:rFonts w:ascii="Arial" w:hAnsi="Arial" w:cs="Arial"/>
            <w:noProof/>
            <w:webHidden/>
          </w:rPr>
        </w:r>
        <w:r w:rsidR="00794FF7" w:rsidRPr="00FF0D3F">
          <w:rPr>
            <w:rFonts w:ascii="Arial" w:hAnsi="Arial" w:cs="Arial"/>
            <w:noProof/>
            <w:webHidden/>
          </w:rPr>
          <w:fldChar w:fldCharType="separate"/>
        </w:r>
        <w:r w:rsidR="00564547">
          <w:rPr>
            <w:rFonts w:ascii="Arial" w:hAnsi="Arial" w:cs="Arial"/>
            <w:noProof/>
            <w:webHidden/>
          </w:rPr>
          <w:t>86</w:t>
        </w:r>
        <w:r w:rsidR="00794FF7" w:rsidRPr="00FF0D3F">
          <w:rPr>
            <w:rFonts w:ascii="Arial" w:hAnsi="Arial" w:cs="Arial"/>
            <w:noProof/>
            <w:webHidden/>
          </w:rPr>
          <w:fldChar w:fldCharType="end"/>
        </w:r>
      </w:hyperlink>
    </w:p>
    <w:p w14:paraId="03059924" w14:textId="77777777" w:rsidR="00547D8F" w:rsidRPr="00FF0D3F" w:rsidRDefault="00F11028" w:rsidP="00FF0D3F">
      <w:pPr>
        <w:tabs>
          <w:tab w:val="right" w:leader="dot" w:pos="9498"/>
        </w:tabs>
        <w:spacing w:before="120" w:after="0" w:line="240" w:lineRule="auto"/>
        <w:ind w:left="1418" w:right="425" w:hanging="1418"/>
        <w:rPr>
          <w:rFonts w:cs="Arial"/>
          <w:sz w:val="22"/>
        </w:rPr>
      </w:pPr>
      <w:r w:rsidRPr="00FF0D3F">
        <w:rPr>
          <w:rFonts w:cs="Arial"/>
          <w:sz w:val="22"/>
        </w:rPr>
        <w:fldChar w:fldCharType="end"/>
      </w:r>
    </w:p>
    <w:p w14:paraId="08D099DA" w14:textId="77777777" w:rsidR="006F174A" w:rsidRDefault="006F174A">
      <w:pPr>
        <w:rPr>
          <w:rFonts w:cs="Arial"/>
          <w:b/>
          <w:bCs/>
          <w:caps/>
          <w:szCs w:val="24"/>
        </w:rPr>
      </w:pPr>
      <w:r>
        <w:rPr>
          <w:rFonts w:cs="Arial"/>
          <w:b/>
          <w:bCs/>
          <w:caps/>
          <w:szCs w:val="24"/>
        </w:rPr>
        <w:br w:type="page"/>
      </w:r>
    </w:p>
    <w:p w14:paraId="45AAF446" w14:textId="77777777" w:rsidR="00F75F06" w:rsidRDefault="00F75F06" w:rsidP="00510581">
      <w:pPr>
        <w:tabs>
          <w:tab w:val="right" w:leader="dot" w:pos="9498"/>
        </w:tabs>
        <w:spacing w:after="120"/>
        <w:ind w:right="425"/>
        <w:rPr>
          <w:rFonts w:cs="Arial"/>
          <w:b/>
          <w:bCs/>
          <w:caps/>
          <w:szCs w:val="24"/>
        </w:rPr>
      </w:pPr>
      <w:r w:rsidRPr="00037E4A">
        <w:rPr>
          <w:rFonts w:cs="Arial"/>
          <w:b/>
          <w:bCs/>
          <w:caps/>
          <w:szCs w:val="24"/>
        </w:rPr>
        <w:lastRenderedPageBreak/>
        <w:t>Списък на таблиците:</w:t>
      </w:r>
    </w:p>
    <w:p w14:paraId="7E2D23DA" w14:textId="2C07D5E4" w:rsidR="00564547" w:rsidRDefault="00F75F06"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r w:rsidRPr="004A61A0">
        <w:rPr>
          <w:rFonts w:cs="Arial"/>
          <w:iCs/>
          <w:sz w:val="22"/>
          <w:lang w:val="bg-BG"/>
        </w:rPr>
        <w:fldChar w:fldCharType="begin"/>
      </w:r>
      <w:r w:rsidRPr="004A61A0">
        <w:rPr>
          <w:rFonts w:cs="Arial"/>
          <w:iCs/>
          <w:sz w:val="22"/>
          <w:lang w:val="bg-BG"/>
        </w:rPr>
        <w:instrText xml:space="preserve"> TOC \h \z \c "Таблица" </w:instrText>
      </w:r>
      <w:r w:rsidRPr="004A61A0">
        <w:rPr>
          <w:rFonts w:cs="Arial"/>
          <w:iCs/>
          <w:sz w:val="22"/>
          <w:lang w:val="bg-BG"/>
        </w:rPr>
        <w:fldChar w:fldCharType="separate"/>
      </w:r>
      <w:hyperlink w:anchor="_Toc174099046" w:history="1">
        <w:r w:rsidR="00564547" w:rsidRPr="00092731">
          <w:rPr>
            <w:rStyle w:val="Hyperlink"/>
            <w:rFonts w:cs="Arial"/>
            <w:bCs/>
            <w:i/>
            <w:noProof/>
          </w:rPr>
          <w:t xml:space="preserve">Таблица 1 </w:t>
        </w:r>
        <w:r w:rsidR="00F07220">
          <w:rPr>
            <w:rStyle w:val="Hyperlink"/>
            <w:rFonts w:cs="Arial"/>
            <w:bCs/>
            <w:i/>
            <w:noProof/>
          </w:rPr>
          <w:tab/>
        </w:r>
        <w:r w:rsidR="00564547" w:rsidRPr="00092731">
          <w:rPr>
            <w:rStyle w:val="Hyperlink"/>
            <w:rFonts w:eastAsia="Calibri" w:cs="Arial"/>
            <w:i/>
            <w:noProof/>
          </w:rPr>
          <w:t>Исторически данни за реален ръст на БВП на ниво ЕС и България</w:t>
        </w:r>
        <w:r w:rsidR="00564547">
          <w:rPr>
            <w:noProof/>
            <w:webHidden/>
          </w:rPr>
          <w:tab/>
        </w:r>
        <w:r w:rsidR="00564547">
          <w:rPr>
            <w:noProof/>
            <w:webHidden/>
          </w:rPr>
          <w:fldChar w:fldCharType="begin"/>
        </w:r>
        <w:r w:rsidR="00564547">
          <w:rPr>
            <w:noProof/>
            <w:webHidden/>
          </w:rPr>
          <w:instrText xml:space="preserve"> PAGEREF _Toc174099046 \h </w:instrText>
        </w:r>
        <w:r w:rsidR="00564547">
          <w:rPr>
            <w:noProof/>
            <w:webHidden/>
          </w:rPr>
        </w:r>
        <w:r w:rsidR="00564547">
          <w:rPr>
            <w:noProof/>
            <w:webHidden/>
          </w:rPr>
          <w:fldChar w:fldCharType="separate"/>
        </w:r>
        <w:r w:rsidR="00564547">
          <w:rPr>
            <w:noProof/>
            <w:webHidden/>
          </w:rPr>
          <w:t>13</w:t>
        </w:r>
        <w:r w:rsidR="00564547">
          <w:rPr>
            <w:noProof/>
            <w:webHidden/>
          </w:rPr>
          <w:fldChar w:fldCharType="end"/>
        </w:r>
      </w:hyperlink>
    </w:p>
    <w:p w14:paraId="24C55A88" w14:textId="43A55781"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7" w:history="1">
        <w:r w:rsidR="00564547" w:rsidRPr="00092731">
          <w:rPr>
            <w:rStyle w:val="Hyperlink"/>
            <w:rFonts w:cs="Arial"/>
            <w:bCs/>
            <w:i/>
            <w:noProof/>
          </w:rPr>
          <w:t xml:space="preserve">Таблица 2 </w:t>
        </w:r>
        <w:r w:rsidR="00F07220">
          <w:rPr>
            <w:rStyle w:val="Hyperlink"/>
            <w:rFonts w:cs="Arial"/>
            <w:bCs/>
            <w:i/>
            <w:noProof/>
          </w:rPr>
          <w:tab/>
        </w:r>
        <w:r w:rsidR="00564547" w:rsidRPr="00092731">
          <w:rPr>
            <w:rStyle w:val="Hyperlink"/>
            <w:rFonts w:eastAsia="Calibri" w:cs="Arial"/>
            <w:i/>
            <w:noProof/>
          </w:rPr>
          <w:t>Исторически данни за основните макро-икономически индикатори в България</w:t>
        </w:r>
        <w:r w:rsidR="00564547">
          <w:rPr>
            <w:noProof/>
            <w:webHidden/>
          </w:rPr>
          <w:tab/>
        </w:r>
        <w:r w:rsidR="00564547">
          <w:rPr>
            <w:noProof/>
            <w:webHidden/>
          </w:rPr>
          <w:fldChar w:fldCharType="begin"/>
        </w:r>
        <w:r w:rsidR="00564547">
          <w:rPr>
            <w:noProof/>
            <w:webHidden/>
          </w:rPr>
          <w:instrText xml:space="preserve"> PAGEREF _Toc174099047 \h </w:instrText>
        </w:r>
        <w:r w:rsidR="00564547">
          <w:rPr>
            <w:noProof/>
            <w:webHidden/>
          </w:rPr>
        </w:r>
        <w:r w:rsidR="00564547">
          <w:rPr>
            <w:noProof/>
            <w:webHidden/>
          </w:rPr>
          <w:fldChar w:fldCharType="separate"/>
        </w:r>
        <w:r w:rsidR="00564547">
          <w:rPr>
            <w:noProof/>
            <w:webHidden/>
          </w:rPr>
          <w:t>13</w:t>
        </w:r>
        <w:r w:rsidR="00564547">
          <w:rPr>
            <w:noProof/>
            <w:webHidden/>
          </w:rPr>
          <w:fldChar w:fldCharType="end"/>
        </w:r>
      </w:hyperlink>
    </w:p>
    <w:p w14:paraId="422EE275" w14:textId="391ADB3C"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8" w:history="1">
        <w:r w:rsidR="00564547" w:rsidRPr="00092731">
          <w:rPr>
            <w:rStyle w:val="Hyperlink"/>
            <w:rFonts w:cs="Arial"/>
            <w:bCs/>
            <w:i/>
            <w:noProof/>
          </w:rPr>
          <w:t xml:space="preserve">Таблица 3 </w:t>
        </w:r>
        <w:r w:rsidR="00F07220">
          <w:rPr>
            <w:rStyle w:val="Hyperlink"/>
            <w:rFonts w:cs="Arial"/>
            <w:bCs/>
            <w:i/>
            <w:noProof/>
          </w:rPr>
          <w:tab/>
        </w:r>
        <w:r w:rsidR="00564547" w:rsidRPr="00092731">
          <w:rPr>
            <w:rStyle w:val="Hyperlink"/>
            <w:rFonts w:eastAsia="Calibri" w:cs="Arial"/>
            <w:i/>
            <w:noProof/>
          </w:rPr>
          <w:t>Прогноза за ръста на БВП в България</w:t>
        </w:r>
        <w:r w:rsidR="00564547">
          <w:rPr>
            <w:noProof/>
            <w:webHidden/>
          </w:rPr>
          <w:tab/>
        </w:r>
        <w:r w:rsidR="00564547">
          <w:rPr>
            <w:noProof/>
            <w:webHidden/>
          </w:rPr>
          <w:fldChar w:fldCharType="begin"/>
        </w:r>
        <w:r w:rsidR="00564547">
          <w:rPr>
            <w:noProof/>
            <w:webHidden/>
          </w:rPr>
          <w:instrText xml:space="preserve"> PAGEREF _Toc174099048 \h </w:instrText>
        </w:r>
        <w:r w:rsidR="00564547">
          <w:rPr>
            <w:noProof/>
            <w:webHidden/>
          </w:rPr>
        </w:r>
        <w:r w:rsidR="00564547">
          <w:rPr>
            <w:noProof/>
            <w:webHidden/>
          </w:rPr>
          <w:fldChar w:fldCharType="separate"/>
        </w:r>
        <w:r w:rsidR="00564547">
          <w:rPr>
            <w:noProof/>
            <w:webHidden/>
          </w:rPr>
          <w:t>14</w:t>
        </w:r>
        <w:r w:rsidR="00564547">
          <w:rPr>
            <w:noProof/>
            <w:webHidden/>
          </w:rPr>
          <w:fldChar w:fldCharType="end"/>
        </w:r>
      </w:hyperlink>
    </w:p>
    <w:p w14:paraId="1BB26E2F" w14:textId="565971CD"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49" w:history="1">
        <w:r w:rsidR="00564547" w:rsidRPr="00092731">
          <w:rPr>
            <w:rStyle w:val="Hyperlink"/>
            <w:rFonts w:cs="Arial"/>
            <w:bCs/>
            <w:i/>
            <w:noProof/>
          </w:rPr>
          <w:t xml:space="preserve">Таблица 4 </w:t>
        </w:r>
        <w:r w:rsidR="00F07220">
          <w:rPr>
            <w:rStyle w:val="Hyperlink"/>
            <w:rFonts w:cs="Arial"/>
            <w:bCs/>
            <w:i/>
            <w:noProof/>
          </w:rPr>
          <w:tab/>
        </w:r>
        <w:r w:rsidR="00564547" w:rsidRPr="00092731">
          <w:rPr>
            <w:rStyle w:val="Hyperlink"/>
            <w:rFonts w:eastAsia="Calibri" w:cs="Arial"/>
            <w:i/>
            <w:noProof/>
          </w:rPr>
          <w:t>Прогнози за основните макро-икономически индикатори в България</w:t>
        </w:r>
        <w:r w:rsidR="00564547">
          <w:rPr>
            <w:noProof/>
            <w:webHidden/>
          </w:rPr>
          <w:tab/>
        </w:r>
        <w:r w:rsidR="00564547">
          <w:rPr>
            <w:noProof/>
            <w:webHidden/>
          </w:rPr>
          <w:fldChar w:fldCharType="begin"/>
        </w:r>
        <w:r w:rsidR="00564547">
          <w:rPr>
            <w:noProof/>
            <w:webHidden/>
          </w:rPr>
          <w:instrText xml:space="preserve"> PAGEREF _Toc174099049 \h </w:instrText>
        </w:r>
        <w:r w:rsidR="00564547">
          <w:rPr>
            <w:noProof/>
            <w:webHidden/>
          </w:rPr>
        </w:r>
        <w:r w:rsidR="00564547">
          <w:rPr>
            <w:noProof/>
            <w:webHidden/>
          </w:rPr>
          <w:fldChar w:fldCharType="separate"/>
        </w:r>
        <w:r w:rsidR="00564547">
          <w:rPr>
            <w:noProof/>
            <w:webHidden/>
          </w:rPr>
          <w:t>15</w:t>
        </w:r>
        <w:r w:rsidR="00564547">
          <w:rPr>
            <w:noProof/>
            <w:webHidden/>
          </w:rPr>
          <w:fldChar w:fldCharType="end"/>
        </w:r>
      </w:hyperlink>
    </w:p>
    <w:p w14:paraId="2739C616" w14:textId="406F999E"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0" w:history="1">
        <w:r w:rsidR="00564547" w:rsidRPr="00092731">
          <w:rPr>
            <w:rStyle w:val="Hyperlink"/>
            <w:rFonts w:cs="Arial"/>
            <w:bCs/>
            <w:i/>
            <w:noProof/>
          </w:rPr>
          <w:t xml:space="preserve">Таблица 5 </w:t>
        </w:r>
        <w:r w:rsidR="00F07220">
          <w:rPr>
            <w:rStyle w:val="Hyperlink"/>
            <w:rFonts w:cs="Arial"/>
            <w:bCs/>
            <w:i/>
            <w:noProof/>
          </w:rPr>
          <w:tab/>
        </w:r>
        <w:r w:rsidR="00564547" w:rsidRPr="00092731">
          <w:rPr>
            <w:rStyle w:val="Hyperlink"/>
            <w:rFonts w:eastAsia="Calibri" w:cs="Arial"/>
            <w:i/>
            <w:noProof/>
          </w:rPr>
          <w:t>Обработени товари по пристанища</w:t>
        </w:r>
        <w:r w:rsidR="00564547">
          <w:rPr>
            <w:noProof/>
            <w:webHidden/>
          </w:rPr>
          <w:tab/>
        </w:r>
        <w:r w:rsidR="00564547">
          <w:rPr>
            <w:noProof/>
            <w:webHidden/>
          </w:rPr>
          <w:fldChar w:fldCharType="begin"/>
        </w:r>
        <w:r w:rsidR="00564547">
          <w:rPr>
            <w:noProof/>
            <w:webHidden/>
          </w:rPr>
          <w:instrText xml:space="preserve"> PAGEREF _Toc174099050 \h </w:instrText>
        </w:r>
        <w:r w:rsidR="00564547">
          <w:rPr>
            <w:noProof/>
            <w:webHidden/>
          </w:rPr>
        </w:r>
        <w:r w:rsidR="00564547">
          <w:rPr>
            <w:noProof/>
            <w:webHidden/>
          </w:rPr>
          <w:fldChar w:fldCharType="separate"/>
        </w:r>
        <w:r w:rsidR="00564547">
          <w:rPr>
            <w:noProof/>
            <w:webHidden/>
          </w:rPr>
          <w:t>20</w:t>
        </w:r>
        <w:r w:rsidR="00564547">
          <w:rPr>
            <w:noProof/>
            <w:webHidden/>
          </w:rPr>
          <w:fldChar w:fldCharType="end"/>
        </w:r>
      </w:hyperlink>
    </w:p>
    <w:p w14:paraId="6E70F8A1" w14:textId="14651B91"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1" w:history="1">
        <w:r w:rsidR="00564547" w:rsidRPr="00092731">
          <w:rPr>
            <w:rStyle w:val="Hyperlink"/>
            <w:rFonts w:cs="Arial"/>
            <w:bCs/>
            <w:i/>
            <w:noProof/>
          </w:rPr>
          <w:t xml:space="preserve">Таблица 6 </w:t>
        </w:r>
        <w:r w:rsidR="00F07220">
          <w:rPr>
            <w:rStyle w:val="Hyperlink"/>
            <w:rFonts w:cs="Arial"/>
            <w:bCs/>
            <w:i/>
            <w:noProof/>
          </w:rPr>
          <w:tab/>
        </w:r>
        <w:r w:rsidR="00564547" w:rsidRPr="00092731">
          <w:rPr>
            <w:rStyle w:val="Hyperlink"/>
            <w:rFonts w:eastAsia="Calibri" w:cs="Arial"/>
            <w:i/>
            <w:noProof/>
          </w:rPr>
          <w:t>Определяне на средния товар за един кораб</w:t>
        </w:r>
        <w:r w:rsidR="00564547">
          <w:rPr>
            <w:noProof/>
            <w:webHidden/>
          </w:rPr>
          <w:tab/>
        </w:r>
        <w:r w:rsidR="00564547">
          <w:rPr>
            <w:noProof/>
            <w:webHidden/>
          </w:rPr>
          <w:fldChar w:fldCharType="begin"/>
        </w:r>
        <w:r w:rsidR="00564547">
          <w:rPr>
            <w:noProof/>
            <w:webHidden/>
          </w:rPr>
          <w:instrText xml:space="preserve"> PAGEREF _Toc174099051 \h </w:instrText>
        </w:r>
        <w:r w:rsidR="00564547">
          <w:rPr>
            <w:noProof/>
            <w:webHidden/>
          </w:rPr>
        </w:r>
        <w:r w:rsidR="00564547">
          <w:rPr>
            <w:noProof/>
            <w:webHidden/>
          </w:rPr>
          <w:fldChar w:fldCharType="separate"/>
        </w:r>
        <w:r w:rsidR="00564547">
          <w:rPr>
            <w:noProof/>
            <w:webHidden/>
          </w:rPr>
          <w:t>21</w:t>
        </w:r>
        <w:r w:rsidR="00564547">
          <w:rPr>
            <w:noProof/>
            <w:webHidden/>
          </w:rPr>
          <w:fldChar w:fldCharType="end"/>
        </w:r>
      </w:hyperlink>
    </w:p>
    <w:p w14:paraId="7EFF32FE" w14:textId="05DF4300"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2" w:history="1">
        <w:r w:rsidR="00564547" w:rsidRPr="00092731">
          <w:rPr>
            <w:rStyle w:val="Hyperlink"/>
            <w:rFonts w:cs="Arial"/>
            <w:bCs/>
            <w:i/>
            <w:noProof/>
          </w:rPr>
          <w:t xml:space="preserve">Таблица 7 </w:t>
        </w:r>
        <w:r w:rsidR="00F07220">
          <w:rPr>
            <w:rStyle w:val="Hyperlink"/>
            <w:rFonts w:cs="Arial"/>
            <w:bCs/>
            <w:i/>
            <w:noProof/>
          </w:rPr>
          <w:tab/>
        </w:r>
        <w:r w:rsidR="00564547" w:rsidRPr="00092731">
          <w:rPr>
            <w:rStyle w:val="Hyperlink"/>
            <w:rFonts w:eastAsia="Calibri" w:cs="Arial"/>
            <w:i/>
            <w:noProof/>
          </w:rPr>
          <w:t>Прогноза за обработените товари по пристанища „Без проект“</w:t>
        </w:r>
        <w:r w:rsidR="00564547">
          <w:rPr>
            <w:noProof/>
            <w:webHidden/>
          </w:rPr>
          <w:tab/>
        </w:r>
        <w:r w:rsidR="00564547">
          <w:rPr>
            <w:noProof/>
            <w:webHidden/>
          </w:rPr>
          <w:fldChar w:fldCharType="begin"/>
        </w:r>
        <w:r w:rsidR="00564547">
          <w:rPr>
            <w:noProof/>
            <w:webHidden/>
          </w:rPr>
          <w:instrText xml:space="preserve"> PAGEREF _Toc174099052 \h </w:instrText>
        </w:r>
        <w:r w:rsidR="00564547">
          <w:rPr>
            <w:noProof/>
            <w:webHidden/>
          </w:rPr>
        </w:r>
        <w:r w:rsidR="00564547">
          <w:rPr>
            <w:noProof/>
            <w:webHidden/>
          </w:rPr>
          <w:fldChar w:fldCharType="separate"/>
        </w:r>
        <w:r w:rsidR="00564547">
          <w:rPr>
            <w:noProof/>
            <w:webHidden/>
          </w:rPr>
          <w:t>21</w:t>
        </w:r>
        <w:r w:rsidR="00564547">
          <w:rPr>
            <w:noProof/>
            <w:webHidden/>
          </w:rPr>
          <w:fldChar w:fldCharType="end"/>
        </w:r>
      </w:hyperlink>
    </w:p>
    <w:p w14:paraId="1F5439E1" w14:textId="611A08C0"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3" w:history="1">
        <w:r w:rsidR="00564547" w:rsidRPr="00092731">
          <w:rPr>
            <w:rStyle w:val="Hyperlink"/>
            <w:rFonts w:cs="Arial"/>
            <w:bCs/>
            <w:i/>
            <w:noProof/>
          </w:rPr>
          <w:t xml:space="preserve">Таблица 8 </w:t>
        </w:r>
        <w:r w:rsidR="00F07220">
          <w:rPr>
            <w:rStyle w:val="Hyperlink"/>
            <w:rFonts w:cs="Arial"/>
            <w:bCs/>
            <w:i/>
            <w:noProof/>
          </w:rPr>
          <w:tab/>
        </w:r>
        <w:r w:rsidR="00564547" w:rsidRPr="00092731">
          <w:rPr>
            <w:rStyle w:val="Hyperlink"/>
            <w:rFonts w:eastAsia="Calibri" w:cs="Arial"/>
            <w:i/>
            <w:noProof/>
          </w:rPr>
          <w:t>Прогноза за обработените товари по пристанища „С проект“</w:t>
        </w:r>
        <w:r w:rsidR="00564547">
          <w:rPr>
            <w:noProof/>
            <w:webHidden/>
          </w:rPr>
          <w:tab/>
        </w:r>
        <w:r w:rsidR="00564547">
          <w:rPr>
            <w:noProof/>
            <w:webHidden/>
          </w:rPr>
          <w:fldChar w:fldCharType="begin"/>
        </w:r>
        <w:r w:rsidR="00564547">
          <w:rPr>
            <w:noProof/>
            <w:webHidden/>
          </w:rPr>
          <w:instrText xml:space="preserve"> PAGEREF _Toc174099053 \h </w:instrText>
        </w:r>
        <w:r w:rsidR="00564547">
          <w:rPr>
            <w:noProof/>
            <w:webHidden/>
          </w:rPr>
        </w:r>
        <w:r w:rsidR="00564547">
          <w:rPr>
            <w:noProof/>
            <w:webHidden/>
          </w:rPr>
          <w:fldChar w:fldCharType="separate"/>
        </w:r>
        <w:r w:rsidR="00564547">
          <w:rPr>
            <w:noProof/>
            <w:webHidden/>
          </w:rPr>
          <w:t>22</w:t>
        </w:r>
        <w:r w:rsidR="00564547">
          <w:rPr>
            <w:noProof/>
            <w:webHidden/>
          </w:rPr>
          <w:fldChar w:fldCharType="end"/>
        </w:r>
      </w:hyperlink>
    </w:p>
    <w:p w14:paraId="7D3D2D19" w14:textId="3ECE9EF8"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4" w:history="1">
        <w:r w:rsidR="00564547" w:rsidRPr="00092731">
          <w:rPr>
            <w:rStyle w:val="Hyperlink"/>
            <w:rFonts w:cs="Arial"/>
            <w:bCs/>
            <w:i/>
            <w:noProof/>
          </w:rPr>
          <w:t xml:space="preserve">Таблица 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Обобщени резултати за избор на видове кейови стени за прилагане на Мултикритериален анализ</w:t>
        </w:r>
        <w:r w:rsidR="00564547">
          <w:rPr>
            <w:noProof/>
            <w:webHidden/>
          </w:rPr>
          <w:tab/>
        </w:r>
        <w:r w:rsidR="00564547">
          <w:rPr>
            <w:noProof/>
            <w:webHidden/>
          </w:rPr>
          <w:fldChar w:fldCharType="begin"/>
        </w:r>
        <w:r w:rsidR="00564547">
          <w:rPr>
            <w:noProof/>
            <w:webHidden/>
          </w:rPr>
          <w:instrText xml:space="preserve"> PAGEREF _Toc174099054 \h </w:instrText>
        </w:r>
        <w:r w:rsidR="00564547">
          <w:rPr>
            <w:noProof/>
            <w:webHidden/>
          </w:rPr>
        </w:r>
        <w:r w:rsidR="00564547">
          <w:rPr>
            <w:noProof/>
            <w:webHidden/>
          </w:rPr>
          <w:fldChar w:fldCharType="separate"/>
        </w:r>
        <w:r w:rsidR="00564547">
          <w:rPr>
            <w:noProof/>
            <w:webHidden/>
          </w:rPr>
          <w:t>43</w:t>
        </w:r>
        <w:r w:rsidR="00564547">
          <w:rPr>
            <w:noProof/>
            <w:webHidden/>
          </w:rPr>
          <w:fldChar w:fldCharType="end"/>
        </w:r>
      </w:hyperlink>
    </w:p>
    <w:p w14:paraId="2EF81969" w14:textId="17B5552E"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5" w:history="1">
        <w:r w:rsidR="00564547" w:rsidRPr="00092731">
          <w:rPr>
            <w:rStyle w:val="Hyperlink"/>
            <w:rFonts w:cs="Arial"/>
            <w:bCs/>
            <w:i/>
            <w:noProof/>
          </w:rPr>
          <w:t>Таблица 10</w:t>
        </w:r>
        <w:r w:rsidR="00564547" w:rsidRPr="00092731">
          <w:rPr>
            <w:rStyle w:val="Hyperlink"/>
            <w:rFonts w:cs="Arial"/>
            <w:b/>
            <w:bCs/>
            <w:i/>
            <w:iCs/>
            <w:noProof/>
          </w:rPr>
          <w:t xml:space="preserve"> </w:t>
        </w:r>
        <w:r w:rsidR="00F07220">
          <w:rPr>
            <w:rStyle w:val="Hyperlink"/>
            <w:rFonts w:cs="Arial"/>
            <w:b/>
            <w:bCs/>
            <w:i/>
            <w:iCs/>
            <w:noProof/>
          </w:rPr>
          <w:tab/>
        </w:r>
        <w:r w:rsidR="00564547" w:rsidRPr="00092731">
          <w:rPr>
            <w:rStyle w:val="Hyperlink"/>
            <w:rFonts w:eastAsia="Calibri" w:cs="Arial"/>
            <w:i/>
            <w:noProof/>
          </w:rPr>
          <w:t>Оценки по критерии за всеки от вариантите</w:t>
        </w:r>
        <w:r w:rsidR="00564547">
          <w:rPr>
            <w:noProof/>
            <w:webHidden/>
          </w:rPr>
          <w:tab/>
        </w:r>
        <w:r w:rsidR="00564547">
          <w:rPr>
            <w:noProof/>
            <w:webHidden/>
          </w:rPr>
          <w:fldChar w:fldCharType="begin"/>
        </w:r>
        <w:r w:rsidR="00564547">
          <w:rPr>
            <w:noProof/>
            <w:webHidden/>
          </w:rPr>
          <w:instrText xml:space="preserve"> PAGEREF _Toc174099055 \h </w:instrText>
        </w:r>
        <w:r w:rsidR="00564547">
          <w:rPr>
            <w:noProof/>
            <w:webHidden/>
          </w:rPr>
        </w:r>
        <w:r w:rsidR="00564547">
          <w:rPr>
            <w:noProof/>
            <w:webHidden/>
          </w:rPr>
          <w:fldChar w:fldCharType="separate"/>
        </w:r>
        <w:r w:rsidR="00564547">
          <w:rPr>
            <w:noProof/>
            <w:webHidden/>
          </w:rPr>
          <w:t>50</w:t>
        </w:r>
        <w:r w:rsidR="00564547">
          <w:rPr>
            <w:noProof/>
            <w:webHidden/>
          </w:rPr>
          <w:fldChar w:fldCharType="end"/>
        </w:r>
      </w:hyperlink>
    </w:p>
    <w:p w14:paraId="7EF39866" w14:textId="22918B52"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6" w:history="1">
        <w:r w:rsidR="00564547" w:rsidRPr="00092731">
          <w:rPr>
            <w:rStyle w:val="Hyperlink"/>
            <w:rFonts w:cs="Arial"/>
            <w:bCs/>
            <w:i/>
            <w:noProof/>
          </w:rPr>
          <w:t>Таблица 11</w:t>
        </w:r>
        <w:r w:rsidR="00564547" w:rsidRPr="00092731">
          <w:rPr>
            <w:rStyle w:val="Hyperlink"/>
            <w:rFonts w:cs="Arial"/>
            <w:b/>
            <w:bCs/>
            <w:i/>
            <w:iCs/>
            <w:noProof/>
          </w:rPr>
          <w:t xml:space="preserve">  </w:t>
        </w:r>
        <w:r w:rsidR="00F07220">
          <w:rPr>
            <w:rStyle w:val="Hyperlink"/>
            <w:rFonts w:cs="Arial"/>
            <w:b/>
            <w:bCs/>
            <w:i/>
            <w:iCs/>
            <w:noProof/>
          </w:rPr>
          <w:tab/>
        </w:r>
        <w:r w:rsidR="00564547" w:rsidRPr="00092731">
          <w:rPr>
            <w:rStyle w:val="Hyperlink"/>
            <w:rFonts w:eastAsia="Calibri" w:cs="Arial"/>
            <w:i/>
            <w:noProof/>
          </w:rPr>
          <w:t>Обобщени резултати за избор на вариант</w:t>
        </w:r>
        <w:r w:rsidR="00564547">
          <w:rPr>
            <w:noProof/>
            <w:webHidden/>
          </w:rPr>
          <w:tab/>
        </w:r>
        <w:r w:rsidR="00564547">
          <w:rPr>
            <w:noProof/>
            <w:webHidden/>
          </w:rPr>
          <w:fldChar w:fldCharType="begin"/>
        </w:r>
        <w:r w:rsidR="00564547">
          <w:rPr>
            <w:noProof/>
            <w:webHidden/>
          </w:rPr>
          <w:instrText xml:space="preserve"> PAGEREF _Toc174099056 \h </w:instrText>
        </w:r>
        <w:r w:rsidR="00564547">
          <w:rPr>
            <w:noProof/>
            <w:webHidden/>
          </w:rPr>
        </w:r>
        <w:r w:rsidR="00564547">
          <w:rPr>
            <w:noProof/>
            <w:webHidden/>
          </w:rPr>
          <w:fldChar w:fldCharType="separate"/>
        </w:r>
        <w:r w:rsidR="00564547">
          <w:rPr>
            <w:noProof/>
            <w:webHidden/>
          </w:rPr>
          <w:t>50</w:t>
        </w:r>
        <w:r w:rsidR="00564547">
          <w:rPr>
            <w:noProof/>
            <w:webHidden/>
          </w:rPr>
          <w:fldChar w:fldCharType="end"/>
        </w:r>
      </w:hyperlink>
    </w:p>
    <w:p w14:paraId="622A774A" w14:textId="449A98D0"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7" w:history="1">
        <w:r w:rsidR="00564547" w:rsidRPr="00092731">
          <w:rPr>
            <w:rStyle w:val="Hyperlink"/>
            <w:rFonts w:cs="Arial"/>
            <w:bCs/>
            <w:i/>
            <w:noProof/>
          </w:rPr>
          <w:t>Таблица 12</w:t>
        </w:r>
        <w:r w:rsidR="00564547" w:rsidRPr="00092731">
          <w:rPr>
            <w:rStyle w:val="Hyperlink"/>
            <w:rFonts w:cs="Arial"/>
            <w:b/>
            <w:bCs/>
            <w:i/>
            <w:iCs/>
            <w:noProof/>
          </w:rPr>
          <w:t xml:space="preserve">  </w:t>
        </w:r>
        <w:r w:rsidR="00F07220">
          <w:rPr>
            <w:rStyle w:val="Hyperlink"/>
            <w:rFonts w:cs="Arial"/>
            <w:b/>
            <w:bCs/>
            <w:i/>
            <w:iCs/>
            <w:noProof/>
          </w:rPr>
          <w:tab/>
        </w:r>
        <w:r w:rsidR="00564547" w:rsidRPr="00092731">
          <w:rPr>
            <w:rStyle w:val="Hyperlink"/>
            <w:rFonts w:eastAsia="Calibri" w:cs="Arial"/>
            <w:i/>
            <w:noProof/>
          </w:rPr>
          <w:t>Инвестиционни разходи в лева</w:t>
        </w:r>
        <w:r w:rsidR="00564547">
          <w:rPr>
            <w:noProof/>
            <w:webHidden/>
          </w:rPr>
          <w:tab/>
        </w:r>
        <w:r w:rsidR="00564547">
          <w:rPr>
            <w:noProof/>
            <w:webHidden/>
          </w:rPr>
          <w:fldChar w:fldCharType="begin"/>
        </w:r>
        <w:r w:rsidR="00564547">
          <w:rPr>
            <w:noProof/>
            <w:webHidden/>
          </w:rPr>
          <w:instrText xml:space="preserve"> PAGEREF _Toc174099057 \h </w:instrText>
        </w:r>
        <w:r w:rsidR="00564547">
          <w:rPr>
            <w:noProof/>
            <w:webHidden/>
          </w:rPr>
        </w:r>
        <w:r w:rsidR="00564547">
          <w:rPr>
            <w:noProof/>
            <w:webHidden/>
          </w:rPr>
          <w:fldChar w:fldCharType="separate"/>
        </w:r>
        <w:r w:rsidR="00564547">
          <w:rPr>
            <w:noProof/>
            <w:webHidden/>
          </w:rPr>
          <w:t>55</w:t>
        </w:r>
        <w:r w:rsidR="00564547">
          <w:rPr>
            <w:noProof/>
            <w:webHidden/>
          </w:rPr>
          <w:fldChar w:fldCharType="end"/>
        </w:r>
      </w:hyperlink>
    </w:p>
    <w:p w14:paraId="122F4400" w14:textId="79E53D19"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8" w:history="1">
        <w:r w:rsidR="00564547" w:rsidRPr="00092731">
          <w:rPr>
            <w:rStyle w:val="Hyperlink"/>
            <w:rFonts w:cs="Arial"/>
            <w:bCs/>
            <w:i/>
            <w:noProof/>
          </w:rPr>
          <w:t xml:space="preserve">Таблица 13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на недопустимите разходи в лева</w:t>
        </w:r>
        <w:r w:rsidR="00564547">
          <w:rPr>
            <w:noProof/>
            <w:webHidden/>
          </w:rPr>
          <w:tab/>
        </w:r>
        <w:r w:rsidR="00564547">
          <w:rPr>
            <w:noProof/>
            <w:webHidden/>
          </w:rPr>
          <w:fldChar w:fldCharType="begin"/>
        </w:r>
        <w:r w:rsidR="00564547">
          <w:rPr>
            <w:noProof/>
            <w:webHidden/>
          </w:rPr>
          <w:instrText xml:space="preserve"> PAGEREF _Toc174099058 \h </w:instrText>
        </w:r>
        <w:r w:rsidR="00564547">
          <w:rPr>
            <w:noProof/>
            <w:webHidden/>
          </w:rPr>
        </w:r>
        <w:r w:rsidR="00564547">
          <w:rPr>
            <w:noProof/>
            <w:webHidden/>
          </w:rPr>
          <w:fldChar w:fldCharType="separate"/>
        </w:r>
        <w:r w:rsidR="00564547">
          <w:rPr>
            <w:noProof/>
            <w:webHidden/>
          </w:rPr>
          <w:t>56</w:t>
        </w:r>
        <w:r w:rsidR="00564547">
          <w:rPr>
            <w:noProof/>
            <w:webHidden/>
          </w:rPr>
          <w:fldChar w:fldCharType="end"/>
        </w:r>
      </w:hyperlink>
    </w:p>
    <w:p w14:paraId="3A507FFA" w14:textId="6A65EA9B"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59" w:history="1">
        <w:r w:rsidR="00564547" w:rsidRPr="00092731">
          <w:rPr>
            <w:rStyle w:val="Hyperlink"/>
            <w:rFonts w:cs="Arial"/>
            <w:bCs/>
            <w:i/>
            <w:noProof/>
          </w:rPr>
          <w:t xml:space="preserve">Таблица 14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Финансова програма за изпълнение на проекта в EUR</w:t>
        </w:r>
        <w:r w:rsidR="00564547">
          <w:rPr>
            <w:noProof/>
            <w:webHidden/>
          </w:rPr>
          <w:tab/>
        </w:r>
        <w:r w:rsidR="00564547">
          <w:rPr>
            <w:noProof/>
            <w:webHidden/>
          </w:rPr>
          <w:fldChar w:fldCharType="begin"/>
        </w:r>
        <w:r w:rsidR="00564547">
          <w:rPr>
            <w:noProof/>
            <w:webHidden/>
          </w:rPr>
          <w:instrText xml:space="preserve"> PAGEREF _Toc174099059 \h </w:instrText>
        </w:r>
        <w:r w:rsidR="00564547">
          <w:rPr>
            <w:noProof/>
            <w:webHidden/>
          </w:rPr>
        </w:r>
        <w:r w:rsidR="00564547">
          <w:rPr>
            <w:noProof/>
            <w:webHidden/>
          </w:rPr>
          <w:fldChar w:fldCharType="separate"/>
        </w:r>
        <w:r w:rsidR="00564547">
          <w:rPr>
            <w:noProof/>
            <w:webHidden/>
          </w:rPr>
          <w:t>57</w:t>
        </w:r>
        <w:r w:rsidR="00564547">
          <w:rPr>
            <w:noProof/>
            <w:webHidden/>
          </w:rPr>
          <w:fldChar w:fldCharType="end"/>
        </w:r>
      </w:hyperlink>
    </w:p>
    <w:p w14:paraId="3D4A7AB4" w14:textId="62E62655"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0" w:history="1">
        <w:r w:rsidR="00564547" w:rsidRPr="00092731">
          <w:rPr>
            <w:rStyle w:val="Hyperlink"/>
            <w:rFonts w:cs="Arial"/>
            <w:bCs/>
            <w:i/>
            <w:noProof/>
          </w:rPr>
          <w:t xml:space="preserve">Таблица 15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Остатъчна стойност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_Toc174099060 \h </w:instrText>
        </w:r>
        <w:r w:rsidR="00564547">
          <w:rPr>
            <w:noProof/>
            <w:webHidden/>
          </w:rPr>
        </w:r>
        <w:r w:rsidR="00564547">
          <w:rPr>
            <w:noProof/>
            <w:webHidden/>
          </w:rPr>
          <w:fldChar w:fldCharType="separate"/>
        </w:r>
        <w:r w:rsidR="00564547">
          <w:rPr>
            <w:noProof/>
            <w:webHidden/>
          </w:rPr>
          <w:t>57</w:t>
        </w:r>
        <w:r w:rsidR="00564547">
          <w:rPr>
            <w:noProof/>
            <w:webHidden/>
          </w:rPr>
          <w:fldChar w:fldCharType="end"/>
        </w:r>
      </w:hyperlink>
    </w:p>
    <w:p w14:paraId="6D521FE8" w14:textId="3259658B"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1" w:history="1">
        <w:r w:rsidR="00564547" w:rsidRPr="00092731">
          <w:rPr>
            <w:rStyle w:val="Hyperlink"/>
            <w:rFonts w:cs="Arial"/>
            <w:bCs/>
            <w:i/>
            <w:noProof/>
          </w:rPr>
          <w:t xml:space="preserve">Таблица 16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Единични стойности на променливите разходи за ЕиП в </w:t>
        </w:r>
        <w:r w:rsidR="00564547" w:rsidRPr="00092731">
          <w:rPr>
            <w:rStyle w:val="Hyperlink"/>
            <w:rFonts w:eastAsia="Calibri" w:cs="Arial"/>
            <w:i/>
            <w:noProof/>
            <w:lang w:val="en-US"/>
          </w:rPr>
          <w:t>EUR/</w:t>
        </w:r>
        <w:r w:rsidR="00564547" w:rsidRPr="00092731">
          <w:rPr>
            <w:rStyle w:val="Hyperlink"/>
            <w:rFonts w:eastAsia="Calibri" w:cs="Arial"/>
            <w:i/>
            <w:noProof/>
          </w:rPr>
          <w:t>тон</w:t>
        </w:r>
        <w:r w:rsidR="00564547">
          <w:rPr>
            <w:noProof/>
            <w:webHidden/>
          </w:rPr>
          <w:tab/>
        </w:r>
        <w:r w:rsidR="00564547">
          <w:rPr>
            <w:noProof/>
            <w:webHidden/>
          </w:rPr>
          <w:fldChar w:fldCharType="begin"/>
        </w:r>
        <w:r w:rsidR="00564547">
          <w:rPr>
            <w:noProof/>
            <w:webHidden/>
          </w:rPr>
          <w:instrText xml:space="preserve"> PAGEREF _Toc174099061 \h </w:instrText>
        </w:r>
        <w:r w:rsidR="00564547">
          <w:rPr>
            <w:noProof/>
            <w:webHidden/>
          </w:rPr>
        </w:r>
        <w:r w:rsidR="00564547">
          <w:rPr>
            <w:noProof/>
            <w:webHidden/>
          </w:rPr>
          <w:fldChar w:fldCharType="separate"/>
        </w:r>
        <w:r w:rsidR="00564547">
          <w:rPr>
            <w:noProof/>
            <w:webHidden/>
          </w:rPr>
          <w:t>60</w:t>
        </w:r>
        <w:r w:rsidR="00564547">
          <w:rPr>
            <w:noProof/>
            <w:webHidden/>
          </w:rPr>
          <w:fldChar w:fldCharType="end"/>
        </w:r>
      </w:hyperlink>
    </w:p>
    <w:p w14:paraId="029F034B" w14:textId="2A995718"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2" w:history="1">
        <w:r w:rsidR="00564547" w:rsidRPr="00092731">
          <w:rPr>
            <w:rStyle w:val="Hyperlink"/>
            <w:rFonts w:cs="Arial"/>
            <w:bCs/>
            <w:i/>
            <w:noProof/>
          </w:rPr>
          <w:t xml:space="preserve">Таблица 17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Постоянни разходи за ЕиП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_Toc174099062 \h </w:instrText>
        </w:r>
        <w:r w:rsidR="00564547">
          <w:rPr>
            <w:noProof/>
            <w:webHidden/>
          </w:rPr>
        </w:r>
        <w:r w:rsidR="00564547">
          <w:rPr>
            <w:noProof/>
            <w:webHidden/>
          </w:rPr>
          <w:fldChar w:fldCharType="separate"/>
        </w:r>
        <w:r w:rsidR="00564547">
          <w:rPr>
            <w:noProof/>
            <w:webHidden/>
          </w:rPr>
          <w:t>61</w:t>
        </w:r>
        <w:r w:rsidR="00564547">
          <w:rPr>
            <w:noProof/>
            <w:webHidden/>
          </w:rPr>
          <w:fldChar w:fldCharType="end"/>
        </w:r>
      </w:hyperlink>
    </w:p>
    <w:p w14:paraId="294DF90A" w14:textId="57AF0624"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3" w:history="1">
        <w:r w:rsidR="00564547" w:rsidRPr="00092731">
          <w:rPr>
            <w:rStyle w:val="Hyperlink"/>
            <w:rFonts w:cs="Arial"/>
            <w:bCs/>
            <w:i/>
            <w:noProof/>
          </w:rPr>
          <w:t xml:space="preserve">Таблица 18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Инкрементални разходи за ЕиП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_Toc174099063 \h </w:instrText>
        </w:r>
        <w:r w:rsidR="00564547">
          <w:rPr>
            <w:noProof/>
            <w:webHidden/>
          </w:rPr>
        </w:r>
        <w:r w:rsidR="00564547">
          <w:rPr>
            <w:noProof/>
            <w:webHidden/>
          </w:rPr>
          <w:fldChar w:fldCharType="separate"/>
        </w:r>
        <w:r w:rsidR="00564547">
          <w:rPr>
            <w:noProof/>
            <w:webHidden/>
          </w:rPr>
          <w:t>62</w:t>
        </w:r>
        <w:r w:rsidR="00564547">
          <w:rPr>
            <w:noProof/>
            <w:webHidden/>
          </w:rPr>
          <w:fldChar w:fldCharType="end"/>
        </w:r>
      </w:hyperlink>
    </w:p>
    <w:p w14:paraId="2F57AF3B" w14:textId="708B656C"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4" w:history="1">
        <w:r w:rsidR="00564547" w:rsidRPr="00092731">
          <w:rPr>
            <w:rStyle w:val="Hyperlink"/>
            <w:rFonts w:cs="Arial"/>
            <w:bCs/>
            <w:i/>
            <w:noProof/>
          </w:rPr>
          <w:t xml:space="preserve">Таблица 19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Единични стойности на приходите в €/тон</w:t>
        </w:r>
        <w:r w:rsidR="00564547">
          <w:rPr>
            <w:noProof/>
            <w:webHidden/>
          </w:rPr>
          <w:tab/>
        </w:r>
        <w:r w:rsidR="00564547">
          <w:rPr>
            <w:noProof/>
            <w:webHidden/>
          </w:rPr>
          <w:fldChar w:fldCharType="begin"/>
        </w:r>
        <w:r w:rsidR="00564547">
          <w:rPr>
            <w:noProof/>
            <w:webHidden/>
          </w:rPr>
          <w:instrText xml:space="preserve"> PAGEREF _Toc174099064 \h </w:instrText>
        </w:r>
        <w:r w:rsidR="00564547">
          <w:rPr>
            <w:noProof/>
            <w:webHidden/>
          </w:rPr>
        </w:r>
        <w:r w:rsidR="00564547">
          <w:rPr>
            <w:noProof/>
            <w:webHidden/>
          </w:rPr>
          <w:fldChar w:fldCharType="separate"/>
        </w:r>
        <w:r w:rsidR="00564547">
          <w:rPr>
            <w:noProof/>
            <w:webHidden/>
          </w:rPr>
          <w:t>64</w:t>
        </w:r>
        <w:r w:rsidR="00564547">
          <w:rPr>
            <w:noProof/>
            <w:webHidden/>
          </w:rPr>
          <w:fldChar w:fldCharType="end"/>
        </w:r>
      </w:hyperlink>
    </w:p>
    <w:p w14:paraId="51EA368F" w14:textId="2EBED1FA"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5" w:history="1">
        <w:r w:rsidR="00564547" w:rsidRPr="00092731">
          <w:rPr>
            <w:rStyle w:val="Hyperlink"/>
            <w:rFonts w:cs="Arial"/>
            <w:bCs/>
            <w:i/>
            <w:noProof/>
          </w:rPr>
          <w:t xml:space="preserve">Таблица 20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 xml:space="preserve">Прогноза за инкременталните приходи в </w:t>
        </w:r>
        <w:r w:rsidR="00564547" w:rsidRPr="00092731">
          <w:rPr>
            <w:rStyle w:val="Hyperlink"/>
            <w:rFonts w:eastAsia="Calibri" w:cs="Arial"/>
            <w:i/>
            <w:noProof/>
            <w:lang w:val="en-US"/>
          </w:rPr>
          <w:t>EUR</w:t>
        </w:r>
        <w:r w:rsidR="00564547">
          <w:rPr>
            <w:noProof/>
            <w:webHidden/>
          </w:rPr>
          <w:tab/>
        </w:r>
        <w:r w:rsidR="00564547">
          <w:rPr>
            <w:noProof/>
            <w:webHidden/>
          </w:rPr>
          <w:fldChar w:fldCharType="begin"/>
        </w:r>
        <w:r w:rsidR="00564547">
          <w:rPr>
            <w:noProof/>
            <w:webHidden/>
          </w:rPr>
          <w:instrText xml:space="preserve"> PAGEREF _Toc174099065 \h </w:instrText>
        </w:r>
        <w:r w:rsidR="00564547">
          <w:rPr>
            <w:noProof/>
            <w:webHidden/>
          </w:rPr>
        </w:r>
        <w:r w:rsidR="00564547">
          <w:rPr>
            <w:noProof/>
            <w:webHidden/>
          </w:rPr>
          <w:fldChar w:fldCharType="separate"/>
        </w:r>
        <w:r w:rsidR="00564547">
          <w:rPr>
            <w:noProof/>
            <w:webHidden/>
          </w:rPr>
          <w:t>64</w:t>
        </w:r>
        <w:r w:rsidR="00564547">
          <w:rPr>
            <w:noProof/>
            <w:webHidden/>
          </w:rPr>
          <w:fldChar w:fldCharType="end"/>
        </w:r>
      </w:hyperlink>
    </w:p>
    <w:p w14:paraId="213BFAC5" w14:textId="698A3378"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6" w:history="1">
        <w:r w:rsidR="00564547" w:rsidRPr="00092731">
          <w:rPr>
            <w:rStyle w:val="Hyperlink"/>
            <w:rFonts w:cs="Arial"/>
            <w:bCs/>
            <w:i/>
            <w:noProof/>
          </w:rPr>
          <w:t xml:space="preserve">Таблица 21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Прогноза за инкременталните приходи в хил. лв.</w:t>
        </w:r>
        <w:r w:rsidR="00564547">
          <w:rPr>
            <w:noProof/>
            <w:webHidden/>
          </w:rPr>
          <w:tab/>
        </w:r>
        <w:r w:rsidR="00564547">
          <w:rPr>
            <w:noProof/>
            <w:webHidden/>
          </w:rPr>
          <w:fldChar w:fldCharType="begin"/>
        </w:r>
        <w:r w:rsidR="00564547">
          <w:rPr>
            <w:noProof/>
            <w:webHidden/>
          </w:rPr>
          <w:instrText xml:space="preserve"> PAGEREF _Toc174099066 \h </w:instrText>
        </w:r>
        <w:r w:rsidR="00564547">
          <w:rPr>
            <w:noProof/>
            <w:webHidden/>
          </w:rPr>
        </w:r>
        <w:r w:rsidR="00564547">
          <w:rPr>
            <w:noProof/>
            <w:webHidden/>
          </w:rPr>
          <w:fldChar w:fldCharType="separate"/>
        </w:r>
        <w:r w:rsidR="00564547">
          <w:rPr>
            <w:noProof/>
            <w:webHidden/>
          </w:rPr>
          <w:t>65</w:t>
        </w:r>
        <w:r w:rsidR="00564547">
          <w:rPr>
            <w:noProof/>
            <w:webHidden/>
          </w:rPr>
          <w:fldChar w:fldCharType="end"/>
        </w:r>
      </w:hyperlink>
    </w:p>
    <w:p w14:paraId="151023D9" w14:textId="75E55FA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7" w:history="1">
        <w:r w:rsidR="00564547" w:rsidRPr="00092731">
          <w:rPr>
            <w:rStyle w:val="Hyperlink"/>
            <w:rFonts w:cs="Arial"/>
            <w:bCs/>
            <w:i/>
            <w:noProof/>
          </w:rPr>
          <w:t xml:space="preserve">Таблица 22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Финансови индикатори по проекта</w:t>
        </w:r>
        <w:r w:rsidR="00564547">
          <w:rPr>
            <w:noProof/>
            <w:webHidden/>
          </w:rPr>
          <w:tab/>
        </w:r>
        <w:r w:rsidR="00564547">
          <w:rPr>
            <w:noProof/>
            <w:webHidden/>
          </w:rPr>
          <w:fldChar w:fldCharType="begin"/>
        </w:r>
        <w:r w:rsidR="00564547">
          <w:rPr>
            <w:noProof/>
            <w:webHidden/>
          </w:rPr>
          <w:instrText xml:space="preserve"> PAGEREF _Toc174099067 \h </w:instrText>
        </w:r>
        <w:r w:rsidR="00564547">
          <w:rPr>
            <w:noProof/>
            <w:webHidden/>
          </w:rPr>
        </w:r>
        <w:r w:rsidR="00564547">
          <w:rPr>
            <w:noProof/>
            <w:webHidden/>
          </w:rPr>
          <w:fldChar w:fldCharType="separate"/>
        </w:r>
        <w:r w:rsidR="00564547">
          <w:rPr>
            <w:noProof/>
            <w:webHidden/>
          </w:rPr>
          <w:t>66</w:t>
        </w:r>
        <w:r w:rsidR="00564547">
          <w:rPr>
            <w:noProof/>
            <w:webHidden/>
          </w:rPr>
          <w:fldChar w:fldCharType="end"/>
        </w:r>
      </w:hyperlink>
    </w:p>
    <w:p w14:paraId="273BEBDD" w14:textId="7B937A6F"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8" w:history="1">
        <w:r w:rsidR="00564547" w:rsidRPr="00092731">
          <w:rPr>
            <w:rStyle w:val="Hyperlink"/>
            <w:rFonts w:cs="Arial"/>
            <w:bCs/>
            <w:i/>
            <w:noProof/>
          </w:rPr>
          <w:t xml:space="preserve">Таблица 23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 план по източници</w:t>
        </w:r>
        <w:r w:rsidR="00564547">
          <w:rPr>
            <w:noProof/>
            <w:webHidden/>
          </w:rPr>
          <w:tab/>
        </w:r>
        <w:r w:rsidR="00564547">
          <w:rPr>
            <w:noProof/>
            <w:webHidden/>
          </w:rPr>
          <w:fldChar w:fldCharType="begin"/>
        </w:r>
        <w:r w:rsidR="00564547">
          <w:rPr>
            <w:noProof/>
            <w:webHidden/>
          </w:rPr>
          <w:instrText xml:space="preserve"> PAGEREF _Toc174099068 \h </w:instrText>
        </w:r>
        <w:r w:rsidR="00564547">
          <w:rPr>
            <w:noProof/>
            <w:webHidden/>
          </w:rPr>
        </w:r>
        <w:r w:rsidR="00564547">
          <w:rPr>
            <w:noProof/>
            <w:webHidden/>
          </w:rPr>
          <w:fldChar w:fldCharType="separate"/>
        </w:r>
        <w:r w:rsidR="00564547">
          <w:rPr>
            <w:noProof/>
            <w:webHidden/>
          </w:rPr>
          <w:t>66</w:t>
        </w:r>
        <w:r w:rsidR="00564547">
          <w:rPr>
            <w:noProof/>
            <w:webHidden/>
          </w:rPr>
          <w:fldChar w:fldCharType="end"/>
        </w:r>
      </w:hyperlink>
    </w:p>
    <w:p w14:paraId="40D44152" w14:textId="63CCDC66"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69" w:history="1">
        <w:r w:rsidR="00564547" w:rsidRPr="00092731">
          <w:rPr>
            <w:rStyle w:val="Hyperlink"/>
            <w:rFonts w:cs="Arial"/>
            <w:bCs/>
            <w:i/>
            <w:noProof/>
          </w:rPr>
          <w:t xml:space="preserve">Таблица 24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Финансова устойчивост на проекта</w:t>
        </w:r>
        <w:r w:rsidR="00564547">
          <w:rPr>
            <w:noProof/>
            <w:webHidden/>
          </w:rPr>
          <w:tab/>
        </w:r>
        <w:r w:rsidR="00564547">
          <w:rPr>
            <w:noProof/>
            <w:webHidden/>
          </w:rPr>
          <w:fldChar w:fldCharType="begin"/>
        </w:r>
        <w:r w:rsidR="00564547">
          <w:rPr>
            <w:noProof/>
            <w:webHidden/>
          </w:rPr>
          <w:instrText xml:space="preserve"> PAGEREF _Toc174099069 \h </w:instrText>
        </w:r>
        <w:r w:rsidR="00564547">
          <w:rPr>
            <w:noProof/>
            <w:webHidden/>
          </w:rPr>
        </w:r>
        <w:r w:rsidR="00564547">
          <w:rPr>
            <w:noProof/>
            <w:webHidden/>
          </w:rPr>
          <w:fldChar w:fldCharType="separate"/>
        </w:r>
        <w:r w:rsidR="00564547">
          <w:rPr>
            <w:noProof/>
            <w:webHidden/>
          </w:rPr>
          <w:t>68</w:t>
        </w:r>
        <w:r w:rsidR="00564547">
          <w:rPr>
            <w:noProof/>
            <w:webHidden/>
          </w:rPr>
          <w:fldChar w:fldCharType="end"/>
        </w:r>
      </w:hyperlink>
    </w:p>
    <w:p w14:paraId="29DABDEF" w14:textId="45301A6F"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0" w:history="1">
        <w:r w:rsidR="00564547" w:rsidRPr="00092731">
          <w:rPr>
            <w:rStyle w:val="Hyperlink"/>
            <w:rFonts w:cs="Arial"/>
            <w:bCs/>
            <w:i/>
            <w:noProof/>
          </w:rPr>
          <w:t xml:space="preserve">Таблица 25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Конверсионен фактор за инвестициите</w:t>
        </w:r>
        <w:r w:rsidR="00564547">
          <w:rPr>
            <w:noProof/>
            <w:webHidden/>
          </w:rPr>
          <w:tab/>
        </w:r>
        <w:r w:rsidR="00564547">
          <w:rPr>
            <w:noProof/>
            <w:webHidden/>
          </w:rPr>
          <w:fldChar w:fldCharType="begin"/>
        </w:r>
        <w:r w:rsidR="00564547">
          <w:rPr>
            <w:noProof/>
            <w:webHidden/>
          </w:rPr>
          <w:instrText xml:space="preserve"> PAGEREF _Toc174099070 \h </w:instrText>
        </w:r>
        <w:r w:rsidR="00564547">
          <w:rPr>
            <w:noProof/>
            <w:webHidden/>
          </w:rPr>
        </w:r>
        <w:r w:rsidR="00564547">
          <w:rPr>
            <w:noProof/>
            <w:webHidden/>
          </w:rPr>
          <w:fldChar w:fldCharType="separate"/>
        </w:r>
        <w:r w:rsidR="00564547">
          <w:rPr>
            <w:noProof/>
            <w:webHidden/>
          </w:rPr>
          <w:t>69</w:t>
        </w:r>
        <w:r w:rsidR="00564547">
          <w:rPr>
            <w:noProof/>
            <w:webHidden/>
          </w:rPr>
          <w:fldChar w:fldCharType="end"/>
        </w:r>
      </w:hyperlink>
    </w:p>
    <w:p w14:paraId="47B536D1" w14:textId="6172E4F2"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1" w:history="1">
        <w:r w:rsidR="00564547" w:rsidRPr="00092731">
          <w:rPr>
            <w:rStyle w:val="Hyperlink"/>
            <w:rFonts w:cs="Arial"/>
            <w:bCs/>
            <w:i/>
            <w:noProof/>
          </w:rPr>
          <w:t xml:space="preserve">Таблица 26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Конверсионен фактор за разходите за ЕиП</w:t>
        </w:r>
        <w:r w:rsidR="00564547">
          <w:rPr>
            <w:noProof/>
            <w:webHidden/>
          </w:rPr>
          <w:tab/>
        </w:r>
        <w:r w:rsidR="00564547">
          <w:rPr>
            <w:noProof/>
            <w:webHidden/>
          </w:rPr>
          <w:fldChar w:fldCharType="begin"/>
        </w:r>
        <w:r w:rsidR="00564547">
          <w:rPr>
            <w:noProof/>
            <w:webHidden/>
          </w:rPr>
          <w:instrText xml:space="preserve"> PAGEREF _Toc174099071 \h </w:instrText>
        </w:r>
        <w:r w:rsidR="00564547">
          <w:rPr>
            <w:noProof/>
            <w:webHidden/>
          </w:rPr>
        </w:r>
        <w:r w:rsidR="00564547">
          <w:rPr>
            <w:noProof/>
            <w:webHidden/>
          </w:rPr>
          <w:fldChar w:fldCharType="separate"/>
        </w:r>
        <w:r w:rsidR="00564547">
          <w:rPr>
            <w:noProof/>
            <w:webHidden/>
          </w:rPr>
          <w:t>69</w:t>
        </w:r>
        <w:r w:rsidR="00564547">
          <w:rPr>
            <w:noProof/>
            <w:webHidden/>
          </w:rPr>
          <w:fldChar w:fldCharType="end"/>
        </w:r>
      </w:hyperlink>
    </w:p>
    <w:p w14:paraId="0E04C439" w14:textId="0FC602D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2" w:history="1">
        <w:r w:rsidR="00564547" w:rsidRPr="00092731">
          <w:rPr>
            <w:rStyle w:val="Hyperlink"/>
            <w:rFonts w:cs="Arial"/>
            <w:bCs/>
            <w:i/>
            <w:noProof/>
          </w:rPr>
          <w:t xml:space="preserve">Таблица 27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Единични стойности на външните разходи</w:t>
        </w:r>
        <w:r w:rsidR="00564547">
          <w:rPr>
            <w:noProof/>
            <w:webHidden/>
          </w:rPr>
          <w:tab/>
        </w:r>
        <w:r w:rsidR="00564547">
          <w:rPr>
            <w:noProof/>
            <w:webHidden/>
          </w:rPr>
          <w:fldChar w:fldCharType="begin"/>
        </w:r>
        <w:r w:rsidR="00564547">
          <w:rPr>
            <w:noProof/>
            <w:webHidden/>
          </w:rPr>
          <w:instrText xml:space="preserve"> PAGEREF _Toc174099072 \h </w:instrText>
        </w:r>
        <w:r w:rsidR="00564547">
          <w:rPr>
            <w:noProof/>
            <w:webHidden/>
          </w:rPr>
        </w:r>
        <w:r w:rsidR="00564547">
          <w:rPr>
            <w:noProof/>
            <w:webHidden/>
          </w:rPr>
          <w:fldChar w:fldCharType="separate"/>
        </w:r>
        <w:r w:rsidR="00564547">
          <w:rPr>
            <w:noProof/>
            <w:webHidden/>
          </w:rPr>
          <w:t>70</w:t>
        </w:r>
        <w:r w:rsidR="00564547">
          <w:rPr>
            <w:noProof/>
            <w:webHidden/>
          </w:rPr>
          <w:fldChar w:fldCharType="end"/>
        </w:r>
      </w:hyperlink>
    </w:p>
    <w:p w14:paraId="67E87F71" w14:textId="3A67AD4D"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3" w:history="1">
        <w:r w:rsidR="00564547" w:rsidRPr="00092731">
          <w:rPr>
            <w:rStyle w:val="Hyperlink"/>
            <w:rFonts w:cs="Arial"/>
            <w:bCs/>
            <w:i/>
            <w:noProof/>
          </w:rPr>
          <w:t xml:space="preserve">Таблица 28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на външните разходи</w:t>
        </w:r>
        <w:r w:rsidR="00564547">
          <w:rPr>
            <w:noProof/>
            <w:webHidden/>
          </w:rPr>
          <w:tab/>
        </w:r>
        <w:r w:rsidR="00564547">
          <w:rPr>
            <w:noProof/>
            <w:webHidden/>
          </w:rPr>
          <w:fldChar w:fldCharType="begin"/>
        </w:r>
        <w:r w:rsidR="00564547">
          <w:rPr>
            <w:noProof/>
            <w:webHidden/>
          </w:rPr>
          <w:instrText xml:space="preserve"> PAGEREF _Toc174099073 \h </w:instrText>
        </w:r>
        <w:r w:rsidR="00564547">
          <w:rPr>
            <w:noProof/>
            <w:webHidden/>
          </w:rPr>
        </w:r>
        <w:r w:rsidR="00564547">
          <w:rPr>
            <w:noProof/>
            <w:webHidden/>
          </w:rPr>
          <w:fldChar w:fldCharType="separate"/>
        </w:r>
        <w:r w:rsidR="00564547">
          <w:rPr>
            <w:noProof/>
            <w:webHidden/>
          </w:rPr>
          <w:t>71</w:t>
        </w:r>
        <w:r w:rsidR="00564547">
          <w:rPr>
            <w:noProof/>
            <w:webHidden/>
          </w:rPr>
          <w:fldChar w:fldCharType="end"/>
        </w:r>
      </w:hyperlink>
    </w:p>
    <w:p w14:paraId="5D6E0FDB" w14:textId="3670297B"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4" w:history="1">
        <w:r w:rsidR="00564547" w:rsidRPr="00092731">
          <w:rPr>
            <w:rStyle w:val="Hyperlink"/>
            <w:rFonts w:cs="Arial"/>
            <w:bCs/>
            <w:i/>
            <w:noProof/>
          </w:rPr>
          <w:t xml:space="preserve">Таблица 29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на ползите от намаляване влиянието върху климата</w:t>
        </w:r>
        <w:r w:rsidR="00564547">
          <w:rPr>
            <w:noProof/>
            <w:webHidden/>
          </w:rPr>
          <w:tab/>
        </w:r>
        <w:r w:rsidR="00564547">
          <w:rPr>
            <w:noProof/>
            <w:webHidden/>
          </w:rPr>
          <w:fldChar w:fldCharType="begin"/>
        </w:r>
        <w:r w:rsidR="00564547">
          <w:rPr>
            <w:noProof/>
            <w:webHidden/>
          </w:rPr>
          <w:instrText xml:space="preserve"> PAGEREF _Toc174099074 \h </w:instrText>
        </w:r>
        <w:r w:rsidR="00564547">
          <w:rPr>
            <w:noProof/>
            <w:webHidden/>
          </w:rPr>
        </w:r>
        <w:r w:rsidR="00564547">
          <w:rPr>
            <w:noProof/>
            <w:webHidden/>
          </w:rPr>
          <w:fldChar w:fldCharType="separate"/>
        </w:r>
        <w:r w:rsidR="00564547">
          <w:rPr>
            <w:noProof/>
            <w:webHidden/>
          </w:rPr>
          <w:t>71</w:t>
        </w:r>
        <w:r w:rsidR="00564547">
          <w:rPr>
            <w:noProof/>
            <w:webHidden/>
          </w:rPr>
          <w:fldChar w:fldCharType="end"/>
        </w:r>
      </w:hyperlink>
    </w:p>
    <w:p w14:paraId="62631D6C" w14:textId="07F42A9B"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5" w:history="1">
        <w:r w:rsidR="00564547" w:rsidRPr="00092731">
          <w:rPr>
            <w:rStyle w:val="Hyperlink"/>
            <w:rFonts w:cs="Arial"/>
            <w:bCs/>
            <w:i/>
            <w:noProof/>
          </w:rPr>
          <w:t xml:space="preserve">Таблица 30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Прогнозни единични стойности на СО2</w:t>
        </w:r>
        <w:r w:rsidR="00564547">
          <w:rPr>
            <w:noProof/>
            <w:webHidden/>
          </w:rPr>
          <w:tab/>
        </w:r>
        <w:r w:rsidR="00564547">
          <w:rPr>
            <w:noProof/>
            <w:webHidden/>
          </w:rPr>
          <w:fldChar w:fldCharType="begin"/>
        </w:r>
        <w:r w:rsidR="00564547">
          <w:rPr>
            <w:noProof/>
            <w:webHidden/>
          </w:rPr>
          <w:instrText xml:space="preserve"> PAGEREF _Toc174099075 \h </w:instrText>
        </w:r>
        <w:r w:rsidR="00564547">
          <w:rPr>
            <w:noProof/>
            <w:webHidden/>
          </w:rPr>
        </w:r>
        <w:r w:rsidR="00564547">
          <w:rPr>
            <w:noProof/>
            <w:webHidden/>
          </w:rPr>
          <w:fldChar w:fldCharType="separate"/>
        </w:r>
        <w:r w:rsidR="00564547">
          <w:rPr>
            <w:noProof/>
            <w:webHidden/>
          </w:rPr>
          <w:t>74</w:t>
        </w:r>
        <w:r w:rsidR="00564547">
          <w:rPr>
            <w:noProof/>
            <w:webHidden/>
          </w:rPr>
          <w:fldChar w:fldCharType="end"/>
        </w:r>
      </w:hyperlink>
    </w:p>
    <w:p w14:paraId="0F6CA269" w14:textId="3D132465"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6" w:history="1">
        <w:r w:rsidR="00564547" w:rsidRPr="00092731">
          <w:rPr>
            <w:rStyle w:val="Hyperlink"/>
            <w:rFonts w:cs="Arial"/>
            <w:bCs/>
            <w:i/>
            <w:noProof/>
          </w:rPr>
          <w:t xml:space="preserve">Таблица 31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Определяне количеството на парниковите газове</w:t>
        </w:r>
        <w:r w:rsidR="00564547">
          <w:rPr>
            <w:noProof/>
            <w:webHidden/>
          </w:rPr>
          <w:tab/>
        </w:r>
        <w:r w:rsidR="00564547">
          <w:rPr>
            <w:noProof/>
            <w:webHidden/>
          </w:rPr>
          <w:fldChar w:fldCharType="begin"/>
        </w:r>
        <w:r w:rsidR="00564547">
          <w:rPr>
            <w:noProof/>
            <w:webHidden/>
          </w:rPr>
          <w:instrText xml:space="preserve"> PAGEREF _Toc174099076 \h </w:instrText>
        </w:r>
        <w:r w:rsidR="00564547">
          <w:rPr>
            <w:noProof/>
            <w:webHidden/>
          </w:rPr>
        </w:r>
        <w:r w:rsidR="00564547">
          <w:rPr>
            <w:noProof/>
            <w:webHidden/>
          </w:rPr>
          <w:fldChar w:fldCharType="separate"/>
        </w:r>
        <w:r w:rsidR="00564547">
          <w:rPr>
            <w:noProof/>
            <w:webHidden/>
          </w:rPr>
          <w:t>75</w:t>
        </w:r>
        <w:r w:rsidR="00564547">
          <w:rPr>
            <w:noProof/>
            <w:webHidden/>
          </w:rPr>
          <w:fldChar w:fldCharType="end"/>
        </w:r>
      </w:hyperlink>
    </w:p>
    <w:p w14:paraId="559F5861" w14:textId="2268175A"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7" w:history="1">
        <w:r w:rsidR="00564547" w:rsidRPr="00092731">
          <w:rPr>
            <w:rStyle w:val="Hyperlink"/>
            <w:rFonts w:cs="Arial"/>
            <w:bCs/>
            <w:i/>
            <w:noProof/>
          </w:rPr>
          <w:t xml:space="preserve">Таблица 32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Основни елементи за определяне на икономическите индикатори</w:t>
        </w:r>
        <w:r w:rsidR="00564547">
          <w:rPr>
            <w:noProof/>
            <w:webHidden/>
          </w:rPr>
          <w:tab/>
        </w:r>
        <w:r w:rsidR="00564547">
          <w:rPr>
            <w:noProof/>
            <w:webHidden/>
          </w:rPr>
          <w:fldChar w:fldCharType="begin"/>
        </w:r>
        <w:r w:rsidR="00564547">
          <w:rPr>
            <w:noProof/>
            <w:webHidden/>
          </w:rPr>
          <w:instrText xml:space="preserve"> PAGEREF _Toc174099077 \h </w:instrText>
        </w:r>
        <w:r w:rsidR="00564547">
          <w:rPr>
            <w:noProof/>
            <w:webHidden/>
          </w:rPr>
        </w:r>
        <w:r w:rsidR="00564547">
          <w:rPr>
            <w:noProof/>
            <w:webHidden/>
          </w:rPr>
          <w:fldChar w:fldCharType="separate"/>
        </w:r>
        <w:r w:rsidR="00564547">
          <w:rPr>
            <w:noProof/>
            <w:webHidden/>
          </w:rPr>
          <w:t>75</w:t>
        </w:r>
        <w:r w:rsidR="00564547">
          <w:rPr>
            <w:noProof/>
            <w:webHidden/>
          </w:rPr>
          <w:fldChar w:fldCharType="end"/>
        </w:r>
      </w:hyperlink>
    </w:p>
    <w:p w14:paraId="5D0E70F4" w14:textId="0E549750"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8" w:history="1">
        <w:r w:rsidR="00564547" w:rsidRPr="00092731">
          <w:rPr>
            <w:rStyle w:val="Hyperlink"/>
            <w:rFonts w:cs="Arial"/>
            <w:bCs/>
            <w:i/>
            <w:noProof/>
          </w:rPr>
          <w:t xml:space="preserve">Таблица 33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Основни икономически индикатори</w:t>
        </w:r>
        <w:r w:rsidR="00564547">
          <w:rPr>
            <w:noProof/>
            <w:webHidden/>
          </w:rPr>
          <w:tab/>
        </w:r>
        <w:r w:rsidR="00564547">
          <w:rPr>
            <w:noProof/>
            <w:webHidden/>
          </w:rPr>
          <w:fldChar w:fldCharType="begin"/>
        </w:r>
        <w:r w:rsidR="00564547">
          <w:rPr>
            <w:noProof/>
            <w:webHidden/>
          </w:rPr>
          <w:instrText xml:space="preserve"> PAGEREF _Toc174099078 \h </w:instrText>
        </w:r>
        <w:r w:rsidR="00564547">
          <w:rPr>
            <w:noProof/>
            <w:webHidden/>
          </w:rPr>
        </w:r>
        <w:r w:rsidR="00564547">
          <w:rPr>
            <w:noProof/>
            <w:webHidden/>
          </w:rPr>
          <w:fldChar w:fldCharType="separate"/>
        </w:r>
        <w:r w:rsidR="00564547">
          <w:rPr>
            <w:noProof/>
            <w:webHidden/>
          </w:rPr>
          <w:t>75</w:t>
        </w:r>
        <w:r w:rsidR="00564547">
          <w:rPr>
            <w:noProof/>
            <w:webHidden/>
          </w:rPr>
          <w:fldChar w:fldCharType="end"/>
        </w:r>
      </w:hyperlink>
    </w:p>
    <w:p w14:paraId="0E103A2D" w14:textId="5E3D93B4"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79" w:history="1">
        <w:r w:rsidR="00564547" w:rsidRPr="00092731">
          <w:rPr>
            <w:rStyle w:val="Hyperlink"/>
            <w:rFonts w:cs="Arial"/>
            <w:bCs/>
            <w:i/>
            <w:noProof/>
          </w:rPr>
          <w:t xml:space="preserve">Таблица 34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Чувствителност на променливите във Финансовия анализ</w:t>
        </w:r>
        <w:r w:rsidR="00564547">
          <w:rPr>
            <w:noProof/>
            <w:webHidden/>
          </w:rPr>
          <w:tab/>
        </w:r>
        <w:r w:rsidR="00564547">
          <w:rPr>
            <w:noProof/>
            <w:webHidden/>
          </w:rPr>
          <w:fldChar w:fldCharType="begin"/>
        </w:r>
        <w:r w:rsidR="00564547">
          <w:rPr>
            <w:noProof/>
            <w:webHidden/>
          </w:rPr>
          <w:instrText xml:space="preserve"> PAGEREF _Toc174099079 \h </w:instrText>
        </w:r>
        <w:r w:rsidR="00564547">
          <w:rPr>
            <w:noProof/>
            <w:webHidden/>
          </w:rPr>
        </w:r>
        <w:r w:rsidR="00564547">
          <w:rPr>
            <w:noProof/>
            <w:webHidden/>
          </w:rPr>
          <w:fldChar w:fldCharType="separate"/>
        </w:r>
        <w:r w:rsidR="00564547">
          <w:rPr>
            <w:noProof/>
            <w:webHidden/>
          </w:rPr>
          <w:t>76</w:t>
        </w:r>
        <w:r w:rsidR="00564547">
          <w:rPr>
            <w:noProof/>
            <w:webHidden/>
          </w:rPr>
          <w:fldChar w:fldCharType="end"/>
        </w:r>
      </w:hyperlink>
    </w:p>
    <w:p w14:paraId="1F949BA7" w14:textId="7B5850B4"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0" w:history="1">
        <w:r w:rsidR="00564547" w:rsidRPr="00092731">
          <w:rPr>
            <w:rStyle w:val="Hyperlink"/>
            <w:rFonts w:cs="Arial"/>
            <w:bCs/>
            <w:i/>
            <w:noProof/>
          </w:rPr>
          <w:t xml:space="preserve">Таблица 35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Чувствителност на променливите във Икономическия анализ</w:t>
        </w:r>
        <w:r w:rsidR="00564547">
          <w:rPr>
            <w:noProof/>
            <w:webHidden/>
          </w:rPr>
          <w:tab/>
        </w:r>
        <w:r w:rsidR="00564547">
          <w:rPr>
            <w:noProof/>
            <w:webHidden/>
          </w:rPr>
          <w:fldChar w:fldCharType="begin"/>
        </w:r>
        <w:r w:rsidR="00564547">
          <w:rPr>
            <w:noProof/>
            <w:webHidden/>
          </w:rPr>
          <w:instrText xml:space="preserve"> PAGEREF _Toc174099080 \h </w:instrText>
        </w:r>
        <w:r w:rsidR="00564547">
          <w:rPr>
            <w:noProof/>
            <w:webHidden/>
          </w:rPr>
        </w:r>
        <w:r w:rsidR="00564547">
          <w:rPr>
            <w:noProof/>
            <w:webHidden/>
          </w:rPr>
          <w:fldChar w:fldCharType="separate"/>
        </w:r>
        <w:r w:rsidR="00564547">
          <w:rPr>
            <w:noProof/>
            <w:webHidden/>
          </w:rPr>
          <w:t>77</w:t>
        </w:r>
        <w:r w:rsidR="00564547">
          <w:rPr>
            <w:noProof/>
            <w:webHidden/>
          </w:rPr>
          <w:fldChar w:fldCharType="end"/>
        </w:r>
      </w:hyperlink>
    </w:p>
    <w:p w14:paraId="23241E33" w14:textId="061D1450"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1" w:history="1">
        <w:r w:rsidR="00564547" w:rsidRPr="00092731">
          <w:rPr>
            <w:rStyle w:val="Hyperlink"/>
            <w:rFonts w:cs="Arial"/>
            <w:bCs/>
            <w:i/>
            <w:noProof/>
          </w:rPr>
          <w:t xml:space="preserve">Таблица 36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Превключващи стойности на критичните променливи</w:t>
        </w:r>
        <w:r w:rsidR="00564547">
          <w:rPr>
            <w:noProof/>
            <w:webHidden/>
          </w:rPr>
          <w:tab/>
        </w:r>
        <w:r w:rsidR="00564547">
          <w:rPr>
            <w:noProof/>
            <w:webHidden/>
          </w:rPr>
          <w:fldChar w:fldCharType="begin"/>
        </w:r>
        <w:r w:rsidR="00564547">
          <w:rPr>
            <w:noProof/>
            <w:webHidden/>
          </w:rPr>
          <w:instrText xml:space="preserve"> PAGEREF _Toc174099081 \h </w:instrText>
        </w:r>
        <w:r w:rsidR="00564547">
          <w:rPr>
            <w:noProof/>
            <w:webHidden/>
          </w:rPr>
        </w:r>
        <w:r w:rsidR="00564547">
          <w:rPr>
            <w:noProof/>
            <w:webHidden/>
          </w:rPr>
          <w:fldChar w:fldCharType="separate"/>
        </w:r>
        <w:r w:rsidR="00564547">
          <w:rPr>
            <w:noProof/>
            <w:webHidden/>
          </w:rPr>
          <w:t>78</w:t>
        </w:r>
        <w:r w:rsidR="00564547">
          <w:rPr>
            <w:noProof/>
            <w:webHidden/>
          </w:rPr>
          <w:fldChar w:fldCharType="end"/>
        </w:r>
      </w:hyperlink>
    </w:p>
    <w:p w14:paraId="3BA75DC6" w14:textId="24A0EB8D"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2" w:history="1">
        <w:r w:rsidR="00564547" w:rsidRPr="00092731">
          <w:rPr>
            <w:rStyle w:val="Hyperlink"/>
            <w:rFonts w:cs="Arial"/>
            <w:bCs/>
            <w:i/>
            <w:noProof/>
          </w:rPr>
          <w:t xml:space="preserve">Таблица 37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Анализ на сценариите</w:t>
        </w:r>
        <w:r w:rsidR="00564547">
          <w:rPr>
            <w:noProof/>
            <w:webHidden/>
          </w:rPr>
          <w:tab/>
        </w:r>
        <w:r w:rsidR="00564547">
          <w:rPr>
            <w:noProof/>
            <w:webHidden/>
          </w:rPr>
          <w:fldChar w:fldCharType="begin"/>
        </w:r>
        <w:r w:rsidR="00564547">
          <w:rPr>
            <w:noProof/>
            <w:webHidden/>
          </w:rPr>
          <w:instrText xml:space="preserve"> PAGEREF _Toc174099082 \h </w:instrText>
        </w:r>
        <w:r w:rsidR="00564547">
          <w:rPr>
            <w:noProof/>
            <w:webHidden/>
          </w:rPr>
        </w:r>
        <w:r w:rsidR="00564547">
          <w:rPr>
            <w:noProof/>
            <w:webHidden/>
          </w:rPr>
          <w:fldChar w:fldCharType="separate"/>
        </w:r>
        <w:r w:rsidR="00564547">
          <w:rPr>
            <w:noProof/>
            <w:webHidden/>
          </w:rPr>
          <w:t>78</w:t>
        </w:r>
        <w:r w:rsidR="00564547">
          <w:rPr>
            <w:noProof/>
            <w:webHidden/>
          </w:rPr>
          <w:fldChar w:fldCharType="end"/>
        </w:r>
      </w:hyperlink>
    </w:p>
    <w:p w14:paraId="1EC54734" w14:textId="4C793353"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3" w:history="1">
        <w:r w:rsidR="00564547" w:rsidRPr="00092731">
          <w:rPr>
            <w:rStyle w:val="Hyperlink"/>
            <w:rFonts w:cs="Arial"/>
            <w:bCs/>
            <w:i/>
            <w:noProof/>
          </w:rPr>
          <w:t xml:space="preserve">Таблица 38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Класификация на вероятностите по групи</w:t>
        </w:r>
        <w:r w:rsidR="00564547">
          <w:rPr>
            <w:noProof/>
            <w:webHidden/>
          </w:rPr>
          <w:tab/>
        </w:r>
        <w:r w:rsidR="00564547">
          <w:rPr>
            <w:noProof/>
            <w:webHidden/>
          </w:rPr>
          <w:fldChar w:fldCharType="begin"/>
        </w:r>
        <w:r w:rsidR="00564547">
          <w:rPr>
            <w:noProof/>
            <w:webHidden/>
          </w:rPr>
          <w:instrText xml:space="preserve"> PAGEREF _Toc174099083 \h </w:instrText>
        </w:r>
        <w:r w:rsidR="00564547">
          <w:rPr>
            <w:noProof/>
            <w:webHidden/>
          </w:rPr>
        </w:r>
        <w:r w:rsidR="00564547">
          <w:rPr>
            <w:noProof/>
            <w:webHidden/>
          </w:rPr>
          <w:fldChar w:fldCharType="separate"/>
        </w:r>
        <w:r w:rsidR="00564547">
          <w:rPr>
            <w:noProof/>
            <w:webHidden/>
          </w:rPr>
          <w:t>79</w:t>
        </w:r>
        <w:r w:rsidR="00564547">
          <w:rPr>
            <w:noProof/>
            <w:webHidden/>
          </w:rPr>
          <w:fldChar w:fldCharType="end"/>
        </w:r>
      </w:hyperlink>
    </w:p>
    <w:p w14:paraId="11495A4E" w14:textId="60B2CC58"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4" w:history="1">
        <w:r w:rsidR="00564547" w:rsidRPr="00092731">
          <w:rPr>
            <w:rStyle w:val="Hyperlink"/>
            <w:rFonts w:cs="Arial"/>
            <w:bCs/>
            <w:i/>
            <w:noProof/>
          </w:rPr>
          <w:t xml:space="preserve">Таблица 39 </w:t>
        </w:r>
        <w:r w:rsidR="00564547" w:rsidRPr="00092731">
          <w:rPr>
            <w:rStyle w:val="Hyperlink"/>
            <w:rFonts w:eastAsia="Calibri" w:cs="Arial"/>
            <w:i/>
            <w:noProof/>
          </w:rPr>
          <w:t xml:space="preserve"> </w:t>
        </w:r>
        <w:r w:rsidR="00F07220">
          <w:rPr>
            <w:rStyle w:val="Hyperlink"/>
            <w:rFonts w:eastAsia="Calibri" w:cs="Arial"/>
            <w:i/>
            <w:noProof/>
          </w:rPr>
          <w:tab/>
        </w:r>
        <w:r w:rsidR="00564547" w:rsidRPr="00092731">
          <w:rPr>
            <w:rStyle w:val="Hyperlink"/>
            <w:rFonts w:eastAsia="Calibri" w:cs="Arial"/>
            <w:i/>
            <w:noProof/>
          </w:rPr>
          <w:t>Дефиниции на тежестта на въздействие</w:t>
        </w:r>
        <w:r w:rsidR="00564547">
          <w:rPr>
            <w:noProof/>
            <w:webHidden/>
          </w:rPr>
          <w:tab/>
        </w:r>
        <w:r w:rsidR="00564547">
          <w:rPr>
            <w:noProof/>
            <w:webHidden/>
          </w:rPr>
          <w:fldChar w:fldCharType="begin"/>
        </w:r>
        <w:r w:rsidR="00564547">
          <w:rPr>
            <w:noProof/>
            <w:webHidden/>
          </w:rPr>
          <w:instrText xml:space="preserve"> PAGEREF _Toc174099084 \h </w:instrText>
        </w:r>
        <w:r w:rsidR="00564547">
          <w:rPr>
            <w:noProof/>
            <w:webHidden/>
          </w:rPr>
        </w:r>
        <w:r w:rsidR="00564547">
          <w:rPr>
            <w:noProof/>
            <w:webHidden/>
          </w:rPr>
          <w:fldChar w:fldCharType="separate"/>
        </w:r>
        <w:r w:rsidR="00564547">
          <w:rPr>
            <w:noProof/>
            <w:webHidden/>
          </w:rPr>
          <w:t>80</w:t>
        </w:r>
        <w:r w:rsidR="00564547">
          <w:rPr>
            <w:noProof/>
            <w:webHidden/>
          </w:rPr>
          <w:fldChar w:fldCharType="end"/>
        </w:r>
      </w:hyperlink>
    </w:p>
    <w:p w14:paraId="461A0F98" w14:textId="74FA8514"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5" w:history="1">
        <w:r w:rsidR="00564547" w:rsidRPr="00092731">
          <w:rPr>
            <w:rStyle w:val="Hyperlink"/>
            <w:rFonts w:cs="Arial"/>
            <w:bCs/>
            <w:i/>
            <w:noProof/>
          </w:rPr>
          <w:t>Таблица 40</w:t>
        </w:r>
        <w:r w:rsidR="00564547">
          <w:rPr>
            <w:rFonts w:asciiTheme="minorHAnsi" w:eastAsiaTheme="minorEastAsia" w:hAnsiTheme="minorHAnsi" w:cstheme="minorBidi"/>
            <w:noProof/>
            <w:sz w:val="22"/>
            <w:szCs w:val="22"/>
            <w:lang w:val="en-US"/>
          </w:rPr>
          <w:tab/>
        </w:r>
        <w:r w:rsidR="00564547" w:rsidRPr="00092731">
          <w:rPr>
            <w:rStyle w:val="Hyperlink"/>
            <w:rFonts w:cs="Arial"/>
            <w:i/>
            <w:noProof/>
          </w:rPr>
          <w:t>Матрица за оценка на риска</w:t>
        </w:r>
        <w:r w:rsidR="00564547">
          <w:rPr>
            <w:noProof/>
            <w:webHidden/>
          </w:rPr>
          <w:tab/>
        </w:r>
        <w:r w:rsidR="00564547">
          <w:rPr>
            <w:noProof/>
            <w:webHidden/>
          </w:rPr>
          <w:fldChar w:fldCharType="begin"/>
        </w:r>
        <w:r w:rsidR="00564547">
          <w:rPr>
            <w:noProof/>
            <w:webHidden/>
          </w:rPr>
          <w:instrText xml:space="preserve"> PAGEREF _Toc174099085 \h </w:instrText>
        </w:r>
        <w:r w:rsidR="00564547">
          <w:rPr>
            <w:noProof/>
            <w:webHidden/>
          </w:rPr>
        </w:r>
        <w:r w:rsidR="00564547">
          <w:rPr>
            <w:noProof/>
            <w:webHidden/>
          </w:rPr>
          <w:fldChar w:fldCharType="separate"/>
        </w:r>
        <w:r w:rsidR="00564547">
          <w:rPr>
            <w:noProof/>
            <w:webHidden/>
          </w:rPr>
          <w:t>81</w:t>
        </w:r>
        <w:r w:rsidR="00564547">
          <w:rPr>
            <w:noProof/>
            <w:webHidden/>
          </w:rPr>
          <w:fldChar w:fldCharType="end"/>
        </w:r>
      </w:hyperlink>
    </w:p>
    <w:p w14:paraId="179D7193" w14:textId="77777777" w:rsidR="00F75F06" w:rsidRPr="002E1E19" w:rsidRDefault="00F75F06" w:rsidP="00F07220">
      <w:pPr>
        <w:tabs>
          <w:tab w:val="right" w:leader="dot" w:pos="9498"/>
        </w:tabs>
        <w:spacing w:after="60" w:line="240" w:lineRule="auto"/>
        <w:ind w:left="1260" w:right="425" w:hanging="1260"/>
        <w:rPr>
          <w:rFonts w:cs="Arial"/>
          <w:sz w:val="22"/>
        </w:rPr>
      </w:pPr>
      <w:r w:rsidRPr="004A61A0">
        <w:rPr>
          <w:rFonts w:cs="Arial"/>
          <w:iCs/>
          <w:sz w:val="22"/>
        </w:rPr>
        <w:fldChar w:fldCharType="end"/>
      </w:r>
    </w:p>
    <w:p w14:paraId="0E1AE374" w14:textId="77777777" w:rsidR="00936335" w:rsidRDefault="00936335" w:rsidP="00510581">
      <w:pPr>
        <w:tabs>
          <w:tab w:val="right" w:leader="dot" w:pos="9498"/>
        </w:tabs>
        <w:spacing w:after="120"/>
        <w:ind w:right="425"/>
        <w:rPr>
          <w:rFonts w:cs="Arial"/>
          <w:b/>
          <w:bCs/>
          <w:caps/>
          <w:szCs w:val="24"/>
        </w:rPr>
      </w:pPr>
    </w:p>
    <w:p w14:paraId="3894A4D2" w14:textId="77777777" w:rsidR="00037E4A" w:rsidRDefault="00F75F06" w:rsidP="00510581">
      <w:pPr>
        <w:tabs>
          <w:tab w:val="right" w:leader="dot" w:pos="9498"/>
        </w:tabs>
        <w:spacing w:after="120"/>
        <w:ind w:right="425"/>
        <w:rPr>
          <w:rFonts w:cs="Arial"/>
          <w:b/>
          <w:bCs/>
          <w:caps/>
          <w:szCs w:val="24"/>
        </w:rPr>
      </w:pPr>
      <w:r w:rsidRPr="002E1E19">
        <w:rPr>
          <w:rFonts w:cs="Arial"/>
          <w:b/>
          <w:bCs/>
          <w:caps/>
          <w:szCs w:val="24"/>
        </w:rPr>
        <w:t xml:space="preserve">Списък на </w:t>
      </w:r>
      <w:r w:rsidR="000F51CB">
        <w:rPr>
          <w:rFonts w:cs="Arial"/>
          <w:b/>
          <w:bCs/>
          <w:caps/>
          <w:szCs w:val="24"/>
        </w:rPr>
        <w:t xml:space="preserve">ГРАФИКИТЕ И </w:t>
      </w:r>
      <w:r w:rsidRPr="002E1E19">
        <w:rPr>
          <w:rFonts w:cs="Arial"/>
          <w:b/>
          <w:bCs/>
          <w:caps/>
          <w:szCs w:val="24"/>
        </w:rPr>
        <w:t>фигурите</w:t>
      </w:r>
    </w:p>
    <w:p w14:paraId="3975D9B9" w14:textId="7C091D0C" w:rsidR="00564547" w:rsidRDefault="00F75F06"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r w:rsidRPr="004A61A0">
        <w:rPr>
          <w:rFonts w:cs="Arial"/>
          <w:sz w:val="22"/>
          <w:lang w:val="bg-BG"/>
        </w:rPr>
        <w:fldChar w:fldCharType="begin"/>
      </w:r>
      <w:r w:rsidRPr="004A61A0">
        <w:rPr>
          <w:rFonts w:cs="Arial"/>
          <w:sz w:val="22"/>
          <w:lang w:val="bg-BG"/>
        </w:rPr>
        <w:instrText xml:space="preserve"> TOC \h \z \c "Фигура" </w:instrText>
      </w:r>
      <w:r w:rsidRPr="004A61A0">
        <w:rPr>
          <w:rFonts w:cs="Arial"/>
          <w:sz w:val="22"/>
          <w:lang w:val="bg-BG"/>
        </w:rPr>
        <w:fldChar w:fldCharType="separate"/>
      </w:r>
      <w:hyperlink w:anchor="_Toc174099086" w:history="1">
        <w:r w:rsidR="00564547" w:rsidRPr="006B5646">
          <w:rPr>
            <w:rStyle w:val="Hyperlink"/>
            <w:rFonts w:cs="Arial"/>
            <w:bCs/>
            <w:i/>
            <w:iCs/>
            <w:noProof/>
          </w:rPr>
          <w:t>Графика 1</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theme="minorHAnsi"/>
            <w:i/>
            <w:noProof/>
          </w:rPr>
          <w:t>Динамика на БВП в ЕС</w:t>
        </w:r>
        <w:r w:rsidR="00564547">
          <w:rPr>
            <w:noProof/>
            <w:webHidden/>
          </w:rPr>
          <w:tab/>
        </w:r>
        <w:r w:rsidR="00564547">
          <w:rPr>
            <w:noProof/>
            <w:webHidden/>
          </w:rPr>
          <w:fldChar w:fldCharType="begin"/>
        </w:r>
        <w:r w:rsidR="00564547">
          <w:rPr>
            <w:noProof/>
            <w:webHidden/>
          </w:rPr>
          <w:instrText xml:space="preserve"> PAGEREF _Toc174099086 \h </w:instrText>
        </w:r>
        <w:r w:rsidR="00564547">
          <w:rPr>
            <w:noProof/>
            <w:webHidden/>
          </w:rPr>
        </w:r>
        <w:r w:rsidR="00564547">
          <w:rPr>
            <w:noProof/>
            <w:webHidden/>
          </w:rPr>
          <w:fldChar w:fldCharType="separate"/>
        </w:r>
        <w:r w:rsidR="00564547">
          <w:rPr>
            <w:noProof/>
            <w:webHidden/>
          </w:rPr>
          <w:t>9</w:t>
        </w:r>
        <w:r w:rsidR="00564547">
          <w:rPr>
            <w:noProof/>
            <w:webHidden/>
          </w:rPr>
          <w:fldChar w:fldCharType="end"/>
        </w:r>
      </w:hyperlink>
    </w:p>
    <w:p w14:paraId="792E718F" w14:textId="04AC5B09"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7" w:history="1">
        <w:r w:rsidR="00564547" w:rsidRPr="006B5646">
          <w:rPr>
            <w:rStyle w:val="Hyperlink"/>
            <w:rFonts w:cs="Arial"/>
            <w:bCs/>
            <w:i/>
            <w:iCs/>
            <w:noProof/>
          </w:rPr>
          <w:t>Графика 2</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theme="minorHAnsi"/>
            <w:i/>
            <w:noProof/>
          </w:rPr>
          <w:t>Динамика на инфлацията в ЕС</w:t>
        </w:r>
        <w:r w:rsidR="00564547">
          <w:rPr>
            <w:noProof/>
            <w:webHidden/>
          </w:rPr>
          <w:tab/>
        </w:r>
        <w:r w:rsidR="00564547">
          <w:rPr>
            <w:noProof/>
            <w:webHidden/>
          </w:rPr>
          <w:fldChar w:fldCharType="begin"/>
        </w:r>
        <w:r w:rsidR="00564547">
          <w:rPr>
            <w:noProof/>
            <w:webHidden/>
          </w:rPr>
          <w:instrText xml:space="preserve"> PAGEREF _Toc174099087 \h </w:instrText>
        </w:r>
        <w:r w:rsidR="00564547">
          <w:rPr>
            <w:noProof/>
            <w:webHidden/>
          </w:rPr>
        </w:r>
        <w:r w:rsidR="00564547">
          <w:rPr>
            <w:noProof/>
            <w:webHidden/>
          </w:rPr>
          <w:fldChar w:fldCharType="separate"/>
        </w:r>
        <w:r w:rsidR="00564547">
          <w:rPr>
            <w:noProof/>
            <w:webHidden/>
          </w:rPr>
          <w:t>10</w:t>
        </w:r>
        <w:r w:rsidR="00564547">
          <w:rPr>
            <w:noProof/>
            <w:webHidden/>
          </w:rPr>
          <w:fldChar w:fldCharType="end"/>
        </w:r>
      </w:hyperlink>
    </w:p>
    <w:p w14:paraId="05C7759C"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8" w:history="1">
        <w:r w:rsidR="00564547" w:rsidRPr="006B5646">
          <w:rPr>
            <w:rStyle w:val="Hyperlink"/>
            <w:rFonts w:cstheme="minorHAnsi"/>
            <w:i/>
            <w:noProof/>
          </w:rPr>
          <w:t xml:space="preserve">Графика 3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безработицата в ЕС</w:t>
        </w:r>
        <w:r w:rsidR="00564547">
          <w:rPr>
            <w:noProof/>
            <w:webHidden/>
          </w:rPr>
          <w:tab/>
        </w:r>
        <w:r w:rsidR="00564547">
          <w:rPr>
            <w:noProof/>
            <w:webHidden/>
          </w:rPr>
          <w:fldChar w:fldCharType="begin"/>
        </w:r>
        <w:r w:rsidR="00564547">
          <w:rPr>
            <w:noProof/>
            <w:webHidden/>
          </w:rPr>
          <w:instrText xml:space="preserve"> PAGEREF _Toc174099088 \h </w:instrText>
        </w:r>
        <w:r w:rsidR="00564547">
          <w:rPr>
            <w:noProof/>
            <w:webHidden/>
          </w:rPr>
        </w:r>
        <w:r w:rsidR="00564547">
          <w:rPr>
            <w:noProof/>
            <w:webHidden/>
          </w:rPr>
          <w:fldChar w:fldCharType="separate"/>
        </w:r>
        <w:r w:rsidR="00564547">
          <w:rPr>
            <w:noProof/>
            <w:webHidden/>
          </w:rPr>
          <w:t>11</w:t>
        </w:r>
        <w:r w:rsidR="00564547">
          <w:rPr>
            <w:noProof/>
            <w:webHidden/>
          </w:rPr>
          <w:fldChar w:fldCharType="end"/>
        </w:r>
      </w:hyperlink>
    </w:p>
    <w:p w14:paraId="4FF7A27C"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89" w:history="1">
        <w:r w:rsidR="00564547" w:rsidRPr="006B5646">
          <w:rPr>
            <w:rStyle w:val="Hyperlink"/>
            <w:rFonts w:cstheme="minorHAnsi"/>
            <w:i/>
            <w:noProof/>
          </w:rPr>
          <w:t xml:space="preserve">Графика 4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бюджетния дефицит отнесен към БВП на ниво ЕС</w:t>
        </w:r>
        <w:r w:rsidR="00564547">
          <w:rPr>
            <w:noProof/>
            <w:webHidden/>
          </w:rPr>
          <w:tab/>
        </w:r>
        <w:r w:rsidR="00564547">
          <w:rPr>
            <w:noProof/>
            <w:webHidden/>
          </w:rPr>
          <w:fldChar w:fldCharType="begin"/>
        </w:r>
        <w:r w:rsidR="00564547">
          <w:rPr>
            <w:noProof/>
            <w:webHidden/>
          </w:rPr>
          <w:instrText xml:space="preserve"> PAGEREF _Toc174099089 \h </w:instrText>
        </w:r>
        <w:r w:rsidR="00564547">
          <w:rPr>
            <w:noProof/>
            <w:webHidden/>
          </w:rPr>
        </w:r>
        <w:r w:rsidR="00564547">
          <w:rPr>
            <w:noProof/>
            <w:webHidden/>
          </w:rPr>
          <w:fldChar w:fldCharType="separate"/>
        </w:r>
        <w:r w:rsidR="00564547">
          <w:rPr>
            <w:noProof/>
            <w:webHidden/>
          </w:rPr>
          <w:t>12</w:t>
        </w:r>
        <w:r w:rsidR="00564547">
          <w:rPr>
            <w:noProof/>
            <w:webHidden/>
          </w:rPr>
          <w:fldChar w:fldCharType="end"/>
        </w:r>
      </w:hyperlink>
    </w:p>
    <w:p w14:paraId="6A214D74"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0" w:history="1">
        <w:r w:rsidR="00564547" w:rsidRPr="006B5646">
          <w:rPr>
            <w:rStyle w:val="Hyperlink"/>
            <w:rFonts w:cstheme="minorHAnsi"/>
            <w:i/>
            <w:noProof/>
          </w:rPr>
          <w:t xml:space="preserve">Графика 5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обработените товари в Българските морски пристанища</w:t>
        </w:r>
        <w:r w:rsidR="00564547">
          <w:rPr>
            <w:noProof/>
            <w:webHidden/>
          </w:rPr>
          <w:tab/>
        </w:r>
        <w:r w:rsidR="00564547">
          <w:rPr>
            <w:noProof/>
            <w:webHidden/>
          </w:rPr>
          <w:fldChar w:fldCharType="begin"/>
        </w:r>
        <w:r w:rsidR="00564547">
          <w:rPr>
            <w:noProof/>
            <w:webHidden/>
          </w:rPr>
          <w:instrText xml:space="preserve"> PAGEREF _Toc174099090 \h </w:instrText>
        </w:r>
        <w:r w:rsidR="00564547">
          <w:rPr>
            <w:noProof/>
            <w:webHidden/>
          </w:rPr>
        </w:r>
        <w:r w:rsidR="00564547">
          <w:rPr>
            <w:noProof/>
            <w:webHidden/>
          </w:rPr>
          <w:fldChar w:fldCharType="separate"/>
        </w:r>
        <w:r w:rsidR="00564547">
          <w:rPr>
            <w:noProof/>
            <w:webHidden/>
          </w:rPr>
          <w:t>17</w:t>
        </w:r>
        <w:r w:rsidR="00564547">
          <w:rPr>
            <w:noProof/>
            <w:webHidden/>
          </w:rPr>
          <w:fldChar w:fldCharType="end"/>
        </w:r>
      </w:hyperlink>
    </w:p>
    <w:p w14:paraId="1AA55640"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1" w:history="1">
        <w:r w:rsidR="00564547" w:rsidRPr="006B5646">
          <w:rPr>
            <w:rStyle w:val="Hyperlink"/>
            <w:rFonts w:cstheme="minorHAnsi"/>
            <w:i/>
            <w:noProof/>
          </w:rPr>
          <w:t xml:space="preserve">Графика 6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Обработени товари в Българските речни пристанища</w:t>
        </w:r>
        <w:r w:rsidR="00564547">
          <w:rPr>
            <w:noProof/>
            <w:webHidden/>
          </w:rPr>
          <w:tab/>
        </w:r>
        <w:r w:rsidR="00564547">
          <w:rPr>
            <w:noProof/>
            <w:webHidden/>
          </w:rPr>
          <w:fldChar w:fldCharType="begin"/>
        </w:r>
        <w:r w:rsidR="00564547">
          <w:rPr>
            <w:noProof/>
            <w:webHidden/>
          </w:rPr>
          <w:instrText xml:space="preserve"> PAGEREF _Toc174099091 \h </w:instrText>
        </w:r>
        <w:r w:rsidR="00564547">
          <w:rPr>
            <w:noProof/>
            <w:webHidden/>
          </w:rPr>
        </w:r>
        <w:r w:rsidR="00564547">
          <w:rPr>
            <w:noProof/>
            <w:webHidden/>
          </w:rPr>
          <w:fldChar w:fldCharType="separate"/>
        </w:r>
        <w:r w:rsidR="00564547">
          <w:rPr>
            <w:noProof/>
            <w:webHidden/>
          </w:rPr>
          <w:t>18</w:t>
        </w:r>
        <w:r w:rsidR="00564547">
          <w:rPr>
            <w:noProof/>
            <w:webHidden/>
          </w:rPr>
          <w:fldChar w:fldCharType="end"/>
        </w:r>
      </w:hyperlink>
    </w:p>
    <w:p w14:paraId="53EA996F"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2" w:history="1">
        <w:r w:rsidR="00564547" w:rsidRPr="006B5646">
          <w:rPr>
            <w:rStyle w:val="Hyperlink"/>
            <w:rFonts w:cstheme="minorHAnsi"/>
            <w:i/>
            <w:noProof/>
          </w:rPr>
          <w:t xml:space="preserve">Графика 7 </w:t>
        </w:r>
        <w:r w:rsidR="00564547">
          <w:rPr>
            <w:rFonts w:asciiTheme="minorHAnsi" w:eastAsiaTheme="minorEastAsia" w:hAnsiTheme="minorHAnsi" w:cstheme="minorBidi"/>
            <w:noProof/>
            <w:sz w:val="22"/>
            <w:szCs w:val="22"/>
            <w:lang w:val="en-US"/>
          </w:rPr>
          <w:tab/>
        </w:r>
        <w:r w:rsidR="00564547" w:rsidRPr="006B5646">
          <w:rPr>
            <w:rStyle w:val="Hyperlink"/>
            <w:rFonts w:cstheme="minorHAnsi"/>
            <w:i/>
            <w:noProof/>
          </w:rPr>
          <w:t>Динамика на броя превозени пътници в Българските пристанища</w:t>
        </w:r>
        <w:r w:rsidR="00564547">
          <w:rPr>
            <w:noProof/>
            <w:webHidden/>
          </w:rPr>
          <w:tab/>
        </w:r>
        <w:r w:rsidR="00564547">
          <w:rPr>
            <w:noProof/>
            <w:webHidden/>
          </w:rPr>
          <w:fldChar w:fldCharType="begin"/>
        </w:r>
        <w:r w:rsidR="00564547">
          <w:rPr>
            <w:noProof/>
            <w:webHidden/>
          </w:rPr>
          <w:instrText xml:space="preserve"> PAGEREF _Toc174099092 \h </w:instrText>
        </w:r>
        <w:r w:rsidR="00564547">
          <w:rPr>
            <w:noProof/>
            <w:webHidden/>
          </w:rPr>
        </w:r>
        <w:r w:rsidR="00564547">
          <w:rPr>
            <w:noProof/>
            <w:webHidden/>
          </w:rPr>
          <w:fldChar w:fldCharType="separate"/>
        </w:r>
        <w:r w:rsidR="00564547">
          <w:rPr>
            <w:noProof/>
            <w:webHidden/>
          </w:rPr>
          <w:t>19</w:t>
        </w:r>
        <w:r w:rsidR="00564547">
          <w:rPr>
            <w:noProof/>
            <w:webHidden/>
          </w:rPr>
          <w:fldChar w:fldCharType="end"/>
        </w:r>
      </w:hyperlink>
    </w:p>
    <w:p w14:paraId="6A0D1C66" w14:textId="632D1D8B"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3" w:history="1">
        <w:r w:rsidR="00564547" w:rsidRPr="006B5646">
          <w:rPr>
            <w:rStyle w:val="Hyperlink"/>
            <w:rFonts w:cs="Arial"/>
            <w:bCs/>
            <w:i/>
            <w:iCs/>
            <w:noProof/>
          </w:rPr>
          <w:t xml:space="preserve">Фигура 8  </w:t>
        </w:r>
        <w:r w:rsidR="00564547">
          <w:rPr>
            <w:rStyle w:val="Hyperlink"/>
            <w:rFonts w:cs="Arial"/>
            <w:bCs/>
            <w:i/>
            <w:iCs/>
            <w:noProof/>
            <w:lang w:val="bg-BG"/>
          </w:rPr>
          <w:t xml:space="preserve">  </w:t>
        </w:r>
        <w:r w:rsidR="00F07220">
          <w:rPr>
            <w:rStyle w:val="Hyperlink"/>
            <w:rFonts w:cs="Arial"/>
            <w:bCs/>
            <w:i/>
            <w:iCs/>
            <w:noProof/>
            <w:lang w:val="bg-BG"/>
          </w:rPr>
          <w:tab/>
        </w:r>
        <w:r w:rsidR="00564547" w:rsidRPr="006B5646">
          <w:rPr>
            <w:rStyle w:val="Hyperlink"/>
            <w:rFonts w:cs="Arial"/>
            <w:bCs/>
            <w:i/>
            <w:iCs/>
            <w:noProof/>
          </w:rPr>
          <w:t>Широкообхватна мрежа и основна мрежа – вътрешни водни пътища и пристанища на територията на България и Румъния</w:t>
        </w:r>
        <w:r w:rsidR="00564547">
          <w:rPr>
            <w:noProof/>
            <w:webHidden/>
          </w:rPr>
          <w:tab/>
        </w:r>
        <w:r w:rsidR="00564547">
          <w:rPr>
            <w:noProof/>
            <w:webHidden/>
          </w:rPr>
          <w:fldChar w:fldCharType="begin"/>
        </w:r>
        <w:r w:rsidR="00564547">
          <w:rPr>
            <w:noProof/>
            <w:webHidden/>
          </w:rPr>
          <w:instrText xml:space="preserve"> PAGEREF _Toc174099093 \h </w:instrText>
        </w:r>
        <w:r w:rsidR="00564547">
          <w:rPr>
            <w:noProof/>
            <w:webHidden/>
          </w:rPr>
        </w:r>
        <w:r w:rsidR="00564547">
          <w:rPr>
            <w:noProof/>
            <w:webHidden/>
          </w:rPr>
          <w:fldChar w:fldCharType="separate"/>
        </w:r>
        <w:r w:rsidR="00564547">
          <w:rPr>
            <w:noProof/>
            <w:webHidden/>
          </w:rPr>
          <w:t>24</w:t>
        </w:r>
        <w:r w:rsidR="00564547">
          <w:rPr>
            <w:noProof/>
            <w:webHidden/>
          </w:rPr>
          <w:fldChar w:fldCharType="end"/>
        </w:r>
      </w:hyperlink>
    </w:p>
    <w:p w14:paraId="14077689" w14:textId="54D33CF4"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4" w:history="1">
        <w:r w:rsidR="00564547" w:rsidRPr="006B5646">
          <w:rPr>
            <w:rStyle w:val="Hyperlink"/>
            <w:rFonts w:cs="Arial"/>
            <w:bCs/>
            <w:i/>
            <w:iCs/>
            <w:noProof/>
          </w:rPr>
          <w:t xml:space="preserve">Фигура 9  </w:t>
        </w:r>
        <w:r w:rsidR="00564547">
          <w:rPr>
            <w:rStyle w:val="Hyperlink"/>
            <w:rFonts w:cs="Arial"/>
            <w:bCs/>
            <w:i/>
            <w:iCs/>
            <w:noProof/>
            <w:lang w:val="bg-BG"/>
          </w:rPr>
          <w:t xml:space="preserve">  </w:t>
        </w:r>
        <w:r w:rsidR="00F07220">
          <w:rPr>
            <w:rStyle w:val="Hyperlink"/>
            <w:rFonts w:cs="Arial"/>
            <w:bCs/>
            <w:i/>
            <w:iCs/>
            <w:noProof/>
            <w:lang w:val="bg-BG"/>
          </w:rPr>
          <w:tab/>
        </w:r>
        <w:r w:rsidR="00564547" w:rsidRPr="006B5646">
          <w:rPr>
            <w:rStyle w:val="Hyperlink"/>
            <w:rFonts w:cs="Arial"/>
            <w:bCs/>
            <w:i/>
            <w:iCs/>
            <w:noProof/>
          </w:rPr>
          <w:t>Пристанищен терминал Лом по кадастралната карта на гр. Лом</w:t>
        </w:r>
        <w:r w:rsidR="00564547">
          <w:rPr>
            <w:noProof/>
            <w:webHidden/>
          </w:rPr>
          <w:tab/>
        </w:r>
        <w:r w:rsidR="00564547">
          <w:rPr>
            <w:noProof/>
            <w:webHidden/>
          </w:rPr>
          <w:fldChar w:fldCharType="begin"/>
        </w:r>
        <w:r w:rsidR="00564547">
          <w:rPr>
            <w:noProof/>
            <w:webHidden/>
          </w:rPr>
          <w:instrText xml:space="preserve"> PAGEREF _Toc174099094 \h </w:instrText>
        </w:r>
        <w:r w:rsidR="00564547">
          <w:rPr>
            <w:noProof/>
            <w:webHidden/>
          </w:rPr>
        </w:r>
        <w:r w:rsidR="00564547">
          <w:rPr>
            <w:noProof/>
            <w:webHidden/>
          </w:rPr>
          <w:fldChar w:fldCharType="separate"/>
        </w:r>
        <w:r w:rsidR="00564547">
          <w:rPr>
            <w:noProof/>
            <w:webHidden/>
          </w:rPr>
          <w:t>30</w:t>
        </w:r>
        <w:r w:rsidR="00564547">
          <w:rPr>
            <w:noProof/>
            <w:webHidden/>
          </w:rPr>
          <w:fldChar w:fldCharType="end"/>
        </w:r>
      </w:hyperlink>
    </w:p>
    <w:p w14:paraId="7D5B1472" w14:textId="46D6463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5" w:history="1">
        <w:r w:rsidR="00564547" w:rsidRPr="006B5646">
          <w:rPr>
            <w:rStyle w:val="Hyperlink"/>
            <w:rFonts w:cs="Arial"/>
            <w:bCs/>
            <w:i/>
            <w:iCs/>
            <w:noProof/>
          </w:rPr>
          <w:t xml:space="preserve">Фигура 10  </w:t>
        </w:r>
        <w:r w:rsidR="00F07220">
          <w:rPr>
            <w:rStyle w:val="Hyperlink"/>
            <w:rFonts w:cs="Arial"/>
            <w:bCs/>
            <w:i/>
            <w:iCs/>
            <w:noProof/>
          </w:rPr>
          <w:tab/>
        </w:r>
        <w:r w:rsidR="00564547" w:rsidRPr="006B5646">
          <w:rPr>
            <w:rStyle w:val="Hyperlink"/>
            <w:rFonts w:cs="Arial"/>
            <w:bCs/>
            <w:i/>
            <w:iCs/>
            <w:noProof/>
          </w:rPr>
          <w:t>Кейови места на Пристанищен терминал Лом</w:t>
        </w:r>
        <w:r w:rsidR="00564547">
          <w:rPr>
            <w:noProof/>
            <w:webHidden/>
          </w:rPr>
          <w:tab/>
        </w:r>
        <w:r w:rsidR="00564547">
          <w:rPr>
            <w:noProof/>
            <w:webHidden/>
          </w:rPr>
          <w:fldChar w:fldCharType="begin"/>
        </w:r>
        <w:r w:rsidR="00564547">
          <w:rPr>
            <w:noProof/>
            <w:webHidden/>
          </w:rPr>
          <w:instrText xml:space="preserve"> PAGEREF _Toc174099095 \h </w:instrText>
        </w:r>
        <w:r w:rsidR="00564547">
          <w:rPr>
            <w:noProof/>
            <w:webHidden/>
          </w:rPr>
        </w:r>
        <w:r w:rsidR="00564547">
          <w:rPr>
            <w:noProof/>
            <w:webHidden/>
          </w:rPr>
          <w:fldChar w:fldCharType="separate"/>
        </w:r>
        <w:r w:rsidR="00564547">
          <w:rPr>
            <w:noProof/>
            <w:webHidden/>
          </w:rPr>
          <w:t>31</w:t>
        </w:r>
        <w:r w:rsidR="00564547">
          <w:rPr>
            <w:noProof/>
            <w:webHidden/>
          </w:rPr>
          <w:fldChar w:fldCharType="end"/>
        </w:r>
      </w:hyperlink>
    </w:p>
    <w:p w14:paraId="2A2C5FD6" w14:textId="1CC5FF7D"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6" w:history="1">
        <w:r w:rsidR="00564547" w:rsidRPr="006B5646">
          <w:rPr>
            <w:rStyle w:val="Hyperlink"/>
            <w:rFonts w:cs="Arial"/>
            <w:bCs/>
            <w:i/>
            <w:iCs/>
            <w:noProof/>
          </w:rPr>
          <w:t xml:space="preserve">Фигура 11 </w:t>
        </w:r>
        <w:r w:rsidR="00F07220">
          <w:rPr>
            <w:rStyle w:val="Hyperlink"/>
            <w:rFonts w:cs="Arial"/>
            <w:bCs/>
            <w:i/>
            <w:iCs/>
            <w:noProof/>
          </w:rPr>
          <w:tab/>
        </w:r>
        <w:r w:rsidR="00564547" w:rsidRPr="006B5646">
          <w:rPr>
            <w:rStyle w:val="Hyperlink"/>
            <w:rFonts w:cs="Arial"/>
            <w:bCs/>
            <w:i/>
            <w:iCs/>
            <w:noProof/>
          </w:rPr>
          <w:t>Разрез през кейовата стена – съществуащо положение</w:t>
        </w:r>
        <w:r w:rsidR="00564547">
          <w:rPr>
            <w:noProof/>
            <w:webHidden/>
          </w:rPr>
          <w:tab/>
        </w:r>
        <w:r w:rsidR="00564547">
          <w:rPr>
            <w:noProof/>
            <w:webHidden/>
          </w:rPr>
          <w:fldChar w:fldCharType="begin"/>
        </w:r>
        <w:r w:rsidR="00564547">
          <w:rPr>
            <w:noProof/>
            <w:webHidden/>
          </w:rPr>
          <w:instrText xml:space="preserve"> PAGEREF _Toc174099096 \h </w:instrText>
        </w:r>
        <w:r w:rsidR="00564547">
          <w:rPr>
            <w:noProof/>
            <w:webHidden/>
          </w:rPr>
        </w:r>
        <w:r w:rsidR="00564547">
          <w:rPr>
            <w:noProof/>
            <w:webHidden/>
          </w:rPr>
          <w:fldChar w:fldCharType="separate"/>
        </w:r>
        <w:r w:rsidR="00564547">
          <w:rPr>
            <w:noProof/>
            <w:webHidden/>
          </w:rPr>
          <w:t>35</w:t>
        </w:r>
        <w:r w:rsidR="00564547">
          <w:rPr>
            <w:noProof/>
            <w:webHidden/>
          </w:rPr>
          <w:fldChar w:fldCharType="end"/>
        </w:r>
      </w:hyperlink>
    </w:p>
    <w:p w14:paraId="0365697D" w14:textId="72E72E95"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7" w:history="1">
        <w:r w:rsidR="00564547" w:rsidRPr="006B5646">
          <w:rPr>
            <w:rStyle w:val="Hyperlink"/>
            <w:rFonts w:cs="Arial"/>
            <w:bCs/>
            <w:i/>
            <w:iCs/>
            <w:noProof/>
          </w:rPr>
          <w:t>Фигура 12</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Arial"/>
            <w:i/>
            <w:noProof/>
            <w:lang w:eastAsia="ar-SA"/>
          </w:rPr>
          <w:t>Карта на транспортен коридор Рейн-Дунав</w:t>
        </w:r>
        <w:r w:rsidR="00564547">
          <w:rPr>
            <w:noProof/>
            <w:webHidden/>
          </w:rPr>
          <w:tab/>
        </w:r>
        <w:r w:rsidR="00564547">
          <w:rPr>
            <w:noProof/>
            <w:webHidden/>
          </w:rPr>
          <w:fldChar w:fldCharType="begin"/>
        </w:r>
        <w:r w:rsidR="00564547">
          <w:rPr>
            <w:noProof/>
            <w:webHidden/>
          </w:rPr>
          <w:instrText xml:space="preserve"> PAGEREF _Toc174099097 \h </w:instrText>
        </w:r>
        <w:r w:rsidR="00564547">
          <w:rPr>
            <w:noProof/>
            <w:webHidden/>
          </w:rPr>
        </w:r>
        <w:r w:rsidR="00564547">
          <w:rPr>
            <w:noProof/>
            <w:webHidden/>
          </w:rPr>
          <w:fldChar w:fldCharType="separate"/>
        </w:r>
        <w:r w:rsidR="00564547">
          <w:rPr>
            <w:noProof/>
            <w:webHidden/>
          </w:rPr>
          <w:t>38</w:t>
        </w:r>
        <w:r w:rsidR="00564547">
          <w:rPr>
            <w:noProof/>
            <w:webHidden/>
          </w:rPr>
          <w:fldChar w:fldCharType="end"/>
        </w:r>
      </w:hyperlink>
    </w:p>
    <w:p w14:paraId="648CA498" w14:textId="29F2F19B"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8" w:history="1">
        <w:r w:rsidR="00564547" w:rsidRPr="006B5646">
          <w:rPr>
            <w:rStyle w:val="Hyperlink"/>
            <w:rFonts w:cs="Arial"/>
            <w:bCs/>
            <w:i/>
            <w:iCs/>
            <w:noProof/>
          </w:rPr>
          <w:t>Фигура 13</w:t>
        </w:r>
        <w:r w:rsidR="00564547" w:rsidRPr="006B5646">
          <w:rPr>
            <w:rStyle w:val="Hyperlink"/>
            <w:rFonts w:cs="Arial"/>
            <w:i/>
            <w:noProof/>
            <w:lang w:eastAsia="ar-SA"/>
          </w:rPr>
          <w:t xml:space="preserve">  </w:t>
        </w:r>
        <w:r w:rsidR="00F07220">
          <w:rPr>
            <w:rStyle w:val="Hyperlink"/>
            <w:rFonts w:cs="Arial"/>
            <w:i/>
            <w:noProof/>
            <w:lang w:eastAsia="ar-SA"/>
          </w:rPr>
          <w:tab/>
        </w:r>
        <w:r w:rsidR="00564547" w:rsidRPr="006B5646">
          <w:rPr>
            <w:rStyle w:val="Hyperlink"/>
            <w:rFonts w:cs="Arial"/>
            <w:i/>
            <w:noProof/>
            <w:lang w:eastAsia="ar-SA"/>
          </w:rPr>
          <w:t>Местоположение на  Пристанищен терминал Лом</w:t>
        </w:r>
        <w:r w:rsidR="00564547">
          <w:rPr>
            <w:noProof/>
            <w:webHidden/>
          </w:rPr>
          <w:tab/>
        </w:r>
        <w:r w:rsidR="00564547">
          <w:rPr>
            <w:noProof/>
            <w:webHidden/>
          </w:rPr>
          <w:fldChar w:fldCharType="begin"/>
        </w:r>
        <w:r w:rsidR="00564547">
          <w:rPr>
            <w:noProof/>
            <w:webHidden/>
          </w:rPr>
          <w:instrText xml:space="preserve"> PAGEREF _Toc174099098 \h </w:instrText>
        </w:r>
        <w:r w:rsidR="00564547">
          <w:rPr>
            <w:noProof/>
            <w:webHidden/>
          </w:rPr>
        </w:r>
        <w:r w:rsidR="00564547">
          <w:rPr>
            <w:noProof/>
            <w:webHidden/>
          </w:rPr>
          <w:fldChar w:fldCharType="separate"/>
        </w:r>
        <w:r w:rsidR="00564547">
          <w:rPr>
            <w:noProof/>
            <w:webHidden/>
          </w:rPr>
          <w:t>39</w:t>
        </w:r>
        <w:r w:rsidR="00564547">
          <w:rPr>
            <w:noProof/>
            <w:webHidden/>
          </w:rPr>
          <w:fldChar w:fldCharType="end"/>
        </w:r>
      </w:hyperlink>
    </w:p>
    <w:p w14:paraId="0293404D"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099" w:history="1">
        <w:r w:rsidR="00564547" w:rsidRPr="006B5646">
          <w:rPr>
            <w:rStyle w:val="Hyperlink"/>
            <w:rFonts w:cs="Arial"/>
            <w:bCs/>
            <w:i/>
            <w:iCs/>
            <w:noProof/>
          </w:rPr>
          <w:t>Фигура 14</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Основни етапи при определяне и прогнозиране на разходите за ЕиП</w:t>
        </w:r>
        <w:r w:rsidR="00564547">
          <w:rPr>
            <w:noProof/>
            <w:webHidden/>
          </w:rPr>
          <w:tab/>
        </w:r>
        <w:r w:rsidR="00564547">
          <w:rPr>
            <w:noProof/>
            <w:webHidden/>
          </w:rPr>
          <w:fldChar w:fldCharType="begin"/>
        </w:r>
        <w:r w:rsidR="00564547">
          <w:rPr>
            <w:noProof/>
            <w:webHidden/>
          </w:rPr>
          <w:instrText xml:space="preserve"> PAGEREF _Toc174099099 \h </w:instrText>
        </w:r>
        <w:r w:rsidR="00564547">
          <w:rPr>
            <w:noProof/>
            <w:webHidden/>
          </w:rPr>
        </w:r>
        <w:r w:rsidR="00564547">
          <w:rPr>
            <w:noProof/>
            <w:webHidden/>
          </w:rPr>
          <w:fldChar w:fldCharType="separate"/>
        </w:r>
        <w:r w:rsidR="00564547">
          <w:rPr>
            <w:noProof/>
            <w:webHidden/>
          </w:rPr>
          <w:t>58</w:t>
        </w:r>
        <w:r w:rsidR="00564547">
          <w:rPr>
            <w:noProof/>
            <w:webHidden/>
          </w:rPr>
          <w:fldChar w:fldCharType="end"/>
        </w:r>
      </w:hyperlink>
    </w:p>
    <w:p w14:paraId="66167EB8"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0" w:history="1">
        <w:r w:rsidR="00564547" w:rsidRPr="006B5646">
          <w:rPr>
            <w:rStyle w:val="Hyperlink"/>
            <w:rFonts w:cs="Arial"/>
            <w:bCs/>
            <w:i/>
            <w:iCs/>
            <w:noProof/>
          </w:rPr>
          <w:t>Графика 15</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Динамика на разходите за ЕиП по видове</w:t>
        </w:r>
        <w:r w:rsidR="00564547">
          <w:rPr>
            <w:noProof/>
            <w:webHidden/>
          </w:rPr>
          <w:tab/>
        </w:r>
        <w:r w:rsidR="00564547">
          <w:rPr>
            <w:noProof/>
            <w:webHidden/>
          </w:rPr>
          <w:fldChar w:fldCharType="begin"/>
        </w:r>
        <w:r w:rsidR="00564547">
          <w:rPr>
            <w:noProof/>
            <w:webHidden/>
          </w:rPr>
          <w:instrText xml:space="preserve"> PAGEREF _Toc174099100 \h </w:instrText>
        </w:r>
        <w:r w:rsidR="00564547">
          <w:rPr>
            <w:noProof/>
            <w:webHidden/>
          </w:rPr>
        </w:r>
        <w:r w:rsidR="00564547">
          <w:rPr>
            <w:noProof/>
            <w:webHidden/>
          </w:rPr>
          <w:fldChar w:fldCharType="separate"/>
        </w:r>
        <w:r w:rsidR="00564547">
          <w:rPr>
            <w:noProof/>
            <w:webHidden/>
          </w:rPr>
          <w:t>59</w:t>
        </w:r>
        <w:r w:rsidR="00564547">
          <w:rPr>
            <w:noProof/>
            <w:webHidden/>
          </w:rPr>
          <w:fldChar w:fldCharType="end"/>
        </w:r>
      </w:hyperlink>
    </w:p>
    <w:p w14:paraId="08085442"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1" w:history="1">
        <w:r w:rsidR="00564547" w:rsidRPr="006B5646">
          <w:rPr>
            <w:rStyle w:val="Hyperlink"/>
            <w:rFonts w:cs="Arial"/>
            <w:bCs/>
            <w:i/>
            <w:iCs/>
            <w:noProof/>
          </w:rPr>
          <w:t>Графика 16</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Зависимост между разходите по видове и обработените товари</w:t>
        </w:r>
        <w:r w:rsidR="00564547">
          <w:rPr>
            <w:noProof/>
            <w:webHidden/>
          </w:rPr>
          <w:tab/>
        </w:r>
        <w:r w:rsidR="00564547">
          <w:rPr>
            <w:noProof/>
            <w:webHidden/>
          </w:rPr>
          <w:fldChar w:fldCharType="begin"/>
        </w:r>
        <w:r w:rsidR="00564547">
          <w:rPr>
            <w:noProof/>
            <w:webHidden/>
          </w:rPr>
          <w:instrText xml:space="preserve"> PAGEREF _Toc174099101 \h </w:instrText>
        </w:r>
        <w:r w:rsidR="00564547">
          <w:rPr>
            <w:noProof/>
            <w:webHidden/>
          </w:rPr>
        </w:r>
        <w:r w:rsidR="00564547">
          <w:rPr>
            <w:noProof/>
            <w:webHidden/>
          </w:rPr>
          <w:fldChar w:fldCharType="separate"/>
        </w:r>
        <w:r w:rsidR="00564547">
          <w:rPr>
            <w:noProof/>
            <w:webHidden/>
          </w:rPr>
          <w:t>60</w:t>
        </w:r>
        <w:r w:rsidR="00564547">
          <w:rPr>
            <w:noProof/>
            <w:webHidden/>
          </w:rPr>
          <w:fldChar w:fldCharType="end"/>
        </w:r>
      </w:hyperlink>
    </w:p>
    <w:p w14:paraId="42951250" w14:textId="77777777" w:rsidR="00564547" w:rsidRDefault="001F0D64" w:rsidP="00F07220">
      <w:pPr>
        <w:pStyle w:val="TableofFigures"/>
        <w:tabs>
          <w:tab w:val="right" w:leader="dot" w:pos="9487"/>
        </w:tabs>
        <w:ind w:left="1260" w:hanging="1260"/>
        <w:rPr>
          <w:rFonts w:asciiTheme="minorHAnsi" w:eastAsiaTheme="minorEastAsia" w:hAnsiTheme="minorHAnsi" w:cstheme="minorBidi"/>
          <w:noProof/>
          <w:sz w:val="22"/>
          <w:szCs w:val="22"/>
          <w:lang w:val="en-US"/>
        </w:rPr>
      </w:pPr>
      <w:hyperlink w:anchor="_Toc174099102" w:history="1">
        <w:r w:rsidR="00564547" w:rsidRPr="006B5646">
          <w:rPr>
            <w:rStyle w:val="Hyperlink"/>
            <w:rFonts w:cs="Arial"/>
            <w:bCs/>
            <w:i/>
            <w:iCs/>
            <w:noProof/>
          </w:rPr>
          <w:t>Графика 17</w:t>
        </w:r>
        <w:r w:rsidR="00564547">
          <w:rPr>
            <w:rFonts w:asciiTheme="minorHAnsi" w:eastAsiaTheme="minorEastAsia" w:hAnsiTheme="minorHAnsi" w:cstheme="minorBidi"/>
            <w:noProof/>
            <w:sz w:val="22"/>
            <w:szCs w:val="22"/>
            <w:lang w:val="en-US"/>
          </w:rPr>
          <w:tab/>
        </w:r>
        <w:r w:rsidR="00564547" w:rsidRPr="006B5646">
          <w:rPr>
            <w:rStyle w:val="Hyperlink"/>
            <w:rFonts w:cs="Arial"/>
            <w:i/>
            <w:noProof/>
            <w:lang w:eastAsia="ar-SA"/>
          </w:rPr>
          <w:t>Динамика на приходите от дейността</w:t>
        </w:r>
        <w:r w:rsidR="00564547">
          <w:rPr>
            <w:noProof/>
            <w:webHidden/>
          </w:rPr>
          <w:tab/>
        </w:r>
        <w:r w:rsidR="00564547">
          <w:rPr>
            <w:noProof/>
            <w:webHidden/>
          </w:rPr>
          <w:fldChar w:fldCharType="begin"/>
        </w:r>
        <w:r w:rsidR="00564547">
          <w:rPr>
            <w:noProof/>
            <w:webHidden/>
          </w:rPr>
          <w:instrText xml:space="preserve"> PAGEREF _Toc174099102 \h </w:instrText>
        </w:r>
        <w:r w:rsidR="00564547">
          <w:rPr>
            <w:noProof/>
            <w:webHidden/>
          </w:rPr>
        </w:r>
        <w:r w:rsidR="00564547">
          <w:rPr>
            <w:noProof/>
            <w:webHidden/>
          </w:rPr>
          <w:fldChar w:fldCharType="separate"/>
        </w:r>
        <w:r w:rsidR="00564547">
          <w:rPr>
            <w:noProof/>
            <w:webHidden/>
          </w:rPr>
          <w:t>63</w:t>
        </w:r>
        <w:r w:rsidR="00564547">
          <w:rPr>
            <w:noProof/>
            <w:webHidden/>
          </w:rPr>
          <w:fldChar w:fldCharType="end"/>
        </w:r>
      </w:hyperlink>
    </w:p>
    <w:p w14:paraId="462CDA1F" w14:textId="77777777" w:rsidR="00042C20" w:rsidRDefault="00F75F06" w:rsidP="00C407CB">
      <w:pPr>
        <w:tabs>
          <w:tab w:val="right" w:leader="dot" w:pos="9498"/>
        </w:tabs>
        <w:spacing w:after="60" w:line="240" w:lineRule="auto"/>
        <w:ind w:left="1276" w:right="425" w:hanging="1276"/>
        <w:contextualSpacing/>
        <w:rPr>
          <w:rFonts w:cs="Arial"/>
          <w:sz w:val="22"/>
        </w:rPr>
      </w:pPr>
      <w:r w:rsidRPr="004A61A0">
        <w:rPr>
          <w:rFonts w:cs="Arial"/>
          <w:sz w:val="22"/>
        </w:rPr>
        <w:fldChar w:fldCharType="end"/>
      </w:r>
    </w:p>
    <w:p w14:paraId="41B8C482" w14:textId="77777777" w:rsidR="00042C20" w:rsidRDefault="00042C20">
      <w:pPr>
        <w:rPr>
          <w:rFonts w:cs="Arial"/>
          <w:sz w:val="22"/>
        </w:rPr>
      </w:pPr>
      <w:r>
        <w:rPr>
          <w:rFonts w:cs="Arial"/>
          <w:sz w:val="22"/>
        </w:rPr>
        <w:br w:type="page"/>
      </w:r>
    </w:p>
    <w:p w14:paraId="6857829F" w14:textId="77777777" w:rsidR="00547D8F" w:rsidRPr="002E1E19" w:rsidRDefault="00547D8F" w:rsidP="00042C20">
      <w:pPr>
        <w:tabs>
          <w:tab w:val="right" w:leader="dot" w:pos="9498"/>
        </w:tabs>
        <w:spacing w:after="0" w:line="240" w:lineRule="auto"/>
        <w:ind w:left="1276" w:right="425" w:hanging="1276"/>
        <w:contextualSpacing/>
        <w:rPr>
          <w:rFonts w:cs="Arial"/>
          <w:sz w:val="20"/>
          <w:szCs w:val="20"/>
        </w:rPr>
      </w:pPr>
    </w:p>
    <w:p w14:paraId="003AEDF9" w14:textId="77777777" w:rsidR="00547D8F" w:rsidRPr="002E1E19" w:rsidRDefault="00547D8F" w:rsidP="00547D8F">
      <w:pPr>
        <w:pStyle w:val="Heading4"/>
        <w:rPr>
          <w:b/>
          <w:caps/>
          <w:sz w:val="24"/>
          <w:szCs w:val="24"/>
          <w:lang w:val="bg-BG"/>
        </w:rPr>
      </w:pPr>
      <w:r w:rsidRPr="00037E4A">
        <w:rPr>
          <w:b/>
          <w:caps/>
          <w:sz w:val="24"/>
          <w:szCs w:val="24"/>
          <w:lang w:val="bg-BG"/>
        </w:rPr>
        <w:t>Списък на съкращенията</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63"/>
        <w:gridCol w:w="7734"/>
      </w:tblGrid>
      <w:tr w:rsidR="00687C58" w:rsidRPr="002E1E19" w14:paraId="1088C13C" w14:textId="77777777" w:rsidTr="00687C58">
        <w:tc>
          <w:tcPr>
            <w:tcW w:w="1763" w:type="dxa"/>
            <w:tcBorders>
              <w:right w:val="single" w:sz="4" w:space="0" w:color="auto"/>
            </w:tcBorders>
            <w:shd w:val="clear" w:color="auto" w:fill="auto"/>
          </w:tcPr>
          <w:p w14:paraId="6FC8259F" w14:textId="77777777" w:rsidR="00687C58" w:rsidRPr="002E1E19" w:rsidRDefault="00687C58" w:rsidP="00687C58">
            <w:pPr>
              <w:spacing w:after="0" w:line="240" w:lineRule="auto"/>
              <w:rPr>
                <w:rFonts w:cs="Arial"/>
                <w:sz w:val="22"/>
                <w:szCs w:val="22"/>
                <w:lang w:val="bg-BG"/>
              </w:rPr>
            </w:pPr>
            <w:r w:rsidRPr="00CC54C0">
              <w:rPr>
                <w:b/>
              </w:rPr>
              <w:t>АРП</w:t>
            </w:r>
          </w:p>
        </w:tc>
        <w:tc>
          <w:tcPr>
            <w:tcW w:w="7734" w:type="dxa"/>
            <w:tcBorders>
              <w:left w:val="single" w:sz="4" w:space="0" w:color="auto"/>
            </w:tcBorders>
            <w:shd w:val="clear" w:color="auto" w:fill="auto"/>
          </w:tcPr>
          <w:p w14:paraId="6C583F7E" w14:textId="77777777" w:rsidR="00687C58" w:rsidRPr="002E1E19" w:rsidRDefault="00687C58" w:rsidP="00687C58">
            <w:pPr>
              <w:spacing w:after="0" w:line="240" w:lineRule="auto"/>
              <w:rPr>
                <w:rFonts w:cs="Arial"/>
                <w:sz w:val="22"/>
                <w:szCs w:val="22"/>
                <w:lang w:val="bg-BG"/>
              </w:rPr>
            </w:pPr>
            <w:proofErr w:type="spellStart"/>
            <w:r w:rsidRPr="00CC54C0">
              <w:t>Анализ</w:t>
            </w:r>
            <w:proofErr w:type="spellEnd"/>
            <w:r w:rsidRPr="00CC54C0">
              <w:t xml:space="preserve"> </w:t>
            </w:r>
            <w:proofErr w:type="spellStart"/>
            <w:r w:rsidRPr="00CC54C0">
              <w:t>разходи</w:t>
            </w:r>
            <w:proofErr w:type="spellEnd"/>
            <w:r w:rsidRPr="00CC54C0">
              <w:t xml:space="preserve"> и </w:t>
            </w:r>
            <w:proofErr w:type="spellStart"/>
            <w:r w:rsidRPr="00CC54C0">
              <w:t>ползи</w:t>
            </w:r>
            <w:proofErr w:type="spellEnd"/>
          </w:p>
        </w:tc>
      </w:tr>
      <w:tr w:rsidR="00687C58" w:rsidRPr="002E1E19" w14:paraId="5E29243C" w14:textId="77777777" w:rsidTr="00687C58">
        <w:tc>
          <w:tcPr>
            <w:tcW w:w="1763" w:type="dxa"/>
            <w:tcBorders>
              <w:right w:val="single" w:sz="4" w:space="0" w:color="auto"/>
            </w:tcBorders>
            <w:shd w:val="clear" w:color="auto" w:fill="auto"/>
          </w:tcPr>
          <w:p w14:paraId="6969C308" w14:textId="77777777" w:rsidR="00687C58" w:rsidRPr="002E1E19" w:rsidRDefault="00687C58" w:rsidP="00687C58">
            <w:pPr>
              <w:spacing w:after="0" w:line="240" w:lineRule="auto"/>
              <w:rPr>
                <w:rFonts w:cs="Arial"/>
                <w:b/>
                <w:bCs/>
                <w:sz w:val="22"/>
                <w:lang w:val="bg-BG"/>
              </w:rPr>
            </w:pPr>
            <w:r w:rsidRPr="00CC54C0">
              <w:rPr>
                <w:b/>
              </w:rPr>
              <w:t>БВП</w:t>
            </w:r>
          </w:p>
        </w:tc>
        <w:tc>
          <w:tcPr>
            <w:tcW w:w="7734" w:type="dxa"/>
            <w:tcBorders>
              <w:left w:val="single" w:sz="4" w:space="0" w:color="auto"/>
            </w:tcBorders>
            <w:shd w:val="clear" w:color="auto" w:fill="auto"/>
          </w:tcPr>
          <w:p w14:paraId="196BF881" w14:textId="77777777" w:rsidR="00687C58" w:rsidRPr="002E1E19" w:rsidRDefault="00687C58" w:rsidP="00687C58">
            <w:pPr>
              <w:spacing w:after="0" w:line="240" w:lineRule="auto"/>
              <w:rPr>
                <w:rFonts w:cs="Arial"/>
                <w:bCs/>
                <w:sz w:val="22"/>
                <w:lang w:val="bg-BG"/>
              </w:rPr>
            </w:pPr>
            <w:proofErr w:type="spellStart"/>
            <w:r w:rsidRPr="00CC54C0">
              <w:t>Брутен</w:t>
            </w:r>
            <w:proofErr w:type="spellEnd"/>
            <w:r w:rsidRPr="00CC54C0">
              <w:t xml:space="preserve"> </w:t>
            </w:r>
            <w:proofErr w:type="spellStart"/>
            <w:r w:rsidRPr="00CC54C0">
              <w:t>вътрешен</w:t>
            </w:r>
            <w:proofErr w:type="spellEnd"/>
            <w:r w:rsidRPr="00CC54C0">
              <w:t xml:space="preserve"> </w:t>
            </w:r>
            <w:proofErr w:type="spellStart"/>
            <w:r w:rsidRPr="00CC54C0">
              <w:t>продукт</w:t>
            </w:r>
            <w:proofErr w:type="spellEnd"/>
          </w:p>
        </w:tc>
      </w:tr>
      <w:tr w:rsidR="00687C58" w:rsidRPr="002E1E19" w14:paraId="35741FEB" w14:textId="77777777" w:rsidTr="00687C58">
        <w:tc>
          <w:tcPr>
            <w:tcW w:w="1763" w:type="dxa"/>
            <w:tcBorders>
              <w:right w:val="single" w:sz="4" w:space="0" w:color="auto"/>
            </w:tcBorders>
            <w:shd w:val="clear" w:color="auto" w:fill="auto"/>
          </w:tcPr>
          <w:p w14:paraId="6B5FF48D" w14:textId="77777777" w:rsidR="00687C58" w:rsidRPr="002E1E19" w:rsidRDefault="00687C58" w:rsidP="00687C58">
            <w:pPr>
              <w:spacing w:after="0" w:line="240" w:lineRule="auto"/>
              <w:rPr>
                <w:rFonts w:cs="Arial"/>
                <w:sz w:val="22"/>
                <w:szCs w:val="22"/>
                <w:lang w:val="bg-BG"/>
              </w:rPr>
            </w:pPr>
            <w:r w:rsidRPr="00CC54C0">
              <w:rPr>
                <w:b/>
              </w:rPr>
              <w:t>БДС</w:t>
            </w:r>
          </w:p>
        </w:tc>
        <w:tc>
          <w:tcPr>
            <w:tcW w:w="7734" w:type="dxa"/>
            <w:tcBorders>
              <w:left w:val="single" w:sz="4" w:space="0" w:color="auto"/>
            </w:tcBorders>
            <w:shd w:val="clear" w:color="auto" w:fill="auto"/>
          </w:tcPr>
          <w:p w14:paraId="5B35AE7F" w14:textId="77777777" w:rsidR="00687C58" w:rsidRPr="002E1E19" w:rsidRDefault="00687C58" w:rsidP="00687C58">
            <w:pPr>
              <w:spacing w:after="0" w:line="240" w:lineRule="auto"/>
              <w:rPr>
                <w:rFonts w:cs="Arial"/>
                <w:sz w:val="22"/>
                <w:szCs w:val="22"/>
                <w:lang w:val="bg-BG"/>
              </w:rPr>
            </w:pPr>
            <w:proofErr w:type="spellStart"/>
            <w:r w:rsidRPr="00CC54C0">
              <w:t>Брутна</w:t>
            </w:r>
            <w:proofErr w:type="spellEnd"/>
            <w:r w:rsidRPr="00CC54C0">
              <w:t xml:space="preserve"> </w:t>
            </w:r>
            <w:proofErr w:type="spellStart"/>
            <w:r w:rsidRPr="00CC54C0">
              <w:t>добавена</w:t>
            </w:r>
            <w:proofErr w:type="spellEnd"/>
            <w:r w:rsidRPr="00CC54C0">
              <w:t xml:space="preserve"> </w:t>
            </w:r>
            <w:proofErr w:type="spellStart"/>
            <w:r w:rsidRPr="00CC54C0">
              <w:t>стойност</w:t>
            </w:r>
            <w:proofErr w:type="spellEnd"/>
          </w:p>
        </w:tc>
      </w:tr>
      <w:tr w:rsidR="00687C58" w:rsidRPr="002E1E19" w14:paraId="6CD438F9" w14:textId="77777777" w:rsidTr="00687C58">
        <w:tc>
          <w:tcPr>
            <w:tcW w:w="1763" w:type="dxa"/>
            <w:tcBorders>
              <w:right w:val="single" w:sz="4" w:space="0" w:color="auto"/>
            </w:tcBorders>
            <w:shd w:val="clear" w:color="auto" w:fill="auto"/>
          </w:tcPr>
          <w:p w14:paraId="42F955C9" w14:textId="77777777" w:rsidR="00687C58" w:rsidRPr="002E1E19" w:rsidRDefault="00687C58" w:rsidP="00687C58">
            <w:pPr>
              <w:spacing w:after="0" w:line="240" w:lineRule="auto"/>
              <w:rPr>
                <w:rFonts w:cs="Arial"/>
                <w:sz w:val="22"/>
                <w:szCs w:val="22"/>
                <w:lang w:val="bg-BG"/>
              </w:rPr>
            </w:pPr>
            <w:r w:rsidRPr="00CC54C0">
              <w:rPr>
                <w:b/>
              </w:rPr>
              <w:t>БНБ</w:t>
            </w:r>
          </w:p>
        </w:tc>
        <w:tc>
          <w:tcPr>
            <w:tcW w:w="7734" w:type="dxa"/>
            <w:tcBorders>
              <w:left w:val="single" w:sz="4" w:space="0" w:color="auto"/>
            </w:tcBorders>
            <w:shd w:val="clear" w:color="auto" w:fill="auto"/>
          </w:tcPr>
          <w:p w14:paraId="725CCA92" w14:textId="77777777" w:rsidR="00687C58" w:rsidRPr="002E1E19" w:rsidRDefault="00687C58" w:rsidP="00687C58">
            <w:pPr>
              <w:spacing w:after="0" w:line="240" w:lineRule="auto"/>
              <w:rPr>
                <w:rFonts w:cs="Arial"/>
                <w:sz w:val="22"/>
                <w:szCs w:val="22"/>
                <w:lang w:val="bg-BG"/>
              </w:rPr>
            </w:pPr>
            <w:proofErr w:type="spellStart"/>
            <w:r w:rsidRPr="00CC54C0">
              <w:t>Българска</w:t>
            </w:r>
            <w:proofErr w:type="spellEnd"/>
            <w:r w:rsidRPr="00CC54C0">
              <w:t xml:space="preserve"> </w:t>
            </w:r>
            <w:proofErr w:type="spellStart"/>
            <w:r w:rsidRPr="00CC54C0">
              <w:t>народна</w:t>
            </w:r>
            <w:proofErr w:type="spellEnd"/>
            <w:r w:rsidRPr="00CC54C0">
              <w:t xml:space="preserve"> </w:t>
            </w:r>
            <w:proofErr w:type="spellStart"/>
            <w:r w:rsidRPr="00CC54C0">
              <w:t>банка</w:t>
            </w:r>
            <w:proofErr w:type="spellEnd"/>
          </w:p>
        </w:tc>
      </w:tr>
      <w:tr w:rsidR="00687C58" w:rsidRPr="002E1E19" w14:paraId="37ADC3AF" w14:textId="77777777" w:rsidTr="00687C58">
        <w:tc>
          <w:tcPr>
            <w:tcW w:w="1763" w:type="dxa"/>
            <w:tcBorders>
              <w:right w:val="single" w:sz="4" w:space="0" w:color="auto"/>
            </w:tcBorders>
            <w:shd w:val="clear" w:color="auto" w:fill="auto"/>
          </w:tcPr>
          <w:p w14:paraId="249AA511" w14:textId="77777777" w:rsidR="00687C58" w:rsidRPr="002E1E19" w:rsidRDefault="00687C58" w:rsidP="00687C58">
            <w:pPr>
              <w:spacing w:after="0" w:line="240" w:lineRule="auto"/>
              <w:rPr>
                <w:rFonts w:cs="Arial"/>
                <w:sz w:val="22"/>
                <w:szCs w:val="22"/>
                <w:lang w:val="bg-BG"/>
              </w:rPr>
            </w:pPr>
            <w:r w:rsidRPr="00CC54C0">
              <w:rPr>
                <w:b/>
              </w:rPr>
              <w:t>БП</w:t>
            </w:r>
          </w:p>
        </w:tc>
        <w:tc>
          <w:tcPr>
            <w:tcW w:w="7734" w:type="dxa"/>
            <w:tcBorders>
              <w:left w:val="single" w:sz="4" w:space="0" w:color="auto"/>
            </w:tcBorders>
            <w:shd w:val="clear" w:color="auto" w:fill="auto"/>
          </w:tcPr>
          <w:p w14:paraId="5BBB3359" w14:textId="77777777" w:rsidR="00687C58" w:rsidRPr="002E1E19" w:rsidRDefault="00687C58" w:rsidP="00687C58">
            <w:pPr>
              <w:spacing w:after="0" w:line="240" w:lineRule="auto"/>
              <w:rPr>
                <w:rFonts w:cs="Arial"/>
                <w:sz w:val="22"/>
                <w:szCs w:val="22"/>
                <w:lang w:val="bg-BG"/>
              </w:rPr>
            </w:pPr>
            <w:proofErr w:type="spellStart"/>
            <w:r w:rsidRPr="00CC54C0">
              <w:t>Сценарий</w:t>
            </w:r>
            <w:proofErr w:type="spellEnd"/>
            <w:r w:rsidRPr="00CC54C0">
              <w:t xml:space="preserve"> „</w:t>
            </w:r>
            <w:proofErr w:type="spellStart"/>
            <w:r w:rsidRPr="00CC54C0">
              <w:t>Без</w:t>
            </w:r>
            <w:proofErr w:type="spellEnd"/>
            <w:r w:rsidRPr="00CC54C0">
              <w:t xml:space="preserve"> </w:t>
            </w:r>
            <w:proofErr w:type="spellStart"/>
            <w:r w:rsidRPr="00CC54C0">
              <w:t>проект</w:t>
            </w:r>
            <w:proofErr w:type="spellEnd"/>
            <w:r w:rsidRPr="00CC54C0">
              <w:t>”</w:t>
            </w:r>
          </w:p>
        </w:tc>
      </w:tr>
      <w:tr w:rsidR="00912C33" w:rsidRPr="002E1E19" w14:paraId="53B88152" w14:textId="77777777" w:rsidTr="00687C58">
        <w:tc>
          <w:tcPr>
            <w:tcW w:w="1763" w:type="dxa"/>
            <w:tcBorders>
              <w:right w:val="single" w:sz="4" w:space="0" w:color="auto"/>
            </w:tcBorders>
            <w:shd w:val="clear" w:color="auto" w:fill="auto"/>
          </w:tcPr>
          <w:p w14:paraId="2038EF10" w14:textId="77777777" w:rsidR="00912C33" w:rsidRPr="00912C33" w:rsidRDefault="00912C33" w:rsidP="00687C58">
            <w:pPr>
              <w:spacing w:after="0" w:line="240" w:lineRule="auto"/>
              <w:rPr>
                <w:b/>
                <w:lang w:val="bg-BG"/>
              </w:rPr>
            </w:pPr>
            <w:r>
              <w:rPr>
                <w:b/>
                <w:lang w:val="bg-BG"/>
              </w:rPr>
              <w:t>ГФО</w:t>
            </w:r>
          </w:p>
        </w:tc>
        <w:tc>
          <w:tcPr>
            <w:tcW w:w="7734" w:type="dxa"/>
            <w:tcBorders>
              <w:left w:val="single" w:sz="4" w:space="0" w:color="auto"/>
            </w:tcBorders>
            <w:shd w:val="clear" w:color="auto" w:fill="auto"/>
          </w:tcPr>
          <w:p w14:paraId="4337EE29" w14:textId="77777777" w:rsidR="00912C33" w:rsidRPr="00912C33" w:rsidRDefault="00912C33" w:rsidP="00687C58">
            <w:pPr>
              <w:spacing w:after="0" w:line="240" w:lineRule="auto"/>
              <w:rPr>
                <w:lang w:val="bg-BG"/>
              </w:rPr>
            </w:pPr>
            <w:r>
              <w:rPr>
                <w:lang w:val="bg-BG"/>
              </w:rPr>
              <w:t>Годишен финансов отчет</w:t>
            </w:r>
          </w:p>
        </w:tc>
      </w:tr>
      <w:tr w:rsidR="00912C33" w:rsidRPr="002E1E19" w14:paraId="45030556" w14:textId="77777777" w:rsidTr="00687C58">
        <w:tc>
          <w:tcPr>
            <w:tcW w:w="1763" w:type="dxa"/>
            <w:tcBorders>
              <w:right w:val="single" w:sz="4" w:space="0" w:color="auto"/>
            </w:tcBorders>
            <w:shd w:val="clear" w:color="auto" w:fill="auto"/>
          </w:tcPr>
          <w:p w14:paraId="68460C3D" w14:textId="77777777" w:rsidR="00912C33" w:rsidRPr="00912C33" w:rsidRDefault="00912C33" w:rsidP="00687C58">
            <w:pPr>
              <w:spacing w:after="0" w:line="240" w:lineRule="auto"/>
              <w:rPr>
                <w:b/>
                <w:lang w:val="bg-BG"/>
              </w:rPr>
            </w:pPr>
            <w:r>
              <w:rPr>
                <w:b/>
                <w:lang w:val="bg-BG"/>
              </w:rPr>
              <w:t>ДДС</w:t>
            </w:r>
          </w:p>
        </w:tc>
        <w:tc>
          <w:tcPr>
            <w:tcW w:w="7734" w:type="dxa"/>
            <w:tcBorders>
              <w:left w:val="single" w:sz="4" w:space="0" w:color="auto"/>
            </w:tcBorders>
            <w:shd w:val="clear" w:color="auto" w:fill="auto"/>
          </w:tcPr>
          <w:p w14:paraId="62507E1D" w14:textId="77777777" w:rsidR="00912C33" w:rsidRPr="00912C33" w:rsidRDefault="00912C33" w:rsidP="00687C58">
            <w:pPr>
              <w:spacing w:after="0" w:line="240" w:lineRule="auto"/>
              <w:rPr>
                <w:lang w:val="bg-BG"/>
              </w:rPr>
            </w:pPr>
            <w:r>
              <w:rPr>
                <w:lang w:val="bg-BG"/>
              </w:rPr>
              <w:t>Данък добавена стойност</w:t>
            </w:r>
          </w:p>
        </w:tc>
      </w:tr>
      <w:tr w:rsidR="00687C58" w:rsidRPr="002E1E19" w14:paraId="72F9488D" w14:textId="77777777" w:rsidTr="00687C58">
        <w:tc>
          <w:tcPr>
            <w:tcW w:w="1763" w:type="dxa"/>
            <w:tcBorders>
              <w:right w:val="single" w:sz="4" w:space="0" w:color="auto"/>
            </w:tcBorders>
            <w:shd w:val="clear" w:color="auto" w:fill="auto"/>
          </w:tcPr>
          <w:p w14:paraId="1FF0962D" w14:textId="77777777" w:rsidR="00687C58" w:rsidRPr="002E1E19" w:rsidRDefault="00687C58" w:rsidP="00687C58">
            <w:pPr>
              <w:spacing w:after="0" w:line="240" w:lineRule="auto"/>
              <w:rPr>
                <w:rFonts w:cs="Arial"/>
                <w:sz w:val="22"/>
                <w:szCs w:val="22"/>
                <w:lang w:val="bg-BG"/>
              </w:rPr>
            </w:pPr>
            <w:r w:rsidRPr="00CC54C0">
              <w:rPr>
                <w:b/>
              </w:rPr>
              <w:t>ДПП</w:t>
            </w:r>
          </w:p>
        </w:tc>
        <w:tc>
          <w:tcPr>
            <w:tcW w:w="7734" w:type="dxa"/>
            <w:tcBorders>
              <w:left w:val="single" w:sz="4" w:space="0" w:color="auto"/>
            </w:tcBorders>
            <w:shd w:val="clear" w:color="auto" w:fill="auto"/>
          </w:tcPr>
          <w:p w14:paraId="6BBDFF55" w14:textId="77777777" w:rsidR="00687C58" w:rsidRPr="002E1E19" w:rsidRDefault="00687C58" w:rsidP="00687C58">
            <w:pPr>
              <w:spacing w:after="0" w:line="240" w:lineRule="auto"/>
              <w:rPr>
                <w:rFonts w:cs="Arial"/>
                <w:sz w:val="22"/>
                <w:szCs w:val="22"/>
                <w:lang w:val="bg-BG"/>
              </w:rPr>
            </w:pPr>
            <w:proofErr w:type="spellStart"/>
            <w:r w:rsidRPr="00CC54C0">
              <w:t>Дисконтиран</w:t>
            </w:r>
            <w:proofErr w:type="spellEnd"/>
            <w:r w:rsidRPr="00CC54C0">
              <w:t xml:space="preserve"> </w:t>
            </w:r>
            <w:proofErr w:type="spellStart"/>
            <w:r w:rsidRPr="00CC54C0">
              <w:t>паричен</w:t>
            </w:r>
            <w:proofErr w:type="spellEnd"/>
            <w:r w:rsidRPr="00CC54C0">
              <w:t xml:space="preserve"> </w:t>
            </w:r>
            <w:proofErr w:type="spellStart"/>
            <w:r w:rsidRPr="00CC54C0">
              <w:t>поток</w:t>
            </w:r>
            <w:proofErr w:type="spellEnd"/>
          </w:p>
        </w:tc>
      </w:tr>
      <w:tr w:rsidR="00687C58" w:rsidRPr="002E1E19" w14:paraId="781A6E1A" w14:textId="77777777" w:rsidTr="00687C58">
        <w:tc>
          <w:tcPr>
            <w:tcW w:w="1763" w:type="dxa"/>
            <w:tcBorders>
              <w:right w:val="single" w:sz="4" w:space="0" w:color="auto"/>
            </w:tcBorders>
            <w:shd w:val="clear" w:color="auto" w:fill="auto"/>
          </w:tcPr>
          <w:p w14:paraId="60613FFB" w14:textId="77777777" w:rsidR="00687C58" w:rsidRPr="00CC54C0" w:rsidRDefault="00687C58" w:rsidP="00687C58">
            <w:pPr>
              <w:spacing w:after="0" w:line="240" w:lineRule="auto"/>
              <w:rPr>
                <w:b/>
              </w:rPr>
            </w:pPr>
            <w:r w:rsidRPr="00CC54C0">
              <w:rPr>
                <w:b/>
              </w:rPr>
              <w:t>ДППИ</w:t>
            </w:r>
          </w:p>
        </w:tc>
        <w:tc>
          <w:tcPr>
            <w:tcW w:w="7734" w:type="dxa"/>
            <w:tcBorders>
              <w:left w:val="single" w:sz="4" w:space="0" w:color="auto"/>
            </w:tcBorders>
            <w:shd w:val="clear" w:color="auto" w:fill="auto"/>
          </w:tcPr>
          <w:p w14:paraId="0DE07CA5" w14:textId="77777777" w:rsidR="00687C58" w:rsidRPr="00CC54C0" w:rsidRDefault="00687C58" w:rsidP="00687C58">
            <w:pPr>
              <w:spacing w:after="0" w:line="240" w:lineRule="auto"/>
            </w:pPr>
            <w:proofErr w:type="spellStart"/>
            <w:r w:rsidRPr="00CC54C0">
              <w:t>Държавно</w:t>
            </w:r>
            <w:proofErr w:type="spellEnd"/>
            <w:r w:rsidRPr="00CC54C0">
              <w:t xml:space="preserve"> </w:t>
            </w:r>
            <w:proofErr w:type="spellStart"/>
            <w:r w:rsidRPr="00CC54C0">
              <w:t>предприятие</w:t>
            </w:r>
            <w:proofErr w:type="spellEnd"/>
            <w:r w:rsidRPr="00CC54C0">
              <w:t xml:space="preserve"> </w:t>
            </w:r>
            <w:proofErr w:type="spellStart"/>
            <w:r w:rsidRPr="00CC54C0">
              <w:t>Пристанищна</w:t>
            </w:r>
            <w:proofErr w:type="spellEnd"/>
            <w:r w:rsidRPr="00CC54C0">
              <w:t xml:space="preserve"> </w:t>
            </w:r>
            <w:proofErr w:type="spellStart"/>
            <w:r w:rsidRPr="00CC54C0">
              <w:t>инфраструктура</w:t>
            </w:r>
            <w:proofErr w:type="spellEnd"/>
          </w:p>
        </w:tc>
      </w:tr>
      <w:tr w:rsidR="00687C58" w:rsidRPr="002E1E19" w14:paraId="02BDC3F2" w14:textId="77777777" w:rsidTr="00687C58">
        <w:tc>
          <w:tcPr>
            <w:tcW w:w="1763" w:type="dxa"/>
            <w:tcBorders>
              <w:right w:val="single" w:sz="4" w:space="0" w:color="auto"/>
            </w:tcBorders>
            <w:shd w:val="clear" w:color="auto" w:fill="auto"/>
          </w:tcPr>
          <w:p w14:paraId="28FEC313" w14:textId="77777777" w:rsidR="00687C58" w:rsidRPr="002E1E19" w:rsidRDefault="00687C58" w:rsidP="00687C58">
            <w:pPr>
              <w:spacing w:after="0" w:line="240" w:lineRule="auto"/>
              <w:rPr>
                <w:rFonts w:cs="Arial"/>
                <w:sz w:val="22"/>
                <w:szCs w:val="22"/>
                <w:lang w:val="bg-BG"/>
              </w:rPr>
            </w:pPr>
            <w:r w:rsidRPr="00CC54C0">
              <w:rPr>
                <w:b/>
              </w:rPr>
              <w:t>ЕИБ</w:t>
            </w:r>
          </w:p>
        </w:tc>
        <w:tc>
          <w:tcPr>
            <w:tcW w:w="7734" w:type="dxa"/>
            <w:tcBorders>
              <w:left w:val="single" w:sz="4" w:space="0" w:color="auto"/>
            </w:tcBorders>
            <w:shd w:val="clear" w:color="auto" w:fill="auto"/>
          </w:tcPr>
          <w:p w14:paraId="508E6B78" w14:textId="77777777" w:rsidR="00687C58" w:rsidRPr="002E1E19" w:rsidRDefault="00687C58" w:rsidP="00687C58">
            <w:pPr>
              <w:spacing w:after="0" w:line="240" w:lineRule="auto"/>
              <w:rPr>
                <w:rFonts w:cs="Arial"/>
                <w:sz w:val="22"/>
                <w:szCs w:val="22"/>
                <w:lang w:val="bg-BG"/>
              </w:rPr>
            </w:pPr>
            <w:proofErr w:type="spellStart"/>
            <w:r w:rsidRPr="00CC54C0">
              <w:t>Европейска</w:t>
            </w:r>
            <w:proofErr w:type="spellEnd"/>
            <w:r w:rsidRPr="00CC54C0">
              <w:t xml:space="preserve"> </w:t>
            </w:r>
            <w:proofErr w:type="spellStart"/>
            <w:r w:rsidRPr="00CC54C0">
              <w:t>инвестиционна</w:t>
            </w:r>
            <w:proofErr w:type="spellEnd"/>
            <w:r w:rsidRPr="00CC54C0">
              <w:t xml:space="preserve"> </w:t>
            </w:r>
            <w:proofErr w:type="spellStart"/>
            <w:r w:rsidRPr="00CC54C0">
              <w:t>банка</w:t>
            </w:r>
            <w:proofErr w:type="spellEnd"/>
          </w:p>
        </w:tc>
      </w:tr>
      <w:tr w:rsidR="00687C58" w:rsidRPr="002E1E19" w14:paraId="2F0A6ABF" w14:textId="77777777" w:rsidTr="00687C58">
        <w:tc>
          <w:tcPr>
            <w:tcW w:w="1763" w:type="dxa"/>
            <w:tcBorders>
              <w:right w:val="single" w:sz="4" w:space="0" w:color="auto"/>
            </w:tcBorders>
            <w:shd w:val="clear" w:color="auto" w:fill="auto"/>
          </w:tcPr>
          <w:p w14:paraId="4512DD3A" w14:textId="77777777" w:rsidR="00687C58" w:rsidRPr="002E1E19" w:rsidRDefault="00687C58" w:rsidP="00687C58">
            <w:pPr>
              <w:spacing w:after="0" w:line="240" w:lineRule="auto"/>
              <w:rPr>
                <w:rFonts w:cs="Arial"/>
                <w:sz w:val="22"/>
                <w:szCs w:val="22"/>
                <w:lang w:val="bg-BG"/>
              </w:rPr>
            </w:pPr>
            <w:proofErr w:type="spellStart"/>
            <w:r w:rsidRPr="00CC54C0">
              <w:rPr>
                <w:b/>
              </w:rPr>
              <w:t>ЕиП</w:t>
            </w:r>
            <w:proofErr w:type="spellEnd"/>
          </w:p>
        </w:tc>
        <w:tc>
          <w:tcPr>
            <w:tcW w:w="7734" w:type="dxa"/>
            <w:tcBorders>
              <w:left w:val="single" w:sz="4" w:space="0" w:color="auto"/>
            </w:tcBorders>
            <w:shd w:val="clear" w:color="auto" w:fill="auto"/>
          </w:tcPr>
          <w:p w14:paraId="7FBDCA64" w14:textId="77777777" w:rsidR="00687C58" w:rsidRPr="002E1E19" w:rsidRDefault="00687C58" w:rsidP="00687C58">
            <w:pPr>
              <w:spacing w:after="0" w:line="240" w:lineRule="auto"/>
              <w:rPr>
                <w:rFonts w:cs="Arial"/>
                <w:sz w:val="22"/>
                <w:szCs w:val="22"/>
                <w:lang w:val="bg-BG"/>
              </w:rPr>
            </w:pPr>
            <w:proofErr w:type="spellStart"/>
            <w:r w:rsidRPr="00CC54C0">
              <w:t>Експлоатация</w:t>
            </w:r>
            <w:proofErr w:type="spellEnd"/>
            <w:r w:rsidRPr="00CC54C0">
              <w:t xml:space="preserve"> и </w:t>
            </w:r>
            <w:proofErr w:type="spellStart"/>
            <w:r w:rsidRPr="00CC54C0">
              <w:t>поддръжка</w:t>
            </w:r>
            <w:proofErr w:type="spellEnd"/>
          </w:p>
        </w:tc>
      </w:tr>
      <w:tr w:rsidR="00687C58" w:rsidRPr="002E1E19" w14:paraId="1B773917" w14:textId="77777777" w:rsidTr="00687C58">
        <w:tc>
          <w:tcPr>
            <w:tcW w:w="1763" w:type="dxa"/>
            <w:tcBorders>
              <w:right w:val="single" w:sz="4" w:space="0" w:color="auto"/>
            </w:tcBorders>
            <w:shd w:val="clear" w:color="auto" w:fill="auto"/>
          </w:tcPr>
          <w:p w14:paraId="3DADE426" w14:textId="77777777" w:rsidR="00687C58" w:rsidRPr="002E1E19" w:rsidRDefault="00687C58" w:rsidP="00687C58">
            <w:pPr>
              <w:spacing w:after="0" w:line="240" w:lineRule="auto"/>
              <w:rPr>
                <w:rFonts w:cs="Arial"/>
                <w:b/>
                <w:bCs/>
                <w:sz w:val="22"/>
                <w:lang w:val="bg-BG"/>
              </w:rPr>
            </w:pPr>
            <w:r w:rsidRPr="00CC54C0">
              <w:rPr>
                <w:b/>
              </w:rPr>
              <w:t>ЕК</w:t>
            </w:r>
          </w:p>
        </w:tc>
        <w:tc>
          <w:tcPr>
            <w:tcW w:w="7734" w:type="dxa"/>
            <w:tcBorders>
              <w:left w:val="single" w:sz="4" w:space="0" w:color="auto"/>
            </w:tcBorders>
            <w:shd w:val="clear" w:color="auto" w:fill="auto"/>
          </w:tcPr>
          <w:p w14:paraId="53165993" w14:textId="77777777" w:rsidR="00687C58" w:rsidRPr="002E1E19" w:rsidRDefault="00687C58" w:rsidP="00687C58">
            <w:pPr>
              <w:spacing w:after="0" w:line="240" w:lineRule="auto"/>
              <w:rPr>
                <w:rFonts w:cs="Arial"/>
                <w:bCs/>
                <w:sz w:val="22"/>
                <w:lang w:val="bg-BG"/>
              </w:rPr>
            </w:pPr>
            <w:proofErr w:type="spellStart"/>
            <w:r w:rsidRPr="00CC54C0">
              <w:t>Европейска</w:t>
            </w:r>
            <w:proofErr w:type="spellEnd"/>
            <w:r w:rsidRPr="00CC54C0">
              <w:t xml:space="preserve"> </w:t>
            </w:r>
            <w:proofErr w:type="spellStart"/>
            <w:r w:rsidRPr="00CC54C0">
              <w:t>комисия</w:t>
            </w:r>
            <w:proofErr w:type="spellEnd"/>
          </w:p>
        </w:tc>
      </w:tr>
      <w:tr w:rsidR="00687C58" w:rsidRPr="002E1E19" w14:paraId="1C4FA285" w14:textId="77777777" w:rsidTr="00687C58">
        <w:tc>
          <w:tcPr>
            <w:tcW w:w="1763" w:type="dxa"/>
            <w:tcBorders>
              <w:right w:val="single" w:sz="4" w:space="0" w:color="auto"/>
            </w:tcBorders>
            <w:shd w:val="clear" w:color="auto" w:fill="auto"/>
          </w:tcPr>
          <w:p w14:paraId="47D5F548" w14:textId="77777777" w:rsidR="00687C58" w:rsidRPr="008C23EF" w:rsidRDefault="00687C58" w:rsidP="00687C58">
            <w:pPr>
              <w:spacing w:after="0" w:line="240" w:lineRule="auto"/>
              <w:rPr>
                <w:rFonts w:cs="Arial"/>
                <w:b/>
                <w:bCs/>
                <w:sz w:val="22"/>
                <w:lang w:val="bg-BG"/>
              </w:rPr>
            </w:pPr>
            <w:r w:rsidRPr="00CC54C0">
              <w:rPr>
                <w:b/>
              </w:rPr>
              <w:t>ЕС</w:t>
            </w:r>
          </w:p>
        </w:tc>
        <w:tc>
          <w:tcPr>
            <w:tcW w:w="7734" w:type="dxa"/>
            <w:tcBorders>
              <w:left w:val="single" w:sz="4" w:space="0" w:color="auto"/>
            </w:tcBorders>
            <w:shd w:val="clear" w:color="auto" w:fill="auto"/>
          </w:tcPr>
          <w:p w14:paraId="762FA165" w14:textId="77777777" w:rsidR="00687C58" w:rsidRPr="008C23EF" w:rsidRDefault="00687C58" w:rsidP="00687C58">
            <w:pPr>
              <w:spacing w:after="0" w:line="240" w:lineRule="auto"/>
              <w:rPr>
                <w:rFonts w:cs="Arial"/>
                <w:bCs/>
                <w:sz w:val="22"/>
                <w:lang w:val="bg-BG"/>
              </w:rPr>
            </w:pPr>
            <w:proofErr w:type="spellStart"/>
            <w:r w:rsidRPr="00CC54C0">
              <w:t>Европейски</w:t>
            </w:r>
            <w:proofErr w:type="spellEnd"/>
            <w:r w:rsidRPr="00CC54C0">
              <w:t xml:space="preserve"> </w:t>
            </w:r>
            <w:proofErr w:type="spellStart"/>
            <w:r w:rsidRPr="00CC54C0">
              <w:t>съюз</w:t>
            </w:r>
            <w:proofErr w:type="spellEnd"/>
          </w:p>
        </w:tc>
      </w:tr>
      <w:tr w:rsidR="00687C58" w:rsidRPr="002E1E19" w14:paraId="6E610DF3" w14:textId="77777777" w:rsidTr="00687C58">
        <w:tc>
          <w:tcPr>
            <w:tcW w:w="1763" w:type="dxa"/>
            <w:tcBorders>
              <w:right w:val="single" w:sz="4" w:space="0" w:color="auto"/>
            </w:tcBorders>
            <w:shd w:val="clear" w:color="auto" w:fill="auto"/>
          </w:tcPr>
          <w:p w14:paraId="361A817D" w14:textId="77777777" w:rsidR="00687C58" w:rsidRPr="002E1E19" w:rsidRDefault="00687C58" w:rsidP="00687C58">
            <w:pPr>
              <w:spacing w:after="0" w:line="240" w:lineRule="auto"/>
              <w:rPr>
                <w:rFonts w:cs="Arial"/>
                <w:sz w:val="22"/>
                <w:szCs w:val="22"/>
                <w:lang w:val="bg-BG"/>
              </w:rPr>
            </w:pPr>
            <w:r w:rsidRPr="00CC54C0">
              <w:rPr>
                <w:b/>
              </w:rPr>
              <w:t>ЕФРР</w:t>
            </w:r>
          </w:p>
        </w:tc>
        <w:tc>
          <w:tcPr>
            <w:tcW w:w="7734" w:type="dxa"/>
            <w:tcBorders>
              <w:left w:val="single" w:sz="4" w:space="0" w:color="auto"/>
            </w:tcBorders>
            <w:shd w:val="clear" w:color="auto" w:fill="auto"/>
          </w:tcPr>
          <w:p w14:paraId="31E66297" w14:textId="77777777" w:rsidR="00687C58" w:rsidRPr="002E1E19" w:rsidRDefault="00687C58" w:rsidP="00687C58">
            <w:pPr>
              <w:spacing w:after="0" w:line="240" w:lineRule="auto"/>
              <w:rPr>
                <w:rFonts w:cs="Arial"/>
                <w:sz w:val="22"/>
                <w:szCs w:val="22"/>
                <w:lang w:val="bg-BG"/>
              </w:rPr>
            </w:pPr>
            <w:r w:rsidRPr="001E29A9">
              <w:rPr>
                <w:lang w:val="bg-BG"/>
              </w:rPr>
              <w:t>Европейски фонда за регионално развитие</w:t>
            </w:r>
          </w:p>
        </w:tc>
      </w:tr>
      <w:tr w:rsidR="0042712B" w:rsidRPr="002E1E19" w14:paraId="141F80D5" w14:textId="77777777" w:rsidTr="00687C58">
        <w:tc>
          <w:tcPr>
            <w:tcW w:w="1763" w:type="dxa"/>
            <w:tcBorders>
              <w:right w:val="single" w:sz="4" w:space="0" w:color="auto"/>
            </w:tcBorders>
            <w:shd w:val="clear" w:color="auto" w:fill="auto"/>
          </w:tcPr>
          <w:p w14:paraId="1C610DFA" w14:textId="77777777" w:rsidR="0042712B" w:rsidRPr="0042712B" w:rsidRDefault="0042712B" w:rsidP="00687C58">
            <w:pPr>
              <w:spacing w:after="0" w:line="240" w:lineRule="auto"/>
              <w:rPr>
                <w:b/>
                <w:lang w:val="bg-BG"/>
              </w:rPr>
            </w:pPr>
            <w:r>
              <w:rPr>
                <w:b/>
                <w:lang w:val="bg-BG"/>
              </w:rPr>
              <w:t>ЗДБРБ</w:t>
            </w:r>
          </w:p>
        </w:tc>
        <w:tc>
          <w:tcPr>
            <w:tcW w:w="7734" w:type="dxa"/>
            <w:tcBorders>
              <w:left w:val="single" w:sz="4" w:space="0" w:color="auto"/>
            </w:tcBorders>
            <w:shd w:val="clear" w:color="auto" w:fill="auto"/>
          </w:tcPr>
          <w:p w14:paraId="5261FC79" w14:textId="77777777" w:rsidR="0042712B" w:rsidRPr="009963CE" w:rsidRDefault="0042712B" w:rsidP="00687C58">
            <w:pPr>
              <w:spacing w:after="0" w:line="240" w:lineRule="auto"/>
              <w:rPr>
                <w:lang w:val="bg-BG"/>
              </w:rPr>
            </w:pPr>
            <w:r w:rsidRPr="001E29A9">
              <w:rPr>
                <w:lang w:val="bg-BG"/>
              </w:rPr>
              <w:t>Закон за държавния бюджет на Република България</w:t>
            </w:r>
          </w:p>
        </w:tc>
      </w:tr>
      <w:tr w:rsidR="00687C58" w:rsidRPr="002E1E19" w14:paraId="274D1FBB" w14:textId="77777777" w:rsidTr="00687C58">
        <w:tc>
          <w:tcPr>
            <w:tcW w:w="1763" w:type="dxa"/>
            <w:tcBorders>
              <w:right w:val="single" w:sz="4" w:space="0" w:color="auto"/>
            </w:tcBorders>
            <w:shd w:val="clear" w:color="auto" w:fill="auto"/>
          </w:tcPr>
          <w:p w14:paraId="179E1AD0" w14:textId="77777777" w:rsidR="00687C58" w:rsidRPr="00CC54C0" w:rsidRDefault="00687C58" w:rsidP="00687C58">
            <w:pPr>
              <w:spacing w:after="0" w:line="240" w:lineRule="auto"/>
              <w:rPr>
                <w:b/>
              </w:rPr>
            </w:pPr>
            <w:r w:rsidRPr="00CC54C0">
              <w:rPr>
                <w:b/>
              </w:rPr>
              <w:t xml:space="preserve">ЗМПВВППРБ </w:t>
            </w:r>
          </w:p>
        </w:tc>
        <w:tc>
          <w:tcPr>
            <w:tcW w:w="7734" w:type="dxa"/>
            <w:tcBorders>
              <w:left w:val="single" w:sz="4" w:space="0" w:color="auto"/>
            </w:tcBorders>
            <w:shd w:val="clear" w:color="auto" w:fill="auto"/>
          </w:tcPr>
          <w:p w14:paraId="27775037" w14:textId="77777777" w:rsidR="00687C58" w:rsidRPr="00CC54C0" w:rsidRDefault="00687C58" w:rsidP="00687C58">
            <w:pPr>
              <w:spacing w:after="0" w:line="240" w:lineRule="auto"/>
            </w:pPr>
            <w:proofErr w:type="spellStart"/>
            <w:r w:rsidRPr="00CC54C0">
              <w:t>Закон</w:t>
            </w:r>
            <w:proofErr w:type="spellEnd"/>
            <w:r w:rsidRPr="00CC54C0">
              <w:t xml:space="preserve"> </w:t>
            </w:r>
            <w:proofErr w:type="spellStart"/>
            <w:r w:rsidRPr="00CC54C0">
              <w:t>за</w:t>
            </w:r>
            <w:proofErr w:type="spellEnd"/>
            <w:r w:rsidRPr="00CC54C0">
              <w:t xml:space="preserve"> </w:t>
            </w:r>
            <w:proofErr w:type="spellStart"/>
            <w:r w:rsidRPr="00CC54C0">
              <w:t>морските</w:t>
            </w:r>
            <w:proofErr w:type="spellEnd"/>
            <w:r w:rsidRPr="00CC54C0">
              <w:t xml:space="preserve"> </w:t>
            </w:r>
            <w:proofErr w:type="spellStart"/>
            <w:r w:rsidRPr="00CC54C0">
              <w:t>пространства</w:t>
            </w:r>
            <w:proofErr w:type="spellEnd"/>
            <w:r w:rsidRPr="00CC54C0">
              <w:t xml:space="preserve">, </w:t>
            </w:r>
            <w:proofErr w:type="spellStart"/>
            <w:r w:rsidRPr="00CC54C0">
              <w:t>вътрешните</w:t>
            </w:r>
            <w:proofErr w:type="spellEnd"/>
            <w:r w:rsidRPr="00CC54C0">
              <w:t xml:space="preserve"> </w:t>
            </w:r>
            <w:proofErr w:type="spellStart"/>
            <w:r w:rsidRPr="00CC54C0">
              <w:t>водни</w:t>
            </w:r>
            <w:proofErr w:type="spellEnd"/>
            <w:r w:rsidRPr="00CC54C0">
              <w:t xml:space="preserve"> </w:t>
            </w:r>
            <w:proofErr w:type="spellStart"/>
            <w:r w:rsidRPr="00CC54C0">
              <w:t>пътища</w:t>
            </w:r>
            <w:proofErr w:type="spellEnd"/>
            <w:r w:rsidRPr="00CC54C0">
              <w:t xml:space="preserve"> и </w:t>
            </w:r>
            <w:proofErr w:type="spellStart"/>
            <w:r w:rsidRPr="00CC54C0">
              <w:t>пристанищата</w:t>
            </w:r>
            <w:proofErr w:type="spellEnd"/>
            <w:r w:rsidRPr="00CC54C0">
              <w:t xml:space="preserve"> </w:t>
            </w:r>
            <w:proofErr w:type="spellStart"/>
            <w:r w:rsidRPr="00CC54C0">
              <w:t>на</w:t>
            </w:r>
            <w:proofErr w:type="spellEnd"/>
            <w:r w:rsidRPr="00CC54C0">
              <w:t xml:space="preserve"> </w:t>
            </w:r>
            <w:proofErr w:type="spellStart"/>
            <w:r w:rsidRPr="00CC54C0">
              <w:t>Република</w:t>
            </w:r>
            <w:proofErr w:type="spellEnd"/>
            <w:r w:rsidRPr="00CC54C0">
              <w:t xml:space="preserve"> </w:t>
            </w:r>
            <w:proofErr w:type="spellStart"/>
            <w:r w:rsidRPr="00CC54C0">
              <w:t>България</w:t>
            </w:r>
            <w:proofErr w:type="spellEnd"/>
          </w:p>
        </w:tc>
      </w:tr>
      <w:tr w:rsidR="00687C58" w:rsidRPr="002E1E19" w14:paraId="27AF3CCE" w14:textId="77777777" w:rsidTr="00687C58">
        <w:tc>
          <w:tcPr>
            <w:tcW w:w="1763" w:type="dxa"/>
            <w:tcBorders>
              <w:right w:val="single" w:sz="4" w:space="0" w:color="auto"/>
            </w:tcBorders>
            <w:shd w:val="clear" w:color="auto" w:fill="auto"/>
          </w:tcPr>
          <w:p w14:paraId="54C702ED" w14:textId="77777777" w:rsidR="00687C58" w:rsidRPr="002E1E19" w:rsidRDefault="00687C58" w:rsidP="00687C58">
            <w:pPr>
              <w:spacing w:after="0" w:line="240" w:lineRule="auto"/>
              <w:rPr>
                <w:rFonts w:cs="Arial"/>
                <w:sz w:val="22"/>
                <w:szCs w:val="22"/>
                <w:lang w:val="bg-BG"/>
              </w:rPr>
            </w:pPr>
            <w:r w:rsidRPr="00CC54C0">
              <w:rPr>
                <w:b/>
              </w:rPr>
              <w:t>ИВНВ</w:t>
            </w:r>
          </w:p>
        </w:tc>
        <w:tc>
          <w:tcPr>
            <w:tcW w:w="7734" w:type="dxa"/>
            <w:tcBorders>
              <w:left w:val="single" w:sz="4" w:space="0" w:color="auto"/>
            </w:tcBorders>
            <w:shd w:val="clear" w:color="auto" w:fill="auto"/>
          </w:tcPr>
          <w:p w14:paraId="71C82E90" w14:textId="77777777" w:rsidR="00687C58" w:rsidRPr="002E1E19" w:rsidRDefault="00687C58" w:rsidP="00687C58">
            <w:pPr>
              <w:spacing w:after="0" w:line="240" w:lineRule="auto"/>
              <w:rPr>
                <w:rFonts w:cs="Arial"/>
                <w:sz w:val="22"/>
                <w:szCs w:val="22"/>
                <w:lang w:val="bg-BG"/>
              </w:rPr>
            </w:pPr>
            <w:r w:rsidRPr="001E29A9">
              <w:rPr>
                <w:lang w:val="bg-BG"/>
              </w:rPr>
              <w:t xml:space="preserve">Икономическа вътрешна норма на възвръщаемост </w:t>
            </w:r>
          </w:p>
        </w:tc>
      </w:tr>
      <w:tr w:rsidR="00687C58" w:rsidRPr="002E1E19" w14:paraId="4E0F7B12" w14:textId="77777777" w:rsidTr="00687C58">
        <w:tc>
          <w:tcPr>
            <w:tcW w:w="1763" w:type="dxa"/>
            <w:tcBorders>
              <w:right w:val="single" w:sz="4" w:space="0" w:color="auto"/>
            </w:tcBorders>
            <w:shd w:val="clear" w:color="auto" w:fill="auto"/>
          </w:tcPr>
          <w:p w14:paraId="08BC734C" w14:textId="77777777" w:rsidR="00687C58" w:rsidRPr="002E1E19" w:rsidRDefault="00687C58" w:rsidP="00687C58">
            <w:pPr>
              <w:spacing w:after="0" w:line="240" w:lineRule="auto"/>
              <w:rPr>
                <w:rFonts w:cs="Arial"/>
                <w:b/>
                <w:bCs/>
                <w:sz w:val="22"/>
                <w:lang w:val="bg-BG"/>
              </w:rPr>
            </w:pPr>
            <w:r w:rsidRPr="00CC54C0">
              <w:rPr>
                <w:b/>
              </w:rPr>
              <w:t>ИННС</w:t>
            </w:r>
          </w:p>
        </w:tc>
        <w:tc>
          <w:tcPr>
            <w:tcW w:w="7734" w:type="dxa"/>
            <w:tcBorders>
              <w:left w:val="single" w:sz="4" w:space="0" w:color="auto"/>
            </w:tcBorders>
            <w:shd w:val="clear" w:color="auto" w:fill="auto"/>
          </w:tcPr>
          <w:p w14:paraId="409FD086" w14:textId="77777777" w:rsidR="00687C58" w:rsidRPr="002E1E19" w:rsidRDefault="00687C58" w:rsidP="00687C58">
            <w:pPr>
              <w:spacing w:after="0" w:line="240" w:lineRule="auto"/>
              <w:rPr>
                <w:rFonts w:cs="Arial"/>
                <w:bCs/>
                <w:sz w:val="22"/>
                <w:lang w:val="bg-BG"/>
              </w:rPr>
            </w:pPr>
            <w:proofErr w:type="spellStart"/>
            <w:r w:rsidRPr="00CC54C0">
              <w:t>Икономическа</w:t>
            </w:r>
            <w:proofErr w:type="spellEnd"/>
            <w:r w:rsidRPr="00CC54C0">
              <w:t xml:space="preserve"> </w:t>
            </w:r>
            <w:proofErr w:type="spellStart"/>
            <w:r w:rsidRPr="00CC54C0">
              <w:t>нетна</w:t>
            </w:r>
            <w:proofErr w:type="spellEnd"/>
            <w:r w:rsidRPr="00CC54C0">
              <w:t xml:space="preserve"> </w:t>
            </w:r>
            <w:proofErr w:type="spellStart"/>
            <w:r w:rsidRPr="00CC54C0">
              <w:t>настояща</w:t>
            </w:r>
            <w:proofErr w:type="spellEnd"/>
            <w:r w:rsidRPr="00CC54C0">
              <w:t xml:space="preserve"> </w:t>
            </w:r>
            <w:proofErr w:type="spellStart"/>
            <w:r w:rsidRPr="00CC54C0">
              <w:t>стойност</w:t>
            </w:r>
            <w:proofErr w:type="spellEnd"/>
          </w:p>
        </w:tc>
      </w:tr>
      <w:tr w:rsidR="00687C58" w:rsidRPr="002E1E19" w14:paraId="633B32DE" w14:textId="77777777" w:rsidTr="00687C58">
        <w:tc>
          <w:tcPr>
            <w:tcW w:w="1763" w:type="dxa"/>
            <w:tcBorders>
              <w:right w:val="single" w:sz="4" w:space="0" w:color="auto"/>
            </w:tcBorders>
            <w:shd w:val="clear" w:color="auto" w:fill="auto"/>
          </w:tcPr>
          <w:p w14:paraId="42F14BF0" w14:textId="77777777" w:rsidR="00687C58" w:rsidRPr="002E1E19" w:rsidRDefault="00687C58" w:rsidP="00687C58">
            <w:pPr>
              <w:spacing w:after="0" w:line="240" w:lineRule="auto"/>
              <w:rPr>
                <w:rFonts w:cs="Arial"/>
                <w:sz w:val="22"/>
                <w:szCs w:val="22"/>
                <w:lang w:val="bg-BG"/>
              </w:rPr>
            </w:pPr>
            <w:r w:rsidRPr="00CC54C0">
              <w:rPr>
                <w:b/>
              </w:rPr>
              <w:t>КПР</w:t>
            </w:r>
          </w:p>
        </w:tc>
        <w:tc>
          <w:tcPr>
            <w:tcW w:w="7734" w:type="dxa"/>
            <w:tcBorders>
              <w:left w:val="single" w:sz="4" w:space="0" w:color="auto"/>
            </w:tcBorders>
            <w:shd w:val="clear" w:color="auto" w:fill="auto"/>
          </w:tcPr>
          <w:p w14:paraId="3DFB0D54" w14:textId="77777777" w:rsidR="00687C58" w:rsidRPr="002E1E19" w:rsidRDefault="00687C58" w:rsidP="00687C58">
            <w:pPr>
              <w:spacing w:after="0" w:line="240" w:lineRule="auto"/>
              <w:rPr>
                <w:rFonts w:cs="Arial"/>
                <w:sz w:val="22"/>
                <w:szCs w:val="22"/>
                <w:lang w:val="bg-BG"/>
              </w:rPr>
            </w:pPr>
            <w:proofErr w:type="spellStart"/>
            <w:r w:rsidRPr="00CC54C0">
              <w:t>Коефициент</w:t>
            </w:r>
            <w:proofErr w:type="spellEnd"/>
            <w:r w:rsidRPr="00CC54C0">
              <w:t xml:space="preserve"> </w:t>
            </w:r>
            <w:proofErr w:type="spellStart"/>
            <w:r w:rsidRPr="00CC54C0">
              <w:t>ползи</w:t>
            </w:r>
            <w:proofErr w:type="spellEnd"/>
            <w:r w:rsidRPr="00CC54C0">
              <w:t>/</w:t>
            </w:r>
            <w:proofErr w:type="spellStart"/>
            <w:r w:rsidRPr="00CC54C0">
              <w:t>разходи</w:t>
            </w:r>
            <w:proofErr w:type="spellEnd"/>
          </w:p>
        </w:tc>
      </w:tr>
      <w:tr w:rsidR="00687C58" w:rsidRPr="002E1E19" w14:paraId="7B80EC20" w14:textId="77777777" w:rsidTr="00687C58">
        <w:tc>
          <w:tcPr>
            <w:tcW w:w="1763" w:type="dxa"/>
            <w:tcBorders>
              <w:right w:val="single" w:sz="4" w:space="0" w:color="auto"/>
            </w:tcBorders>
            <w:shd w:val="clear" w:color="auto" w:fill="auto"/>
          </w:tcPr>
          <w:p w14:paraId="711B694E" w14:textId="77777777" w:rsidR="00687C58" w:rsidRPr="002E1E19" w:rsidRDefault="00687C58" w:rsidP="00687C58">
            <w:pPr>
              <w:spacing w:after="0" w:line="240" w:lineRule="auto"/>
              <w:rPr>
                <w:rFonts w:cs="Arial"/>
                <w:b/>
                <w:bCs/>
                <w:sz w:val="22"/>
                <w:lang w:val="bg-BG"/>
              </w:rPr>
            </w:pPr>
            <w:r w:rsidRPr="00CC54C0">
              <w:rPr>
                <w:b/>
              </w:rPr>
              <w:t>КФ</w:t>
            </w:r>
          </w:p>
        </w:tc>
        <w:tc>
          <w:tcPr>
            <w:tcW w:w="7734" w:type="dxa"/>
            <w:tcBorders>
              <w:left w:val="single" w:sz="4" w:space="0" w:color="auto"/>
            </w:tcBorders>
            <w:shd w:val="clear" w:color="auto" w:fill="auto"/>
          </w:tcPr>
          <w:p w14:paraId="43A3BC70" w14:textId="77777777" w:rsidR="00687C58" w:rsidRPr="002E1E19" w:rsidRDefault="00687C58" w:rsidP="00687C58">
            <w:pPr>
              <w:spacing w:after="0" w:line="240" w:lineRule="auto"/>
              <w:rPr>
                <w:rFonts w:cs="Arial"/>
                <w:bCs/>
                <w:sz w:val="22"/>
                <w:lang w:val="bg-BG"/>
              </w:rPr>
            </w:pPr>
            <w:proofErr w:type="spellStart"/>
            <w:r w:rsidRPr="00CC54C0">
              <w:t>Кохезионен</w:t>
            </w:r>
            <w:proofErr w:type="spellEnd"/>
            <w:r w:rsidRPr="00CC54C0">
              <w:t xml:space="preserve"> </w:t>
            </w:r>
            <w:proofErr w:type="spellStart"/>
            <w:r w:rsidRPr="00CC54C0">
              <w:t>фонд</w:t>
            </w:r>
            <w:proofErr w:type="spellEnd"/>
          </w:p>
        </w:tc>
      </w:tr>
      <w:tr w:rsidR="00687C58" w:rsidRPr="002E1E19" w14:paraId="7DCC157C" w14:textId="77777777" w:rsidTr="00687C58">
        <w:tc>
          <w:tcPr>
            <w:tcW w:w="1763" w:type="dxa"/>
            <w:tcBorders>
              <w:right w:val="single" w:sz="4" w:space="0" w:color="auto"/>
            </w:tcBorders>
            <w:shd w:val="clear" w:color="auto" w:fill="auto"/>
          </w:tcPr>
          <w:p w14:paraId="1BEF86DB" w14:textId="77777777" w:rsidR="00687C58" w:rsidRPr="002E1E19" w:rsidRDefault="00687C58" w:rsidP="00687C58">
            <w:pPr>
              <w:spacing w:after="0" w:line="240" w:lineRule="auto"/>
              <w:rPr>
                <w:rFonts w:cs="Arial"/>
                <w:sz w:val="22"/>
                <w:szCs w:val="22"/>
                <w:lang w:val="bg-BG"/>
              </w:rPr>
            </w:pPr>
            <w:r w:rsidRPr="00CC54C0">
              <w:rPr>
                <w:b/>
              </w:rPr>
              <w:t>МБВР</w:t>
            </w:r>
          </w:p>
        </w:tc>
        <w:tc>
          <w:tcPr>
            <w:tcW w:w="7734" w:type="dxa"/>
            <w:tcBorders>
              <w:left w:val="single" w:sz="4" w:space="0" w:color="auto"/>
            </w:tcBorders>
            <w:shd w:val="clear" w:color="auto" w:fill="auto"/>
          </w:tcPr>
          <w:p w14:paraId="4F154385" w14:textId="77777777" w:rsidR="00687C58" w:rsidRPr="002E1E19" w:rsidRDefault="00687C58" w:rsidP="00687C58">
            <w:pPr>
              <w:spacing w:after="0" w:line="240" w:lineRule="auto"/>
              <w:rPr>
                <w:rFonts w:cs="Arial"/>
                <w:sz w:val="22"/>
                <w:szCs w:val="22"/>
                <w:lang w:val="bg-BG"/>
              </w:rPr>
            </w:pPr>
            <w:r w:rsidRPr="001E29A9">
              <w:rPr>
                <w:lang w:val="bg-BG"/>
              </w:rPr>
              <w:t>Международна банка за възстановяване и развитие</w:t>
            </w:r>
          </w:p>
        </w:tc>
      </w:tr>
      <w:tr w:rsidR="00687C58" w:rsidRPr="002E1E19" w14:paraId="28078D19" w14:textId="77777777" w:rsidTr="00687C58">
        <w:tc>
          <w:tcPr>
            <w:tcW w:w="1763" w:type="dxa"/>
            <w:tcBorders>
              <w:right w:val="single" w:sz="4" w:space="0" w:color="auto"/>
            </w:tcBorders>
            <w:shd w:val="clear" w:color="auto" w:fill="auto"/>
          </w:tcPr>
          <w:p w14:paraId="196143E4" w14:textId="77777777" w:rsidR="00687C58" w:rsidRPr="002E1E19" w:rsidRDefault="00687C58" w:rsidP="00687C58">
            <w:pPr>
              <w:spacing w:after="0" w:line="240" w:lineRule="auto"/>
              <w:rPr>
                <w:rFonts w:cs="Arial"/>
                <w:sz w:val="22"/>
                <w:szCs w:val="22"/>
                <w:lang w:val="bg-BG"/>
              </w:rPr>
            </w:pPr>
            <w:r w:rsidRPr="00CC54C0">
              <w:rPr>
                <w:b/>
              </w:rPr>
              <w:t>МСЕ</w:t>
            </w:r>
          </w:p>
        </w:tc>
        <w:tc>
          <w:tcPr>
            <w:tcW w:w="7734" w:type="dxa"/>
            <w:tcBorders>
              <w:left w:val="single" w:sz="4" w:space="0" w:color="auto"/>
            </w:tcBorders>
            <w:shd w:val="clear" w:color="auto" w:fill="auto"/>
          </w:tcPr>
          <w:p w14:paraId="43762F76" w14:textId="77777777" w:rsidR="00687C58" w:rsidRPr="002E1E19" w:rsidRDefault="00687C58" w:rsidP="00687C58">
            <w:pPr>
              <w:spacing w:after="0" w:line="240" w:lineRule="auto"/>
              <w:rPr>
                <w:rFonts w:cs="Arial"/>
                <w:sz w:val="22"/>
                <w:szCs w:val="22"/>
                <w:lang w:val="bg-BG"/>
              </w:rPr>
            </w:pPr>
            <w:r w:rsidRPr="001E29A9">
              <w:rPr>
                <w:lang w:val="bg-BG"/>
              </w:rPr>
              <w:t>Механизъм за свързаност на Европа</w:t>
            </w:r>
          </w:p>
        </w:tc>
      </w:tr>
      <w:tr w:rsidR="0042712B" w:rsidRPr="002E1E19" w14:paraId="5F069698" w14:textId="77777777" w:rsidTr="00687C58">
        <w:tc>
          <w:tcPr>
            <w:tcW w:w="1763" w:type="dxa"/>
            <w:tcBorders>
              <w:right w:val="single" w:sz="4" w:space="0" w:color="auto"/>
            </w:tcBorders>
            <w:shd w:val="clear" w:color="auto" w:fill="auto"/>
          </w:tcPr>
          <w:p w14:paraId="44BCB9A5" w14:textId="77777777" w:rsidR="0042712B" w:rsidRPr="0042712B" w:rsidRDefault="0042712B" w:rsidP="00687C58">
            <w:pPr>
              <w:spacing w:after="0" w:line="240" w:lineRule="auto"/>
              <w:rPr>
                <w:b/>
                <w:lang w:val="bg-BG"/>
              </w:rPr>
            </w:pPr>
            <w:r>
              <w:rPr>
                <w:b/>
                <w:lang w:val="bg-BG"/>
              </w:rPr>
              <w:t>НПВУ</w:t>
            </w:r>
          </w:p>
        </w:tc>
        <w:tc>
          <w:tcPr>
            <w:tcW w:w="7734" w:type="dxa"/>
            <w:tcBorders>
              <w:left w:val="single" w:sz="4" w:space="0" w:color="auto"/>
            </w:tcBorders>
            <w:shd w:val="clear" w:color="auto" w:fill="auto"/>
          </w:tcPr>
          <w:p w14:paraId="172AC650" w14:textId="77777777" w:rsidR="0042712B" w:rsidRPr="009963CE" w:rsidRDefault="0042712B" w:rsidP="00687C58">
            <w:pPr>
              <w:spacing w:after="0" w:line="240" w:lineRule="auto"/>
              <w:rPr>
                <w:lang w:val="bg-BG"/>
              </w:rPr>
            </w:pPr>
            <w:r>
              <w:rPr>
                <w:lang w:val="bg-BG"/>
              </w:rPr>
              <w:t>Н</w:t>
            </w:r>
            <w:r w:rsidRPr="001E29A9">
              <w:rPr>
                <w:lang w:val="bg-BG"/>
              </w:rPr>
              <w:t>ационален план за възстановяване и устойчивост</w:t>
            </w:r>
          </w:p>
        </w:tc>
      </w:tr>
      <w:tr w:rsidR="00687C58" w:rsidRPr="002E1E19" w14:paraId="234EEECE" w14:textId="77777777" w:rsidTr="00687C58">
        <w:tc>
          <w:tcPr>
            <w:tcW w:w="1763" w:type="dxa"/>
            <w:tcBorders>
              <w:right w:val="single" w:sz="4" w:space="0" w:color="auto"/>
            </w:tcBorders>
            <w:shd w:val="clear" w:color="auto" w:fill="auto"/>
          </w:tcPr>
          <w:p w14:paraId="1ACC3384" w14:textId="77777777" w:rsidR="00687C58" w:rsidRPr="002E1E19" w:rsidRDefault="00687C58" w:rsidP="00687C58">
            <w:pPr>
              <w:spacing w:after="0" w:line="240" w:lineRule="auto"/>
              <w:rPr>
                <w:rFonts w:cs="Arial"/>
                <w:b/>
                <w:sz w:val="22"/>
                <w:lang w:val="bg-BG"/>
              </w:rPr>
            </w:pPr>
            <w:r w:rsidRPr="00CC54C0">
              <w:rPr>
                <w:b/>
              </w:rPr>
              <w:t>НСИ</w:t>
            </w:r>
          </w:p>
        </w:tc>
        <w:tc>
          <w:tcPr>
            <w:tcW w:w="7734" w:type="dxa"/>
            <w:tcBorders>
              <w:left w:val="single" w:sz="4" w:space="0" w:color="auto"/>
            </w:tcBorders>
            <w:shd w:val="clear" w:color="auto" w:fill="auto"/>
          </w:tcPr>
          <w:p w14:paraId="26E110D1" w14:textId="77777777" w:rsidR="00687C58" w:rsidRPr="002E1E19" w:rsidRDefault="00687C58" w:rsidP="00687C58">
            <w:pPr>
              <w:spacing w:after="0" w:line="240" w:lineRule="auto"/>
              <w:rPr>
                <w:rFonts w:cs="Arial"/>
                <w:bCs/>
                <w:sz w:val="22"/>
                <w:lang w:val="bg-BG"/>
              </w:rPr>
            </w:pPr>
            <w:proofErr w:type="spellStart"/>
            <w:r w:rsidRPr="00CC54C0">
              <w:t>Национален</w:t>
            </w:r>
            <w:proofErr w:type="spellEnd"/>
            <w:r w:rsidRPr="00CC54C0">
              <w:t xml:space="preserve"> </w:t>
            </w:r>
            <w:proofErr w:type="spellStart"/>
            <w:r w:rsidRPr="00CC54C0">
              <w:t>статистически</w:t>
            </w:r>
            <w:proofErr w:type="spellEnd"/>
            <w:r w:rsidRPr="00CC54C0">
              <w:t xml:space="preserve"> </w:t>
            </w:r>
            <w:proofErr w:type="spellStart"/>
            <w:r w:rsidRPr="00CC54C0">
              <w:t>институт</w:t>
            </w:r>
            <w:proofErr w:type="spellEnd"/>
          </w:p>
        </w:tc>
      </w:tr>
      <w:tr w:rsidR="00912C33" w:rsidRPr="002E1E19" w14:paraId="3363135A" w14:textId="77777777" w:rsidTr="00687C58">
        <w:tc>
          <w:tcPr>
            <w:tcW w:w="1763" w:type="dxa"/>
            <w:tcBorders>
              <w:right w:val="single" w:sz="4" w:space="0" w:color="auto"/>
            </w:tcBorders>
            <w:shd w:val="clear" w:color="auto" w:fill="auto"/>
          </w:tcPr>
          <w:p w14:paraId="262C1640" w14:textId="77777777" w:rsidR="00912C33" w:rsidRPr="00912C33" w:rsidRDefault="00912C33" w:rsidP="00687C58">
            <w:pPr>
              <w:spacing w:after="0" w:line="240" w:lineRule="auto"/>
              <w:rPr>
                <w:b/>
                <w:lang w:val="bg-BG"/>
              </w:rPr>
            </w:pPr>
            <w:r>
              <w:rPr>
                <w:b/>
                <w:lang w:val="bg-BG"/>
              </w:rPr>
              <w:t>ОПТ</w:t>
            </w:r>
          </w:p>
        </w:tc>
        <w:tc>
          <w:tcPr>
            <w:tcW w:w="7734" w:type="dxa"/>
            <w:tcBorders>
              <w:left w:val="single" w:sz="4" w:space="0" w:color="auto"/>
            </w:tcBorders>
            <w:shd w:val="clear" w:color="auto" w:fill="auto"/>
          </w:tcPr>
          <w:p w14:paraId="045E5EAF" w14:textId="77777777" w:rsidR="00912C33" w:rsidRPr="00912C33" w:rsidRDefault="00912C33" w:rsidP="00687C58">
            <w:pPr>
              <w:spacing w:after="0" w:line="240" w:lineRule="auto"/>
              <w:rPr>
                <w:lang w:val="bg-BG"/>
              </w:rPr>
            </w:pPr>
            <w:r>
              <w:rPr>
                <w:lang w:val="bg-BG"/>
              </w:rPr>
              <w:t>Оперативна програма „Транспорт“ 2007-2013 г.</w:t>
            </w:r>
          </w:p>
        </w:tc>
      </w:tr>
      <w:tr w:rsidR="00912C33" w:rsidRPr="002E1E19" w14:paraId="1AE703BE" w14:textId="77777777" w:rsidTr="00687C58">
        <w:tc>
          <w:tcPr>
            <w:tcW w:w="1763" w:type="dxa"/>
            <w:tcBorders>
              <w:right w:val="single" w:sz="4" w:space="0" w:color="auto"/>
            </w:tcBorders>
            <w:shd w:val="clear" w:color="auto" w:fill="auto"/>
          </w:tcPr>
          <w:p w14:paraId="7AEA2AE0" w14:textId="77777777" w:rsidR="00912C33" w:rsidRPr="00912C33" w:rsidRDefault="00912C33" w:rsidP="00687C58">
            <w:pPr>
              <w:spacing w:after="0" w:line="240" w:lineRule="auto"/>
              <w:rPr>
                <w:b/>
                <w:lang w:val="bg-BG"/>
              </w:rPr>
            </w:pPr>
            <w:r>
              <w:rPr>
                <w:b/>
                <w:lang w:val="bg-BG"/>
              </w:rPr>
              <w:t>ОПТТИ</w:t>
            </w:r>
          </w:p>
        </w:tc>
        <w:tc>
          <w:tcPr>
            <w:tcW w:w="7734" w:type="dxa"/>
            <w:tcBorders>
              <w:left w:val="single" w:sz="4" w:space="0" w:color="auto"/>
            </w:tcBorders>
            <w:shd w:val="clear" w:color="auto" w:fill="auto"/>
          </w:tcPr>
          <w:p w14:paraId="047BC2A6" w14:textId="77777777" w:rsidR="00912C33" w:rsidRPr="00912C33" w:rsidRDefault="00912C33" w:rsidP="00687C58">
            <w:pPr>
              <w:spacing w:after="0" w:line="240" w:lineRule="auto"/>
              <w:rPr>
                <w:lang w:val="bg-BG"/>
              </w:rPr>
            </w:pPr>
            <w:r>
              <w:rPr>
                <w:lang w:val="bg-BG"/>
              </w:rPr>
              <w:t>Оперативна програма „Транспорт и транспортна инфраструктура“ 2014-2020 г.</w:t>
            </w:r>
          </w:p>
        </w:tc>
      </w:tr>
      <w:tr w:rsidR="00912C33" w:rsidRPr="002E1E19" w14:paraId="615AC555" w14:textId="77777777" w:rsidTr="00912C33">
        <w:tc>
          <w:tcPr>
            <w:tcW w:w="1763" w:type="dxa"/>
            <w:tcBorders>
              <w:right w:val="single" w:sz="4" w:space="0" w:color="auto"/>
            </w:tcBorders>
            <w:shd w:val="clear" w:color="auto" w:fill="auto"/>
          </w:tcPr>
          <w:p w14:paraId="2B8754A9" w14:textId="77777777" w:rsidR="00912C33" w:rsidRPr="002E1E19" w:rsidRDefault="00912C33" w:rsidP="00912C33">
            <w:pPr>
              <w:spacing w:after="0" w:line="240" w:lineRule="auto"/>
              <w:rPr>
                <w:rFonts w:cs="Arial"/>
                <w:b/>
                <w:sz w:val="22"/>
                <w:lang w:val="bg-BG"/>
              </w:rPr>
            </w:pPr>
            <w:r>
              <w:rPr>
                <w:b/>
              </w:rPr>
              <w:t>П</w:t>
            </w:r>
            <w:r w:rsidRPr="00CC54C0">
              <w:rPr>
                <w:b/>
              </w:rPr>
              <w:t>П</w:t>
            </w:r>
          </w:p>
        </w:tc>
        <w:tc>
          <w:tcPr>
            <w:tcW w:w="7734" w:type="dxa"/>
            <w:tcBorders>
              <w:left w:val="single" w:sz="4" w:space="0" w:color="auto"/>
            </w:tcBorders>
            <w:shd w:val="clear" w:color="auto" w:fill="auto"/>
          </w:tcPr>
          <w:p w14:paraId="01C7998F" w14:textId="77777777" w:rsidR="00912C33" w:rsidRPr="002E1E19" w:rsidRDefault="00912C33" w:rsidP="00912C33">
            <w:pPr>
              <w:spacing w:after="0" w:line="240" w:lineRule="auto"/>
              <w:rPr>
                <w:rFonts w:cs="Arial"/>
                <w:bCs/>
                <w:sz w:val="22"/>
                <w:lang w:val="bg-BG"/>
              </w:rPr>
            </w:pPr>
            <w:proofErr w:type="spellStart"/>
            <w:r>
              <w:t>Предпроектно</w:t>
            </w:r>
            <w:proofErr w:type="spellEnd"/>
            <w:r w:rsidRPr="00CC54C0">
              <w:t xml:space="preserve"> </w:t>
            </w:r>
            <w:proofErr w:type="spellStart"/>
            <w:r w:rsidRPr="00CC54C0">
              <w:t>проучване</w:t>
            </w:r>
            <w:proofErr w:type="spellEnd"/>
          </w:p>
        </w:tc>
      </w:tr>
      <w:tr w:rsidR="00912C33" w:rsidRPr="002E1E19" w14:paraId="2713C474" w14:textId="77777777" w:rsidTr="00687C58">
        <w:tc>
          <w:tcPr>
            <w:tcW w:w="1763" w:type="dxa"/>
            <w:tcBorders>
              <w:right w:val="single" w:sz="4" w:space="0" w:color="auto"/>
            </w:tcBorders>
            <w:shd w:val="clear" w:color="auto" w:fill="auto"/>
          </w:tcPr>
          <w:p w14:paraId="72514B89" w14:textId="77777777" w:rsidR="00912C33" w:rsidRPr="00912C33" w:rsidRDefault="00912C33" w:rsidP="00687C58">
            <w:pPr>
              <w:spacing w:after="0" w:line="240" w:lineRule="auto"/>
              <w:rPr>
                <w:b/>
                <w:lang w:val="bg-BG"/>
              </w:rPr>
            </w:pPr>
            <w:r>
              <w:rPr>
                <w:b/>
                <w:lang w:val="bg-BG"/>
              </w:rPr>
              <w:t>ПТС</w:t>
            </w:r>
          </w:p>
        </w:tc>
        <w:tc>
          <w:tcPr>
            <w:tcW w:w="7734" w:type="dxa"/>
            <w:tcBorders>
              <w:left w:val="single" w:sz="4" w:space="0" w:color="auto"/>
            </w:tcBorders>
            <w:shd w:val="clear" w:color="auto" w:fill="auto"/>
          </w:tcPr>
          <w:p w14:paraId="33CBA8B4" w14:textId="77777777" w:rsidR="00912C33" w:rsidRPr="00912C33" w:rsidRDefault="00912C33" w:rsidP="00687C58">
            <w:pPr>
              <w:spacing w:after="0" w:line="240" w:lineRule="auto"/>
              <w:rPr>
                <w:lang w:val="bg-BG"/>
              </w:rPr>
            </w:pPr>
            <w:r>
              <w:rPr>
                <w:lang w:val="bg-BG"/>
              </w:rPr>
              <w:t>Програма „Транспортна свързаност“ 2021-2027 г.</w:t>
            </w:r>
          </w:p>
        </w:tc>
      </w:tr>
      <w:tr w:rsidR="00687C58" w:rsidRPr="002E1E19" w14:paraId="27D85E1D" w14:textId="77777777" w:rsidTr="00687C58">
        <w:tc>
          <w:tcPr>
            <w:tcW w:w="1763" w:type="dxa"/>
            <w:tcBorders>
              <w:right w:val="single" w:sz="4" w:space="0" w:color="auto"/>
            </w:tcBorders>
            <w:shd w:val="clear" w:color="auto" w:fill="auto"/>
          </w:tcPr>
          <w:p w14:paraId="3C645F6C" w14:textId="77777777" w:rsidR="00687C58" w:rsidRPr="00CC54C0" w:rsidRDefault="00687C58" w:rsidP="00687C58">
            <w:pPr>
              <w:spacing w:after="0" w:line="240" w:lineRule="auto"/>
              <w:rPr>
                <w:b/>
              </w:rPr>
            </w:pPr>
            <w:proofErr w:type="spellStart"/>
            <w:r w:rsidRPr="00CC54C0">
              <w:rPr>
                <w:b/>
              </w:rPr>
              <w:t>ркм</w:t>
            </w:r>
            <w:proofErr w:type="spellEnd"/>
          </w:p>
        </w:tc>
        <w:tc>
          <w:tcPr>
            <w:tcW w:w="7734" w:type="dxa"/>
            <w:tcBorders>
              <w:left w:val="single" w:sz="4" w:space="0" w:color="auto"/>
            </w:tcBorders>
            <w:shd w:val="clear" w:color="auto" w:fill="auto"/>
          </w:tcPr>
          <w:p w14:paraId="71AD7E6F" w14:textId="77777777" w:rsidR="00687C58" w:rsidRPr="00CC54C0" w:rsidRDefault="00687C58" w:rsidP="00687C58">
            <w:pPr>
              <w:spacing w:after="0" w:line="240" w:lineRule="auto"/>
            </w:pPr>
            <w:proofErr w:type="spellStart"/>
            <w:r w:rsidRPr="00CC54C0">
              <w:t>Речен</w:t>
            </w:r>
            <w:proofErr w:type="spellEnd"/>
            <w:r w:rsidRPr="00CC54C0">
              <w:t xml:space="preserve"> </w:t>
            </w:r>
            <w:proofErr w:type="spellStart"/>
            <w:r w:rsidRPr="00CC54C0">
              <w:t>километър</w:t>
            </w:r>
            <w:proofErr w:type="spellEnd"/>
          </w:p>
        </w:tc>
      </w:tr>
      <w:tr w:rsidR="00687C58" w:rsidRPr="002E1E19" w14:paraId="5FE6320D" w14:textId="77777777" w:rsidTr="00687C58">
        <w:tc>
          <w:tcPr>
            <w:tcW w:w="1763" w:type="dxa"/>
            <w:tcBorders>
              <w:right w:val="single" w:sz="4" w:space="0" w:color="auto"/>
            </w:tcBorders>
            <w:shd w:val="clear" w:color="auto" w:fill="auto"/>
          </w:tcPr>
          <w:p w14:paraId="329F46B1" w14:textId="77777777" w:rsidR="00687C58" w:rsidRPr="002E1E19" w:rsidRDefault="00687C58" w:rsidP="00687C58">
            <w:pPr>
              <w:spacing w:after="0" w:line="240" w:lineRule="auto"/>
              <w:rPr>
                <w:rFonts w:cs="Arial"/>
                <w:sz w:val="22"/>
                <w:szCs w:val="22"/>
                <w:lang w:val="bg-BG"/>
              </w:rPr>
            </w:pPr>
            <w:r w:rsidRPr="00CC54C0">
              <w:rPr>
                <w:b/>
              </w:rPr>
              <w:t>СКФ</w:t>
            </w:r>
          </w:p>
        </w:tc>
        <w:tc>
          <w:tcPr>
            <w:tcW w:w="7734" w:type="dxa"/>
            <w:tcBorders>
              <w:left w:val="single" w:sz="4" w:space="0" w:color="auto"/>
            </w:tcBorders>
            <w:shd w:val="clear" w:color="auto" w:fill="auto"/>
          </w:tcPr>
          <w:p w14:paraId="2367CB12" w14:textId="77777777" w:rsidR="00687C58" w:rsidRPr="002E1E19" w:rsidRDefault="00687C58" w:rsidP="00687C58">
            <w:pPr>
              <w:spacing w:after="0" w:line="240" w:lineRule="auto"/>
              <w:rPr>
                <w:rFonts w:cs="Arial"/>
                <w:sz w:val="22"/>
                <w:szCs w:val="22"/>
                <w:lang w:val="bg-BG"/>
              </w:rPr>
            </w:pPr>
            <w:proofErr w:type="spellStart"/>
            <w:r w:rsidRPr="00CC54C0">
              <w:t>Стандартен</w:t>
            </w:r>
            <w:proofErr w:type="spellEnd"/>
            <w:r w:rsidRPr="00CC54C0">
              <w:t xml:space="preserve"> </w:t>
            </w:r>
            <w:proofErr w:type="spellStart"/>
            <w:r w:rsidRPr="00CC54C0">
              <w:t>конверсионен</w:t>
            </w:r>
            <w:proofErr w:type="spellEnd"/>
            <w:r w:rsidRPr="00CC54C0">
              <w:t xml:space="preserve"> </w:t>
            </w:r>
            <w:proofErr w:type="spellStart"/>
            <w:r w:rsidRPr="00CC54C0">
              <w:t>фактор</w:t>
            </w:r>
            <w:proofErr w:type="spellEnd"/>
          </w:p>
        </w:tc>
      </w:tr>
      <w:tr w:rsidR="00912C33" w:rsidRPr="002E1E19" w14:paraId="72C197F5" w14:textId="77777777" w:rsidTr="00687C58">
        <w:tc>
          <w:tcPr>
            <w:tcW w:w="1763" w:type="dxa"/>
            <w:tcBorders>
              <w:right w:val="single" w:sz="4" w:space="0" w:color="auto"/>
            </w:tcBorders>
            <w:shd w:val="clear" w:color="auto" w:fill="auto"/>
          </w:tcPr>
          <w:p w14:paraId="1D1B05A0" w14:textId="77777777" w:rsidR="00912C33" w:rsidRPr="00912C33" w:rsidRDefault="00912C33" w:rsidP="00687C58">
            <w:pPr>
              <w:spacing w:after="0" w:line="240" w:lineRule="auto"/>
              <w:rPr>
                <w:b/>
                <w:lang w:val="bg-BG"/>
              </w:rPr>
            </w:pPr>
            <w:r>
              <w:rPr>
                <w:b/>
                <w:lang w:val="bg-BG"/>
              </w:rPr>
              <w:t>СМР</w:t>
            </w:r>
          </w:p>
        </w:tc>
        <w:tc>
          <w:tcPr>
            <w:tcW w:w="7734" w:type="dxa"/>
            <w:tcBorders>
              <w:left w:val="single" w:sz="4" w:space="0" w:color="auto"/>
            </w:tcBorders>
            <w:shd w:val="clear" w:color="auto" w:fill="auto"/>
          </w:tcPr>
          <w:p w14:paraId="30B389FE" w14:textId="77777777" w:rsidR="00912C33" w:rsidRPr="00912C33" w:rsidRDefault="00912C33" w:rsidP="00687C58">
            <w:pPr>
              <w:spacing w:after="0" w:line="240" w:lineRule="auto"/>
              <w:rPr>
                <w:lang w:val="bg-BG"/>
              </w:rPr>
            </w:pPr>
            <w:r>
              <w:rPr>
                <w:lang w:val="bg-BG"/>
              </w:rPr>
              <w:t>Строително-монтажни работи</w:t>
            </w:r>
          </w:p>
        </w:tc>
      </w:tr>
      <w:tr w:rsidR="00687C58" w:rsidRPr="002E1E19" w14:paraId="1A916063" w14:textId="77777777" w:rsidTr="00687C58">
        <w:tc>
          <w:tcPr>
            <w:tcW w:w="1763" w:type="dxa"/>
            <w:tcBorders>
              <w:right w:val="single" w:sz="4" w:space="0" w:color="auto"/>
            </w:tcBorders>
            <w:shd w:val="clear" w:color="auto" w:fill="auto"/>
          </w:tcPr>
          <w:p w14:paraId="07EF852C" w14:textId="77777777" w:rsidR="00687C58" w:rsidRPr="002E1E19" w:rsidRDefault="00687C58" w:rsidP="00687C58">
            <w:pPr>
              <w:spacing w:after="0" w:line="240" w:lineRule="auto"/>
              <w:rPr>
                <w:rFonts w:cs="Arial"/>
                <w:b/>
                <w:bCs/>
                <w:sz w:val="22"/>
                <w:lang w:val="bg-BG"/>
              </w:rPr>
            </w:pPr>
            <w:r w:rsidRPr="00CC54C0">
              <w:rPr>
                <w:b/>
              </w:rPr>
              <w:t>СП</w:t>
            </w:r>
          </w:p>
        </w:tc>
        <w:tc>
          <w:tcPr>
            <w:tcW w:w="7734" w:type="dxa"/>
            <w:tcBorders>
              <w:left w:val="single" w:sz="4" w:space="0" w:color="auto"/>
            </w:tcBorders>
            <w:shd w:val="clear" w:color="auto" w:fill="auto"/>
          </w:tcPr>
          <w:p w14:paraId="0AD4A382" w14:textId="77777777" w:rsidR="00687C58" w:rsidRPr="002E1E19" w:rsidRDefault="00687C58" w:rsidP="00687C58">
            <w:pPr>
              <w:spacing w:after="0" w:line="240" w:lineRule="auto"/>
              <w:rPr>
                <w:rFonts w:cs="Arial"/>
                <w:bCs/>
                <w:sz w:val="22"/>
                <w:lang w:val="bg-BG"/>
              </w:rPr>
            </w:pPr>
            <w:proofErr w:type="spellStart"/>
            <w:r w:rsidRPr="00CC54C0">
              <w:t>Сценарий</w:t>
            </w:r>
            <w:proofErr w:type="spellEnd"/>
            <w:r w:rsidRPr="00CC54C0">
              <w:t xml:space="preserve"> „С </w:t>
            </w:r>
            <w:proofErr w:type="spellStart"/>
            <w:r w:rsidRPr="00CC54C0">
              <w:t>проект</w:t>
            </w:r>
            <w:proofErr w:type="spellEnd"/>
            <w:r w:rsidRPr="00CC54C0">
              <w:t>”</w:t>
            </w:r>
          </w:p>
        </w:tc>
      </w:tr>
      <w:tr w:rsidR="00912C33" w:rsidRPr="002E1E19" w14:paraId="4BAA99B8" w14:textId="77777777" w:rsidTr="00687C58">
        <w:tc>
          <w:tcPr>
            <w:tcW w:w="1763" w:type="dxa"/>
            <w:tcBorders>
              <w:right w:val="single" w:sz="4" w:space="0" w:color="auto"/>
            </w:tcBorders>
            <w:shd w:val="clear" w:color="auto" w:fill="auto"/>
          </w:tcPr>
          <w:p w14:paraId="562B653E" w14:textId="77777777" w:rsidR="00912C33" w:rsidRPr="00912C33" w:rsidRDefault="00912C33" w:rsidP="00687C58">
            <w:pPr>
              <w:spacing w:after="0" w:line="240" w:lineRule="auto"/>
              <w:rPr>
                <w:b/>
                <w:lang w:val="bg-BG"/>
              </w:rPr>
            </w:pPr>
            <w:r>
              <w:rPr>
                <w:b/>
                <w:lang w:val="bg-BG"/>
              </w:rPr>
              <w:lastRenderedPageBreak/>
              <w:t>УО</w:t>
            </w:r>
          </w:p>
        </w:tc>
        <w:tc>
          <w:tcPr>
            <w:tcW w:w="7734" w:type="dxa"/>
            <w:tcBorders>
              <w:left w:val="single" w:sz="4" w:space="0" w:color="auto"/>
            </w:tcBorders>
            <w:shd w:val="clear" w:color="auto" w:fill="auto"/>
          </w:tcPr>
          <w:p w14:paraId="59D7ECF7" w14:textId="77777777" w:rsidR="00912C33" w:rsidRPr="00912C33" w:rsidRDefault="00912C33" w:rsidP="00687C58">
            <w:pPr>
              <w:spacing w:after="0" w:line="240" w:lineRule="auto"/>
              <w:rPr>
                <w:lang w:val="bg-BG"/>
              </w:rPr>
            </w:pPr>
            <w:r>
              <w:rPr>
                <w:lang w:val="bg-BG"/>
              </w:rPr>
              <w:t>Управляващ орган</w:t>
            </w:r>
          </w:p>
        </w:tc>
      </w:tr>
      <w:tr w:rsidR="00687C58" w:rsidRPr="002E1E19" w14:paraId="0A6AEBF0" w14:textId="77777777" w:rsidTr="00687C58">
        <w:tc>
          <w:tcPr>
            <w:tcW w:w="1763" w:type="dxa"/>
            <w:tcBorders>
              <w:right w:val="single" w:sz="4" w:space="0" w:color="auto"/>
            </w:tcBorders>
            <w:shd w:val="clear" w:color="auto" w:fill="auto"/>
          </w:tcPr>
          <w:p w14:paraId="6AD80773" w14:textId="77777777" w:rsidR="00687C58" w:rsidRPr="005C5105" w:rsidRDefault="00687C58" w:rsidP="00687C58">
            <w:pPr>
              <w:spacing w:after="0" w:line="240" w:lineRule="auto"/>
              <w:rPr>
                <w:rFonts w:cs="Arial"/>
                <w:b/>
                <w:bCs/>
                <w:sz w:val="22"/>
                <w:lang w:val="bg-BG"/>
              </w:rPr>
            </w:pPr>
            <w:r w:rsidRPr="00CC54C0">
              <w:rPr>
                <w:b/>
              </w:rPr>
              <w:t>ФВНВ/И</w:t>
            </w:r>
          </w:p>
        </w:tc>
        <w:tc>
          <w:tcPr>
            <w:tcW w:w="7734" w:type="dxa"/>
            <w:tcBorders>
              <w:left w:val="single" w:sz="4" w:space="0" w:color="auto"/>
            </w:tcBorders>
            <w:shd w:val="clear" w:color="auto" w:fill="auto"/>
          </w:tcPr>
          <w:p w14:paraId="7CA2BE49" w14:textId="77777777" w:rsidR="00687C58" w:rsidRPr="005C5105" w:rsidRDefault="00687C58" w:rsidP="00687C58">
            <w:pPr>
              <w:spacing w:after="0" w:line="240" w:lineRule="auto"/>
              <w:rPr>
                <w:rFonts w:cs="Arial"/>
                <w:bCs/>
                <w:sz w:val="22"/>
                <w:lang w:val="bg-BG"/>
              </w:rPr>
            </w:pPr>
            <w:r w:rsidRPr="001E29A9">
              <w:rPr>
                <w:lang w:val="bg-BG"/>
              </w:rPr>
              <w:t>Финансова вътрешна норма на възвръщаемост на инвестицията</w:t>
            </w:r>
          </w:p>
        </w:tc>
      </w:tr>
      <w:tr w:rsidR="00687C58" w:rsidRPr="002E1E19" w14:paraId="34D8E1E8" w14:textId="77777777" w:rsidTr="00687C58">
        <w:tc>
          <w:tcPr>
            <w:tcW w:w="1763" w:type="dxa"/>
            <w:tcBorders>
              <w:right w:val="single" w:sz="4" w:space="0" w:color="auto"/>
            </w:tcBorders>
            <w:shd w:val="clear" w:color="auto" w:fill="auto"/>
          </w:tcPr>
          <w:p w14:paraId="42E9FB94" w14:textId="77777777" w:rsidR="00687C58" w:rsidRPr="002E1E19" w:rsidRDefault="00687C58" w:rsidP="00687C58">
            <w:pPr>
              <w:spacing w:after="0" w:line="240" w:lineRule="auto"/>
              <w:rPr>
                <w:rFonts w:cs="Arial"/>
                <w:b/>
                <w:bCs/>
                <w:sz w:val="22"/>
                <w:lang w:val="bg-BG"/>
              </w:rPr>
            </w:pPr>
            <w:r w:rsidRPr="00CC54C0">
              <w:rPr>
                <w:b/>
              </w:rPr>
              <w:t>ФВНВ/К</w:t>
            </w:r>
          </w:p>
        </w:tc>
        <w:tc>
          <w:tcPr>
            <w:tcW w:w="7734" w:type="dxa"/>
            <w:tcBorders>
              <w:left w:val="single" w:sz="4" w:space="0" w:color="auto"/>
            </w:tcBorders>
            <w:shd w:val="clear" w:color="auto" w:fill="auto"/>
          </w:tcPr>
          <w:p w14:paraId="256528BF" w14:textId="77777777" w:rsidR="00687C58" w:rsidRPr="002E1E19" w:rsidRDefault="00687C58" w:rsidP="00687C58">
            <w:pPr>
              <w:spacing w:after="0" w:line="240" w:lineRule="auto"/>
              <w:rPr>
                <w:rFonts w:cs="Arial"/>
                <w:bCs/>
                <w:sz w:val="22"/>
                <w:lang w:val="bg-BG"/>
              </w:rPr>
            </w:pPr>
            <w:r w:rsidRPr="001E29A9">
              <w:rPr>
                <w:lang w:val="bg-BG"/>
              </w:rPr>
              <w:t>Финансова вътрешна норма на възвръщаемост на инвестицията върху собствения капитал</w:t>
            </w:r>
          </w:p>
        </w:tc>
      </w:tr>
      <w:tr w:rsidR="00912C33" w:rsidRPr="002E1E19" w14:paraId="3F929D0D" w14:textId="77777777" w:rsidTr="00687C58">
        <w:tc>
          <w:tcPr>
            <w:tcW w:w="1763" w:type="dxa"/>
            <w:tcBorders>
              <w:right w:val="single" w:sz="4" w:space="0" w:color="auto"/>
            </w:tcBorders>
            <w:shd w:val="clear" w:color="auto" w:fill="auto"/>
          </w:tcPr>
          <w:p w14:paraId="7F5F55CC" w14:textId="77777777" w:rsidR="00912C33" w:rsidRPr="00912C33" w:rsidRDefault="00912C33" w:rsidP="00687C58">
            <w:pPr>
              <w:spacing w:after="0" w:line="240" w:lineRule="auto"/>
              <w:rPr>
                <w:b/>
                <w:lang w:val="bg-BG"/>
              </w:rPr>
            </w:pPr>
            <w:r>
              <w:rPr>
                <w:b/>
                <w:lang w:val="bg-BG"/>
              </w:rPr>
              <w:t>ФК</w:t>
            </w:r>
          </w:p>
        </w:tc>
        <w:tc>
          <w:tcPr>
            <w:tcW w:w="7734" w:type="dxa"/>
            <w:tcBorders>
              <w:left w:val="single" w:sz="4" w:space="0" w:color="auto"/>
            </w:tcBorders>
            <w:shd w:val="clear" w:color="auto" w:fill="auto"/>
          </w:tcPr>
          <w:p w14:paraId="076B6F1F" w14:textId="77777777" w:rsidR="00912C33" w:rsidRPr="00912C33" w:rsidRDefault="00912C33" w:rsidP="00687C58">
            <w:pPr>
              <w:spacing w:after="0" w:line="240" w:lineRule="auto"/>
              <w:rPr>
                <w:lang w:val="bg-BG"/>
              </w:rPr>
            </w:pPr>
            <w:r>
              <w:rPr>
                <w:lang w:val="bg-BG"/>
              </w:rPr>
              <w:t>Формуляр за кандидатстване</w:t>
            </w:r>
          </w:p>
        </w:tc>
      </w:tr>
      <w:tr w:rsidR="00687C58" w:rsidRPr="002E1E19" w14:paraId="0C8FD6A1" w14:textId="77777777" w:rsidTr="00687C58">
        <w:tc>
          <w:tcPr>
            <w:tcW w:w="1763" w:type="dxa"/>
            <w:tcBorders>
              <w:right w:val="single" w:sz="4" w:space="0" w:color="auto"/>
            </w:tcBorders>
            <w:shd w:val="clear" w:color="auto" w:fill="auto"/>
          </w:tcPr>
          <w:p w14:paraId="769FDCAD" w14:textId="77777777" w:rsidR="00687C58" w:rsidRPr="002E1E19" w:rsidRDefault="00687C58" w:rsidP="00687C58">
            <w:pPr>
              <w:spacing w:after="0" w:line="240" w:lineRule="auto"/>
              <w:rPr>
                <w:rFonts w:cs="Arial"/>
                <w:b/>
                <w:bCs/>
                <w:sz w:val="22"/>
                <w:lang w:val="bg-BG"/>
              </w:rPr>
            </w:pPr>
            <w:r w:rsidRPr="00CC54C0">
              <w:rPr>
                <w:b/>
              </w:rPr>
              <w:t>ФМ</w:t>
            </w:r>
          </w:p>
        </w:tc>
        <w:tc>
          <w:tcPr>
            <w:tcW w:w="7734" w:type="dxa"/>
            <w:tcBorders>
              <w:left w:val="single" w:sz="4" w:space="0" w:color="auto"/>
            </w:tcBorders>
            <w:shd w:val="clear" w:color="auto" w:fill="auto"/>
          </w:tcPr>
          <w:p w14:paraId="6DE1DAB2" w14:textId="77777777" w:rsidR="00687C58" w:rsidRPr="002E1E19" w:rsidRDefault="00687C58" w:rsidP="00687C58">
            <w:pPr>
              <w:spacing w:after="0" w:line="240" w:lineRule="auto"/>
              <w:rPr>
                <w:rFonts w:cs="Arial"/>
                <w:bCs/>
                <w:sz w:val="22"/>
                <w:lang w:val="bg-BG"/>
              </w:rPr>
            </w:pPr>
            <w:proofErr w:type="spellStart"/>
            <w:r w:rsidRPr="00CC54C0">
              <w:t>Финансов</w:t>
            </w:r>
            <w:proofErr w:type="spellEnd"/>
            <w:r w:rsidRPr="00CC54C0">
              <w:t xml:space="preserve"> </w:t>
            </w:r>
            <w:proofErr w:type="spellStart"/>
            <w:r w:rsidRPr="00CC54C0">
              <w:t>модел</w:t>
            </w:r>
            <w:proofErr w:type="spellEnd"/>
          </w:p>
        </w:tc>
      </w:tr>
      <w:tr w:rsidR="00687C58" w:rsidRPr="002E1E19" w14:paraId="178FF986" w14:textId="77777777" w:rsidTr="00687C58">
        <w:tc>
          <w:tcPr>
            <w:tcW w:w="1763" w:type="dxa"/>
            <w:tcBorders>
              <w:right w:val="single" w:sz="4" w:space="0" w:color="auto"/>
            </w:tcBorders>
            <w:shd w:val="clear" w:color="auto" w:fill="auto"/>
          </w:tcPr>
          <w:p w14:paraId="05298AA0" w14:textId="77777777" w:rsidR="00687C58" w:rsidRPr="002E1E19" w:rsidRDefault="00687C58" w:rsidP="00687C58">
            <w:pPr>
              <w:spacing w:after="0" w:line="240" w:lineRule="auto"/>
              <w:rPr>
                <w:rFonts w:cs="Arial"/>
                <w:sz w:val="22"/>
                <w:szCs w:val="22"/>
                <w:lang w:val="bg-BG"/>
              </w:rPr>
            </w:pPr>
            <w:r w:rsidRPr="00CC54C0">
              <w:rPr>
                <w:b/>
              </w:rPr>
              <w:t>ФННС/И</w:t>
            </w:r>
          </w:p>
        </w:tc>
        <w:tc>
          <w:tcPr>
            <w:tcW w:w="7734" w:type="dxa"/>
            <w:tcBorders>
              <w:left w:val="single" w:sz="4" w:space="0" w:color="auto"/>
            </w:tcBorders>
            <w:shd w:val="clear" w:color="auto" w:fill="auto"/>
          </w:tcPr>
          <w:p w14:paraId="25B7CF14" w14:textId="77777777" w:rsidR="00687C58" w:rsidRPr="002E1E19" w:rsidRDefault="00687C58" w:rsidP="00687C58">
            <w:pPr>
              <w:spacing w:after="0" w:line="240" w:lineRule="auto"/>
              <w:rPr>
                <w:rFonts w:cs="Arial"/>
                <w:sz w:val="22"/>
                <w:szCs w:val="22"/>
                <w:lang w:val="bg-BG"/>
              </w:rPr>
            </w:pPr>
            <w:r w:rsidRPr="001E29A9">
              <w:rPr>
                <w:lang w:val="bg-BG"/>
              </w:rPr>
              <w:t>Финансова нетна настояща стойност на инвестициите</w:t>
            </w:r>
          </w:p>
        </w:tc>
      </w:tr>
      <w:tr w:rsidR="00687C58" w:rsidRPr="002E1E19" w14:paraId="61C5DDD7" w14:textId="77777777" w:rsidTr="00687C58">
        <w:tc>
          <w:tcPr>
            <w:tcW w:w="1763" w:type="dxa"/>
            <w:tcBorders>
              <w:right w:val="single" w:sz="4" w:space="0" w:color="auto"/>
            </w:tcBorders>
            <w:shd w:val="clear" w:color="auto" w:fill="auto"/>
          </w:tcPr>
          <w:p w14:paraId="0964598F" w14:textId="77777777" w:rsidR="00687C58" w:rsidRPr="002E1E19" w:rsidRDefault="00687C58" w:rsidP="00687C58">
            <w:pPr>
              <w:spacing w:after="0" w:line="240" w:lineRule="auto"/>
              <w:rPr>
                <w:rFonts w:cs="Arial"/>
                <w:sz w:val="22"/>
                <w:szCs w:val="22"/>
                <w:lang w:val="bg-BG"/>
              </w:rPr>
            </w:pPr>
            <w:r w:rsidRPr="00CC54C0">
              <w:rPr>
                <w:b/>
              </w:rPr>
              <w:t>ФННС/К</w:t>
            </w:r>
          </w:p>
        </w:tc>
        <w:tc>
          <w:tcPr>
            <w:tcW w:w="7734" w:type="dxa"/>
            <w:tcBorders>
              <w:left w:val="single" w:sz="4" w:space="0" w:color="auto"/>
            </w:tcBorders>
            <w:shd w:val="clear" w:color="auto" w:fill="auto"/>
          </w:tcPr>
          <w:p w14:paraId="69CC6830" w14:textId="77777777" w:rsidR="00687C58" w:rsidRPr="002E1E19" w:rsidRDefault="00687C58" w:rsidP="00687C58">
            <w:pPr>
              <w:spacing w:after="0" w:line="240" w:lineRule="auto"/>
              <w:rPr>
                <w:rFonts w:cs="Arial"/>
                <w:sz w:val="22"/>
                <w:szCs w:val="22"/>
                <w:lang w:val="bg-BG"/>
              </w:rPr>
            </w:pPr>
            <w:r w:rsidRPr="001E29A9">
              <w:rPr>
                <w:lang w:val="bg-BG"/>
              </w:rPr>
              <w:t>Финансова нетна настояща стойност върху собствения капитал</w:t>
            </w:r>
          </w:p>
        </w:tc>
      </w:tr>
      <w:tr w:rsidR="00687C58" w:rsidRPr="002E1E19" w14:paraId="14A700BB" w14:textId="77777777" w:rsidTr="0042712B">
        <w:tc>
          <w:tcPr>
            <w:tcW w:w="1763" w:type="dxa"/>
            <w:tcBorders>
              <w:right w:val="single" w:sz="4" w:space="0" w:color="auto"/>
            </w:tcBorders>
            <w:shd w:val="clear" w:color="auto" w:fill="auto"/>
          </w:tcPr>
          <w:p w14:paraId="7EDC6A3A" w14:textId="77777777" w:rsidR="00687C58" w:rsidRPr="0042712B" w:rsidRDefault="0042712B" w:rsidP="00687C58">
            <w:pPr>
              <w:spacing w:after="0" w:line="240" w:lineRule="auto"/>
              <w:rPr>
                <w:b/>
              </w:rPr>
            </w:pPr>
            <w:r w:rsidRPr="0042712B">
              <w:rPr>
                <w:b/>
              </w:rPr>
              <w:t>ХИПЦ</w:t>
            </w:r>
          </w:p>
        </w:tc>
        <w:tc>
          <w:tcPr>
            <w:tcW w:w="7734" w:type="dxa"/>
            <w:tcBorders>
              <w:left w:val="single" w:sz="4" w:space="0" w:color="auto"/>
            </w:tcBorders>
            <w:shd w:val="clear" w:color="auto" w:fill="auto"/>
          </w:tcPr>
          <w:p w14:paraId="68E42D34" w14:textId="77777777" w:rsidR="00687C58" w:rsidRPr="002D2161" w:rsidRDefault="0042712B" w:rsidP="0042712B">
            <w:pPr>
              <w:spacing w:after="0" w:line="240" w:lineRule="auto"/>
              <w:rPr>
                <w:rFonts w:cs="Arial"/>
                <w:szCs w:val="24"/>
                <w:lang w:val="bg-BG"/>
              </w:rPr>
            </w:pPr>
            <w:r w:rsidRPr="002D2161">
              <w:rPr>
                <w:rFonts w:cs="Arial"/>
                <w:szCs w:val="24"/>
                <w:lang w:val="bg-BG"/>
              </w:rPr>
              <w:t>Хармонизиран индекс на потребителските цени</w:t>
            </w:r>
          </w:p>
        </w:tc>
      </w:tr>
      <w:tr w:rsidR="00912C33" w:rsidRPr="002E1E19" w14:paraId="1CB7D05E" w14:textId="77777777" w:rsidTr="0042712B">
        <w:tc>
          <w:tcPr>
            <w:tcW w:w="1763" w:type="dxa"/>
            <w:tcBorders>
              <w:right w:val="single" w:sz="4" w:space="0" w:color="auto"/>
            </w:tcBorders>
            <w:shd w:val="clear" w:color="auto" w:fill="auto"/>
          </w:tcPr>
          <w:p w14:paraId="65D3BB6E" w14:textId="77777777" w:rsidR="00912C33" w:rsidRPr="0042712B" w:rsidRDefault="00912C33" w:rsidP="00687C58">
            <w:pPr>
              <w:spacing w:after="0" w:line="240" w:lineRule="auto"/>
              <w:rPr>
                <w:b/>
              </w:rPr>
            </w:pPr>
          </w:p>
        </w:tc>
        <w:tc>
          <w:tcPr>
            <w:tcW w:w="7734" w:type="dxa"/>
            <w:tcBorders>
              <w:left w:val="single" w:sz="4" w:space="0" w:color="auto"/>
            </w:tcBorders>
            <w:shd w:val="clear" w:color="auto" w:fill="auto"/>
          </w:tcPr>
          <w:p w14:paraId="06CA5F54" w14:textId="77777777" w:rsidR="00912C33" w:rsidRPr="002D2161" w:rsidRDefault="00912C33" w:rsidP="0042712B">
            <w:pPr>
              <w:spacing w:after="0" w:line="240" w:lineRule="auto"/>
              <w:rPr>
                <w:rFonts w:cs="Arial"/>
                <w:szCs w:val="24"/>
              </w:rPr>
            </w:pPr>
          </w:p>
        </w:tc>
      </w:tr>
      <w:tr w:rsidR="00912C33" w:rsidRPr="002E1E19" w14:paraId="6FAEC5AF" w14:textId="77777777" w:rsidTr="0042712B">
        <w:tc>
          <w:tcPr>
            <w:tcW w:w="1763" w:type="dxa"/>
            <w:tcBorders>
              <w:right w:val="single" w:sz="4" w:space="0" w:color="auto"/>
            </w:tcBorders>
            <w:shd w:val="clear" w:color="auto" w:fill="auto"/>
          </w:tcPr>
          <w:p w14:paraId="52C15820" w14:textId="77777777" w:rsidR="00912C33" w:rsidRPr="0042712B" w:rsidRDefault="00912C33" w:rsidP="00687C58">
            <w:pPr>
              <w:spacing w:after="0" w:line="240" w:lineRule="auto"/>
              <w:rPr>
                <w:b/>
              </w:rPr>
            </w:pPr>
            <w:r>
              <w:rPr>
                <w:b/>
              </w:rPr>
              <w:t>EAV</w:t>
            </w:r>
          </w:p>
        </w:tc>
        <w:tc>
          <w:tcPr>
            <w:tcW w:w="7734" w:type="dxa"/>
            <w:tcBorders>
              <w:left w:val="single" w:sz="4" w:space="0" w:color="auto"/>
            </w:tcBorders>
            <w:shd w:val="clear" w:color="auto" w:fill="auto"/>
          </w:tcPr>
          <w:p w14:paraId="5E5EA362" w14:textId="77777777" w:rsidR="00912C33" w:rsidRPr="002D2161" w:rsidRDefault="00912C33" w:rsidP="0042712B">
            <w:pPr>
              <w:spacing w:after="0" w:line="240" w:lineRule="auto"/>
              <w:rPr>
                <w:rFonts w:cs="Arial"/>
                <w:szCs w:val="24"/>
              </w:rPr>
            </w:pPr>
            <w:r w:rsidRPr="002D2161">
              <w:rPr>
                <w:rFonts w:cs="Arial"/>
                <w:szCs w:val="24"/>
              </w:rPr>
              <w:t xml:space="preserve">Economic Appraisal </w:t>
            </w:r>
            <w:proofErr w:type="spellStart"/>
            <w:r w:rsidRPr="002D2161">
              <w:rPr>
                <w:rFonts w:cs="Arial"/>
                <w:szCs w:val="24"/>
              </w:rPr>
              <w:t>Vademecum</w:t>
            </w:r>
            <w:proofErr w:type="spellEnd"/>
          </w:p>
        </w:tc>
      </w:tr>
      <w:bookmarkEnd w:id="1"/>
      <w:bookmarkEnd w:id="2"/>
      <w:bookmarkEnd w:id="3"/>
    </w:tbl>
    <w:p w14:paraId="1EE2B7AC" w14:textId="77777777" w:rsidR="00912C33" w:rsidRDefault="00912C33" w:rsidP="003B1F43"/>
    <w:p w14:paraId="7AAD06F1" w14:textId="77777777" w:rsidR="00912C33" w:rsidRDefault="00912C33">
      <w:r>
        <w:br w:type="page"/>
      </w:r>
    </w:p>
    <w:p w14:paraId="7F352793" w14:textId="77777777" w:rsidR="00F135C2" w:rsidRDefault="00F135C2" w:rsidP="00F33975">
      <w:pPr>
        <w:pStyle w:val="Header1"/>
        <w:rPr>
          <w:b/>
        </w:rPr>
      </w:pPr>
    </w:p>
    <w:p w14:paraId="6A0B32EC" w14:textId="77777777" w:rsidR="00F33975" w:rsidRDefault="00F33975" w:rsidP="00F33975">
      <w:pPr>
        <w:pStyle w:val="Header1"/>
        <w:rPr>
          <w:b/>
        </w:rPr>
      </w:pPr>
      <w:r w:rsidRPr="00FD278B">
        <w:rPr>
          <w:b/>
        </w:rPr>
        <w:t>УВОД</w:t>
      </w:r>
    </w:p>
    <w:p w14:paraId="19A4B49F" w14:textId="7B85EEB9" w:rsidR="00F33975" w:rsidRDefault="00F33975" w:rsidP="00F33975">
      <w:r>
        <w:t>Тази актуализация на АРП е изготвена в резултат на уточнени стойности на някои от разходите за инвестиции, в процеса на подготовката на проекта, а именно:</w:t>
      </w:r>
    </w:p>
    <w:p w14:paraId="69AFD58B" w14:textId="5C243135" w:rsidR="009263CA" w:rsidRPr="009263CA" w:rsidRDefault="00F33975" w:rsidP="00F33975">
      <w:pPr>
        <w:pStyle w:val="ListParagraph"/>
        <w:numPr>
          <w:ilvl w:val="0"/>
          <w:numId w:val="52"/>
        </w:numPr>
        <w:jc w:val="both"/>
        <w:rPr>
          <w:rFonts w:cs="Arial"/>
        </w:rPr>
      </w:pPr>
      <w:r w:rsidRPr="00FD278B">
        <w:rPr>
          <w:rFonts w:ascii="Arial" w:hAnsi="Arial" w:cs="Arial"/>
        </w:rPr>
        <w:t xml:space="preserve">Прецизиране на </w:t>
      </w:r>
      <w:r w:rsidR="009263CA">
        <w:rPr>
          <w:rFonts w:ascii="Arial" w:hAnsi="Arial" w:cs="Arial"/>
        </w:rPr>
        <w:t>недопустимите разходи по ОРГО</w:t>
      </w:r>
      <w:r w:rsidR="005D0D72">
        <w:rPr>
          <w:rFonts w:ascii="Arial" w:hAnsi="Arial" w:cs="Arial"/>
        </w:rPr>
        <w:t>, след обсъждания и становища от Възложителя</w:t>
      </w:r>
      <w:r w:rsidR="00BB0022">
        <w:rPr>
          <w:rFonts w:ascii="Arial" w:hAnsi="Arial" w:cs="Arial"/>
        </w:rPr>
        <w:t>;</w:t>
      </w:r>
    </w:p>
    <w:p w14:paraId="1BB9CF4F" w14:textId="73809DC9" w:rsidR="00F33975" w:rsidRPr="00BB0022" w:rsidRDefault="00F33975" w:rsidP="00F33975">
      <w:pPr>
        <w:pStyle w:val="ListParagraph"/>
        <w:numPr>
          <w:ilvl w:val="0"/>
          <w:numId w:val="52"/>
        </w:numPr>
        <w:jc w:val="both"/>
        <w:rPr>
          <w:rFonts w:cs="Arial"/>
        </w:rPr>
      </w:pPr>
      <w:r>
        <w:rPr>
          <w:rFonts w:ascii="Arial" w:hAnsi="Arial" w:cs="Arial"/>
        </w:rPr>
        <w:t>Прецизиране на реалистичните срокове за одобрението на проекта за финансиране по ПТС</w:t>
      </w:r>
      <w:r w:rsidR="00441346">
        <w:rPr>
          <w:rFonts w:ascii="Arial" w:hAnsi="Arial" w:cs="Arial"/>
        </w:rPr>
        <w:t xml:space="preserve"> и  изпълнението на СМР</w:t>
      </w:r>
      <w:r w:rsidR="00BB0022">
        <w:rPr>
          <w:rFonts w:ascii="Arial" w:hAnsi="Arial" w:cs="Arial"/>
        </w:rPr>
        <w:t>;</w:t>
      </w:r>
    </w:p>
    <w:p w14:paraId="0D359C13" w14:textId="28321890" w:rsidR="00A36BA0" w:rsidRPr="00BB0022" w:rsidRDefault="00A36BA0" w:rsidP="00F33975">
      <w:pPr>
        <w:pStyle w:val="ListParagraph"/>
        <w:numPr>
          <w:ilvl w:val="0"/>
          <w:numId w:val="52"/>
        </w:numPr>
        <w:jc w:val="both"/>
        <w:rPr>
          <w:rFonts w:cs="Arial"/>
        </w:rPr>
      </w:pPr>
      <w:r>
        <w:rPr>
          <w:rFonts w:ascii="Arial" w:hAnsi="Arial" w:cs="Arial"/>
        </w:rPr>
        <w:t>Промяна в отчетните данни за макро индикаторите</w:t>
      </w:r>
      <w:r w:rsidR="00441346">
        <w:rPr>
          <w:rFonts w:ascii="Arial" w:hAnsi="Arial" w:cs="Arial"/>
        </w:rPr>
        <w:t xml:space="preserve"> и прогнозните такива в Конвергентната програма</w:t>
      </w:r>
      <w:r w:rsidR="00BB0022">
        <w:rPr>
          <w:rFonts w:ascii="Arial" w:hAnsi="Arial" w:cs="Arial"/>
        </w:rPr>
        <w:t>;</w:t>
      </w:r>
    </w:p>
    <w:p w14:paraId="20A3FC70" w14:textId="04F88339" w:rsidR="007D1792" w:rsidRPr="00680473" w:rsidRDefault="007D1792" w:rsidP="00F33975">
      <w:pPr>
        <w:pStyle w:val="ListParagraph"/>
        <w:numPr>
          <w:ilvl w:val="0"/>
          <w:numId w:val="52"/>
        </w:numPr>
        <w:jc w:val="both"/>
        <w:rPr>
          <w:rFonts w:cs="Arial"/>
        </w:rPr>
      </w:pPr>
      <w:r>
        <w:rPr>
          <w:rFonts w:ascii="Arial" w:hAnsi="Arial" w:cs="Arial"/>
        </w:rPr>
        <w:t>Промяна в отчетните данни на Бенефециента ДППИ</w:t>
      </w:r>
      <w:r w:rsidR="00BB0022">
        <w:rPr>
          <w:rFonts w:ascii="Arial" w:hAnsi="Arial" w:cs="Arial"/>
        </w:rPr>
        <w:t xml:space="preserve"> </w:t>
      </w:r>
      <w:r w:rsidR="00905EB3" w:rsidRPr="009963CE">
        <w:rPr>
          <w:rFonts w:ascii="Arial" w:hAnsi="Arial" w:cs="Arial"/>
        </w:rPr>
        <w:t xml:space="preserve">- </w:t>
      </w:r>
      <w:r w:rsidR="00905EB3">
        <w:rPr>
          <w:rFonts w:ascii="Arial" w:hAnsi="Arial" w:cs="Arial"/>
        </w:rPr>
        <w:t>ГФО и данни за обработените товари по пристанища</w:t>
      </w:r>
      <w:r w:rsidR="00BB0022">
        <w:rPr>
          <w:rFonts w:ascii="Arial" w:hAnsi="Arial" w:cs="Arial"/>
        </w:rPr>
        <w:t>.</w:t>
      </w:r>
    </w:p>
    <w:p w14:paraId="5AF03400" w14:textId="3FDFEB58" w:rsidR="004B2EEF" w:rsidRDefault="00F33975" w:rsidP="00BB0022">
      <w:pPr>
        <w:jc w:val="both"/>
      </w:pPr>
      <w:r>
        <w:t xml:space="preserve">Изводите и заключенията относно Икономическата ефективност на проекта и размера на необходимата БФП са същите, като в </w:t>
      </w:r>
      <w:r w:rsidR="009D178F">
        <w:t xml:space="preserve">предишната </w:t>
      </w:r>
      <w:r>
        <w:t>одобрен</w:t>
      </w:r>
      <w:r w:rsidR="009D178F">
        <w:t>а версия на А</w:t>
      </w:r>
      <w:r w:rsidR="00BB0022">
        <w:t>РП</w:t>
      </w:r>
      <w:r>
        <w:t xml:space="preserve"> </w:t>
      </w:r>
      <w:r w:rsidR="00905EB3">
        <w:t>от Възложителя</w:t>
      </w:r>
      <w:r>
        <w:t>.</w:t>
      </w:r>
    </w:p>
    <w:p w14:paraId="57717293" w14:textId="0E566AF8" w:rsidR="00F33975" w:rsidRDefault="00F33975" w:rsidP="003B1F43"/>
    <w:p w14:paraId="24526EDB" w14:textId="67AF492F" w:rsidR="00F33975" w:rsidRDefault="00F33975" w:rsidP="003B1F43"/>
    <w:p w14:paraId="4A976E42" w14:textId="2FFF15EF" w:rsidR="00F33975" w:rsidRDefault="00F33975">
      <w:r>
        <w:br w:type="page"/>
      </w:r>
    </w:p>
    <w:p w14:paraId="67F93D20" w14:textId="77777777" w:rsidR="00F33975" w:rsidRPr="002E1E19" w:rsidRDefault="00F33975" w:rsidP="003B1F43"/>
    <w:p w14:paraId="4C07C5EE" w14:textId="77777777" w:rsidR="00547D8F" w:rsidRPr="00DE3B1B" w:rsidRDefault="00547D8F" w:rsidP="00AA673B">
      <w:pPr>
        <w:pStyle w:val="Heading1"/>
        <w:numPr>
          <w:ilvl w:val="0"/>
          <w:numId w:val="3"/>
        </w:numPr>
        <w:ind w:left="360" w:hanging="360"/>
        <w:jc w:val="both"/>
        <w:rPr>
          <w:lang w:val="bg-BG"/>
        </w:rPr>
      </w:pPr>
      <w:bookmarkStart w:id="4" w:name="_Toc143694157"/>
      <w:r w:rsidRPr="00DE3B1B">
        <w:rPr>
          <w:lang w:val="bg-BG"/>
        </w:rPr>
        <w:t xml:space="preserve">СОЦИАЛНО-ИКОНОМИЧЕСКИ </w:t>
      </w:r>
      <w:r w:rsidR="00782C2D" w:rsidRPr="00DE3B1B">
        <w:rPr>
          <w:lang w:val="bg-BG"/>
        </w:rPr>
        <w:t xml:space="preserve">УСЛОВИЯ </w:t>
      </w:r>
      <w:r w:rsidR="002E55ED" w:rsidRPr="00DE3B1B">
        <w:rPr>
          <w:lang w:val="bg-BG"/>
        </w:rPr>
        <w:t>ПРИ ИЗПЪЛНЕНИЕ</w:t>
      </w:r>
      <w:r w:rsidR="00782C2D" w:rsidRPr="00DE3B1B">
        <w:rPr>
          <w:lang w:val="bg-BG"/>
        </w:rPr>
        <w:t xml:space="preserve"> </w:t>
      </w:r>
      <w:r w:rsidRPr="00DE3B1B">
        <w:rPr>
          <w:lang w:val="bg-BG"/>
        </w:rPr>
        <w:t>НА ПРОЕКТа</w:t>
      </w:r>
      <w:bookmarkEnd w:id="4"/>
    </w:p>
    <w:p w14:paraId="614124CF" w14:textId="58CD5DF0" w:rsidR="00547D8F" w:rsidRPr="00BB0022" w:rsidRDefault="005B7857" w:rsidP="00AA673B">
      <w:pPr>
        <w:pStyle w:val="Heading2"/>
        <w:numPr>
          <w:ilvl w:val="1"/>
          <w:numId w:val="3"/>
        </w:numPr>
        <w:ind w:left="1080" w:hanging="540"/>
        <w:rPr>
          <w:szCs w:val="24"/>
          <w:lang w:val="bg-BG"/>
        </w:rPr>
      </w:pPr>
      <w:bookmarkStart w:id="5" w:name="_Toc23939062"/>
      <w:bookmarkStart w:id="6" w:name="_Toc23939089"/>
      <w:bookmarkStart w:id="7" w:name="_Toc23939324"/>
      <w:bookmarkStart w:id="8" w:name="_Toc24051973"/>
      <w:bookmarkStart w:id="9" w:name="_Toc24052025"/>
      <w:bookmarkStart w:id="10" w:name="_Toc24052096"/>
      <w:bookmarkStart w:id="11" w:name="_Toc24052149"/>
      <w:bookmarkStart w:id="12" w:name="_Toc24052203"/>
      <w:bookmarkStart w:id="13" w:name="_Toc24052257"/>
      <w:bookmarkStart w:id="14" w:name="_Toc25322667"/>
      <w:bookmarkStart w:id="15" w:name="_Toc25322741"/>
      <w:bookmarkStart w:id="16" w:name="_Toc25322818"/>
      <w:bookmarkStart w:id="17" w:name="_Toc25322889"/>
      <w:bookmarkStart w:id="18" w:name="_Toc25672081"/>
      <w:bookmarkStart w:id="19" w:name="_Toc26889951"/>
      <w:bookmarkStart w:id="20" w:name="_Toc26890052"/>
      <w:bookmarkStart w:id="21" w:name="_Toc26890287"/>
      <w:bookmarkStart w:id="22" w:name="_Toc26891547"/>
      <w:bookmarkStart w:id="23" w:name="_Toc27053998"/>
      <w:bookmarkStart w:id="24" w:name="_Toc27054203"/>
      <w:bookmarkStart w:id="25" w:name="_Toc27055521"/>
      <w:bookmarkStart w:id="26" w:name="_Toc27055626"/>
      <w:bookmarkStart w:id="27" w:name="_Toc27055727"/>
      <w:bookmarkStart w:id="28" w:name="_Toc27068370"/>
      <w:bookmarkStart w:id="29" w:name="_Toc27306749"/>
      <w:bookmarkStart w:id="30" w:name="_Toc27306872"/>
      <w:bookmarkStart w:id="31" w:name="_Toc27306980"/>
      <w:bookmarkStart w:id="32" w:name="_Toc27307085"/>
      <w:bookmarkStart w:id="33" w:name="_Toc27307189"/>
      <w:bookmarkStart w:id="34" w:name="_Toc27319971"/>
      <w:bookmarkStart w:id="35" w:name="_Toc27320350"/>
      <w:bookmarkStart w:id="36" w:name="_Toc30426099"/>
      <w:bookmarkStart w:id="37" w:name="_Toc49162810"/>
      <w:bookmarkStart w:id="38" w:name="_Toc49182434"/>
      <w:bookmarkStart w:id="39" w:name="_Toc49183067"/>
      <w:bookmarkStart w:id="40" w:name="_Toc143694158"/>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BB0022">
        <w:rPr>
          <w:szCs w:val="24"/>
          <w:lang w:val="bg-BG"/>
        </w:rPr>
        <w:t>Макроикономически индикатори</w:t>
      </w:r>
      <w:bookmarkEnd w:id="40"/>
      <w:r w:rsidR="009263CA" w:rsidRPr="00BB0022">
        <w:rPr>
          <w:szCs w:val="24"/>
          <w:lang w:val="bg-BG"/>
        </w:rPr>
        <w:t xml:space="preserve"> </w:t>
      </w:r>
    </w:p>
    <w:p w14:paraId="333051B4" w14:textId="77777777" w:rsidR="000E443E" w:rsidRPr="00BB0022" w:rsidRDefault="000E443E" w:rsidP="000E443E">
      <w:pPr>
        <w:spacing w:before="60" w:after="0" w:line="240" w:lineRule="auto"/>
        <w:jc w:val="both"/>
        <w:rPr>
          <w:rFonts w:eastAsia="Calibri" w:cs="Arial"/>
          <w:szCs w:val="24"/>
        </w:rPr>
      </w:pPr>
      <w:bookmarkStart w:id="41" w:name="_Toc23939066"/>
      <w:bookmarkStart w:id="42" w:name="_Toc23939093"/>
      <w:bookmarkStart w:id="43" w:name="_Toc23939328"/>
      <w:bookmarkStart w:id="44" w:name="_Toc24051977"/>
      <w:bookmarkStart w:id="45" w:name="_Toc24052029"/>
      <w:bookmarkStart w:id="46" w:name="_Toc24052100"/>
      <w:bookmarkStart w:id="47" w:name="_Toc24052153"/>
      <w:bookmarkStart w:id="48" w:name="_Toc24052207"/>
      <w:bookmarkStart w:id="49" w:name="_Toc24052261"/>
      <w:bookmarkStart w:id="50" w:name="_Toc25322671"/>
      <w:bookmarkStart w:id="51" w:name="_Toc25322745"/>
      <w:bookmarkStart w:id="52" w:name="_Toc25322822"/>
      <w:bookmarkStart w:id="53" w:name="_Toc25322893"/>
      <w:bookmarkStart w:id="54" w:name="_Toc25672087"/>
      <w:bookmarkStart w:id="55" w:name="_Toc26889957"/>
      <w:bookmarkStart w:id="56" w:name="_Toc26890058"/>
      <w:bookmarkStart w:id="57" w:name="_Toc26890293"/>
      <w:bookmarkStart w:id="58" w:name="_Toc26891553"/>
      <w:bookmarkStart w:id="59" w:name="_Toc27054004"/>
      <w:bookmarkStart w:id="60" w:name="_Toc27054209"/>
      <w:bookmarkStart w:id="61" w:name="_Toc27055527"/>
      <w:bookmarkStart w:id="62" w:name="_Toc27055632"/>
      <w:bookmarkStart w:id="63" w:name="_Toc27055733"/>
      <w:bookmarkStart w:id="64" w:name="_Toc27068376"/>
      <w:bookmarkStart w:id="65" w:name="_Toc27306755"/>
      <w:bookmarkStart w:id="66" w:name="_Toc27306878"/>
      <w:bookmarkStart w:id="67" w:name="_Toc27306986"/>
      <w:bookmarkStart w:id="68" w:name="_Toc27307091"/>
      <w:bookmarkStart w:id="69" w:name="_Toc27307195"/>
      <w:bookmarkStart w:id="70" w:name="_Toc27319977"/>
      <w:bookmarkStart w:id="71" w:name="_Toc27320356"/>
      <w:bookmarkStart w:id="72" w:name="_Toc30426105"/>
      <w:bookmarkStart w:id="73" w:name="_Hlk170718601"/>
      <w:bookmarkStart w:id="74" w:name="_Toc22314063"/>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r w:rsidRPr="00BB0022">
        <w:rPr>
          <w:rFonts w:eastAsia="Calibri" w:cs="Arial"/>
          <w:szCs w:val="24"/>
        </w:rPr>
        <w:t>Като страна член на Европейския съюз</w:t>
      </w:r>
      <w:r w:rsidRPr="00BB0022">
        <w:rPr>
          <w:rFonts w:eastAsia="Calibri" w:cs="Arial"/>
          <w:szCs w:val="24"/>
          <w:vertAlign w:val="superscript"/>
        </w:rPr>
        <w:footnoteReference w:id="1"/>
      </w:r>
      <w:r w:rsidRPr="00BB0022">
        <w:rPr>
          <w:rFonts w:eastAsia="Calibri" w:cs="Arial"/>
          <w:szCs w:val="24"/>
        </w:rPr>
        <w:t>, социално-икономическата среда в България трябва да се сравнява с останалите страни и средните показатели за Европа.</w:t>
      </w:r>
    </w:p>
    <w:p w14:paraId="5FBB2FF8" w14:textId="77777777" w:rsidR="000E443E" w:rsidRPr="00BB0022" w:rsidRDefault="000E443E" w:rsidP="000E443E">
      <w:pPr>
        <w:spacing w:before="60" w:after="0" w:line="240" w:lineRule="auto"/>
        <w:jc w:val="both"/>
        <w:rPr>
          <w:rFonts w:eastAsia="Calibri" w:cs="Arial"/>
          <w:szCs w:val="24"/>
        </w:rPr>
      </w:pPr>
      <w:r w:rsidRPr="00BB0022">
        <w:rPr>
          <w:rFonts w:eastAsia="Calibri" w:cs="Arial"/>
          <w:szCs w:val="24"/>
        </w:rPr>
        <w:t>Тенденциите са анализирани в период до края на 2023 г., преди COVID-19 кризата и след това, включително влиянието на войната в Украйна, доколкото вече има отразени официални статистически данни за това.</w:t>
      </w:r>
    </w:p>
    <w:p w14:paraId="2B2C252C" w14:textId="77777777" w:rsidR="000E443E" w:rsidRDefault="000E443E" w:rsidP="000E443E">
      <w:pPr>
        <w:spacing w:before="60" w:after="0" w:line="240" w:lineRule="auto"/>
        <w:jc w:val="both"/>
        <w:rPr>
          <w:rFonts w:eastAsia="Calibri" w:cs="Arial"/>
          <w:szCs w:val="24"/>
        </w:rPr>
      </w:pPr>
      <w:r w:rsidRPr="00BB0022">
        <w:rPr>
          <w:rFonts w:eastAsia="Calibri" w:cs="Arial"/>
          <w:szCs w:val="24"/>
        </w:rPr>
        <w:t>Най-често срещаният показател за измерване на икономическата активност е брутния вътрешен продукт (БВП). В периода 2000 - 2020 г. годишният растеж на БВП в ЕС е доста променлив. Между 2001 и 2007 г. икономиката в ЕС нараства с годишен темп между 1 % и 3 %. От 2008 до 2013 г. икономиката в ЕС е силно засегната от финансовата криза, като БВП спада с повече от 4 % през 2009 г. и след това отново слабо намалява през 2012 година. Оттогава икономиката в ЕС постепенно се възстановява, като годишните темпове на растеж са около 2 % между 2014 и 2019 г. През 2020 г. се достига най-ниският ръст от -5,9%, а през 2021 г. започва възстановяването с ръст от 5,1%. Ръстът на БВП достига пик от 5,9% в края на 2021 г. и ръст от 3,4 през 2022 г. По  данни за 2023 г., средно за ЕС и Еврозоната се отчита ръст</w:t>
      </w:r>
      <w:r w:rsidRPr="00067F50">
        <w:rPr>
          <w:rFonts w:eastAsia="Calibri" w:cs="Arial"/>
          <w:szCs w:val="24"/>
          <w:vertAlign w:val="superscript"/>
        </w:rPr>
        <w:footnoteReference w:id="2"/>
      </w:r>
      <w:r w:rsidRPr="00067F50">
        <w:rPr>
          <w:rFonts w:eastAsia="Calibri" w:cs="Arial"/>
          <w:szCs w:val="24"/>
        </w:rPr>
        <w:t xml:space="preserve"> от 1,0%, което е доста под очакванията и се дължи на отрицателния ръст на Германия, Швеция, Финландия и др. </w:t>
      </w:r>
    </w:p>
    <w:p w14:paraId="7B80AA25" w14:textId="77777777" w:rsidR="00BB0022" w:rsidRDefault="00BB0022" w:rsidP="000E443E">
      <w:pPr>
        <w:spacing w:before="60" w:after="0" w:line="240" w:lineRule="auto"/>
        <w:jc w:val="both"/>
        <w:rPr>
          <w:rFonts w:eastAsia="Calibri" w:cs="Arial"/>
          <w:szCs w:val="24"/>
        </w:rPr>
      </w:pPr>
    </w:p>
    <w:p w14:paraId="5D71FE47" w14:textId="77777777" w:rsidR="00BB0022" w:rsidRPr="00B36D1A" w:rsidRDefault="00BB0022" w:rsidP="00067F50">
      <w:pPr>
        <w:spacing w:after="60"/>
        <w:jc w:val="center"/>
        <w:rPr>
          <w:rFonts w:cstheme="minorHAnsi"/>
          <w:i/>
          <w:sz w:val="22"/>
        </w:rPr>
      </w:pPr>
      <w:bookmarkStart w:id="75" w:name="_Toc174099086"/>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sidRPr="00B36D1A">
        <w:rPr>
          <w:rFonts w:cs="Arial"/>
          <w:bCs/>
          <w:i/>
          <w:iCs/>
          <w:noProof/>
          <w:sz w:val="22"/>
        </w:rPr>
        <w:t>1</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Динамика на БВП в ЕС</w:t>
      </w:r>
      <w:r w:rsidRPr="00B36D1A">
        <w:rPr>
          <w:rStyle w:val="FootnoteReference"/>
          <w:rFonts w:cstheme="minorHAnsi"/>
          <w:i/>
          <w:sz w:val="22"/>
        </w:rPr>
        <w:footnoteReference w:id="3"/>
      </w:r>
      <w:bookmarkEnd w:id="75"/>
    </w:p>
    <w:bookmarkEnd w:id="73"/>
    <w:p w14:paraId="2D94ECCC" w14:textId="77777777" w:rsidR="000E443E" w:rsidRPr="000E443E" w:rsidRDefault="000E443E" w:rsidP="00067F50">
      <w:pPr>
        <w:spacing w:after="0" w:line="240" w:lineRule="auto"/>
        <w:rPr>
          <w:rFonts w:ascii="Times New Roman" w:eastAsia="Times New Roman" w:hAnsi="Times New Roman" w:cs="Times New Roman"/>
          <w:i/>
          <w:sz w:val="22"/>
        </w:rPr>
      </w:pPr>
    </w:p>
    <w:p w14:paraId="454D08EE" w14:textId="77777777" w:rsidR="000E443E" w:rsidRPr="000E443E" w:rsidRDefault="000E443E" w:rsidP="000E443E">
      <w:pPr>
        <w:spacing w:after="0" w:line="240" w:lineRule="auto"/>
        <w:jc w:val="center"/>
        <w:rPr>
          <w:rFonts w:ascii="Times New Roman" w:eastAsia="Times New Roman" w:hAnsi="Times New Roman" w:cs="Times New Roman"/>
          <w:i/>
          <w:sz w:val="22"/>
        </w:rPr>
      </w:pPr>
      <w:r w:rsidRPr="000E443E">
        <w:rPr>
          <w:rFonts w:ascii="Calibri" w:eastAsia="Times New Roman" w:hAnsi="Calibri" w:cs="Times New Roman"/>
          <w:noProof/>
          <w:sz w:val="22"/>
          <w:lang w:val="en-US" w:eastAsia="en-US"/>
        </w:rPr>
        <w:drawing>
          <wp:inline distT="0" distB="0" distL="0" distR="0" wp14:anchorId="0924C73F" wp14:editId="2A2C08DB">
            <wp:extent cx="4849495" cy="2307772"/>
            <wp:effectExtent l="0" t="0" r="8255" b="0"/>
            <wp:docPr id="230470989" name="Картина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76420" cy="2320585"/>
                    </a:xfrm>
                    <a:prstGeom prst="rect">
                      <a:avLst/>
                    </a:prstGeom>
                    <a:noFill/>
                    <a:ln>
                      <a:noFill/>
                    </a:ln>
                  </pic:spPr>
                </pic:pic>
              </a:graphicData>
            </a:graphic>
          </wp:inline>
        </w:drawing>
      </w:r>
    </w:p>
    <w:p w14:paraId="375C5C7E" w14:textId="77777777" w:rsidR="000E443E" w:rsidRPr="000E443E" w:rsidRDefault="000E443E" w:rsidP="000E443E">
      <w:pPr>
        <w:spacing w:after="0" w:line="240" w:lineRule="auto"/>
        <w:jc w:val="center"/>
        <w:rPr>
          <w:rFonts w:ascii="Times New Roman" w:eastAsia="Times New Roman" w:hAnsi="Times New Roman" w:cs="Times New Roman"/>
          <w:i/>
          <w:sz w:val="22"/>
        </w:rPr>
      </w:pPr>
    </w:p>
    <w:p w14:paraId="77AA8EF3" w14:textId="77777777" w:rsidR="00067F50" w:rsidRDefault="00067F50" w:rsidP="000E443E">
      <w:pPr>
        <w:spacing w:before="60" w:after="0" w:line="240" w:lineRule="auto"/>
        <w:jc w:val="both"/>
        <w:rPr>
          <w:rFonts w:eastAsia="Calibri" w:cs="Arial"/>
          <w:szCs w:val="24"/>
        </w:rPr>
      </w:pPr>
      <w:bookmarkStart w:id="76" w:name="_Hlk170718651"/>
    </w:p>
    <w:p w14:paraId="6D5512EE"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Подобен модел се наблюдава като цяло за еврозоната и държавите в Европа. Въпреки това, не всички държави отчитат същите тенденции. Най-висок ръст на БВП през 2023 г. отчитат Черна гора с 4,5% ръст, следвана от Турция (4,0%) и Малта (3,8%). Най висок негативен ръст има Естония и като цяло Прибалтийските републики, които са пряко засегнати от войната в Украйна.</w:t>
      </w:r>
    </w:p>
    <w:p w14:paraId="73C42766" w14:textId="77777777" w:rsidR="000E443E" w:rsidRDefault="000E443E" w:rsidP="000E443E">
      <w:pPr>
        <w:spacing w:before="60" w:line="240" w:lineRule="auto"/>
        <w:jc w:val="both"/>
        <w:rPr>
          <w:rFonts w:eastAsia="Calibri" w:cs="Arial"/>
          <w:szCs w:val="24"/>
        </w:rPr>
      </w:pPr>
      <w:r w:rsidRPr="00067F50">
        <w:rPr>
          <w:rFonts w:eastAsia="Calibri" w:cs="Arial"/>
          <w:szCs w:val="24"/>
        </w:rPr>
        <w:t xml:space="preserve">Инфлацията в ЕС се измерва с Хармонизирания индекс на потребителските цени. Между 2001 и 2007 г. годишната инфлацията в ЕС е около 2%. В периода 2008 - 2011 г. инфлацията регистрира по-силни колебания всяка година, докато постепенно се забавя от 3% през 2011 г. на 0% през </w:t>
      </w:r>
      <w:bookmarkStart w:id="77" w:name="_Hlk170718679"/>
      <w:bookmarkEnd w:id="76"/>
      <w:r w:rsidRPr="00067F50">
        <w:rPr>
          <w:rFonts w:eastAsia="Calibri" w:cs="Arial"/>
          <w:szCs w:val="24"/>
        </w:rPr>
        <w:t xml:space="preserve">2015 г., преди да достигне 0,3% през 2020 година и 9,2% за 2022 г. </w:t>
      </w:r>
      <w:r w:rsidRPr="009963CE">
        <w:rPr>
          <w:rFonts w:eastAsia="Calibri" w:cs="Arial"/>
          <w:szCs w:val="24"/>
        </w:rPr>
        <w:t>2023</w:t>
      </w:r>
      <w:r w:rsidRPr="00067F50">
        <w:rPr>
          <w:rFonts w:eastAsia="Calibri" w:cs="Arial"/>
          <w:szCs w:val="24"/>
        </w:rPr>
        <w:t>г приключва със значително намаляване на инфлацията до 3,4% за страните от ЕС, като най-ниска тя е в Германия 0,4%, следвана от Белгия и Италия с 0,5%. През 2023г., най-висока е била инфлацията в Унгария 26,2%. Към март 2024г. отчетеното ниво на инфлацията спада до 2,6% за страните от ЕС.</w:t>
      </w:r>
      <w:bookmarkEnd w:id="77"/>
    </w:p>
    <w:p w14:paraId="77C86CBB" w14:textId="6F9F5852" w:rsidR="00067F50" w:rsidRPr="00B36D1A" w:rsidRDefault="00067F50" w:rsidP="00067F50">
      <w:pPr>
        <w:spacing w:after="60"/>
        <w:jc w:val="center"/>
        <w:rPr>
          <w:rFonts w:cstheme="minorHAnsi"/>
          <w:i/>
          <w:sz w:val="22"/>
        </w:rPr>
      </w:pPr>
      <w:bookmarkStart w:id="78" w:name="_Toc174099087"/>
      <w:r w:rsidRPr="00B36D1A">
        <w:rPr>
          <w:rFonts w:cs="Arial"/>
          <w:bCs/>
          <w:i/>
          <w:iCs/>
          <w:sz w:val="22"/>
        </w:rPr>
        <w:t xml:space="preserve">Графика </w:t>
      </w:r>
      <w:r w:rsidRPr="00B36D1A">
        <w:rPr>
          <w:rFonts w:cs="Arial"/>
          <w:bCs/>
          <w:i/>
          <w:iCs/>
          <w:sz w:val="22"/>
        </w:rPr>
        <w:fldChar w:fldCharType="begin"/>
      </w:r>
      <w:r w:rsidRPr="00B36D1A">
        <w:rPr>
          <w:rFonts w:cs="Arial"/>
          <w:bCs/>
          <w:i/>
          <w:iCs/>
          <w:sz w:val="22"/>
        </w:rPr>
        <w:instrText xml:space="preserve"> SEQ Фигура \* ARABIC </w:instrText>
      </w:r>
      <w:r w:rsidRPr="00B36D1A">
        <w:rPr>
          <w:rFonts w:cs="Arial"/>
          <w:bCs/>
          <w:i/>
          <w:iCs/>
          <w:sz w:val="22"/>
        </w:rPr>
        <w:fldChar w:fldCharType="separate"/>
      </w:r>
      <w:r>
        <w:rPr>
          <w:rFonts w:cs="Arial"/>
          <w:bCs/>
          <w:i/>
          <w:iCs/>
          <w:noProof/>
          <w:sz w:val="22"/>
        </w:rPr>
        <w:t>2</w:t>
      </w:r>
      <w:r w:rsidRPr="00B36D1A">
        <w:rPr>
          <w:rFonts w:cs="Arial"/>
          <w:bCs/>
          <w:i/>
          <w:iCs/>
          <w:sz w:val="22"/>
        </w:rPr>
        <w:fldChar w:fldCharType="end"/>
      </w:r>
      <w:r w:rsidRPr="00B36D1A">
        <w:rPr>
          <w:rFonts w:eastAsia="Times New Roman" w:cs="Arial"/>
          <w:i/>
          <w:sz w:val="22"/>
          <w:lang w:eastAsia="ar-SA"/>
        </w:rPr>
        <w:t xml:space="preserve"> </w:t>
      </w:r>
      <w:r w:rsidRPr="00B36D1A">
        <w:rPr>
          <w:rFonts w:cstheme="minorHAnsi"/>
          <w:i/>
          <w:sz w:val="22"/>
        </w:rPr>
        <w:t xml:space="preserve">Динамика на </w:t>
      </w:r>
      <w:r>
        <w:rPr>
          <w:rFonts w:cstheme="minorHAnsi"/>
          <w:i/>
          <w:sz w:val="22"/>
        </w:rPr>
        <w:t>инфлацията</w:t>
      </w:r>
      <w:r w:rsidRPr="00B36D1A">
        <w:rPr>
          <w:rFonts w:cstheme="minorHAnsi"/>
          <w:i/>
          <w:sz w:val="22"/>
        </w:rPr>
        <w:t xml:space="preserve"> в ЕС</w:t>
      </w:r>
      <w:r w:rsidRPr="00B36D1A">
        <w:rPr>
          <w:rStyle w:val="FootnoteReference"/>
          <w:rFonts w:cstheme="minorHAnsi"/>
          <w:i/>
          <w:sz w:val="22"/>
        </w:rPr>
        <w:footnoteReference w:id="4"/>
      </w:r>
      <w:bookmarkEnd w:id="78"/>
    </w:p>
    <w:p w14:paraId="73EFF184" w14:textId="77777777" w:rsidR="000E443E" w:rsidRPr="000E443E" w:rsidRDefault="000E443E" w:rsidP="000E443E">
      <w:pPr>
        <w:spacing w:after="60"/>
        <w:jc w:val="center"/>
        <w:rPr>
          <w:rFonts w:ascii="Times New Roman" w:eastAsia="Times New Roman" w:hAnsi="Times New Roman" w:cs="Times New Roman"/>
          <w:i/>
          <w:sz w:val="22"/>
        </w:rPr>
      </w:pPr>
      <w:r w:rsidRPr="000E443E">
        <w:rPr>
          <w:rFonts w:ascii="Calibri" w:eastAsia="Times New Roman" w:hAnsi="Calibri" w:cs="Times New Roman"/>
          <w:noProof/>
          <w:sz w:val="22"/>
          <w:lang w:val="en-US" w:eastAsia="en-US"/>
        </w:rPr>
        <w:drawing>
          <wp:inline distT="0" distB="0" distL="0" distR="0" wp14:anchorId="09269603" wp14:editId="2855AF35">
            <wp:extent cx="5094514" cy="2155190"/>
            <wp:effectExtent l="0" t="0" r="0" b="0"/>
            <wp:docPr id="999635635" name="Картина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16386" cy="2164443"/>
                    </a:xfrm>
                    <a:prstGeom prst="rect">
                      <a:avLst/>
                    </a:prstGeom>
                    <a:noFill/>
                    <a:ln>
                      <a:noFill/>
                    </a:ln>
                  </pic:spPr>
                </pic:pic>
              </a:graphicData>
            </a:graphic>
          </wp:inline>
        </w:drawing>
      </w:r>
    </w:p>
    <w:p w14:paraId="571152AF" w14:textId="77777777" w:rsidR="000E443E" w:rsidRPr="000E443E" w:rsidRDefault="000E443E" w:rsidP="000E443E">
      <w:pPr>
        <w:spacing w:after="60"/>
        <w:jc w:val="center"/>
        <w:rPr>
          <w:rFonts w:ascii="Times New Roman" w:eastAsia="Times New Roman" w:hAnsi="Times New Roman" w:cs="Times New Roman"/>
          <w:i/>
          <w:sz w:val="22"/>
        </w:rPr>
      </w:pPr>
    </w:p>
    <w:p w14:paraId="4E9DD59F" w14:textId="77777777" w:rsidR="000E443E" w:rsidRPr="00067F50" w:rsidRDefault="000E443E" w:rsidP="000E443E">
      <w:pPr>
        <w:spacing w:before="60" w:after="0" w:line="240" w:lineRule="auto"/>
        <w:jc w:val="both"/>
        <w:rPr>
          <w:rFonts w:eastAsia="Calibri" w:cs="Arial"/>
          <w:szCs w:val="24"/>
        </w:rPr>
      </w:pPr>
      <w:bookmarkStart w:id="79" w:name="_Hlk170718751"/>
      <w:r w:rsidRPr="00067F50">
        <w:rPr>
          <w:rFonts w:eastAsia="Calibri" w:cs="Arial"/>
          <w:szCs w:val="24"/>
        </w:rPr>
        <w:t>За България коригираната прогноза на ЕК</w:t>
      </w:r>
      <w:r w:rsidRPr="00067F50">
        <w:rPr>
          <w:rFonts w:eastAsia="Calibri" w:cs="Arial"/>
          <w:szCs w:val="24"/>
          <w:vertAlign w:val="superscript"/>
        </w:rPr>
        <w:footnoteReference w:id="5"/>
      </w:r>
      <w:r w:rsidRPr="00067F50">
        <w:rPr>
          <w:rFonts w:eastAsia="Calibri" w:cs="Arial"/>
          <w:szCs w:val="24"/>
        </w:rPr>
        <w:t xml:space="preserve"> след предварителните резултати за 2023 г. е 5,9% на годишна база, но отчетената средногодишна инфлация е 9,5%. Според ХИПЦ през декември 2023 г. месечната инфлация е 0.3%, а годишната инфлация за декември 2023 г. спрямо декември 2022 г. е 5.0%, а средногодишната е 8,6%.</w:t>
      </w:r>
    </w:p>
    <w:p w14:paraId="18190AA2"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 xml:space="preserve">Дългосрочните лихвени проценти могат да бъдат измерени чрез развитието на доходността от дългосрочните облигации. В ЕС лихвеният процент е 5,3 % в началото на хилядолетието, вариращ между 4 % и 5 % до 2011 година. Оттогава той постоянно намалява, за да достигне 1,1 % през 2016 г., след това се увеличава до 1,4 % през 2018 г. и отново намалява през 2019 г. до 0,7 %. За 2022 г. по решение на Европейската Централна банка, лихвите са повишени, като антиинфлационна мярка </w:t>
      </w:r>
      <w:r w:rsidRPr="00067F50">
        <w:rPr>
          <w:rFonts w:eastAsia="Calibri" w:cs="Arial"/>
          <w:szCs w:val="24"/>
        </w:rPr>
        <w:lastRenderedPageBreak/>
        <w:t>и достигат средни стойности от 2,25%, като най-високи са стойностите в Гърция от 3,94%, и Великобритания от 3,24%. Данните за лихвените проценти</w:t>
      </w:r>
      <w:r w:rsidRPr="009D178F">
        <w:rPr>
          <w:rFonts w:ascii="Times New Roman" w:eastAsia="Calibri" w:hAnsi="Times New Roman" w:cs="Times New Roman"/>
          <w:szCs w:val="24"/>
        </w:rPr>
        <w:t xml:space="preserve"> </w:t>
      </w:r>
      <w:r w:rsidRPr="00067F50">
        <w:rPr>
          <w:rFonts w:eastAsia="Calibri" w:cs="Arial"/>
          <w:szCs w:val="24"/>
        </w:rPr>
        <w:t>на ЕЦБ</w:t>
      </w:r>
      <w:r w:rsidRPr="00067F50">
        <w:rPr>
          <w:rFonts w:eastAsia="Calibri" w:cs="Arial"/>
          <w:szCs w:val="24"/>
          <w:vertAlign w:val="superscript"/>
        </w:rPr>
        <w:footnoteReference w:id="6"/>
      </w:r>
      <w:r w:rsidRPr="00067F50">
        <w:rPr>
          <w:rFonts w:eastAsia="Calibri" w:cs="Arial"/>
          <w:szCs w:val="24"/>
        </w:rPr>
        <w:t xml:space="preserve"> за 2023 г. показва, че са достигнати средни стойности от 3,4% и плавно се повишават в първото тримесечие на 2024г. За България стойността е 4,01.</w:t>
      </w:r>
    </w:p>
    <w:p w14:paraId="13B9A279"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Що се отнася до обменните курсове, еврото варира през 2023 г. спрямо долара, в рамките на 1.03 до 1.1 и приключи на стойности от 1,09 USD/EUR. Британският паунд възстанови част от загубените си позиции през 2021 г. и 2022 г. и отбеляза ръст през 2023 г. като приключи на курс 0,86 GBP/EUR. Швейцарският франк загуби високата си стойност от 2021 г., и бележи спад от началото на 2023 г., като приключва годината със стойности от 0,93 CHF/EUR.</w:t>
      </w:r>
    </w:p>
    <w:p w14:paraId="539AC995"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След като е относително стабилен - около 10 % между 2000 и 2005 г., коефициентът на безработица спада до 7,2 % през 2008 година. Оттогава равнището на безработицата в ЕС непрекъснато нараства, достигайки връх от 11,4 % през 2013 година. След възстановяването на икономиката безработицата намалява до 6,7 % през 2019 година. Подобна тенденция се наблюдава сред мъжете, жените и младежите, но при жените коефициентът е малко по-висок отколкото при мъжете, а нивото на безработица е приблизително двойно по-ниско при младите хора. През последните години в еврозоната и всички държави - членки на ЕС до началото на 2020 г., безработицата намалява. След това в периода 2021-2022 г. има слабо изразен ръст до 7,7%, като приключва 2023 г. със стойности  от 6,1%.</w:t>
      </w:r>
    </w:p>
    <w:p w14:paraId="743439DC" w14:textId="77777777" w:rsidR="000E443E" w:rsidRDefault="000E443E" w:rsidP="000E443E">
      <w:pPr>
        <w:spacing w:before="60" w:after="0" w:line="240" w:lineRule="auto"/>
        <w:jc w:val="both"/>
        <w:rPr>
          <w:rFonts w:eastAsia="Calibri" w:cs="Arial"/>
          <w:szCs w:val="24"/>
        </w:rPr>
      </w:pPr>
      <w:r w:rsidRPr="00067F50">
        <w:rPr>
          <w:rFonts w:eastAsia="Calibri" w:cs="Arial"/>
          <w:szCs w:val="24"/>
        </w:rPr>
        <w:t>Въпреки това все още съществуват големи различия между държавите членки. През 2023 г. коефициента на безработица продължава да е най-висок в Испания 12,0% и Гърция с 9,5%. Най-ниски нива за 2023 г. има в Полша 2,8% и Чехия 2,9%. За България тя е традиционно по ниска от ЕС и годината приклюва със стойности от 4,3%.</w:t>
      </w:r>
    </w:p>
    <w:bookmarkEnd w:id="79"/>
    <w:p w14:paraId="129C99DF" w14:textId="77777777" w:rsidR="000E443E" w:rsidRPr="000E443E" w:rsidRDefault="000E443E" w:rsidP="000E443E">
      <w:pPr>
        <w:spacing w:before="60" w:after="0" w:line="240" w:lineRule="auto"/>
        <w:ind w:firstLine="708"/>
        <w:jc w:val="both"/>
        <w:rPr>
          <w:rFonts w:ascii="Times New Roman" w:eastAsia="Calibri" w:hAnsi="Times New Roman" w:cs="Times New Roman"/>
          <w:sz w:val="16"/>
          <w:szCs w:val="16"/>
        </w:rPr>
      </w:pPr>
    </w:p>
    <w:p w14:paraId="1CC7B7B0" w14:textId="77777777" w:rsidR="000E443E" w:rsidRPr="00067F50" w:rsidRDefault="000E443E" w:rsidP="00067F50">
      <w:pPr>
        <w:spacing w:before="60" w:after="0" w:line="240" w:lineRule="auto"/>
        <w:jc w:val="center"/>
        <w:rPr>
          <w:rFonts w:cstheme="minorHAnsi"/>
          <w:i/>
          <w:sz w:val="22"/>
        </w:rPr>
      </w:pPr>
      <w:bookmarkStart w:id="80" w:name="_Toc142217381"/>
      <w:bookmarkStart w:id="81" w:name="_Toc159749150"/>
      <w:bookmarkStart w:id="82" w:name="_Toc167111794"/>
      <w:bookmarkStart w:id="83" w:name="_Toc174099088"/>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sidRPr="00067F50">
        <w:rPr>
          <w:rFonts w:cstheme="minorHAnsi"/>
          <w:i/>
          <w:sz w:val="22"/>
        </w:rPr>
        <w:t>3</w:t>
      </w:r>
      <w:r w:rsidRPr="00067F50">
        <w:rPr>
          <w:rFonts w:cstheme="minorHAnsi"/>
          <w:i/>
          <w:sz w:val="22"/>
        </w:rPr>
        <w:fldChar w:fldCharType="end"/>
      </w:r>
      <w:r w:rsidRPr="00067F50">
        <w:rPr>
          <w:rFonts w:cstheme="minorHAnsi"/>
          <w:i/>
          <w:sz w:val="22"/>
        </w:rPr>
        <w:t xml:space="preserve"> </w:t>
      </w:r>
      <w:r w:rsidRPr="00067F50">
        <w:rPr>
          <w:rFonts w:cstheme="minorHAnsi"/>
          <w:i/>
          <w:sz w:val="22"/>
        </w:rPr>
        <w:tab/>
        <w:t>Динамика на безработицата в ЕС</w:t>
      </w:r>
      <w:r w:rsidRPr="00067F50">
        <w:rPr>
          <w:rFonts w:cstheme="minorHAnsi"/>
          <w:i/>
          <w:sz w:val="22"/>
          <w:vertAlign w:val="superscript"/>
        </w:rPr>
        <w:footnoteReference w:id="7"/>
      </w:r>
      <w:bookmarkEnd w:id="80"/>
      <w:bookmarkEnd w:id="81"/>
      <w:bookmarkEnd w:id="82"/>
      <w:bookmarkEnd w:id="83"/>
    </w:p>
    <w:p w14:paraId="34DE8CD7" w14:textId="77777777" w:rsidR="000E443E" w:rsidRPr="000E443E" w:rsidRDefault="000E443E" w:rsidP="000E443E">
      <w:pPr>
        <w:spacing w:after="0" w:line="240" w:lineRule="auto"/>
        <w:jc w:val="center"/>
        <w:rPr>
          <w:rFonts w:ascii="Times New Roman" w:eastAsia="Times New Roman" w:hAnsi="Times New Roman" w:cs="Times New Roman"/>
          <w:i/>
          <w:sz w:val="22"/>
        </w:rPr>
      </w:pPr>
      <w:r w:rsidRPr="000E443E">
        <w:rPr>
          <w:rFonts w:ascii="Calibri" w:eastAsia="Times New Roman" w:hAnsi="Calibri" w:cs="Times New Roman"/>
          <w:noProof/>
          <w:sz w:val="22"/>
          <w:lang w:val="en-US" w:eastAsia="en-US"/>
        </w:rPr>
        <w:drawing>
          <wp:inline distT="0" distB="0" distL="0" distR="0" wp14:anchorId="7A2F4DFB" wp14:editId="077838E9">
            <wp:extent cx="4935811" cy="2228850"/>
            <wp:effectExtent l="0" t="0" r="0" b="0"/>
            <wp:docPr id="1156445810" name="Картина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63751" cy="2241467"/>
                    </a:xfrm>
                    <a:prstGeom prst="rect">
                      <a:avLst/>
                    </a:prstGeom>
                    <a:noFill/>
                    <a:ln>
                      <a:noFill/>
                    </a:ln>
                  </pic:spPr>
                </pic:pic>
              </a:graphicData>
            </a:graphic>
          </wp:inline>
        </w:drawing>
      </w:r>
    </w:p>
    <w:p w14:paraId="58CDECE5" w14:textId="77777777" w:rsidR="000E443E" w:rsidRPr="000E443E" w:rsidRDefault="000E443E" w:rsidP="000E443E">
      <w:pPr>
        <w:spacing w:after="0" w:line="240" w:lineRule="auto"/>
        <w:jc w:val="center"/>
        <w:rPr>
          <w:rFonts w:ascii="Times New Roman" w:eastAsia="Times New Roman" w:hAnsi="Times New Roman" w:cs="Times New Roman"/>
          <w:i/>
          <w:sz w:val="22"/>
        </w:rPr>
      </w:pPr>
    </w:p>
    <w:p w14:paraId="6F05F065" w14:textId="77777777" w:rsidR="000E443E" w:rsidRDefault="000E443E" w:rsidP="000E443E">
      <w:pPr>
        <w:spacing w:before="60" w:after="0" w:line="240" w:lineRule="auto"/>
        <w:jc w:val="both"/>
        <w:rPr>
          <w:rFonts w:eastAsia="Calibri" w:cs="Arial"/>
          <w:szCs w:val="24"/>
        </w:rPr>
      </w:pPr>
      <w:r w:rsidRPr="00067F50">
        <w:rPr>
          <w:rFonts w:eastAsia="Calibri" w:cs="Arial"/>
          <w:szCs w:val="24"/>
        </w:rPr>
        <w:t>В периода на кризата от началото на 2020 г. има драстична промяна във водещите показатели на Европейската икономика. Основният показател, използван за сравнение е бюджетния дефицит, отнесен към БВП</w:t>
      </w:r>
      <w:r w:rsidRPr="00067F50">
        <w:rPr>
          <w:rFonts w:eastAsia="Calibri" w:cs="Arial"/>
          <w:szCs w:val="24"/>
          <w:vertAlign w:val="superscript"/>
        </w:rPr>
        <w:footnoteReference w:id="8"/>
      </w:r>
      <w:r w:rsidRPr="00067F50">
        <w:rPr>
          <w:rFonts w:eastAsia="Calibri" w:cs="Arial"/>
          <w:szCs w:val="24"/>
        </w:rPr>
        <w:t>.</w:t>
      </w:r>
    </w:p>
    <w:p w14:paraId="61402ACA" w14:textId="77777777" w:rsidR="00067F50" w:rsidRDefault="00067F50" w:rsidP="000E443E">
      <w:pPr>
        <w:spacing w:before="60" w:after="0" w:line="240" w:lineRule="auto"/>
        <w:jc w:val="both"/>
        <w:rPr>
          <w:rFonts w:eastAsia="Calibri" w:cs="Arial"/>
          <w:szCs w:val="24"/>
        </w:rPr>
      </w:pPr>
    </w:p>
    <w:p w14:paraId="173A3FEC" w14:textId="52BEF5E4" w:rsidR="00067F50" w:rsidRPr="00067F50" w:rsidRDefault="00067F50" w:rsidP="00067F50">
      <w:pPr>
        <w:spacing w:before="60" w:after="0" w:line="240" w:lineRule="auto"/>
        <w:jc w:val="center"/>
        <w:rPr>
          <w:rFonts w:eastAsia="Calibri" w:cs="Arial"/>
          <w:szCs w:val="24"/>
        </w:rPr>
      </w:pPr>
      <w:bookmarkStart w:id="84" w:name="_Toc174099089"/>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4</w:t>
      </w:r>
      <w:r w:rsidRPr="00067F50">
        <w:rPr>
          <w:rFonts w:cstheme="minorHAnsi"/>
          <w:i/>
          <w:sz w:val="22"/>
        </w:rPr>
        <w:fldChar w:fldCharType="end"/>
      </w:r>
      <w:r w:rsidRPr="00067F50">
        <w:rPr>
          <w:rFonts w:cstheme="minorHAnsi"/>
          <w:i/>
          <w:sz w:val="22"/>
        </w:rPr>
        <w:t xml:space="preserve"> </w:t>
      </w:r>
      <w:r w:rsidRPr="00067F50">
        <w:rPr>
          <w:rFonts w:cstheme="minorHAnsi"/>
          <w:i/>
          <w:sz w:val="22"/>
        </w:rPr>
        <w:tab/>
        <w:t>Динамика на бюджетния дефицит отнесен към БВП на ниво ЕС</w:t>
      </w:r>
      <w:bookmarkEnd w:id="84"/>
    </w:p>
    <w:p w14:paraId="51E43F69" w14:textId="02EC0705" w:rsidR="000E443E" w:rsidRPr="000E443E" w:rsidRDefault="000E443E" w:rsidP="000E443E">
      <w:pPr>
        <w:suppressAutoHyphens/>
        <w:spacing w:before="120" w:after="120" w:line="240" w:lineRule="auto"/>
        <w:jc w:val="center"/>
        <w:rPr>
          <w:rFonts w:ascii="Times New Roman" w:eastAsia="Times New Roman" w:hAnsi="Times New Roman" w:cs="Times New Roman"/>
          <w:i/>
          <w:sz w:val="22"/>
          <w:lang w:val="en-GB" w:eastAsia="ar-SA"/>
        </w:rPr>
      </w:pPr>
      <w:bookmarkStart w:id="85" w:name="_Hlk166836933"/>
      <w:r w:rsidRPr="000E443E">
        <w:rPr>
          <w:rFonts w:ascii="Calibri" w:eastAsia="Times New Roman" w:hAnsi="Calibri" w:cs="Times New Roman"/>
          <w:noProof/>
          <w:sz w:val="22"/>
          <w:lang w:val="en-US" w:eastAsia="en-US"/>
        </w:rPr>
        <w:drawing>
          <wp:inline distT="0" distB="0" distL="0" distR="0" wp14:anchorId="4C42374D" wp14:editId="69FB09AE">
            <wp:extent cx="6299517" cy="3396343"/>
            <wp:effectExtent l="0" t="0" r="6350" b="0"/>
            <wp:docPr id="371215951"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09111" cy="3401516"/>
                    </a:xfrm>
                    <a:prstGeom prst="rect">
                      <a:avLst/>
                    </a:prstGeom>
                    <a:noFill/>
                    <a:ln>
                      <a:noFill/>
                    </a:ln>
                  </pic:spPr>
                </pic:pic>
              </a:graphicData>
            </a:graphic>
          </wp:inline>
        </w:drawing>
      </w:r>
    </w:p>
    <w:p w14:paraId="3C618E90" w14:textId="3485AA98" w:rsidR="000E443E" w:rsidRPr="00067F50" w:rsidRDefault="000E443E" w:rsidP="000E443E">
      <w:pPr>
        <w:spacing w:before="60" w:after="0" w:line="240" w:lineRule="auto"/>
        <w:jc w:val="both"/>
        <w:rPr>
          <w:rFonts w:eastAsia="Calibri" w:cs="Arial"/>
          <w:szCs w:val="24"/>
        </w:rPr>
      </w:pPr>
      <w:bookmarkStart w:id="86" w:name="_Hlk170718944"/>
      <w:bookmarkEnd w:id="85"/>
      <w:r w:rsidRPr="00067F50">
        <w:rPr>
          <w:rFonts w:eastAsia="Calibri" w:cs="Arial"/>
          <w:szCs w:val="24"/>
        </w:rPr>
        <w:t>Видно от данните, в резултат на предприетите мерки за подпомагане на бизнеса, подкрепа на заетостта, данъчни облекчения и директни субсидии, ЕС обръща тенденцията през 2022</w:t>
      </w:r>
      <w:r w:rsidR="00067F50">
        <w:rPr>
          <w:rFonts w:eastAsia="Calibri" w:cs="Arial"/>
          <w:szCs w:val="24"/>
        </w:rPr>
        <w:t xml:space="preserve"> </w:t>
      </w:r>
      <w:r w:rsidRPr="00067F50">
        <w:rPr>
          <w:rFonts w:eastAsia="Calibri" w:cs="Arial"/>
          <w:szCs w:val="24"/>
        </w:rPr>
        <w:t>г., но има необходимост от поне няколко години за достигане на показателите от пъ</w:t>
      </w:r>
      <w:r w:rsidR="00067F50">
        <w:rPr>
          <w:rFonts w:eastAsia="Calibri" w:cs="Arial"/>
          <w:szCs w:val="24"/>
        </w:rPr>
        <w:t>рвото тримесечие на 2019 г. Най-</w:t>
      </w:r>
      <w:r w:rsidRPr="00067F50">
        <w:rPr>
          <w:rFonts w:eastAsia="Calibri" w:cs="Arial"/>
          <w:szCs w:val="24"/>
        </w:rPr>
        <w:t>висока стойност на бюджетния дефицит продължава да поддържа Гърция, следвана от Италия и Франция. България заема предпоследно място със сравнително най-нисък бюджетен дефицит.</w:t>
      </w:r>
    </w:p>
    <w:p w14:paraId="05A707FA"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 xml:space="preserve">Това дава основание да бъде направено мотивирано допускане, че най-рано през 2025 г. основните макроикономически индикатори ще постигнат нивата си от преди кризата.    </w:t>
      </w:r>
    </w:p>
    <w:p w14:paraId="73E9B73E" w14:textId="77777777" w:rsidR="000E443E" w:rsidRPr="00067F50" w:rsidRDefault="000E443E" w:rsidP="000E443E">
      <w:pPr>
        <w:spacing w:before="60" w:after="0" w:line="240" w:lineRule="auto"/>
        <w:jc w:val="both"/>
        <w:rPr>
          <w:rFonts w:eastAsia="Calibri" w:cs="Arial"/>
          <w:szCs w:val="24"/>
        </w:rPr>
      </w:pPr>
      <w:r w:rsidRPr="00067F50">
        <w:rPr>
          <w:rFonts w:eastAsia="Calibri" w:cs="Arial"/>
          <w:szCs w:val="24"/>
        </w:rPr>
        <w:t>За характеристика на икономическата и социална среда в България са използвани водещи индикатори, свързани директно или индиректно с предмета на проекта.</w:t>
      </w:r>
    </w:p>
    <w:p w14:paraId="6827B2EB" w14:textId="77777777" w:rsidR="000E443E" w:rsidRDefault="000E443E" w:rsidP="000E443E">
      <w:pPr>
        <w:spacing w:before="60" w:line="240" w:lineRule="auto"/>
        <w:jc w:val="both"/>
        <w:rPr>
          <w:rFonts w:eastAsia="Calibri" w:cs="Arial"/>
          <w:szCs w:val="24"/>
        </w:rPr>
      </w:pPr>
      <w:r w:rsidRPr="00067F50">
        <w:rPr>
          <w:rFonts w:eastAsia="Calibri" w:cs="Arial"/>
          <w:szCs w:val="24"/>
        </w:rPr>
        <w:lastRenderedPageBreak/>
        <w:t>Историческите данни за ръста на БВП</w:t>
      </w:r>
      <w:r w:rsidRPr="00067F50">
        <w:rPr>
          <w:rFonts w:eastAsia="Calibri" w:cs="Arial"/>
          <w:szCs w:val="24"/>
          <w:vertAlign w:val="superscript"/>
        </w:rPr>
        <w:footnoteReference w:id="9"/>
      </w:r>
      <w:r w:rsidRPr="00067F50">
        <w:rPr>
          <w:rFonts w:eastAsia="Calibri" w:cs="Arial"/>
          <w:szCs w:val="24"/>
        </w:rPr>
        <w:t xml:space="preserve"> показват, че в годините България има изпреварващ ръст, спрямо средното ниво за ЕС, но в условията на COVID-19 кризата, той рязко намалява. Въпреки драматичния спад през 2020 г., в годините се запазва тенденцията България да има ръст по-висок от средния за ЕС и Еврозоната. </w:t>
      </w:r>
    </w:p>
    <w:p w14:paraId="120C4B8D" w14:textId="63BED9D4" w:rsidR="00BB0022" w:rsidRPr="00596573" w:rsidRDefault="00BB0022" w:rsidP="000E443E">
      <w:pPr>
        <w:spacing w:before="60" w:line="240" w:lineRule="auto"/>
        <w:jc w:val="both"/>
        <w:rPr>
          <w:rFonts w:eastAsia="Calibri" w:cs="Arial"/>
          <w:szCs w:val="24"/>
        </w:rPr>
      </w:pPr>
      <w:bookmarkStart w:id="87" w:name="_Toc17409904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96573">
        <w:rPr>
          <w:rFonts w:cs="Arial"/>
          <w:bCs/>
          <w:i/>
          <w:noProof/>
          <w:sz w:val="22"/>
        </w:rPr>
        <w:t>1</w:t>
      </w:r>
      <w:r w:rsidRPr="002E1E19">
        <w:rPr>
          <w:rFonts w:cs="Arial"/>
          <w:b/>
          <w:bCs/>
          <w:i/>
          <w:iCs/>
          <w:sz w:val="22"/>
        </w:rPr>
        <w:fldChar w:fldCharType="end"/>
      </w:r>
      <w:r>
        <w:rPr>
          <w:rFonts w:cs="Arial"/>
          <w:bCs/>
          <w:i/>
          <w:sz w:val="22"/>
        </w:rPr>
        <w:t xml:space="preserve"> </w:t>
      </w:r>
      <w:r w:rsidR="00596573" w:rsidRPr="00596573">
        <w:rPr>
          <w:rFonts w:eastAsia="Calibri" w:cs="Arial"/>
          <w:i/>
          <w:color w:val="000000"/>
          <w:sz w:val="22"/>
          <w:lang w:eastAsia="en-US"/>
        </w:rPr>
        <w:t>Исторически данни за реален ръст на БВП на ниво ЕС и България</w:t>
      </w:r>
      <w:bookmarkEnd w:id="87"/>
    </w:p>
    <w:tbl>
      <w:tblPr>
        <w:tblStyle w:val="LightList-Accent111"/>
        <w:tblW w:w="5000" w:type="pct"/>
        <w:tblLook w:val="04A0" w:firstRow="1" w:lastRow="0" w:firstColumn="1" w:lastColumn="0" w:noHBand="0" w:noVBand="1"/>
      </w:tblPr>
      <w:tblGrid>
        <w:gridCol w:w="1800"/>
        <w:gridCol w:w="1112"/>
        <w:gridCol w:w="1111"/>
        <w:gridCol w:w="1111"/>
        <w:gridCol w:w="1111"/>
        <w:gridCol w:w="1111"/>
        <w:gridCol w:w="1067"/>
        <w:gridCol w:w="1054"/>
      </w:tblGrid>
      <w:tr w:rsidR="000E443E" w:rsidRPr="002D2161" w14:paraId="155FC9BC" w14:textId="77777777" w:rsidTr="00596573">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950" w:type="pct"/>
            <w:noWrap/>
            <w:hideMark/>
          </w:tcPr>
          <w:bookmarkEnd w:id="86"/>
          <w:p w14:paraId="02C54B5C" w14:textId="77777777" w:rsidR="000E443E" w:rsidRPr="002D2161" w:rsidRDefault="000E443E" w:rsidP="000E443E">
            <w:pPr>
              <w:spacing w:before="60" w:after="60"/>
              <w:ind w:hanging="23"/>
              <w:rPr>
                <w:rFonts w:cs="Arial"/>
                <w:sz w:val="20"/>
                <w:szCs w:val="20"/>
              </w:rPr>
            </w:pPr>
            <w:r w:rsidRPr="002D2161">
              <w:rPr>
                <w:rFonts w:cs="Arial"/>
                <w:sz w:val="20"/>
                <w:szCs w:val="20"/>
              </w:rPr>
              <w:t>Ръст на БВП</w:t>
            </w:r>
          </w:p>
        </w:tc>
        <w:tc>
          <w:tcPr>
            <w:tcW w:w="587" w:type="pct"/>
            <w:noWrap/>
            <w:hideMark/>
          </w:tcPr>
          <w:p w14:paraId="65E8C556"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2017 г.</w:t>
            </w:r>
          </w:p>
        </w:tc>
        <w:tc>
          <w:tcPr>
            <w:tcW w:w="586" w:type="pct"/>
            <w:noWrap/>
            <w:hideMark/>
          </w:tcPr>
          <w:p w14:paraId="2DE767EF"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2018 г.</w:t>
            </w:r>
          </w:p>
        </w:tc>
        <w:tc>
          <w:tcPr>
            <w:tcW w:w="586" w:type="pct"/>
            <w:noWrap/>
            <w:hideMark/>
          </w:tcPr>
          <w:p w14:paraId="218B17B0"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2019 г.</w:t>
            </w:r>
          </w:p>
        </w:tc>
        <w:tc>
          <w:tcPr>
            <w:tcW w:w="586" w:type="pct"/>
            <w:noWrap/>
            <w:hideMark/>
          </w:tcPr>
          <w:p w14:paraId="701888EF" w14:textId="77777777" w:rsidR="000E443E" w:rsidRPr="002D2161" w:rsidRDefault="000E443E" w:rsidP="000E443E">
            <w:pPr>
              <w:spacing w:before="60" w:after="60"/>
              <w:ind w:left="-100"/>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2020 г.</w:t>
            </w:r>
          </w:p>
        </w:tc>
        <w:tc>
          <w:tcPr>
            <w:tcW w:w="586" w:type="pct"/>
            <w:noWrap/>
            <w:hideMark/>
          </w:tcPr>
          <w:p w14:paraId="784A3C65" w14:textId="77777777" w:rsidR="000E443E" w:rsidRPr="002D2161" w:rsidRDefault="000E443E" w:rsidP="000E443E">
            <w:pPr>
              <w:spacing w:before="60" w:after="60"/>
              <w:ind w:left="-100" w:right="-113"/>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2021 г.</w:t>
            </w:r>
          </w:p>
        </w:tc>
        <w:tc>
          <w:tcPr>
            <w:tcW w:w="563" w:type="pct"/>
          </w:tcPr>
          <w:p w14:paraId="52FBED65" w14:textId="77777777" w:rsidR="000E443E" w:rsidRPr="002D2161" w:rsidRDefault="000E443E" w:rsidP="000E443E">
            <w:pPr>
              <w:spacing w:before="60" w:after="60"/>
              <w:ind w:left="-100" w:right="-74"/>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2022 г.</w:t>
            </w:r>
          </w:p>
        </w:tc>
        <w:tc>
          <w:tcPr>
            <w:tcW w:w="556" w:type="pct"/>
          </w:tcPr>
          <w:p w14:paraId="25CF1B87" w14:textId="77777777" w:rsidR="000E443E" w:rsidRPr="002D2161" w:rsidRDefault="000E443E" w:rsidP="000E443E">
            <w:pPr>
              <w:spacing w:before="60" w:after="60"/>
              <w:ind w:left="-100" w:right="-109"/>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2D2161">
              <w:rPr>
                <w:rFonts w:cs="Arial"/>
                <w:sz w:val="20"/>
                <w:szCs w:val="20"/>
              </w:rPr>
              <w:t>2023 г.</w:t>
            </w:r>
          </w:p>
        </w:tc>
      </w:tr>
      <w:tr w:rsidR="000E443E" w:rsidRPr="000E443E" w14:paraId="23B14E65" w14:textId="77777777" w:rsidTr="00596573">
        <w:trPr>
          <w:cnfStyle w:val="000000100000" w:firstRow="0" w:lastRow="0" w:firstColumn="0" w:lastColumn="0" w:oddVBand="0" w:evenVBand="0" w:oddHBand="1" w:evenHBand="0" w:firstRowFirstColumn="0" w:firstRowLastColumn="0" w:lastRowFirstColumn="0" w:lastRowLastColumn="0"/>
          <w:trHeight w:val="244"/>
        </w:trPr>
        <w:tc>
          <w:tcPr>
            <w:cnfStyle w:val="001000000000" w:firstRow="0" w:lastRow="0" w:firstColumn="1" w:lastColumn="0" w:oddVBand="0" w:evenVBand="0" w:oddHBand="0" w:evenHBand="0" w:firstRowFirstColumn="0" w:firstRowLastColumn="0" w:lastRowFirstColumn="0" w:lastRowLastColumn="0"/>
            <w:tcW w:w="950" w:type="pct"/>
            <w:noWrap/>
            <w:hideMark/>
          </w:tcPr>
          <w:p w14:paraId="16CAF3E9" w14:textId="77777777" w:rsidR="000E443E" w:rsidRPr="00596573" w:rsidRDefault="000E443E" w:rsidP="000E443E">
            <w:pPr>
              <w:spacing w:after="0" w:line="240" w:lineRule="auto"/>
              <w:ind w:hanging="23"/>
              <w:rPr>
                <w:rFonts w:ascii="Times New Roman" w:hAnsi="Times New Roman" w:cs="Times New Roman"/>
                <w:sz w:val="22"/>
                <w:szCs w:val="24"/>
              </w:rPr>
            </w:pPr>
            <w:r w:rsidRPr="00596573">
              <w:rPr>
                <w:rFonts w:ascii="Times New Roman" w:hAnsi="Times New Roman" w:cs="Times New Roman"/>
                <w:sz w:val="22"/>
                <w:szCs w:val="24"/>
              </w:rPr>
              <w:t>България</w:t>
            </w:r>
          </w:p>
        </w:tc>
        <w:tc>
          <w:tcPr>
            <w:tcW w:w="587" w:type="pct"/>
            <w:noWrap/>
            <w:hideMark/>
          </w:tcPr>
          <w:p w14:paraId="02FBF77B"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3,5</w:t>
            </w:r>
          </w:p>
        </w:tc>
        <w:tc>
          <w:tcPr>
            <w:tcW w:w="586" w:type="pct"/>
            <w:noWrap/>
            <w:hideMark/>
          </w:tcPr>
          <w:p w14:paraId="1751E840"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3,1</w:t>
            </w:r>
          </w:p>
        </w:tc>
        <w:tc>
          <w:tcPr>
            <w:tcW w:w="586" w:type="pct"/>
            <w:noWrap/>
            <w:hideMark/>
          </w:tcPr>
          <w:p w14:paraId="3C47AC6E"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3,7</w:t>
            </w:r>
          </w:p>
        </w:tc>
        <w:tc>
          <w:tcPr>
            <w:tcW w:w="586" w:type="pct"/>
            <w:noWrap/>
            <w:hideMark/>
          </w:tcPr>
          <w:p w14:paraId="24AEC5E3" w14:textId="77777777" w:rsidR="000E443E" w:rsidRPr="000E443E" w:rsidRDefault="000E443E" w:rsidP="000E443E">
            <w:pPr>
              <w:spacing w:after="0" w:line="240" w:lineRule="auto"/>
              <w:ind w:left="-100"/>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-4,8</w:t>
            </w:r>
          </w:p>
        </w:tc>
        <w:tc>
          <w:tcPr>
            <w:tcW w:w="586" w:type="pct"/>
            <w:noWrap/>
            <w:hideMark/>
          </w:tcPr>
          <w:p w14:paraId="5FEA6BB5" w14:textId="77777777" w:rsidR="000E443E" w:rsidRPr="000E443E" w:rsidRDefault="000E443E" w:rsidP="000E443E">
            <w:pPr>
              <w:spacing w:after="0" w:line="240" w:lineRule="auto"/>
              <w:ind w:left="-100" w:right="-113"/>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4,6</w:t>
            </w:r>
          </w:p>
        </w:tc>
        <w:tc>
          <w:tcPr>
            <w:tcW w:w="563" w:type="pct"/>
          </w:tcPr>
          <w:p w14:paraId="3F32DB37" w14:textId="77777777" w:rsidR="000E443E" w:rsidRPr="000E443E" w:rsidRDefault="000E443E" w:rsidP="000E443E">
            <w:pPr>
              <w:spacing w:after="0" w:line="240" w:lineRule="auto"/>
              <w:ind w:left="-100" w:right="-74"/>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3.4</w:t>
            </w:r>
          </w:p>
        </w:tc>
        <w:tc>
          <w:tcPr>
            <w:tcW w:w="556" w:type="pct"/>
          </w:tcPr>
          <w:p w14:paraId="1D10AC5E" w14:textId="77777777" w:rsidR="000E443E" w:rsidRPr="000E443E" w:rsidRDefault="000E443E" w:rsidP="000E443E">
            <w:pPr>
              <w:spacing w:after="0" w:line="240" w:lineRule="auto"/>
              <w:ind w:left="-100" w:right="-109"/>
              <w:jc w:val="center"/>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1.8</w:t>
            </w:r>
          </w:p>
        </w:tc>
      </w:tr>
      <w:tr w:rsidR="000E443E" w:rsidRPr="000E443E" w14:paraId="1658C76D" w14:textId="77777777" w:rsidTr="00596573">
        <w:trPr>
          <w:trHeight w:val="235"/>
        </w:trPr>
        <w:tc>
          <w:tcPr>
            <w:cnfStyle w:val="001000000000" w:firstRow="0" w:lastRow="0" w:firstColumn="1" w:lastColumn="0" w:oddVBand="0" w:evenVBand="0" w:oddHBand="0" w:evenHBand="0" w:firstRowFirstColumn="0" w:firstRowLastColumn="0" w:lastRowFirstColumn="0" w:lastRowLastColumn="0"/>
            <w:tcW w:w="950" w:type="pct"/>
            <w:noWrap/>
            <w:hideMark/>
          </w:tcPr>
          <w:p w14:paraId="64192DAA" w14:textId="77777777" w:rsidR="000E443E" w:rsidRPr="00596573" w:rsidRDefault="000E443E" w:rsidP="000E443E">
            <w:pPr>
              <w:spacing w:after="0" w:line="240" w:lineRule="auto"/>
              <w:ind w:hanging="23"/>
              <w:rPr>
                <w:rFonts w:ascii="Times New Roman" w:hAnsi="Times New Roman" w:cs="Times New Roman"/>
                <w:sz w:val="22"/>
                <w:szCs w:val="24"/>
              </w:rPr>
            </w:pPr>
            <w:r w:rsidRPr="00596573">
              <w:rPr>
                <w:rFonts w:ascii="Times New Roman" w:hAnsi="Times New Roman" w:cs="Times New Roman"/>
                <w:sz w:val="22"/>
                <w:szCs w:val="24"/>
              </w:rPr>
              <w:t>ЕС</w:t>
            </w:r>
          </w:p>
        </w:tc>
        <w:tc>
          <w:tcPr>
            <w:tcW w:w="587" w:type="pct"/>
            <w:noWrap/>
            <w:hideMark/>
          </w:tcPr>
          <w:p w14:paraId="34F9BCB5"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2,8</w:t>
            </w:r>
          </w:p>
        </w:tc>
        <w:tc>
          <w:tcPr>
            <w:tcW w:w="586" w:type="pct"/>
            <w:noWrap/>
            <w:hideMark/>
          </w:tcPr>
          <w:p w14:paraId="6BC93F72"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2,1</w:t>
            </w:r>
          </w:p>
        </w:tc>
        <w:tc>
          <w:tcPr>
            <w:tcW w:w="586" w:type="pct"/>
            <w:noWrap/>
            <w:hideMark/>
          </w:tcPr>
          <w:p w14:paraId="2293F47F"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1,5</w:t>
            </w:r>
          </w:p>
        </w:tc>
        <w:tc>
          <w:tcPr>
            <w:tcW w:w="586" w:type="pct"/>
            <w:noWrap/>
            <w:hideMark/>
          </w:tcPr>
          <w:p w14:paraId="21177E2F" w14:textId="77777777" w:rsidR="000E443E" w:rsidRPr="000E443E" w:rsidRDefault="000E443E" w:rsidP="000E443E">
            <w:pPr>
              <w:spacing w:after="0" w:line="240" w:lineRule="auto"/>
              <w:ind w:left="-100"/>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-5,9</w:t>
            </w:r>
          </w:p>
        </w:tc>
        <w:tc>
          <w:tcPr>
            <w:tcW w:w="586" w:type="pct"/>
            <w:noWrap/>
            <w:hideMark/>
          </w:tcPr>
          <w:p w14:paraId="1D50A6F2" w14:textId="77777777" w:rsidR="000E443E" w:rsidRPr="000E443E" w:rsidRDefault="000E443E" w:rsidP="000E443E">
            <w:pPr>
              <w:spacing w:after="0" w:line="240" w:lineRule="auto"/>
              <w:ind w:left="-100" w:right="-113"/>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szCs w:val="24"/>
              </w:rPr>
              <w:t>2,1</w:t>
            </w:r>
          </w:p>
        </w:tc>
        <w:tc>
          <w:tcPr>
            <w:tcW w:w="563" w:type="pct"/>
          </w:tcPr>
          <w:p w14:paraId="3A214B89" w14:textId="77777777" w:rsidR="000E443E" w:rsidRPr="000E443E" w:rsidRDefault="000E443E" w:rsidP="000E443E">
            <w:pPr>
              <w:spacing w:after="0" w:line="240" w:lineRule="auto"/>
              <w:ind w:left="-100" w:right="-74"/>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3,4</w:t>
            </w:r>
          </w:p>
        </w:tc>
        <w:tc>
          <w:tcPr>
            <w:tcW w:w="556" w:type="pct"/>
          </w:tcPr>
          <w:p w14:paraId="2A5B9466" w14:textId="77777777" w:rsidR="000E443E" w:rsidRPr="000E443E" w:rsidRDefault="000E443E" w:rsidP="000E443E">
            <w:pPr>
              <w:spacing w:after="0" w:line="240" w:lineRule="auto"/>
              <w:ind w:left="-100" w:right="-109"/>
              <w:jc w:val="cente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2"/>
                <w:szCs w:val="24"/>
              </w:rPr>
            </w:pPr>
            <w:r w:rsidRPr="000E443E">
              <w:rPr>
                <w:rFonts w:ascii="Times New Roman" w:hAnsi="Times New Roman" w:cs="Times New Roman"/>
                <w:sz w:val="22"/>
              </w:rPr>
              <w:t>1,0</w:t>
            </w:r>
          </w:p>
        </w:tc>
      </w:tr>
    </w:tbl>
    <w:p w14:paraId="66E7672E" w14:textId="77777777" w:rsidR="000E443E" w:rsidRPr="000E443E" w:rsidRDefault="000E443E" w:rsidP="000E443E">
      <w:pPr>
        <w:shd w:val="clear" w:color="auto" w:fill="FFFFFF"/>
        <w:tabs>
          <w:tab w:val="left" w:pos="360"/>
        </w:tabs>
        <w:spacing w:before="60"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w:t>
      </w:r>
    </w:p>
    <w:p w14:paraId="566E2D98" w14:textId="77777777" w:rsidR="000E443E" w:rsidRPr="00596573" w:rsidRDefault="000E443E" w:rsidP="000E443E">
      <w:pPr>
        <w:shd w:val="clear" w:color="auto" w:fill="FFFFFF"/>
        <w:spacing w:before="60" w:line="240" w:lineRule="auto"/>
        <w:jc w:val="both"/>
        <w:rPr>
          <w:rFonts w:eastAsia="Times New Roman" w:cs="Arial"/>
          <w:szCs w:val="24"/>
        </w:rPr>
      </w:pPr>
      <w:bookmarkStart w:id="88" w:name="_Hlk170719023"/>
      <w:r w:rsidRPr="00596573">
        <w:rPr>
          <w:rFonts w:eastAsia="Times New Roman" w:cs="Arial"/>
          <w:szCs w:val="24"/>
        </w:rPr>
        <w:t xml:space="preserve">Последните изгладени сезонни данни за края на 2023 г. показват, че прогнозите за ръста на БВП в Конвергентната програма 2023-2026 г. от 1.8% са били реалистични. </w:t>
      </w:r>
    </w:p>
    <w:p w14:paraId="19992D5E" w14:textId="77777777" w:rsidR="00596573" w:rsidRDefault="000E443E" w:rsidP="000E443E">
      <w:pPr>
        <w:shd w:val="clear" w:color="auto" w:fill="FFFFFF"/>
        <w:spacing w:before="60" w:after="0" w:line="240" w:lineRule="auto"/>
        <w:jc w:val="both"/>
        <w:rPr>
          <w:rFonts w:cs="Arial"/>
          <w:bCs/>
          <w:i/>
          <w:sz w:val="22"/>
        </w:rPr>
      </w:pPr>
      <w:r w:rsidRPr="00596573">
        <w:rPr>
          <w:rFonts w:eastAsia="Times New Roman" w:cs="Arial"/>
          <w:szCs w:val="24"/>
        </w:rPr>
        <w:t>Други макро-икономически показатели</w:t>
      </w:r>
      <w:r w:rsidRPr="00596573">
        <w:rPr>
          <w:rFonts w:eastAsia="Times New Roman" w:cs="Arial"/>
          <w:szCs w:val="24"/>
          <w:vertAlign w:val="superscript"/>
        </w:rPr>
        <w:footnoteReference w:id="10"/>
      </w:r>
      <w:r w:rsidRPr="00596573">
        <w:rPr>
          <w:rFonts w:eastAsia="Times New Roman" w:cs="Arial"/>
          <w:szCs w:val="24"/>
        </w:rPr>
        <w:t>, които дават информация за социално икономическата среда в България, са представени в следващата таблица:</w:t>
      </w:r>
      <w:r w:rsidR="00596573" w:rsidRPr="00596573">
        <w:rPr>
          <w:rFonts w:cs="Arial"/>
          <w:bCs/>
          <w:i/>
          <w:sz w:val="22"/>
        </w:rPr>
        <w:t xml:space="preserve"> </w:t>
      </w:r>
    </w:p>
    <w:p w14:paraId="331024D2" w14:textId="77777777" w:rsidR="00596573" w:rsidRDefault="00596573" w:rsidP="000E443E">
      <w:pPr>
        <w:shd w:val="clear" w:color="auto" w:fill="FFFFFF"/>
        <w:spacing w:before="60" w:after="0" w:line="240" w:lineRule="auto"/>
        <w:jc w:val="both"/>
        <w:rPr>
          <w:rFonts w:cs="Arial"/>
          <w:bCs/>
          <w:i/>
          <w:sz w:val="22"/>
        </w:rPr>
      </w:pPr>
    </w:p>
    <w:p w14:paraId="241A1E4E" w14:textId="0798706D" w:rsidR="000E443E" w:rsidRPr="00596573" w:rsidRDefault="00596573" w:rsidP="00596573">
      <w:pPr>
        <w:shd w:val="clear" w:color="auto" w:fill="FFFFFF"/>
        <w:spacing w:before="60" w:after="0" w:line="240" w:lineRule="auto"/>
        <w:jc w:val="both"/>
        <w:rPr>
          <w:rFonts w:eastAsia="Times New Roman" w:cs="Arial"/>
          <w:szCs w:val="24"/>
        </w:rPr>
      </w:pPr>
      <w:bookmarkStart w:id="89" w:name="_Toc17409904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2</w:t>
      </w:r>
      <w:r w:rsidRPr="002E1E19">
        <w:rPr>
          <w:rFonts w:cs="Arial"/>
          <w:b/>
          <w:bCs/>
          <w:i/>
          <w:iCs/>
          <w:sz w:val="22"/>
        </w:rPr>
        <w:fldChar w:fldCharType="end"/>
      </w:r>
      <w:r>
        <w:rPr>
          <w:rFonts w:cs="Arial"/>
          <w:bCs/>
          <w:i/>
          <w:sz w:val="22"/>
        </w:rPr>
        <w:t xml:space="preserve"> </w:t>
      </w:r>
      <w:r w:rsidRPr="00596573">
        <w:rPr>
          <w:rFonts w:eastAsia="Calibri" w:cs="Arial"/>
          <w:i/>
          <w:color w:val="000000"/>
          <w:sz w:val="22"/>
          <w:lang w:eastAsia="en-US"/>
        </w:rPr>
        <w:t>Исторически данни за основните макро-икономически индикатори в България</w:t>
      </w:r>
      <w:bookmarkEnd w:id="88"/>
      <w:bookmarkEnd w:id="89"/>
    </w:p>
    <w:tbl>
      <w:tblPr>
        <w:tblStyle w:val="LightList-Accent111"/>
        <w:tblW w:w="9630" w:type="dxa"/>
        <w:tblInd w:w="-10" w:type="dxa"/>
        <w:tblLayout w:type="fixed"/>
        <w:tblLook w:val="04A0" w:firstRow="1" w:lastRow="0" w:firstColumn="1" w:lastColumn="0" w:noHBand="0" w:noVBand="1"/>
      </w:tblPr>
      <w:tblGrid>
        <w:gridCol w:w="2160"/>
        <w:gridCol w:w="1080"/>
        <w:gridCol w:w="1080"/>
        <w:gridCol w:w="1080"/>
        <w:gridCol w:w="990"/>
        <w:gridCol w:w="1080"/>
        <w:gridCol w:w="1080"/>
        <w:gridCol w:w="1080"/>
      </w:tblGrid>
      <w:tr w:rsidR="009723B1" w:rsidRPr="009723B1" w14:paraId="1C5C8D57" w14:textId="77777777" w:rsidTr="002D2161">
        <w:trPr>
          <w:cnfStyle w:val="100000000000" w:firstRow="1" w:lastRow="0" w:firstColumn="0" w:lastColumn="0" w:oddVBand="0" w:evenVBand="0" w:oddHBand="0"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60" w:type="dxa"/>
            <w:noWrap/>
            <w:vAlign w:val="center"/>
            <w:hideMark/>
          </w:tcPr>
          <w:p w14:paraId="190963BD" w14:textId="77777777" w:rsidR="000E443E" w:rsidRPr="00596573" w:rsidRDefault="000E443E" w:rsidP="000E443E">
            <w:pPr>
              <w:jc w:val="center"/>
              <w:rPr>
                <w:rFonts w:cs="Arial"/>
                <w:sz w:val="20"/>
                <w:szCs w:val="20"/>
              </w:rPr>
            </w:pPr>
            <w:r w:rsidRPr="00596573">
              <w:rPr>
                <w:rFonts w:cs="Arial"/>
                <w:sz w:val="20"/>
                <w:szCs w:val="20"/>
              </w:rPr>
              <w:t>Макро показатели</w:t>
            </w:r>
          </w:p>
        </w:tc>
        <w:tc>
          <w:tcPr>
            <w:tcW w:w="1080" w:type="dxa"/>
            <w:noWrap/>
            <w:vAlign w:val="center"/>
            <w:hideMark/>
          </w:tcPr>
          <w:p w14:paraId="1844157E" w14:textId="77777777" w:rsidR="000E443E" w:rsidRPr="00596573" w:rsidRDefault="000E443E" w:rsidP="000E443E">
            <w:pPr>
              <w:ind w:hanging="23"/>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2017 г.</w:t>
            </w:r>
          </w:p>
        </w:tc>
        <w:tc>
          <w:tcPr>
            <w:tcW w:w="1080" w:type="dxa"/>
            <w:noWrap/>
            <w:vAlign w:val="center"/>
            <w:hideMark/>
          </w:tcPr>
          <w:p w14:paraId="06F92F5C" w14:textId="77777777" w:rsidR="000E443E" w:rsidRPr="00596573" w:rsidRDefault="000E443E" w:rsidP="000E443E">
            <w:pPr>
              <w:ind w:hanging="25"/>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2018 г.</w:t>
            </w:r>
          </w:p>
        </w:tc>
        <w:tc>
          <w:tcPr>
            <w:tcW w:w="1080" w:type="dxa"/>
            <w:noWrap/>
            <w:vAlign w:val="center"/>
            <w:hideMark/>
          </w:tcPr>
          <w:p w14:paraId="209A92D2" w14:textId="77777777" w:rsidR="000E443E" w:rsidRPr="00596573" w:rsidRDefault="000E443E" w:rsidP="000E443E">
            <w:pPr>
              <w:ind w:hanging="1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2019 г.</w:t>
            </w:r>
          </w:p>
        </w:tc>
        <w:tc>
          <w:tcPr>
            <w:tcW w:w="990" w:type="dxa"/>
            <w:noWrap/>
            <w:vAlign w:val="center"/>
            <w:hideMark/>
          </w:tcPr>
          <w:p w14:paraId="64FF572E" w14:textId="77777777" w:rsidR="000E443E" w:rsidRPr="00596573" w:rsidRDefault="000E443E" w:rsidP="000E443E">
            <w:pPr>
              <w:ind w:right="-155" w:hanging="115"/>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2020 г.</w:t>
            </w:r>
          </w:p>
        </w:tc>
        <w:tc>
          <w:tcPr>
            <w:tcW w:w="1080" w:type="dxa"/>
            <w:noWrap/>
            <w:vAlign w:val="center"/>
            <w:hideMark/>
          </w:tcPr>
          <w:p w14:paraId="32C07832" w14:textId="77777777" w:rsidR="000E443E" w:rsidRPr="00596573" w:rsidRDefault="000E443E" w:rsidP="000E443E">
            <w:pPr>
              <w:ind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2021 г.</w:t>
            </w:r>
          </w:p>
        </w:tc>
        <w:tc>
          <w:tcPr>
            <w:tcW w:w="1080" w:type="dxa"/>
            <w:vAlign w:val="center"/>
          </w:tcPr>
          <w:p w14:paraId="1CCFF301" w14:textId="77777777" w:rsidR="000E443E" w:rsidRPr="00596573" w:rsidRDefault="000E443E" w:rsidP="000E443E">
            <w:pPr>
              <w:ind w:left="-76"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 xml:space="preserve"> 2022 г.</w:t>
            </w:r>
          </w:p>
        </w:tc>
        <w:tc>
          <w:tcPr>
            <w:tcW w:w="1080" w:type="dxa"/>
            <w:vAlign w:val="center"/>
          </w:tcPr>
          <w:p w14:paraId="70AA22DC" w14:textId="77777777" w:rsidR="000E443E" w:rsidRPr="00596573" w:rsidRDefault="000E443E" w:rsidP="000E443E">
            <w:pPr>
              <w:ind w:left="-76" w:right="-119" w:hanging="61"/>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 xml:space="preserve"> 2023 г.</w:t>
            </w:r>
          </w:p>
        </w:tc>
      </w:tr>
      <w:tr w:rsidR="000E443E" w:rsidRPr="009723B1" w14:paraId="436C63E4" w14:textId="77777777" w:rsidTr="002D21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A7D3BCE" w14:textId="77777777" w:rsidR="000E443E" w:rsidRPr="00596573" w:rsidRDefault="000E443E" w:rsidP="000E443E">
            <w:pPr>
              <w:spacing w:after="0" w:line="240" w:lineRule="auto"/>
              <w:rPr>
                <w:rFonts w:cs="Arial"/>
                <w:sz w:val="20"/>
                <w:szCs w:val="20"/>
              </w:rPr>
            </w:pPr>
            <w:r w:rsidRPr="00596573">
              <w:rPr>
                <w:rFonts w:cs="Arial"/>
                <w:sz w:val="20"/>
                <w:szCs w:val="20"/>
              </w:rPr>
              <w:t>Население в млн.</w:t>
            </w:r>
          </w:p>
        </w:tc>
        <w:tc>
          <w:tcPr>
            <w:tcW w:w="1080" w:type="dxa"/>
            <w:noWrap/>
            <w:hideMark/>
          </w:tcPr>
          <w:p w14:paraId="716C2D24"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7,1</w:t>
            </w:r>
          </w:p>
        </w:tc>
        <w:tc>
          <w:tcPr>
            <w:tcW w:w="1080" w:type="dxa"/>
            <w:noWrap/>
            <w:hideMark/>
          </w:tcPr>
          <w:p w14:paraId="5E0CC014"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7</w:t>
            </w:r>
          </w:p>
        </w:tc>
        <w:tc>
          <w:tcPr>
            <w:tcW w:w="1080" w:type="dxa"/>
            <w:noWrap/>
            <w:hideMark/>
          </w:tcPr>
          <w:p w14:paraId="2A319ECD"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6,95</w:t>
            </w:r>
          </w:p>
        </w:tc>
        <w:tc>
          <w:tcPr>
            <w:tcW w:w="990" w:type="dxa"/>
            <w:noWrap/>
            <w:hideMark/>
          </w:tcPr>
          <w:p w14:paraId="4CA5E8A7"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6,92</w:t>
            </w:r>
          </w:p>
        </w:tc>
        <w:tc>
          <w:tcPr>
            <w:tcW w:w="1080" w:type="dxa"/>
            <w:noWrap/>
            <w:hideMark/>
          </w:tcPr>
          <w:p w14:paraId="13DB21C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6,86</w:t>
            </w:r>
          </w:p>
        </w:tc>
        <w:tc>
          <w:tcPr>
            <w:tcW w:w="1080" w:type="dxa"/>
          </w:tcPr>
          <w:p w14:paraId="58AB2089"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6,81</w:t>
            </w:r>
          </w:p>
        </w:tc>
        <w:tc>
          <w:tcPr>
            <w:tcW w:w="1080" w:type="dxa"/>
          </w:tcPr>
          <w:p w14:paraId="380C1AC9"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6,80</w:t>
            </w:r>
          </w:p>
        </w:tc>
      </w:tr>
      <w:tr w:rsidR="000E443E" w:rsidRPr="009723B1" w14:paraId="2B1EB9C2" w14:textId="77777777" w:rsidTr="002D2161">
        <w:trPr>
          <w:trHeight w:val="36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040F79F" w14:textId="77777777" w:rsidR="000E443E" w:rsidRPr="00596573" w:rsidRDefault="000E443E" w:rsidP="000E443E">
            <w:pPr>
              <w:spacing w:after="0" w:line="240" w:lineRule="auto"/>
              <w:rPr>
                <w:rFonts w:cs="Arial"/>
                <w:sz w:val="20"/>
                <w:szCs w:val="20"/>
              </w:rPr>
            </w:pPr>
            <w:r w:rsidRPr="00596573">
              <w:rPr>
                <w:rFonts w:cs="Arial"/>
                <w:sz w:val="20"/>
                <w:szCs w:val="20"/>
              </w:rPr>
              <w:t>БВП на глава от населението (EUR)</w:t>
            </w:r>
          </w:p>
        </w:tc>
        <w:tc>
          <w:tcPr>
            <w:tcW w:w="1080" w:type="dxa"/>
            <w:noWrap/>
            <w:hideMark/>
          </w:tcPr>
          <w:p w14:paraId="476867C7"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7 419</w:t>
            </w:r>
          </w:p>
        </w:tc>
        <w:tc>
          <w:tcPr>
            <w:tcW w:w="1080" w:type="dxa"/>
            <w:noWrap/>
            <w:hideMark/>
          </w:tcPr>
          <w:p w14:paraId="0B620F0B"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8 012</w:t>
            </w:r>
          </w:p>
        </w:tc>
        <w:tc>
          <w:tcPr>
            <w:tcW w:w="1080" w:type="dxa"/>
            <w:noWrap/>
            <w:hideMark/>
          </w:tcPr>
          <w:p w14:paraId="4BE7D2FD"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8 680</w:t>
            </w:r>
          </w:p>
        </w:tc>
        <w:tc>
          <w:tcPr>
            <w:tcW w:w="990" w:type="dxa"/>
            <w:noWrap/>
            <w:hideMark/>
          </w:tcPr>
          <w:p w14:paraId="17962461"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8 845</w:t>
            </w:r>
          </w:p>
        </w:tc>
        <w:tc>
          <w:tcPr>
            <w:tcW w:w="1080" w:type="dxa"/>
            <w:noWrap/>
            <w:hideMark/>
          </w:tcPr>
          <w:p w14:paraId="75FE695D"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9 111</w:t>
            </w:r>
          </w:p>
        </w:tc>
        <w:tc>
          <w:tcPr>
            <w:tcW w:w="1080" w:type="dxa"/>
          </w:tcPr>
          <w:p w14:paraId="3C1D039B"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9 786</w:t>
            </w:r>
          </w:p>
        </w:tc>
        <w:tc>
          <w:tcPr>
            <w:tcW w:w="1080" w:type="dxa"/>
          </w:tcPr>
          <w:p w14:paraId="40201DA9"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10 556</w:t>
            </w:r>
          </w:p>
        </w:tc>
      </w:tr>
      <w:tr w:rsidR="000E443E" w:rsidRPr="009723B1" w14:paraId="6E8BCA84" w14:textId="77777777" w:rsidTr="002D2161">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54C90764" w14:textId="77777777" w:rsidR="000E443E" w:rsidRPr="00596573" w:rsidRDefault="000E443E" w:rsidP="000E443E">
            <w:pPr>
              <w:spacing w:after="0" w:line="240" w:lineRule="auto"/>
              <w:rPr>
                <w:rFonts w:cs="Arial"/>
                <w:sz w:val="20"/>
                <w:szCs w:val="20"/>
              </w:rPr>
            </w:pPr>
            <w:r w:rsidRPr="00596573">
              <w:rPr>
                <w:rFonts w:cs="Arial"/>
                <w:sz w:val="20"/>
                <w:szCs w:val="20"/>
              </w:rPr>
              <w:t>Безработица (%)</w:t>
            </w:r>
          </w:p>
        </w:tc>
        <w:tc>
          <w:tcPr>
            <w:tcW w:w="1080" w:type="dxa"/>
            <w:noWrap/>
            <w:hideMark/>
          </w:tcPr>
          <w:p w14:paraId="3F2D5ED8"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5,7</w:t>
            </w:r>
          </w:p>
        </w:tc>
        <w:tc>
          <w:tcPr>
            <w:tcW w:w="1080" w:type="dxa"/>
            <w:noWrap/>
            <w:hideMark/>
          </w:tcPr>
          <w:p w14:paraId="4A9C644D"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4,7</w:t>
            </w:r>
          </w:p>
        </w:tc>
        <w:tc>
          <w:tcPr>
            <w:tcW w:w="1080" w:type="dxa"/>
            <w:noWrap/>
            <w:hideMark/>
          </w:tcPr>
          <w:p w14:paraId="6CC0C406"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5,9</w:t>
            </w:r>
          </w:p>
        </w:tc>
        <w:tc>
          <w:tcPr>
            <w:tcW w:w="990" w:type="dxa"/>
            <w:noWrap/>
            <w:hideMark/>
          </w:tcPr>
          <w:p w14:paraId="3A2D0328"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5,0</w:t>
            </w:r>
          </w:p>
        </w:tc>
        <w:tc>
          <w:tcPr>
            <w:tcW w:w="1080" w:type="dxa"/>
            <w:noWrap/>
            <w:hideMark/>
          </w:tcPr>
          <w:p w14:paraId="6BDEDB7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4,8</w:t>
            </w:r>
          </w:p>
        </w:tc>
        <w:tc>
          <w:tcPr>
            <w:tcW w:w="1080" w:type="dxa"/>
          </w:tcPr>
          <w:p w14:paraId="5F954395"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5,0</w:t>
            </w:r>
          </w:p>
        </w:tc>
        <w:tc>
          <w:tcPr>
            <w:tcW w:w="1080" w:type="dxa"/>
          </w:tcPr>
          <w:p w14:paraId="7C4E9A8B"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highlight w:val="yellow"/>
              </w:rPr>
            </w:pPr>
            <w:r w:rsidRPr="00596573">
              <w:rPr>
                <w:rFonts w:cs="Arial"/>
                <w:sz w:val="20"/>
                <w:szCs w:val="20"/>
              </w:rPr>
              <w:t>4,1</w:t>
            </w:r>
          </w:p>
        </w:tc>
      </w:tr>
      <w:tr w:rsidR="000E443E" w:rsidRPr="009723B1" w14:paraId="31DCD6D8" w14:textId="77777777" w:rsidTr="002D2161">
        <w:trPr>
          <w:trHeight w:val="327"/>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3E52C42" w14:textId="77777777" w:rsidR="000E443E" w:rsidRPr="00596573" w:rsidRDefault="000E443E" w:rsidP="000E443E">
            <w:pPr>
              <w:spacing w:after="0" w:line="240" w:lineRule="auto"/>
              <w:rPr>
                <w:rFonts w:cs="Arial"/>
                <w:sz w:val="20"/>
                <w:szCs w:val="20"/>
              </w:rPr>
            </w:pPr>
            <w:r w:rsidRPr="00596573">
              <w:rPr>
                <w:rFonts w:cs="Arial"/>
                <w:sz w:val="20"/>
                <w:szCs w:val="20"/>
              </w:rPr>
              <w:t>Бюджетен дефицит (%)</w:t>
            </w:r>
          </w:p>
        </w:tc>
        <w:tc>
          <w:tcPr>
            <w:tcW w:w="1080" w:type="dxa"/>
            <w:noWrap/>
            <w:hideMark/>
          </w:tcPr>
          <w:p w14:paraId="09DF8EA9"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1,6</w:t>
            </w:r>
          </w:p>
        </w:tc>
        <w:tc>
          <w:tcPr>
            <w:tcW w:w="1080" w:type="dxa"/>
            <w:noWrap/>
            <w:hideMark/>
          </w:tcPr>
          <w:p w14:paraId="6070A316"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1,7</w:t>
            </w:r>
          </w:p>
        </w:tc>
        <w:tc>
          <w:tcPr>
            <w:tcW w:w="1080" w:type="dxa"/>
            <w:noWrap/>
            <w:hideMark/>
          </w:tcPr>
          <w:p w14:paraId="5C2D7DF3"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2,1</w:t>
            </w:r>
          </w:p>
        </w:tc>
        <w:tc>
          <w:tcPr>
            <w:tcW w:w="990" w:type="dxa"/>
            <w:noWrap/>
            <w:hideMark/>
          </w:tcPr>
          <w:p w14:paraId="5845AFE3"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-4,4</w:t>
            </w:r>
          </w:p>
        </w:tc>
        <w:tc>
          <w:tcPr>
            <w:tcW w:w="1080" w:type="dxa"/>
            <w:noWrap/>
            <w:hideMark/>
          </w:tcPr>
          <w:p w14:paraId="047984CA"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-1,8</w:t>
            </w:r>
          </w:p>
        </w:tc>
        <w:tc>
          <w:tcPr>
            <w:tcW w:w="1080" w:type="dxa"/>
          </w:tcPr>
          <w:p w14:paraId="44E7ED62"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-0.2</w:t>
            </w:r>
          </w:p>
        </w:tc>
        <w:tc>
          <w:tcPr>
            <w:tcW w:w="1080" w:type="dxa"/>
          </w:tcPr>
          <w:p w14:paraId="108AA4B1"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-3.0</w:t>
            </w:r>
          </w:p>
        </w:tc>
      </w:tr>
      <w:tr w:rsidR="000E443E" w:rsidRPr="009723B1" w14:paraId="10F6B148" w14:textId="77777777" w:rsidTr="002D2161">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002AED52" w14:textId="77777777" w:rsidR="000E443E" w:rsidRPr="00596573" w:rsidRDefault="000E443E" w:rsidP="000E443E">
            <w:pPr>
              <w:spacing w:after="0" w:line="240" w:lineRule="auto"/>
              <w:rPr>
                <w:rFonts w:cs="Arial"/>
                <w:sz w:val="20"/>
                <w:szCs w:val="20"/>
              </w:rPr>
            </w:pPr>
            <w:r w:rsidRPr="00596573">
              <w:rPr>
                <w:rFonts w:cs="Arial"/>
                <w:sz w:val="20"/>
                <w:szCs w:val="20"/>
              </w:rPr>
              <w:t>Публичен дълг (в % от БВП)</w:t>
            </w:r>
          </w:p>
        </w:tc>
        <w:tc>
          <w:tcPr>
            <w:tcW w:w="1080" w:type="dxa"/>
            <w:noWrap/>
            <w:hideMark/>
          </w:tcPr>
          <w:p w14:paraId="09DF15E5"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25,1</w:t>
            </w:r>
          </w:p>
        </w:tc>
        <w:tc>
          <w:tcPr>
            <w:tcW w:w="1080" w:type="dxa"/>
            <w:noWrap/>
            <w:hideMark/>
          </w:tcPr>
          <w:p w14:paraId="4E57A106"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22,1</w:t>
            </w:r>
          </w:p>
        </w:tc>
        <w:tc>
          <w:tcPr>
            <w:tcW w:w="1080" w:type="dxa"/>
            <w:noWrap/>
            <w:hideMark/>
          </w:tcPr>
          <w:p w14:paraId="12C93931"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20</w:t>
            </w:r>
          </w:p>
        </w:tc>
        <w:tc>
          <w:tcPr>
            <w:tcW w:w="990" w:type="dxa"/>
            <w:noWrap/>
            <w:hideMark/>
          </w:tcPr>
          <w:p w14:paraId="4CA3C512"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24,7</w:t>
            </w:r>
          </w:p>
        </w:tc>
        <w:tc>
          <w:tcPr>
            <w:tcW w:w="1080" w:type="dxa"/>
            <w:noWrap/>
            <w:hideMark/>
          </w:tcPr>
          <w:p w14:paraId="41CC2D3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25,2</w:t>
            </w:r>
          </w:p>
        </w:tc>
        <w:tc>
          <w:tcPr>
            <w:tcW w:w="1080" w:type="dxa"/>
          </w:tcPr>
          <w:p w14:paraId="50EE689F"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22.9</w:t>
            </w:r>
          </w:p>
        </w:tc>
        <w:tc>
          <w:tcPr>
            <w:tcW w:w="1080" w:type="dxa"/>
          </w:tcPr>
          <w:p w14:paraId="653081F6"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26.6</w:t>
            </w:r>
          </w:p>
        </w:tc>
      </w:tr>
      <w:tr w:rsidR="000E443E" w:rsidRPr="009723B1" w14:paraId="1150CA42" w14:textId="77777777" w:rsidTr="002D2161">
        <w:trPr>
          <w:trHeight w:val="228"/>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2FBD4BF" w14:textId="77777777" w:rsidR="000E443E" w:rsidRPr="00596573" w:rsidRDefault="000E443E" w:rsidP="000E443E">
            <w:pPr>
              <w:spacing w:after="0" w:line="240" w:lineRule="auto"/>
              <w:rPr>
                <w:rFonts w:cs="Arial"/>
                <w:sz w:val="20"/>
                <w:szCs w:val="20"/>
              </w:rPr>
            </w:pPr>
            <w:r w:rsidRPr="00596573">
              <w:rPr>
                <w:rFonts w:cs="Arial"/>
                <w:sz w:val="20"/>
                <w:szCs w:val="20"/>
              </w:rPr>
              <w:t>Годишна инфлация (%)</w:t>
            </w:r>
          </w:p>
        </w:tc>
        <w:tc>
          <w:tcPr>
            <w:tcW w:w="1080" w:type="dxa"/>
            <w:noWrap/>
            <w:hideMark/>
          </w:tcPr>
          <w:p w14:paraId="721D8910"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2,8</w:t>
            </w:r>
          </w:p>
        </w:tc>
        <w:tc>
          <w:tcPr>
            <w:tcW w:w="1080" w:type="dxa"/>
            <w:noWrap/>
            <w:hideMark/>
          </w:tcPr>
          <w:p w14:paraId="7220174E"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w:t>
            </w:r>
          </w:p>
        </w:tc>
        <w:tc>
          <w:tcPr>
            <w:tcW w:w="1080" w:type="dxa"/>
            <w:noWrap/>
            <w:hideMark/>
          </w:tcPr>
          <w:p w14:paraId="542B0C23"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3,8</w:t>
            </w:r>
          </w:p>
        </w:tc>
        <w:tc>
          <w:tcPr>
            <w:tcW w:w="990" w:type="dxa"/>
            <w:noWrap/>
            <w:hideMark/>
          </w:tcPr>
          <w:p w14:paraId="127D7DD9"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0,1</w:t>
            </w:r>
          </w:p>
        </w:tc>
        <w:tc>
          <w:tcPr>
            <w:tcW w:w="1080" w:type="dxa"/>
            <w:noWrap/>
            <w:hideMark/>
          </w:tcPr>
          <w:p w14:paraId="7351AD38"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2,8</w:t>
            </w:r>
          </w:p>
        </w:tc>
        <w:tc>
          <w:tcPr>
            <w:tcW w:w="1080" w:type="dxa"/>
          </w:tcPr>
          <w:p w14:paraId="1F6F30D0"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13,0</w:t>
            </w:r>
          </w:p>
        </w:tc>
        <w:tc>
          <w:tcPr>
            <w:tcW w:w="1080" w:type="dxa"/>
          </w:tcPr>
          <w:p w14:paraId="07B04B98"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5,9</w:t>
            </w:r>
          </w:p>
        </w:tc>
      </w:tr>
      <w:tr w:rsidR="000E443E" w:rsidRPr="009723B1" w14:paraId="67B035A7" w14:textId="77777777" w:rsidTr="002D2161">
        <w:trPr>
          <w:cnfStyle w:val="000000100000" w:firstRow="0" w:lastRow="0" w:firstColumn="0" w:lastColumn="0" w:oddVBand="0" w:evenVBand="0" w:oddHBand="1"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36BF6C1" w14:textId="77777777" w:rsidR="000E443E" w:rsidRPr="00596573" w:rsidRDefault="000E443E" w:rsidP="000E443E">
            <w:pPr>
              <w:spacing w:after="0" w:line="240" w:lineRule="auto"/>
              <w:rPr>
                <w:rFonts w:cs="Arial"/>
                <w:sz w:val="20"/>
                <w:szCs w:val="20"/>
              </w:rPr>
            </w:pPr>
            <w:r w:rsidRPr="00596573">
              <w:rPr>
                <w:rFonts w:cs="Arial"/>
                <w:sz w:val="20"/>
                <w:szCs w:val="20"/>
              </w:rPr>
              <w:t>Валутен курс</w:t>
            </w:r>
          </w:p>
        </w:tc>
        <w:tc>
          <w:tcPr>
            <w:tcW w:w="1080" w:type="dxa"/>
            <w:noWrap/>
            <w:hideMark/>
          </w:tcPr>
          <w:p w14:paraId="3FE62D78" w14:textId="77777777" w:rsidR="000E443E" w:rsidRPr="00596573" w:rsidRDefault="000E443E" w:rsidP="000E443E">
            <w:pPr>
              <w:spacing w:after="0" w:line="240" w:lineRule="auto"/>
              <w:ind w:right="-182" w:hanging="13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7C6B28E2" w14:textId="77777777" w:rsidR="000E443E" w:rsidRPr="00596573" w:rsidRDefault="000E443E" w:rsidP="000E443E">
            <w:pPr>
              <w:spacing w:after="0" w:line="240" w:lineRule="auto"/>
              <w:ind w:right="-62" w:hanging="34"/>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360C7391" w14:textId="77777777" w:rsidR="000E443E" w:rsidRPr="00596573" w:rsidRDefault="000E443E" w:rsidP="000E443E">
            <w:pPr>
              <w:spacing w:after="0" w:line="240" w:lineRule="auto"/>
              <w:ind w:right="-121" w:hanging="64"/>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990" w:type="dxa"/>
            <w:noWrap/>
            <w:hideMark/>
          </w:tcPr>
          <w:p w14:paraId="16BA591F" w14:textId="77777777" w:rsidR="000E443E" w:rsidRPr="00596573" w:rsidRDefault="000E443E" w:rsidP="000E443E">
            <w:pPr>
              <w:spacing w:after="0" w:line="240" w:lineRule="auto"/>
              <w:ind w:right="-73" w:hanging="9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noWrap/>
            <w:hideMark/>
          </w:tcPr>
          <w:p w14:paraId="05F9ACC4" w14:textId="77777777" w:rsidR="000E443E" w:rsidRPr="00596573" w:rsidRDefault="000E443E" w:rsidP="000E443E">
            <w:pPr>
              <w:spacing w:after="0" w:line="240" w:lineRule="auto"/>
              <w:ind w:right="-14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tcPr>
          <w:p w14:paraId="56659F03" w14:textId="77777777" w:rsidR="000E443E" w:rsidRPr="00596573" w:rsidRDefault="000E443E" w:rsidP="000E443E">
            <w:pPr>
              <w:spacing w:after="0" w:line="240" w:lineRule="auto"/>
              <w:ind w:right="-11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c>
          <w:tcPr>
            <w:tcW w:w="1080" w:type="dxa"/>
          </w:tcPr>
          <w:p w14:paraId="13921EB1" w14:textId="77777777" w:rsidR="000E443E" w:rsidRPr="00596573" w:rsidRDefault="000E443E" w:rsidP="000E443E">
            <w:pPr>
              <w:spacing w:after="0" w:line="240" w:lineRule="auto"/>
              <w:ind w:right="-119" w:hanging="92"/>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1,95583</w:t>
            </w:r>
          </w:p>
        </w:tc>
      </w:tr>
      <w:tr w:rsidR="000E443E" w:rsidRPr="009723B1" w14:paraId="4592FBD1" w14:textId="77777777" w:rsidTr="002D2161">
        <w:trPr>
          <w:trHeight w:val="300"/>
        </w:trPr>
        <w:tc>
          <w:tcPr>
            <w:cnfStyle w:val="001000000000" w:firstRow="0" w:lastRow="0" w:firstColumn="1" w:lastColumn="0" w:oddVBand="0" w:evenVBand="0" w:oddHBand="0" w:evenHBand="0" w:firstRowFirstColumn="0" w:firstRowLastColumn="0" w:lastRowFirstColumn="0" w:lastRowLastColumn="0"/>
            <w:tcW w:w="2160" w:type="dxa"/>
            <w:noWrap/>
            <w:hideMark/>
          </w:tcPr>
          <w:p w14:paraId="6E074133" w14:textId="77777777" w:rsidR="000E443E" w:rsidRPr="00596573" w:rsidRDefault="000E443E" w:rsidP="000E443E">
            <w:pPr>
              <w:spacing w:after="0" w:line="240" w:lineRule="auto"/>
              <w:rPr>
                <w:rFonts w:cs="Arial"/>
                <w:sz w:val="20"/>
                <w:szCs w:val="20"/>
              </w:rPr>
            </w:pPr>
            <w:r w:rsidRPr="00596573">
              <w:rPr>
                <w:rFonts w:cs="Arial"/>
                <w:sz w:val="20"/>
                <w:szCs w:val="20"/>
              </w:rPr>
              <w:t>Внос (млрд EUR)</w:t>
            </w:r>
          </w:p>
        </w:tc>
        <w:tc>
          <w:tcPr>
            <w:tcW w:w="1080" w:type="dxa"/>
            <w:noWrap/>
            <w:hideMark/>
          </w:tcPr>
          <w:p w14:paraId="275D3332" w14:textId="77777777" w:rsidR="000E443E" w:rsidRPr="00596573" w:rsidRDefault="000E443E" w:rsidP="000E443E">
            <w:pPr>
              <w:spacing w:after="0" w:line="240" w:lineRule="auto"/>
              <w:ind w:hanging="23"/>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w:t>
            </w:r>
          </w:p>
        </w:tc>
        <w:tc>
          <w:tcPr>
            <w:tcW w:w="1080" w:type="dxa"/>
            <w:noWrap/>
            <w:hideMark/>
          </w:tcPr>
          <w:p w14:paraId="3D81CDC5" w14:textId="77777777" w:rsidR="000E443E" w:rsidRPr="00596573" w:rsidRDefault="000E443E" w:rsidP="000E443E">
            <w:pPr>
              <w:spacing w:after="0" w:line="240" w:lineRule="auto"/>
              <w:ind w:hanging="25"/>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27,1</w:t>
            </w:r>
          </w:p>
        </w:tc>
        <w:tc>
          <w:tcPr>
            <w:tcW w:w="1080" w:type="dxa"/>
            <w:noWrap/>
            <w:hideMark/>
          </w:tcPr>
          <w:p w14:paraId="37BFD8C8" w14:textId="77777777" w:rsidR="000E443E" w:rsidRPr="00596573" w:rsidRDefault="000E443E" w:rsidP="000E443E">
            <w:pPr>
              <w:spacing w:after="0" w:line="240" w:lineRule="auto"/>
              <w:ind w:hanging="18"/>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29,9</w:t>
            </w:r>
          </w:p>
        </w:tc>
        <w:tc>
          <w:tcPr>
            <w:tcW w:w="990" w:type="dxa"/>
            <w:noWrap/>
            <w:hideMark/>
          </w:tcPr>
          <w:p w14:paraId="55EC3ECE"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33,03</w:t>
            </w:r>
          </w:p>
        </w:tc>
        <w:tc>
          <w:tcPr>
            <w:tcW w:w="1080" w:type="dxa"/>
            <w:noWrap/>
            <w:hideMark/>
          </w:tcPr>
          <w:p w14:paraId="63324FFB"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36,37</w:t>
            </w:r>
          </w:p>
        </w:tc>
        <w:tc>
          <w:tcPr>
            <w:tcW w:w="1080" w:type="dxa"/>
          </w:tcPr>
          <w:p w14:paraId="1C3346A6"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24,8</w:t>
            </w:r>
          </w:p>
        </w:tc>
        <w:tc>
          <w:tcPr>
            <w:tcW w:w="1080" w:type="dxa"/>
          </w:tcPr>
          <w:p w14:paraId="762A0872" w14:textId="77777777" w:rsidR="000E443E" w:rsidRPr="00596573" w:rsidRDefault="000E443E" w:rsidP="000E443E">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29,9</w:t>
            </w:r>
          </w:p>
        </w:tc>
      </w:tr>
      <w:tr w:rsidR="000E443E" w:rsidRPr="009723B1" w14:paraId="2A326229" w14:textId="77777777" w:rsidTr="002D2161">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2160" w:type="dxa"/>
            <w:noWrap/>
            <w:hideMark/>
          </w:tcPr>
          <w:p w14:paraId="32D36B40" w14:textId="77777777" w:rsidR="000E443E" w:rsidRPr="00596573" w:rsidRDefault="000E443E" w:rsidP="000E443E">
            <w:pPr>
              <w:spacing w:after="0" w:line="240" w:lineRule="auto"/>
              <w:rPr>
                <w:rFonts w:cs="Arial"/>
                <w:sz w:val="20"/>
                <w:szCs w:val="20"/>
              </w:rPr>
            </w:pPr>
            <w:r w:rsidRPr="00596573">
              <w:rPr>
                <w:rFonts w:cs="Arial"/>
                <w:sz w:val="20"/>
                <w:szCs w:val="20"/>
              </w:rPr>
              <w:t>Износ (млрд EUR)</w:t>
            </w:r>
          </w:p>
        </w:tc>
        <w:tc>
          <w:tcPr>
            <w:tcW w:w="1080" w:type="dxa"/>
            <w:noWrap/>
            <w:hideMark/>
          </w:tcPr>
          <w:p w14:paraId="73C6466C" w14:textId="77777777" w:rsidR="000E443E" w:rsidRPr="00596573" w:rsidRDefault="000E443E" w:rsidP="000E443E">
            <w:pPr>
              <w:spacing w:after="0" w:line="240" w:lineRule="auto"/>
              <w:ind w:hanging="23"/>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27,7</w:t>
            </w:r>
          </w:p>
        </w:tc>
        <w:tc>
          <w:tcPr>
            <w:tcW w:w="1080" w:type="dxa"/>
            <w:noWrap/>
            <w:hideMark/>
          </w:tcPr>
          <w:p w14:paraId="188884B7" w14:textId="77777777" w:rsidR="000E443E" w:rsidRPr="00596573" w:rsidRDefault="000E443E" w:rsidP="000E443E">
            <w:pPr>
              <w:spacing w:after="0" w:line="240" w:lineRule="auto"/>
              <w:ind w:hanging="25"/>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29,6</w:t>
            </w:r>
          </w:p>
        </w:tc>
        <w:tc>
          <w:tcPr>
            <w:tcW w:w="1080" w:type="dxa"/>
            <w:noWrap/>
            <w:hideMark/>
          </w:tcPr>
          <w:p w14:paraId="48580E1D" w14:textId="77777777" w:rsidR="000E443E" w:rsidRPr="00596573" w:rsidRDefault="000E443E" w:rsidP="000E443E">
            <w:pPr>
              <w:spacing w:after="0" w:line="240" w:lineRule="auto"/>
              <w:ind w:hanging="18"/>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33,2</w:t>
            </w:r>
          </w:p>
        </w:tc>
        <w:tc>
          <w:tcPr>
            <w:tcW w:w="990" w:type="dxa"/>
            <w:noWrap/>
            <w:hideMark/>
          </w:tcPr>
          <w:p w14:paraId="752239C3"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33,93</w:t>
            </w:r>
          </w:p>
        </w:tc>
        <w:tc>
          <w:tcPr>
            <w:tcW w:w="1080" w:type="dxa"/>
            <w:noWrap/>
            <w:hideMark/>
          </w:tcPr>
          <w:p w14:paraId="3D0ED5C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35,65</w:t>
            </w:r>
          </w:p>
        </w:tc>
        <w:tc>
          <w:tcPr>
            <w:tcW w:w="1080" w:type="dxa"/>
          </w:tcPr>
          <w:p w14:paraId="7D2B97A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22,8</w:t>
            </w:r>
          </w:p>
        </w:tc>
        <w:tc>
          <w:tcPr>
            <w:tcW w:w="1080" w:type="dxa"/>
          </w:tcPr>
          <w:p w14:paraId="0C656DCF"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596573">
              <w:rPr>
                <w:rFonts w:cs="Arial"/>
                <w:sz w:val="20"/>
                <w:szCs w:val="20"/>
              </w:rPr>
              <w:t>28,4</w:t>
            </w:r>
          </w:p>
        </w:tc>
      </w:tr>
    </w:tbl>
    <w:p w14:paraId="69EC8F11" w14:textId="77777777" w:rsidR="000E443E" w:rsidRPr="000E443E" w:rsidRDefault="000E443E" w:rsidP="000E443E">
      <w:pPr>
        <w:tabs>
          <w:tab w:val="left" w:pos="360"/>
        </w:tabs>
        <w:spacing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 и БНБ</w:t>
      </w:r>
    </w:p>
    <w:p w14:paraId="333966A7" w14:textId="77777777" w:rsidR="000E443E" w:rsidRPr="00596573" w:rsidRDefault="000E443E" w:rsidP="000E443E">
      <w:pPr>
        <w:spacing w:before="60" w:after="0" w:line="240" w:lineRule="auto"/>
        <w:jc w:val="both"/>
        <w:rPr>
          <w:rFonts w:eastAsia="Calibri" w:cs="Arial"/>
          <w:szCs w:val="24"/>
        </w:rPr>
      </w:pPr>
      <w:bookmarkStart w:id="90" w:name="_Hlk170719088"/>
      <w:r w:rsidRPr="00596573">
        <w:rPr>
          <w:rFonts w:eastAsia="Calibri" w:cs="Arial"/>
          <w:szCs w:val="24"/>
        </w:rPr>
        <w:t>Краткосрочните прогнозни стойности за ръста на БВП и другите основни макро икономически индикатори са съгласно последната Конвергентна програма на Правителството</w:t>
      </w:r>
      <w:r w:rsidRPr="00596573">
        <w:rPr>
          <w:rFonts w:eastAsia="Calibri" w:cs="Arial"/>
          <w:szCs w:val="24"/>
          <w:vertAlign w:val="superscript"/>
        </w:rPr>
        <w:footnoteReference w:id="11"/>
      </w:r>
      <w:r w:rsidRPr="00596573">
        <w:rPr>
          <w:rFonts w:eastAsia="Calibri" w:cs="Arial"/>
          <w:szCs w:val="24"/>
        </w:rPr>
        <w:t xml:space="preserve"> за периода 2024-2027 г.</w:t>
      </w:r>
    </w:p>
    <w:p w14:paraId="3C23E897" w14:textId="77777777" w:rsidR="000E443E" w:rsidRPr="00596573" w:rsidRDefault="000E443E" w:rsidP="000E443E">
      <w:pPr>
        <w:spacing w:before="60" w:after="0" w:line="240" w:lineRule="auto"/>
        <w:jc w:val="both"/>
        <w:rPr>
          <w:rFonts w:eastAsia="Calibri" w:cs="Arial"/>
          <w:szCs w:val="24"/>
        </w:rPr>
      </w:pPr>
      <w:r w:rsidRPr="00596573">
        <w:rPr>
          <w:rFonts w:eastAsia="Calibri" w:cs="Arial"/>
          <w:szCs w:val="24"/>
        </w:rPr>
        <w:t xml:space="preserve">За периода 2024–2025 г. повишението на инвестициите ще доведе до увеличение на приноса на капиталовите запаси и ускоряване на растежа на потенциалния БВП до </w:t>
      </w:r>
      <w:r w:rsidRPr="00596573">
        <w:rPr>
          <w:rFonts w:eastAsia="Calibri" w:cs="Arial"/>
          <w:szCs w:val="24"/>
        </w:rPr>
        <w:lastRenderedPageBreak/>
        <w:t xml:space="preserve">3,2% през 2024 и 2,7% през 2025 и 2026г. През 2027 г. се очаква леко забавяне в растежа до 2.6% основно поради намаляване на положителния принос на труда като фактор за потенциалния растеж. </w:t>
      </w:r>
    </w:p>
    <w:p w14:paraId="489EAD1D" w14:textId="77777777" w:rsidR="000E443E" w:rsidRPr="00596573" w:rsidRDefault="000E443E" w:rsidP="000E443E">
      <w:pPr>
        <w:spacing w:before="60" w:after="0" w:line="240" w:lineRule="auto"/>
        <w:jc w:val="both"/>
        <w:rPr>
          <w:rFonts w:eastAsia="Calibri" w:cs="Arial"/>
          <w:szCs w:val="24"/>
        </w:rPr>
      </w:pPr>
      <w:r w:rsidRPr="00596573">
        <w:rPr>
          <w:rFonts w:eastAsia="Calibri" w:cs="Arial"/>
          <w:szCs w:val="24"/>
        </w:rPr>
        <w:t>Отслабването на инфлационния натиск ще доведе до по-високо нарастване на потреблението на домакинствата. Повишението на търсенето ще се отрази положително и на частната инвестиционната активност, а растежът на публичните инвестиции ще остане висок. Под влияние на подобряващата се външна среда растежът на износа на стоки и услуги ще се ускори, а отрицателният принос на нетния износ към растежа на БВП ще се свие спрямо 2023 г.</w:t>
      </w:r>
    </w:p>
    <w:p w14:paraId="0A641D96" w14:textId="77777777" w:rsidR="000E443E" w:rsidRDefault="000E443E" w:rsidP="000E443E">
      <w:pPr>
        <w:spacing w:before="60" w:line="240" w:lineRule="auto"/>
        <w:jc w:val="both"/>
        <w:rPr>
          <w:rFonts w:eastAsia="Calibri" w:cs="Arial"/>
          <w:szCs w:val="24"/>
        </w:rPr>
      </w:pPr>
      <w:r w:rsidRPr="00596573">
        <w:rPr>
          <w:rFonts w:eastAsia="Calibri" w:cs="Arial"/>
          <w:szCs w:val="24"/>
        </w:rPr>
        <w:t xml:space="preserve"> Очаква се забавяне в растежа на инвестициите дължащо се на публичните инвестиции, докато при частните ще има ускорение свързано с намаление на несигурността и увеличение на търсенето. За периода 2027-2030 г. е направено допускане, че стойността за ръста на БВП ще се задържи малко по-висока от тази в ЕС, позовавайки се на анализираните данни и ще има стойности от 2,6%, а след това до 2040 г. ще бъде в границите на дългосрочно планираното ниво за ЕС от 2,5%.</w:t>
      </w:r>
    </w:p>
    <w:p w14:paraId="3DCFB41F" w14:textId="647BA2C1" w:rsidR="000E443E" w:rsidRPr="00596573" w:rsidRDefault="00BB0022" w:rsidP="00596573">
      <w:pPr>
        <w:spacing w:before="60" w:line="240" w:lineRule="auto"/>
        <w:jc w:val="both"/>
        <w:rPr>
          <w:rFonts w:eastAsia="Calibri" w:cs="Arial"/>
          <w:szCs w:val="24"/>
        </w:rPr>
      </w:pPr>
      <w:bookmarkStart w:id="91" w:name="_Toc17409904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96573">
        <w:rPr>
          <w:rFonts w:cs="Arial"/>
          <w:bCs/>
          <w:i/>
          <w:noProof/>
          <w:sz w:val="22"/>
        </w:rPr>
        <w:t>3</w:t>
      </w:r>
      <w:r w:rsidRPr="002E1E19">
        <w:rPr>
          <w:rFonts w:cs="Arial"/>
          <w:b/>
          <w:bCs/>
          <w:i/>
          <w:iCs/>
          <w:sz w:val="22"/>
        </w:rPr>
        <w:fldChar w:fldCharType="end"/>
      </w:r>
      <w:r>
        <w:rPr>
          <w:rFonts w:cs="Arial"/>
          <w:bCs/>
          <w:i/>
          <w:sz w:val="22"/>
        </w:rPr>
        <w:t xml:space="preserve"> </w:t>
      </w:r>
      <w:r w:rsidR="00596573" w:rsidRPr="00596573">
        <w:rPr>
          <w:rFonts w:eastAsia="Calibri" w:cs="Arial"/>
          <w:i/>
          <w:color w:val="000000"/>
          <w:sz w:val="22"/>
          <w:lang w:eastAsia="en-US"/>
        </w:rPr>
        <w:t>Прогноза за ръста на БВП в България</w:t>
      </w:r>
      <w:bookmarkEnd w:id="90"/>
      <w:bookmarkEnd w:id="91"/>
    </w:p>
    <w:tbl>
      <w:tblPr>
        <w:tblStyle w:val="LightList-Accent111"/>
        <w:tblW w:w="9440" w:type="dxa"/>
        <w:tblLook w:val="04A0" w:firstRow="1" w:lastRow="0" w:firstColumn="1" w:lastColumn="0" w:noHBand="0" w:noVBand="1"/>
      </w:tblPr>
      <w:tblGrid>
        <w:gridCol w:w="2330"/>
        <w:gridCol w:w="990"/>
        <w:gridCol w:w="1080"/>
        <w:gridCol w:w="1080"/>
        <w:gridCol w:w="990"/>
        <w:gridCol w:w="1080"/>
        <w:gridCol w:w="900"/>
        <w:gridCol w:w="990"/>
      </w:tblGrid>
      <w:tr w:rsidR="000E443E" w:rsidRPr="009723B1" w14:paraId="2D3591B5" w14:textId="77777777" w:rsidTr="00596573">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2330" w:type="dxa"/>
            <w:noWrap/>
            <w:vAlign w:val="center"/>
            <w:hideMark/>
          </w:tcPr>
          <w:p w14:paraId="643DDEAE" w14:textId="77777777" w:rsidR="000E443E" w:rsidRPr="00596573" w:rsidRDefault="000E443E" w:rsidP="000E443E">
            <w:pPr>
              <w:jc w:val="center"/>
              <w:rPr>
                <w:rFonts w:cs="Arial"/>
                <w:sz w:val="22"/>
              </w:rPr>
            </w:pPr>
            <w:r w:rsidRPr="00596573">
              <w:rPr>
                <w:rFonts w:cs="Arial"/>
                <w:sz w:val="22"/>
              </w:rPr>
              <w:t>Индикатори</w:t>
            </w:r>
          </w:p>
        </w:tc>
        <w:tc>
          <w:tcPr>
            <w:tcW w:w="990" w:type="dxa"/>
            <w:noWrap/>
            <w:vAlign w:val="center"/>
            <w:hideMark/>
          </w:tcPr>
          <w:p w14:paraId="349495C0"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2024 г.</w:t>
            </w:r>
          </w:p>
        </w:tc>
        <w:tc>
          <w:tcPr>
            <w:tcW w:w="1080" w:type="dxa"/>
            <w:noWrap/>
            <w:vAlign w:val="center"/>
            <w:hideMark/>
          </w:tcPr>
          <w:p w14:paraId="4341A6BD"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2025 г.</w:t>
            </w:r>
          </w:p>
        </w:tc>
        <w:tc>
          <w:tcPr>
            <w:tcW w:w="1080" w:type="dxa"/>
            <w:noWrap/>
            <w:vAlign w:val="center"/>
            <w:hideMark/>
          </w:tcPr>
          <w:p w14:paraId="48A67F25"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2026 г.</w:t>
            </w:r>
          </w:p>
        </w:tc>
        <w:tc>
          <w:tcPr>
            <w:tcW w:w="990" w:type="dxa"/>
            <w:noWrap/>
            <w:vAlign w:val="center"/>
            <w:hideMark/>
          </w:tcPr>
          <w:p w14:paraId="36688A28"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2027 г.</w:t>
            </w:r>
          </w:p>
        </w:tc>
        <w:tc>
          <w:tcPr>
            <w:tcW w:w="1080" w:type="dxa"/>
            <w:noWrap/>
            <w:vAlign w:val="center"/>
            <w:hideMark/>
          </w:tcPr>
          <w:p w14:paraId="6388E098"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2030 г.</w:t>
            </w:r>
          </w:p>
        </w:tc>
        <w:tc>
          <w:tcPr>
            <w:tcW w:w="900" w:type="dxa"/>
            <w:noWrap/>
            <w:vAlign w:val="center"/>
            <w:hideMark/>
          </w:tcPr>
          <w:p w14:paraId="151D0CAD"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2040 г.</w:t>
            </w:r>
          </w:p>
        </w:tc>
        <w:tc>
          <w:tcPr>
            <w:tcW w:w="990" w:type="dxa"/>
            <w:noWrap/>
            <w:vAlign w:val="center"/>
            <w:hideMark/>
          </w:tcPr>
          <w:p w14:paraId="167BFA14" w14:textId="77777777" w:rsidR="000E443E" w:rsidRPr="00596573" w:rsidRDefault="000E443E" w:rsidP="000E443E">
            <w:pPr>
              <w:ind w:right="-73" w:hanging="117"/>
              <w:jc w:val="center"/>
              <w:cnfStyle w:val="100000000000" w:firstRow="1" w:lastRow="0" w:firstColumn="0" w:lastColumn="0" w:oddVBand="0" w:evenVBand="0" w:oddHBand="0" w:evenHBand="0" w:firstRowFirstColumn="0" w:firstRowLastColumn="0" w:lastRowFirstColumn="0" w:lastRowLastColumn="0"/>
              <w:rPr>
                <w:rFonts w:cs="Arial"/>
                <w:sz w:val="22"/>
              </w:rPr>
            </w:pPr>
            <w:r w:rsidRPr="00596573">
              <w:rPr>
                <w:rFonts w:cs="Arial"/>
                <w:sz w:val="22"/>
              </w:rPr>
              <w:t>2053 г.</w:t>
            </w:r>
          </w:p>
        </w:tc>
      </w:tr>
      <w:tr w:rsidR="000E443E" w:rsidRPr="009723B1" w14:paraId="4A6DA401"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2330" w:type="dxa"/>
            <w:noWrap/>
            <w:hideMark/>
          </w:tcPr>
          <w:p w14:paraId="7B238852" w14:textId="77777777" w:rsidR="000E443E" w:rsidRPr="00596573" w:rsidRDefault="000E443E" w:rsidP="000E443E">
            <w:pPr>
              <w:spacing w:after="0" w:line="240" w:lineRule="auto"/>
              <w:jc w:val="center"/>
              <w:rPr>
                <w:rFonts w:cs="Arial"/>
                <w:sz w:val="22"/>
              </w:rPr>
            </w:pPr>
            <w:r w:rsidRPr="00596573">
              <w:rPr>
                <w:rFonts w:cs="Arial"/>
                <w:sz w:val="22"/>
              </w:rPr>
              <w:t>Ръст на БВП в %</w:t>
            </w:r>
          </w:p>
        </w:tc>
        <w:tc>
          <w:tcPr>
            <w:tcW w:w="990" w:type="dxa"/>
            <w:noWrap/>
            <w:hideMark/>
          </w:tcPr>
          <w:p w14:paraId="1D319B2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3,20%</w:t>
            </w:r>
          </w:p>
        </w:tc>
        <w:tc>
          <w:tcPr>
            <w:tcW w:w="1080" w:type="dxa"/>
            <w:noWrap/>
            <w:hideMark/>
          </w:tcPr>
          <w:p w14:paraId="1319768B"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2,70%</w:t>
            </w:r>
          </w:p>
        </w:tc>
        <w:tc>
          <w:tcPr>
            <w:tcW w:w="1080" w:type="dxa"/>
            <w:noWrap/>
            <w:hideMark/>
          </w:tcPr>
          <w:p w14:paraId="52E56A64"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2,70%</w:t>
            </w:r>
          </w:p>
        </w:tc>
        <w:tc>
          <w:tcPr>
            <w:tcW w:w="990" w:type="dxa"/>
            <w:noWrap/>
            <w:hideMark/>
          </w:tcPr>
          <w:p w14:paraId="462F6B80" w14:textId="77777777" w:rsidR="000E443E" w:rsidRPr="00596573" w:rsidRDefault="000E443E" w:rsidP="000E443E">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sz w:val="22"/>
              </w:rPr>
            </w:pPr>
            <w:r w:rsidRPr="00596573">
              <w:rPr>
                <w:rFonts w:eastAsia="Calibri" w:cs="Arial"/>
                <w:sz w:val="22"/>
              </w:rPr>
              <w:t>2,60%</w:t>
            </w:r>
          </w:p>
        </w:tc>
        <w:tc>
          <w:tcPr>
            <w:tcW w:w="1080" w:type="dxa"/>
            <w:noWrap/>
          </w:tcPr>
          <w:p w14:paraId="243BD9EE"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2,50%</w:t>
            </w:r>
          </w:p>
        </w:tc>
        <w:tc>
          <w:tcPr>
            <w:tcW w:w="900" w:type="dxa"/>
            <w:noWrap/>
          </w:tcPr>
          <w:p w14:paraId="27243D6E"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2,50%</w:t>
            </w:r>
          </w:p>
        </w:tc>
        <w:tc>
          <w:tcPr>
            <w:tcW w:w="990" w:type="dxa"/>
            <w:noWrap/>
          </w:tcPr>
          <w:p w14:paraId="345560C1"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22"/>
              </w:rPr>
            </w:pPr>
            <w:r w:rsidRPr="00596573">
              <w:rPr>
                <w:rFonts w:cs="Arial"/>
                <w:sz w:val="22"/>
              </w:rPr>
              <w:t>2,20%</w:t>
            </w:r>
          </w:p>
        </w:tc>
      </w:tr>
    </w:tbl>
    <w:p w14:paraId="6B3996AC" w14:textId="77777777" w:rsidR="000E443E" w:rsidRPr="000E443E" w:rsidRDefault="000E443E" w:rsidP="000E443E">
      <w:pPr>
        <w:tabs>
          <w:tab w:val="left" w:pos="360"/>
        </w:tabs>
        <w:spacing w:after="120" w:line="24" w:lineRule="atLeast"/>
        <w:rPr>
          <w:rFonts w:ascii="Times New Roman" w:eastAsia="Times New Roman" w:hAnsi="Times New Roman" w:cs="Times New Roman"/>
          <w:i/>
          <w:sz w:val="18"/>
          <w:szCs w:val="18"/>
        </w:rPr>
      </w:pPr>
      <w:r w:rsidRPr="000E443E">
        <w:rPr>
          <w:rFonts w:ascii="Times New Roman" w:eastAsia="Times New Roman" w:hAnsi="Times New Roman" w:cs="Times New Roman"/>
          <w:i/>
          <w:sz w:val="18"/>
          <w:szCs w:val="18"/>
        </w:rPr>
        <w:tab/>
        <w:t>Източник: НСИ, Конвергентна програма 2024-2027, МФ и Trading Economics</w:t>
      </w:r>
    </w:p>
    <w:p w14:paraId="1B563C4C" w14:textId="77777777" w:rsidR="000E443E" w:rsidRPr="00596573" w:rsidRDefault="000E443E" w:rsidP="000E443E">
      <w:pPr>
        <w:shd w:val="clear" w:color="auto" w:fill="FFFFFF"/>
        <w:spacing w:before="60" w:after="0" w:line="240" w:lineRule="auto"/>
        <w:ind w:right="-263"/>
        <w:rPr>
          <w:rFonts w:eastAsia="Calibri" w:cs="Arial"/>
          <w:szCs w:val="24"/>
        </w:rPr>
      </w:pPr>
      <w:bookmarkStart w:id="92" w:name="_Hlk170719299"/>
      <w:r w:rsidRPr="00596573">
        <w:rPr>
          <w:rFonts w:eastAsia="Calibri" w:cs="Arial"/>
          <w:szCs w:val="24"/>
        </w:rPr>
        <w:t>Направените допускания за дългосрочната прогноза на макро индикаторите са следните:</w:t>
      </w:r>
    </w:p>
    <w:p w14:paraId="5653F42B" w14:textId="4CBF6FD4" w:rsidR="000E443E" w:rsidRPr="00596573" w:rsidRDefault="000E443E" w:rsidP="000E443E">
      <w:pPr>
        <w:numPr>
          <w:ilvl w:val="0"/>
          <w:numId w:val="21"/>
        </w:numPr>
        <w:autoSpaceDE w:val="0"/>
        <w:autoSpaceDN w:val="0"/>
        <w:adjustRightInd w:val="0"/>
        <w:spacing w:before="60" w:after="0" w:line="240" w:lineRule="auto"/>
        <w:ind w:left="1068"/>
        <w:jc w:val="both"/>
        <w:rPr>
          <w:rFonts w:eastAsia="Calibri" w:cs="Arial"/>
          <w:noProof/>
          <w:color w:val="000000"/>
          <w:szCs w:val="24"/>
        </w:rPr>
      </w:pPr>
      <w:r w:rsidRPr="00596573">
        <w:rPr>
          <w:rFonts w:eastAsia="Times New Roman" w:cs="Arial"/>
          <w:szCs w:val="24"/>
        </w:rPr>
        <w:t>Международната среда ще остане нестабилна през първите няколко години, но без съществени структурни сътресения и/или недостиг на основни суровини. Продължаващото забавяне на инфлацията ще допринесе за преминаване към политика на лихвени понижения от ЕЦБ и постепенно подобрение на условията за финансиране. Очакванията са растежът в ЕС да остане потиснат в началото на 2024 г., след което да се ускори, достигайки 1% през текущата и 1.7% през 2025 г. Темповете и в ЕС, и в глобален план остават под средните стойности спрямо периода преди пандемията</w:t>
      </w:r>
      <w:r w:rsidR="00596573">
        <w:rPr>
          <w:rFonts w:eastAsia="Times New Roman" w:cs="Arial"/>
          <w:szCs w:val="24"/>
        </w:rPr>
        <w:t>;</w:t>
      </w:r>
    </w:p>
    <w:p w14:paraId="1E796639" w14:textId="77777777"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COVID-19 кризата вече не оказва влияние върху развитието на икономиката;</w:t>
      </w:r>
    </w:p>
    <w:p w14:paraId="32534956" w14:textId="77777777"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Войната в Украйна приключва до края на 2024 г. или няма да оказва такова голямо влияние върху цената на енергийните ресурси, както в периода юни 2021 - края на 2022 г.;</w:t>
      </w:r>
    </w:p>
    <w:p w14:paraId="40313DA9" w14:textId="03C318C0" w:rsidR="000E443E" w:rsidRPr="00596573" w:rsidRDefault="000E443E" w:rsidP="000E443E">
      <w:pPr>
        <w:numPr>
          <w:ilvl w:val="0"/>
          <w:numId w:val="21"/>
        </w:numPr>
        <w:autoSpaceDE w:val="0"/>
        <w:autoSpaceDN w:val="0"/>
        <w:adjustRightInd w:val="0"/>
        <w:spacing w:before="60" w:after="0" w:line="240" w:lineRule="auto"/>
        <w:ind w:left="1080"/>
        <w:jc w:val="both"/>
        <w:rPr>
          <w:rFonts w:eastAsia="Calibri" w:cs="Arial"/>
          <w:noProof/>
          <w:color w:val="000000"/>
          <w:szCs w:val="24"/>
        </w:rPr>
      </w:pPr>
      <w:r w:rsidRPr="00596573">
        <w:rPr>
          <w:rFonts w:eastAsia="Calibri" w:cs="Arial"/>
          <w:color w:val="000000"/>
          <w:szCs w:val="24"/>
        </w:rPr>
        <w:t xml:space="preserve">За периода до края на прогнозата от </w:t>
      </w:r>
      <w:r w:rsidR="009723B1" w:rsidRPr="009963CE">
        <w:rPr>
          <w:rFonts w:eastAsia="Calibri" w:cs="Arial"/>
          <w:color w:val="000000"/>
          <w:szCs w:val="24"/>
        </w:rPr>
        <w:t>25</w:t>
      </w:r>
      <w:r w:rsidRPr="00596573">
        <w:rPr>
          <w:rFonts w:eastAsia="Calibri" w:cs="Arial"/>
          <w:color w:val="000000"/>
          <w:szCs w:val="24"/>
        </w:rPr>
        <w:t xml:space="preserve"> години не са налице рискови фактори, които могат да доведат до рязка промяна на основните индикатори.</w:t>
      </w:r>
    </w:p>
    <w:p w14:paraId="3C1758EE"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lastRenderedPageBreak/>
        <w:t xml:space="preserve">През  2024 г., заедно с ускоряването на растежа на българската икономика, се очаква покачване и броя на заетите с 0,7%, с което броят на заетите ще надхвърли  равнището регистрирано през 2019 г., последната година преди COVID-19 кризата. През 2025 и 2026 г. българската икономика ще продължи да нараства с относително високи темпове, но въпреки това растежът на заетостта ще се забави. </w:t>
      </w:r>
    </w:p>
    <w:p w14:paraId="66BB88D0"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t>Търсенето на трудов ресурс ще продължи да бъде високо, но възможностите за екстензивно увеличаване на предлагането на труд все повече ще бъдат ограничени (основно поради неблагоприятните демографски процеси в страната).</w:t>
      </w:r>
      <w:r w:rsidRPr="00596573">
        <w:rPr>
          <w:rFonts w:eastAsia="Times New Roman" w:cs="Arial"/>
          <w:szCs w:val="24"/>
        </w:rPr>
        <w:t xml:space="preserve"> </w:t>
      </w:r>
      <w:r w:rsidRPr="00596573">
        <w:rPr>
          <w:rFonts w:eastAsia="Calibri" w:cs="Arial"/>
          <w:szCs w:val="24"/>
        </w:rPr>
        <w:t>Основният аргумент за това развитие е негативното демографско развитие в страната и изчерпващите се възможности за увеличаване на предлагането на труд. Въпреки че през периода 2024–2027 г. очакваме постоянен тренд на нарастване на заетостта, измененията в коефициента на безработица са минимални, като се очаква неговата стойност да достигне 4% през 2027 г.</w:t>
      </w:r>
    </w:p>
    <w:p w14:paraId="437C720C" w14:textId="77777777" w:rsidR="000E443E" w:rsidRPr="00596573" w:rsidRDefault="000E443E" w:rsidP="000E443E">
      <w:pPr>
        <w:shd w:val="clear" w:color="auto" w:fill="FFFFFF"/>
        <w:spacing w:before="60" w:after="0" w:line="240" w:lineRule="auto"/>
        <w:jc w:val="both"/>
        <w:rPr>
          <w:rFonts w:eastAsia="Times New Roman" w:cs="Arial"/>
          <w:szCs w:val="24"/>
        </w:rPr>
      </w:pPr>
      <w:r w:rsidRPr="00596573">
        <w:rPr>
          <w:rFonts w:eastAsia="Times New Roman" w:cs="Arial"/>
          <w:szCs w:val="24"/>
        </w:rPr>
        <w:t>Тенденцията на намаление на годишния темп на инфлация в страната, която се наблюдава от последното тримесечие на 2022 г., се задържа през цялата 2023 г. и продължи в началото на 2024 г. Инфлацията според ХИПЦ през февруари 2024 г. се е свила до 3.5% спрямо същия месец на предходната година. Забавянето на инфлационните процеси в страната се дължи в най-голяма степен на тенденцията на намаление на международните цени на суровините, както и на базов ефект от ускореното поскъпване през предходната година.</w:t>
      </w:r>
    </w:p>
    <w:p w14:paraId="18301213"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Times New Roman" w:cs="Arial"/>
          <w:szCs w:val="24"/>
        </w:rPr>
        <w:t>Инфлацията в края на 2024 г. се очаква да бъде 2.3%, а средногодишната – 2.4%. През следващите години инфлацията в края на годината ще продължи плавно да се забавя, по линия най-вече на очакваната динамика при международните цени. Прогнозира се тя да бъде 2.2%, 2.1% и 1.8%, съответно през 2025, 2026 и 2027 г.</w:t>
      </w:r>
    </w:p>
    <w:p w14:paraId="073222F8" w14:textId="77777777" w:rsidR="000E443E" w:rsidRPr="00596573" w:rsidRDefault="000E443E" w:rsidP="000E443E">
      <w:pPr>
        <w:shd w:val="clear" w:color="auto" w:fill="FFFFFF"/>
        <w:spacing w:before="60" w:after="0" w:line="240" w:lineRule="auto"/>
        <w:jc w:val="both"/>
        <w:rPr>
          <w:rFonts w:eastAsia="Calibri" w:cs="Arial"/>
          <w:szCs w:val="24"/>
        </w:rPr>
      </w:pPr>
      <w:r w:rsidRPr="00596573">
        <w:rPr>
          <w:rFonts w:eastAsia="Calibri" w:cs="Arial"/>
          <w:szCs w:val="24"/>
        </w:rPr>
        <w:t>За първи път през 2023 г. НСИ</w:t>
      </w:r>
      <w:r w:rsidRPr="00596573">
        <w:rPr>
          <w:rFonts w:eastAsia="Calibri" w:cs="Arial"/>
          <w:szCs w:val="24"/>
          <w:vertAlign w:val="superscript"/>
        </w:rPr>
        <w:footnoteReference w:id="12"/>
      </w:r>
      <w:r w:rsidRPr="00596573">
        <w:rPr>
          <w:rFonts w:eastAsia="Calibri" w:cs="Arial"/>
          <w:szCs w:val="24"/>
        </w:rPr>
        <w:t xml:space="preserve"> отчита положителен механичен прираст в страната, а останалите фактори, които влияят върху демографските прогнози запазват трендовете си от предишните години. Това ни дава основание да приемем реалистичната прогноза на НСИ за демографското развитие и броя на населението. </w:t>
      </w:r>
    </w:p>
    <w:p w14:paraId="2974432F" w14:textId="77777777" w:rsidR="000E443E" w:rsidRDefault="000E443E" w:rsidP="00596573">
      <w:pPr>
        <w:shd w:val="clear" w:color="auto" w:fill="FFFFFF"/>
        <w:spacing w:before="60" w:after="240" w:line="240" w:lineRule="auto"/>
        <w:jc w:val="both"/>
        <w:rPr>
          <w:rFonts w:eastAsia="Calibri" w:cs="Arial"/>
          <w:szCs w:val="24"/>
        </w:rPr>
      </w:pPr>
      <w:r w:rsidRPr="00596573">
        <w:rPr>
          <w:rFonts w:eastAsia="Calibri" w:cs="Arial"/>
          <w:szCs w:val="24"/>
        </w:rPr>
        <w:t>На база анализа и направените допускания, прогнозите за основните макро индикатори са както следва:</w:t>
      </w:r>
    </w:p>
    <w:p w14:paraId="6C4239AA" w14:textId="38DB0FC5" w:rsidR="000E443E" w:rsidRPr="00596573" w:rsidRDefault="00596573" w:rsidP="00596573">
      <w:pPr>
        <w:shd w:val="clear" w:color="auto" w:fill="FFFFFF"/>
        <w:spacing w:before="60" w:after="0" w:line="240" w:lineRule="auto"/>
        <w:jc w:val="both"/>
        <w:rPr>
          <w:rFonts w:eastAsia="Calibri" w:cs="Arial"/>
          <w:szCs w:val="24"/>
        </w:rPr>
      </w:pPr>
      <w:bookmarkStart w:id="93" w:name="_Toc17409904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4</w:t>
      </w:r>
      <w:r w:rsidRPr="002E1E19">
        <w:rPr>
          <w:rFonts w:cs="Arial"/>
          <w:b/>
          <w:bCs/>
          <w:i/>
          <w:iCs/>
          <w:sz w:val="22"/>
        </w:rPr>
        <w:fldChar w:fldCharType="end"/>
      </w:r>
      <w:r>
        <w:rPr>
          <w:rFonts w:cs="Arial"/>
          <w:bCs/>
          <w:i/>
          <w:sz w:val="22"/>
        </w:rPr>
        <w:t xml:space="preserve"> </w:t>
      </w:r>
      <w:r w:rsidRPr="00596573">
        <w:rPr>
          <w:rFonts w:eastAsia="Calibri" w:cs="Arial"/>
          <w:i/>
          <w:color w:val="000000"/>
          <w:sz w:val="22"/>
          <w:lang w:eastAsia="en-US"/>
        </w:rPr>
        <w:t>Прогнози за основните макро-икономически индикатори в България</w:t>
      </w:r>
      <w:bookmarkEnd w:id="92"/>
      <w:bookmarkEnd w:id="93"/>
    </w:p>
    <w:tbl>
      <w:tblPr>
        <w:tblStyle w:val="LightList-Accent111"/>
        <w:tblW w:w="9213" w:type="dxa"/>
        <w:tblLook w:val="04A0" w:firstRow="1" w:lastRow="0" w:firstColumn="1" w:lastColumn="0" w:noHBand="0" w:noVBand="1"/>
      </w:tblPr>
      <w:tblGrid>
        <w:gridCol w:w="1629"/>
        <w:gridCol w:w="1027"/>
        <w:gridCol w:w="984"/>
        <w:gridCol w:w="1114"/>
        <w:gridCol w:w="1154"/>
        <w:gridCol w:w="1053"/>
        <w:gridCol w:w="1106"/>
        <w:gridCol w:w="1146"/>
      </w:tblGrid>
      <w:tr w:rsidR="009723B1" w:rsidRPr="009723B1" w14:paraId="46D48FAC" w14:textId="77777777" w:rsidTr="00596573">
        <w:trPr>
          <w:cnfStyle w:val="100000000000" w:firstRow="1" w:lastRow="0" w:firstColumn="0" w:lastColumn="0" w:oddVBand="0" w:evenVBand="0" w:oddHBand="0" w:evenHBand="0" w:firstRowFirstColumn="0" w:firstRowLastColumn="0" w:lastRowFirstColumn="0" w:lastRowLastColumn="0"/>
          <w:trHeight w:val="543"/>
        </w:trPr>
        <w:tc>
          <w:tcPr>
            <w:cnfStyle w:val="001000000000" w:firstRow="0" w:lastRow="0" w:firstColumn="1" w:lastColumn="0" w:oddVBand="0" w:evenVBand="0" w:oddHBand="0" w:evenHBand="0" w:firstRowFirstColumn="0" w:firstRowLastColumn="0" w:lastRowFirstColumn="0" w:lastRowLastColumn="0"/>
            <w:tcW w:w="0" w:type="dxa"/>
            <w:noWrap/>
            <w:vAlign w:val="center"/>
            <w:hideMark/>
          </w:tcPr>
          <w:p w14:paraId="43AB158F" w14:textId="77777777" w:rsidR="000E443E" w:rsidRPr="00596573" w:rsidRDefault="000E443E" w:rsidP="000E443E">
            <w:pPr>
              <w:jc w:val="center"/>
              <w:rPr>
                <w:rFonts w:cs="Arial"/>
                <w:sz w:val="20"/>
                <w:szCs w:val="20"/>
              </w:rPr>
            </w:pPr>
            <w:r w:rsidRPr="00596573">
              <w:rPr>
                <w:rFonts w:cs="Arial"/>
                <w:sz w:val="20"/>
                <w:szCs w:val="20"/>
              </w:rPr>
              <w:t>Индикатори</w:t>
            </w:r>
          </w:p>
        </w:tc>
        <w:tc>
          <w:tcPr>
            <w:tcW w:w="949" w:type="dxa"/>
            <w:noWrap/>
            <w:vAlign w:val="center"/>
            <w:hideMark/>
          </w:tcPr>
          <w:p w14:paraId="1566F0E2"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2024 г.</w:t>
            </w:r>
          </w:p>
        </w:tc>
        <w:tc>
          <w:tcPr>
            <w:tcW w:w="0" w:type="dxa"/>
            <w:noWrap/>
            <w:vAlign w:val="center"/>
            <w:hideMark/>
          </w:tcPr>
          <w:p w14:paraId="2933D117"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2025 г.</w:t>
            </w:r>
          </w:p>
        </w:tc>
        <w:tc>
          <w:tcPr>
            <w:tcW w:w="1029" w:type="dxa"/>
            <w:noWrap/>
            <w:vAlign w:val="center"/>
            <w:hideMark/>
          </w:tcPr>
          <w:p w14:paraId="43E921AB" w14:textId="77777777" w:rsidR="000E443E" w:rsidRPr="00596573" w:rsidRDefault="000E443E" w:rsidP="000E443E">
            <w:pPr>
              <w:ind w:right="-82"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2026 г.</w:t>
            </w:r>
          </w:p>
        </w:tc>
        <w:tc>
          <w:tcPr>
            <w:tcW w:w="1066" w:type="dxa"/>
            <w:vAlign w:val="center"/>
          </w:tcPr>
          <w:p w14:paraId="61BD6D71"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2027 г.</w:t>
            </w:r>
          </w:p>
        </w:tc>
        <w:tc>
          <w:tcPr>
            <w:tcW w:w="973" w:type="dxa"/>
            <w:noWrap/>
            <w:vAlign w:val="center"/>
            <w:hideMark/>
          </w:tcPr>
          <w:p w14:paraId="3B1C7D77" w14:textId="77777777" w:rsidR="000E443E" w:rsidRPr="00596573" w:rsidRDefault="000E443E" w:rsidP="000E443E">
            <w:pPr>
              <w:ind w:right="-125"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2030 г.</w:t>
            </w:r>
          </w:p>
        </w:tc>
        <w:tc>
          <w:tcPr>
            <w:tcW w:w="1022" w:type="dxa"/>
            <w:noWrap/>
            <w:vAlign w:val="center"/>
            <w:hideMark/>
          </w:tcPr>
          <w:p w14:paraId="4F0609E8" w14:textId="77777777" w:rsidR="000E443E" w:rsidRPr="00596573" w:rsidRDefault="000E443E" w:rsidP="000E443E">
            <w:pPr>
              <w:ind w:right="-108" w:hanging="108"/>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2040 г.</w:t>
            </w:r>
          </w:p>
        </w:tc>
        <w:tc>
          <w:tcPr>
            <w:tcW w:w="1059" w:type="dxa"/>
            <w:noWrap/>
            <w:vAlign w:val="center"/>
            <w:hideMark/>
          </w:tcPr>
          <w:p w14:paraId="35B6F4A8" w14:textId="77777777" w:rsidR="000E443E" w:rsidRPr="00596573" w:rsidRDefault="000E443E" w:rsidP="000E443E">
            <w:pPr>
              <w:ind w:right="-73" w:hanging="117"/>
              <w:jc w:val="center"/>
              <w:cnfStyle w:val="100000000000" w:firstRow="1" w:lastRow="0" w:firstColumn="0" w:lastColumn="0" w:oddVBand="0" w:evenVBand="0" w:oddHBand="0" w:evenHBand="0" w:firstRowFirstColumn="0" w:firstRowLastColumn="0" w:lastRowFirstColumn="0" w:lastRowLastColumn="0"/>
              <w:rPr>
                <w:rFonts w:cs="Arial"/>
                <w:sz w:val="20"/>
                <w:szCs w:val="20"/>
              </w:rPr>
            </w:pPr>
            <w:r w:rsidRPr="00596573">
              <w:rPr>
                <w:rFonts w:cs="Arial"/>
                <w:sz w:val="20"/>
                <w:szCs w:val="20"/>
              </w:rPr>
              <w:t>2053 г.</w:t>
            </w:r>
          </w:p>
        </w:tc>
      </w:tr>
      <w:tr w:rsidR="009723B1" w:rsidRPr="009723B1" w14:paraId="259B556A"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63988DA1" w14:textId="77777777" w:rsidR="000E443E" w:rsidRPr="00596573" w:rsidRDefault="000E443E" w:rsidP="000E443E">
            <w:pPr>
              <w:spacing w:after="0" w:line="240" w:lineRule="auto"/>
              <w:rPr>
                <w:rFonts w:cs="Arial"/>
                <w:sz w:val="20"/>
                <w:szCs w:val="20"/>
              </w:rPr>
            </w:pPr>
            <w:r w:rsidRPr="00596573">
              <w:rPr>
                <w:rFonts w:cs="Arial"/>
                <w:sz w:val="20"/>
                <w:szCs w:val="20"/>
              </w:rPr>
              <w:t>Ръст на БВП</w:t>
            </w:r>
          </w:p>
        </w:tc>
        <w:tc>
          <w:tcPr>
            <w:tcW w:w="0" w:type="dxa"/>
            <w:noWrap/>
            <w:hideMark/>
          </w:tcPr>
          <w:p w14:paraId="6E7E32A7"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3,2</w:t>
            </w:r>
          </w:p>
        </w:tc>
        <w:tc>
          <w:tcPr>
            <w:tcW w:w="0" w:type="dxa"/>
            <w:noWrap/>
            <w:hideMark/>
          </w:tcPr>
          <w:p w14:paraId="7A6A1059"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2,7</w:t>
            </w:r>
          </w:p>
        </w:tc>
        <w:tc>
          <w:tcPr>
            <w:tcW w:w="1029" w:type="dxa"/>
            <w:noWrap/>
            <w:hideMark/>
          </w:tcPr>
          <w:p w14:paraId="520224E3"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2,7</w:t>
            </w:r>
          </w:p>
        </w:tc>
        <w:tc>
          <w:tcPr>
            <w:tcW w:w="1066" w:type="dxa"/>
          </w:tcPr>
          <w:p w14:paraId="374DEA5D"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2,6</w:t>
            </w:r>
          </w:p>
        </w:tc>
        <w:tc>
          <w:tcPr>
            <w:tcW w:w="973" w:type="dxa"/>
            <w:noWrap/>
            <w:hideMark/>
          </w:tcPr>
          <w:p w14:paraId="4324B9B7"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2,5</w:t>
            </w:r>
          </w:p>
        </w:tc>
        <w:tc>
          <w:tcPr>
            <w:tcW w:w="1022" w:type="dxa"/>
            <w:noWrap/>
            <w:hideMark/>
          </w:tcPr>
          <w:p w14:paraId="72F589B4"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2,5</w:t>
            </w:r>
          </w:p>
        </w:tc>
        <w:tc>
          <w:tcPr>
            <w:tcW w:w="1059" w:type="dxa"/>
            <w:noWrap/>
            <w:hideMark/>
          </w:tcPr>
          <w:p w14:paraId="50B0B1A1"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2,2</w:t>
            </w:r>
          </w:p>
        </w:tc>
      </w:tr>
      <w:tr w:rsidR="009723B1" w:rsidRPr="009723B1" w14:paraId="56503211" w14:textId="77777777" w:rsidTr="00596573">
        <w:trPr>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53289AE0" w14:textId="77777777" w:rsidR="000E443E" w:rsidRPr="00596573" w:rsidRDefault="000E443E" w:rsidP="000E443E">
            <w:pPr>
              <w:spacing w:after="0" w:line="240" w:lineRule="auto"/>
              <w:rPr>
                <w:rFonts w:cs="Arial"/>
                <w:sz w:val="20"/>
                <w:szCs w:val="20"/>
              </w:rPr>
            </w:pPr>
            <w:r w:rsidRPr="00596573">
              <w:rPr>
                <w:rFonts w:cs="Arial"/>
                <w:sz w:val="20"/>
                <w:szCs w:val="20"/>
              </w:rPr>
              <w:t>Инфлация</w:t>
            </w:r>
          </w:p>
        </w:tc>
        <w:tc>
          <w:tcPr>
            <w:tcW w:w="0" w:type="dxa"/>
            <w:noWrap/>
            <w:hideMark/>
          </w:tcPr>
          <w:p w14:paraId="57CA5545"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2,4</w:t>
            </w:r>
          </w:p>
        </w:tc>
        <w:tc>
          <w:tcPr>
            <w:tcW w:w="0" w:type="dxa"/>
            <w:noWrap/>
            <w:hideMark/>
          </w:tcPr>
          <w:p w14:paraId="0836265D"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2,2</w:t>
            </w:r>
          </w:p>
        </w:tc>
        <w:tc>
          <w:tcPr>
            <w:tcW w:w="1029" w:type="dxa"/>
            <w:noWrap/>
            <w:hideMark/>
          </w:tcPr>
          <w:p w14:paraId="206A7FA6"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2,1</w:t>
            </w:r>
          </w:p>
        </w:tc>
        <w:tc>
          <w:tcPr>
            <w:tcW w:w="1066" w:type="dxa"/>
          </w:tcPr>
          <w:p w14:paraId="30AFD02F"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973" w:type="dxa"/>
            <w:noWrap/>
            <w:hideMark/>
          </w:tcPr>
          <w:p w14:paraId="63D25C7C"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1022" w:type="dxa"/>
            <w:noWrap/>
            <w:hideMark/>
          </w:tcPr>
          <w:p w14:paraId="1832F0D8"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c>
          <w:tcPr>
            <w:tcW w:w="1059" w:type="dxa"/>
            <w:noWrap/>
            <w:hideMark/>
          </w:tcPr>
          <w:p w14:paraId="754E423E" w14:textId="77777777" w:rsidR="000E443E" w:rsidRPr="00596573" w:rsidRDefault="000E443E" w:rsidP="000E443E">
            <w:pPr>
              <w:spacing w:after="0" w:line="240" w:lineRule="auto"/>
              <w:ind w:right="-73"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1,8</w:t>
            </w:r>
          </w:p>
        </w:tc>
      </w:tr>
      <w:tr w:rsidR="009723B1" w:rsidRPr="009723B1" w14:paraId="358C3CB7" w14:textId="77777777" w:rsidTr="00596573">
        <w:trPr>
          <w:cnfStyle w:val="000000100000" w:firstRow="0" w:lastRow="0" w:firstColumn="0" w:lastColumn="0" w:oddVBand="0" w:evenVBand="0" w:oddHBand="1" w:evenHBand="0" w:firstRowFirstColumn="0" w:firstRowLastColumn="0" w:lastRowFirstColumn="0" w:lastRowLastColumn="0"/>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5D9DA598" w14:textId="77777777" w:rsidR="000E443E" w:rsidRPr="00596573" w:rsidRDefault="000E443E" w:rsidP="000E443E">
            <w:pPr>
              <w:spacing w:after="0" w:line="240" w:lineRule="auto"/>
              <w:rPr>
                <w:rFonts w:cs="Arial"/>
                <w:sz w:val="20"/>
                <w:szCs w:val="20"/>
              </w:rPr>
            </w:pPr>
            <w:r w:rsidRPr="00596573">
              <w:rPr>
                <w:rFonts w:cs="Arial"/>
                <w:sz w:val="20"/>
                <w:szCs w:val="20"/>
              </w:rPr>
              <w:t>Безработица</w:t>
            </w:r>
          </w:p>
        </w:tc>
        <w:tc>
          <w:tcPr>
            <w:tcW w:w="0" w:type="dxa"/>
            <w:noWrap/>
            <w:hideMark/>
          </w:tcPr>
          <w:p w14:paraId="03E695E2"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4,3</w:t>
            </w:r>
          </w:p>
        </w:tc>
        <w:tc>
          <w:tcPr>
            <w:tcW w:w="0" w:type="dxa"/>
            <w:noWrap/>
            <w:hideMark/>
          </w:tcPr>
          <w:p w14:paraId="4010B487"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4,2</w:t>
            </w:r>
          </w:p>
        </w:tc>
        <w:tc>
          <w:tcPr>
            <w:tcW w:w="1029" w:type="dxa"/>
            <w:noWrap/>
            <w:hideMark/>
          </w:tcPr>
          <w:p w14:paraId="5BEA6613" w14:textId="77777777" w:rsidR="000E443E" w:rsidRPr="00596573" w:rsidRDefault="000E443E" w:rsidP="000E443E">
            <w:pPr>
              <w:spacing w:after="0" w:line="240" w:lineRule="auto"/>
              <w:ind w:right="-82"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4,1</w:t>
            </w:r>
          </w:p>
        </w:tc>
        <w:tc>
          <w:tcPr>
            <w:tcW w:w="1066" w:type="dxa"/>
          </w:tcPr>
          <w:p w14:paraId="4A5AC83C"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4,0</w:t>
            </w:r>
          </w:p>
        </w:tc>
        <w:tc>
          <w:tcPr>
            <w:tcW w:w="973" w:type="dxa"/>
            <w:noWrap/>
            <w:hideMark/>
          </w:tcPr>
          <w:p w14:paraId="17C07DC4" w14:textId="77777777" w:rsidR="000E443E" w:rsidRPr="00596573" w:rsidRDefault="000E443E" w:rsidP="000E443E">
            <w:pPr>
              <w:spacing w:after="0" w:line="240" w:lineRule="auto"/>
              <w:ind w:right="-125"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c>
          <w:tcPr>
            <w:tcW w:w="1022" w:type="dxa"/>
            <w:noWrap/>
            <w:hideMark/>
          </w:tcPr>
          <w:p w14:paraId="4EA5851F" w14:textId="77777777" w:rsidR="000E443E" w:rsidRPr="00596573" w:rsidRDefault="000E443E" w:rsidP="000E443E">
            <w:pPr>
              <w:spacing w:after="0" w:line="240" w:lineRule="auto"/>
              <w:ind w:right="-108" w:hanging="108"/>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c>
          <w:tcPr>
            <w:tcW w:w="1059" w:type="dxa"/>
            <w:noWrap/>
            <w:hideMark/>
          </w:tcPr>
          <w:p w14:paraId="3EF0C397" w14:textId="77777777" w:rsidR="000E443E" w:rsidRPr="00596573" w:rsidRDefault="000E443E" w:rsidP="000E443E">
            <w:pPr>
              <w:spacing w:after="0" w:line="240" w:lineRule="auto"/>
              <w:ind w:right="-73" w:hanging="117"/>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96573">
              <w:rPr>
                <w:rFonts w:cs="Arial"/>
                <w:sz w:val="18"/>
                <w:szCs w:val="18"/>
              </w:rPr>
              <w:t>3,3</w:t>
            </w:r>
          </w:p>
        </w:tc>
      </w:tr>
      <w:tr w:rsidR="009723B1" w:rsidRPr="009723B1" w14:paraId="55E24379" w14:textId="77777777" w:rsidTr="00596573">
        <w:trPr>
          <w:trHeight w:val="360"/>
        </w:trPr>
        <w:tc>
          <w:tcPr>
            <w:cnfStyle w:val="001000000000" w:firstRow="0" w:lastRow="0" w:firstColumn="1" w:lastColumn="0" w:oddVBand="0" w:evenVBand="0" w:oddHBand="0" w:evenHBand="0" w:firstRowFirstColumn="0" w:firstRowLastColumn="0" w:lastRowFirstColumn="0" w:lastRowLastColumn="0"/>
            <w:tcW w:w="0" w:type="dxa"/>
            <w:noWrap/>
            <w:hideMark/>
          </w:tcPr>
          <w:p w14:paraId="60020F8C" w14:textId="77777777" w:rsidR="000E443E" w:rsidRPr="00596573" w:rsidRDefault="000E443E" w:rsidP="000E443E">
            <w:pPr>
              <w:spacing w:after="0" w:line="240" w:lineRule="auto"/>
              <w:rPr>
                <w:rFonts w:cs="Arial"/>
                <w:sz w:val="20"/>
                <w:szCs w:val="20"/>
              </w:rPr>
            </w:pPr>
            <w:r w:rsidRPr="00596573">
              <w:rPr>
                <w:rFonts w:cs="Arial"/>
                <w:sz w:val="20"/>
                <w:szCs w:val="20"/>
              </w:rPr>
              <w:t>Население</w:t>
            </w:r>
          </w:p>
        </w:tc>
        <w:tc>
          <w:tcPr>
            <w:tcW w:w="0" w:type="dxa"/>
            <w:noWrap/>
            <w:hideMark/>
          </w:tcPr>
          <w:p w14:paraId="4A1B4A3F"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6 777 000</w:t>
            </w:r>
          </w:p>
        </w:tc>
        <w:tc>
          <w:tcPr>
            <w:tcW w:w="0" w:type="dxa"/>
            <w:noWrap/>
            <w:hideMark/>
          </w:tcPr>
          <w:p w14:paraId="13FC2B4E"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6 735 715</w:t>
            </w:r>
          </w:p>
        </w:tc>
        <w:tc>
          <w:tcPr>
            <w:tcW w:w="1029" w:type="dxa"/>
            <w:noWrap/>
            <w:hideMark/>
          </w:tcPr>
          <w:p w14:paraId="4C160FB3" w14:textId="77777777" w:rsidR="000E443E" w:rsidRPr="00596573" w:rsidRDefault="000E443E" w:rsidP="000E443E">
            <w:pPr>
              <w:spacing w:after="0" w:line="240" w:lineRule="auto"/>
              <w:ind w:right="-82"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6 621 555</w:t>
            </w:r>
          </w:p>
        </w:tc>
        <w:tc>
          <w:tcPr>
            <w:tcW w:w="1066" w:type="dxa"/>
          </w:tcPr>
          <w:p w14:paraId="056520FF"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6 607 108</w:t>
            </w:r>
          </w:p>
        </w:tc>
        <w:tc>
          <w:tcPr>
            <w:tcW w:w="973" w:type="dxa"/>
            <w:noWrap/>
            <w:hideMark/>
          </w:tcPr>
          <w:p w14:paraId="13AF7762" w14:textId="77777777" w:rsidR="000E443E" w:rsidRPr="00596573" w:rsidRDefault="000E443E" w:rsidP="000E443E">
            <w:pPr>
              <w:spacing w:after="0" w:line="240" w:lineRule="auto"/>
              <w:ind w:right="-125"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6 527 464</w:t>
            </w:r>
          </w:p>
        </w:tc>
        <w:tc>
          <w:tcPr>
            <w:tcW w:w="1022" w:type="dxa"/>
            <w:noWrap/>
            <w:hideMark/>
          </w:tcPr>
          <w:p w14:paraId="4D83AC8A" w14:textId="77777777" w:rsidR="000E443E" w:rsidRPr="00596573" w:rsidRDefault="000E443E" w:rsidP="000E443E">
            <w:pPr>
              <w:spacing w:after="0" w:line="240" w:lineRule="auto"/>
              <w:ind w:right="-108" w:hanging="108"/>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6 135 500</w:t>
            </w:r>
          </w:p>
        </w:tc>
        <w:tc>
          <w:tcPr>
            <w:tcW w:w="1059" w:type="dxa"/>
            <w:noWrap/>
            <w:hideMark/>
          </w:tcPr>
          <w:p w14:paraId="4F7EFDFA" w14:textId="77777777" w:rsidR="000E443E" w:rsidRPr="00596573" w:rsidRDefault="000E443E" w:rsidP="000E443E">
            <w:pPr>
              <w:spacing w:after="0" w:line="240" w:lineRule="auto"/>
              <w:ind w:right="-73" w:hanging="117"/>
              <w:jc w:val="center"/>
              <w:cnfStyle w:val="000000000000" w:firstRow="0" w:lastRow="0" w:firstColumn="0" w:lastColumn="0" w:oddVBand="0" w:evenVBand="0" w:oddHBand="0" w:evenHBand="0" w:firstRowFirstColumn="0" w:firstRowLastColumn="0" w:lastRowFirstColumn="0" w:lastRowLastColumn="0"/>
              <w:rPr>
                <w:rFonts w:cs="Arial"/>
                <w:sz w:val="18"/>
                <w:szCs w:val="18"/>
              </w:rPr>
            </w:pPr>
            <w:r w:rsidRPr="00596573">
              <w:rPr>
                <w:rFonts w:cs="Arial"/>
                <w:sz w:val="18"/>
                <w:szCs w:val="18"/>
              </w:rPr>
              <w:t>5 791 137</w:t>
            </w:r>
          </w:p>
        </w:tc>
      </w:tr>
    </w:tbl>
    <w:p w14:paraId="6443691F" w14:textId="77777777" w:rsidR="000E443E" w:rsidRPr="000E443E" w:rsidRDefault="000E443E" w:rsidP="000E443E">
      <w:pPr>
        <w:spacing w:after="0" w:line="240" w:lineRule="auto"/>
        <w:ind w:firstLine="432"/>
        <w:rPr>
          <w:rFonts w:ascii="Times New Roman" w:eastAsia="Times New Roman" w:hAnsi="Times New Roman" w:cs="Times New Roman"/>
          <w:sz w:val="22"/>
        </w:rPr>
      </w:pPr>
    </w:p>
    <w:p w14:paraId="2354CD84" w14:textId="77777777" w:rsidR="002E55ED" w:rsidRPr="00DE3B1B" w:rsidRDefault="002E55ED" w:rsidP="00AA673B">
      <w:pPr>
        <w:pStyle w:val="Heading2"/>
        <w:numPr>
          <w:ilvl w:val="1"/>
          <w:numId w:val="3"/>
        </w:numPr>
        <w:ind w:left="1080" w:hanging="540"/>
        <w:rPr>
          <w:szCs w:val="24"/>
          <w:lang w:val="bg-BG"/>
        </w:rPr>
      </w:pPr>
      <w:bookmarkStart w:id="94" w:name="_Toc143694159"/>
      <w:bookmarkEnd w:id="74"/>
      <w:r w:rsidRPr="00DE3B1B">
        <w:rPr>
          <w:szCs w:val="24"/>
          <w:lang w:val="bg-BG"/>
        </w:rPr>
        <w:lastRenderedPageBreak/>
        <w:t>Анализ на търсенето</w:t>
      </w:r>
      <w:bookmarkEnd w:id="94"/>
      <w:r w:rsidRPr="00DE3B1B">
        <w:rPr>
          <w:szCs w:val="24"/>
          <w:lang w:val="bg-BG"/>
        </w:rPr>
        <w:t xml:space="preserve"> </w:t>
      </w:r>
    </w:p>
    <w:p w14:paraId="509772B4" w14:textId="0B1B8935" w:rsidR="00E614D5" w:rsidRPr="00B2424A" w:rsidRDefault="00E614D5" w:rsidP="00B2424A">
      <w:pPr>
        <w:spacing w:after="120" w:line="24" w:lineRule="atLeast"/>
        <w:jc w:val="both"/>
        <w:rPr>
          <w:rFonts w:cs="Arial"/>
          <w:szCs w:val="24"/>
        </w:rPr>
      </w:pPr>
      <w:r w:rsidRPr="00B2424A">
        <w:rPr>
          <w:rFonts w:cs="Arial"/>
          <w:szCs w:val="24"/>
        </w:rPr>
        <w:t>Анализът на търсенето се прави за Бенефициента, а не за отделното пристанище, на което ще се извършват конкретните инвестиции. Затова всички ан</w:t>
      </w:r>
      <w:r w:rsidR="00B2424A">
        <w:rPr>
          <w:rFonts w:cs="Arial"/>
          <w:szCs w:val="24"/>
        </w:rPr>
        <w:t>ализи и допускания са извършени</w:t>
      </w:r>
      <w:r w:rsidRPr="00B2424A">
        <w:rPr>
          <w:rFonts w:cs="Arial"/>
          <w:szCs w:val="24"/>
        </w:rPr>
        <w:t xml:space="preserve"> от името на ДППИ.</w:t>
      </w:r>
    </w:p>
    <w:p w14:paraId="1612202B" w14:textId="77777777" w:rsidR="00441346" w:rsidRPr="00B2424A" w:rsidRDefault="00441346" w:rsidP="00441346">
      <w:pPr>
        <w:spacing w:after="120" w:line="24" w:lineRule="atLeast"/>
        <w:jc w:val="both"/>
        <w:rPr>
          <w:rFonts w:eastAsia="Calibri" w:cs="Arial"/>
          <w:szCs w:val="24"/>
          <w:lang w:eastAsia="en-US"/>
        </w:rPr>
      </w:pPr>
      <w:bookmarkStart w:id="95" w:name="_Toc23939338"/>
      <w:bookmarkStart w:id="96" w:name="_Toc24051987"/>
      <w:bookmarkStart w:id="97" w:name="_Toc24052039"/>
      <w:bookmarkStart w:id="98" w:name="_Toc24052110"/>
      <w:bookmarkStart w:id="99" w:name="_Toc24052163"/>
      <w:bookmarkStart w:id="100" w:name="_Toc24052217"/>
      <w:bookmarkStart w:id="101" w:name="_Toc24052271"/>
      <w:bookmarkStart w:id="102" w:name="_Toc25322681"/>
      <w:bookmarkStart w:id="103" w:name="_Toc25322755"/>
      <w:bookmarkStart w:id="104" w:name="_Toc25322832"/>
      <w:bookmarkStart w:id="105" w:name="_Toc25322903"/>
      <w:bookmarkStart w:id="106" w:name="_Toc25672100"/>
      <w:bookmarkStart w:id="107" w:name="_Toc26889970"/>
      <w:bookmarkStart w:id="108" w:name="_Toc26890071"/>
      <w:bookmarkStart w:id="109" w:name="_Toc26890306"/>
      <w:bookmarkStart w:id="110" w:name="_Toc26891566"/>
      <w:bookmarkStart w:id="111" w:name="_Toc27054017"/>
      <w:bookmarkStart w:id="112" w:name="_Toc27054222"/>
      <w:bookmarkStart w:id="113" w:name="_Toc27055540"/>
      <w:bookmarkStart w:id="114" w:name="_Toc27055645"/>
      <w:bookmarkStart w:id="115" w:name="_Toc27055746"/>
      <w:bookmarkStart w:id="116" w:name="_Toc27068389"/>
      <w:bookmarkStart w:id="117" w:name="_Toc27306768"/>
      <w:bookmarkStart w:id="118" w:name="_Toc27306891"/>
      <w:bookmarkStart w:id="119" w:name="_Toc27306999"/>
      <w:bookmarkStart w:id="120" w:name="_Toc27307104"/>
      <w:bookmarkStart w:id="121" w:name="_Toc27307208"/>
      <w:bookmarkStart w:id="122" w:name="_Toc27319990"/>
      <w:bookmarkStart w:id="123" w:name="_Toc27320369"/>
      <w:bookmarkStart w:id="124" w:name="_Toc30426118"/>
      <w:bookmarkStart w:id="125" w:name="_Toc49162824"/>
      <w:bookmarkStart w:id="126" w:name="_Toc49182448"/>
      <w:bookmarkStart w:id="127" w:name="_Toc49183081"/>
      <w:bookmarkStart w:id="128" w:name="_Toc56283084"/>
      <w:bookmarkStart w:id="129" w:name="_Toc56283280"/>
      <w:bookmarkStart w:id="130" w:name="_Toc56333085"/>
      <w:bookmarkStart w:id="131" w:name="_Toc56333372"/>
      <w:bookmarkStart w:id="132" w:name="_Toc56333436"/>
      <w:bookmarkStart w:id="133" w:name="_Toc2445660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r w:rsidRPr="00B2424A">
        <w:rPr>
          <w:rFonts w:eastAsia="Calibri" w:cs="Arial"/>
          <w:szCs w:val="24"/>
          <w:lang w:eastAsia="en-US"/>
        </w:rPr>
        <w:t>Транспортната политика на ЕС, прилагана и от българското правителство, цели да насърчава екологосъобразността, безопасността и ефективността при пазара на стоки и да гарантира правото на свободен достъп на гражданите до всички точки на ЕС с предпочитан от тях вид транспорт.</w:t>
      </w:r>
    </w:p>
    <w:p w14:paraId="5068BD87"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изпълнение на тази политика, Европейската комисия прие Зелената сделка, определяща стратегическа рамка за неутрална по отношение на климата икономика на ЕС до 2050 г. За тази цел, в нея се призовава за 90 % намаляване на емисиите от транспорта до 2050 г. Приоритетните действия на Зелената сделка за преминаване към устойчива и интелигентна мобилност включват засилване на мултимодален транспорт, поддържане и  внедряване на различни решения за автоматизирана мобилност, по-добро справяне с външните разходи на транспортни дейности чрез ценообразуване, увеличаване на производството и устойчиво внедряване на алтернативни горива за транспорта, както и решения за намаляване на замърсяването от транспорта, особено в градовете.</w:t>
      </w:r>
    </w:p>
    <w:p w14:paraId="5D3BCED0" w14:textId="77777777" w:rsidR="00441346" w:rsidRPr="00B2424A" w:rsidRDefault="00441346" w:rsidP="00441346">
      <w:pPr>
        <w:spacing w:after="120" w:line="24" w:lineRule="atLeast"/>
        <w:jc w:val="both"/>
        <w:rPr>
          <w:rFonts w:eastAsia="Calibri" w:cs="Arial"/>
          <w:szCs w:val="24"/>
          <w:lang w:eastAsia="en-US"/>
        </w:rPr>
      </w:pPr>
      <w:bookmarkStart w:id="134" w:name="_Hlk95400620"/>
      <w:r w:rsidRPr="00B2424A">
        <w:rPr>
          <w:rFonts w:eastAsia="Calibri" w:cs="Arial"/>
          <w:szCs w:val="24"/>
          <w:lang w:eastAsia="en-US"/>
        </w:rPr>
        <w:t xml:space="preserve">Данните за съществуващото положение в товарните превози показва, че средно за ЕС 75,3% от стоките продължават да се превозват чрез автомобилен транспорт, 18,7% с железопътен транспорт и едва 6% с воден транспорт. </w:t>
      </w:r>
    </w:p>
    <w:bookmarkEnd w:id="134"/>
    <w:p w14:paraId="5A79FB8B"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Чрез воден транспорт се превозват основно метални руди (25,3%), сурови петролни продукти (15,1%) и химикали (11%). Средно за Европа ръстът на товарните превози чрез морски транспорт е 3% средногодишно и 2,8% за речния транспорт.</w:t>
      </w:r>
    </w:p>
    <w:p w14:paraId="14B3F89D"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При пътническите превози, модалният сплит е разпределен още по-диференцирано към сухоземния транспорт с общ дял от 82,38%. В сухоземния транспорт, автомобилният заема 82,8% от превозените пътници. Чрез автобуси са превозени 9,4% от пътниците и с железопътен транспорт 7,8% от тях. Въздушният транспорт е превозил 12,5% от пътниците, а водният 5,12%, като този дял се дължи основно на круизните кораби. Средногодишният ръст на пътническите превози с воден транспорт е 2,2%.</w:t>
      </w:r>
    </w:p>
    <w:p w14:paraId="57554ED7"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Водният транспорт е най-предпочитаният вид транспорт за масови товари на дълги разстояния, по две основателни причини:</w:t>
      </w:r>
    </w:p>
    <w:p w14:paraId="7EBE6398" w14:textId="77777777" w:rsidR="00441346" w:rsidRPr="00B2424A" w:rsidRDefault="00441346" w:rsidP="00441346">
      <w:pPr>
        <w:numPr>
          <w:ilvl w:val="0"/>
          <w:numId w:val="22"/>
        </w:numPr>
        <w:spacing w:after="120" w:line="24" w:lineRule="atLeast"/>
        <w:contextualSpacing/>
        <w:jc w:val="both"/>
        <w:rPr>
          <w:rFonts w:eastAsia="Calibri" w:cs="Arial"/>
          <w:szCs w:val="24"/>
          <w:lang w:eastAsia="en-US"/>
        </w:rPr>
      </w:pPr>
      <w:r w:rsidRPr="00B2424A">
        <w:rPr>
          <w:rFonts w:eastAsia="Calibri" w:cs="Arial"/>
          <w:szCs w:val="24"/>
          <w:lang w:eastAsia="en-US"/>
        </w:rPr>
        <w:t>Най-екологичен;</w:t>
      </w:r>
    </w:p>
    <w:p w14:paraId="68FFC816" w14:textId="77777777" w:rsidR="00441346" w:rsidRPr="00B2424A" w:rsidRDefault="00441346" w:rsidP="00441346">
      <w:pPr>
        <w:numPr>
          <w:ilvl w:val="0"/>
          <w:numId w:val="22"/>
        </w:numPr>
        <w:tabs>
          <w:tab w:val="left" w:pos="3196"/>
        </w:tabs>
        <w:spacing w:after="120" w:line="24" w:lineRule="atLeast"/>
        <w:contextualSpacing/>
        <w:jc w:val="both"/>
        <w:rPr>
          <w:rFonts w:eastAsia="Calibri" w:cs="Arial"/>
          <w:szCs w:val="24"/>
          <w:lang w:eastAsia="en-US"/>
        </w:rPr>
      </w:pPr>
      <w:r w:rsidRPr="00B2424A">
        <w:rPr>
          <w:rFonts w:eastAsia="Calibri" w:cs="Arial"/>
          <w:szCs w:val="24"/>
          <w:lang w:eastAsia="en-US"/>
        </w:rPr>
        <w:t>Най-ниска себестойност</w:t>
      </w:r>
      <w:r w:rsidRPr="00B2424A">
        <w:rPr>
          <w:rFonts w:eastAsia="Calibri" w:cs="Arial"/>
          <w:szCs w:val="24"/>
          <w:vertAlign w:val="superscript"/>
          <w:lang w:eastAsia="en-US"/>
        </w:rPr>
        <w:footnoteReference w:id="13"/>
      </w:r>
      <w:r w:rsidRPr="00B2424A">
        <w:rPr>
          <w:rFonts w:eastAsia="Calibri" w:cs="Arial"/>
          <w:szCs w:val="24"/>
          <w:lang w:eastAsia="en-US"/>
        </w:rPr>
        <w:t xml:space="preserve"> на единица извършена работа, в случая основно за 1 тон товари.</w:t>
      </w:r>
      <w:r w:rsidRPr="00B2424A">
        <w:rPr>
          <w:rFonts w:eastAsia="Calibri" w:cs="Arial"/>
          <w:szCs w:val="24"/>
          <w:lang w:eastAsia="en-US"/>
        </w:rPr>
        <w:tab/>
      </w:r>
    </w:p>
    <w:p w14:paraId="37ABD639" w14:textId="01404551" w:rsidR="00441346" w:rsidRPr="00B2424A" w:rsidRDefault="00441346" w:rsidP="00441346">
      <w:pPr>
        <w:spacing w:before="240" w:after="120" w:line="24" w:lineRule="atLeast"/>
        <w:jc w:val="both"/>
        <w:rPr>
          <w:rFonts w:eastAsia="Calibri" w:cs="Arial"/>
          <w:szCs w:val="24"/>
          <w:lang w:eastAsia="en-US"/>
        </w:rPr>
      </w:pPr>
      <w:bookmarkStart w:id="135" w:name="_Hlk95400641"/>
      <w:r w:rsidRPr="00B2424A">
        <w:rPr>
          <w:rFonts w:eastAsia="Calibri" w:cs="Arial"/>
          <w:szCs w:val="24"/>
          <w:lang w:eastAsia="en-US"/>
        </w:rPr>
        <w:lastRenderedPageBreak/>
        <w:t xml:space="preserve">Официалната статистика отчита обработените товари от водния </w:t>
      </w:r>
      <w:r w:rsidR="00B2424A">
        <w:rPr>
          <w:rFonts w:eastAsia="Calibri" w:cs="Arial"/>
          <w:szCs w:val="24"/>
          <w:lang w:eastAsia="en-US"/>
        </w:rPr>
        <w:t>транспорт в тона, а извършената работа в</w:t>
      </w:r>
      <w:r w:rsidRPr="00B2424A">
        <w:rPr>
          <w:rFonts w:eastAsia="Calibri" w:cs="Arial"/>
          <w:szCs w:val="24"/>
          <w:lang w:eastAsia="en-US"/>
        </w:rPr>
        <w:t xml:space="preserve"> тонкм и пътнкм или брой превозени пътници, което съответства на изискванията за съпоставимост на отделните видове транспорт и техния принос в модалния сплит. Това е единна практика, установена от Евростат, според изискванията на Директива 2009/42/ЕО на ЕП и на Съвета от 6 май 2009 г. относно статистическите данни при превоз на товари и пътници по море и Наредба № 919 за събиране на статистическа информация за дейността на пристанищните оператори и собствениците на пристанища и пристанищни съоръжения в Република България. Към тази методология за изходна информация от официални статистически данни са пригодени и препоръчваните методи за използване на редица инструменти за икономическа оценка на проектите, а в конкретния случай АРП. Затова прогнозата е правена за обработените товари в тона и съответно в брой кораби по видове пристанища. </w:t>
      </w:r>
    </w:p>
    <w:p w14:paraId="7855B817" w14:textId="76101272" w:rsidR="009D178F"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България водният транспорт заема 2,8% от извършената работа в товарните превози и 0,87% от превозените пътници в общия модален сплит. На база данни от НСИ</w:t>
      </w:r>
      <w:r w:rsidRPr="00B2424A">
        <w:rPr>
          <w:rFonts w:eastAsia="Calibri" w:cs="Arial"/>
          <w:szCs w:val="24"/>
          <w:vertAlign w:val="superscript"/>
          <w:lang w:eastAsia="en-US"/>
        </w:rPr>
        <w:footnoteReference w:id="14"/>
      </w:r>
      <w:r w:rsidRPr="00B2424A">
        <w:rPr>
          <w:rFonts w:eastAsia="Calibri" w:cs="Arial"/>
          <w:szCs w:val="24"/>
          <w:lang w:eastAsia="en-US"/>
        </w:rPr>
        <w:t xml:space="preserve"> в последните години има ясно изразен ръст при превоза на товари от морските пристанища в размер на 2,9% средногодишно, без отчитането на резултатите от 2020 г. и 2,29% ръст при отчитане на  спада през 2020 г. </w:t>
      </w:r>
      <w:bookmarkStart w:id="136" w:name="_Toc94192258"/>
      <w:bookmarkStart w:id="137" w:name="_Toc115547770"/>
    </w:p>
    <w:p w14:paraId="3F212D3F" w14:textId="4A55D03D" w:rsidR="00B2424A" w:rsidRDefault="00B2424A" w:rsidP="00441346">
      <w:pPr>
        <w:spacing w:after="120" w:line="24" w:lineRule="atLeast"/>
        <w:jc w:val="both"/>
        <w:rPr>
          <w:rFonts w:eastAsia="Calibri" w:cs="Arial"/>
          <w:szCs w:val="24"/>
          <w:lang w:eastAsia="en-US"/>
        </w:rPr>
      </w:pPr>
      <w:bookmarkStart w:id="138" w:name="_Toc174099090"/>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5</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Динамика на обработените товари в Българските морски пристанища</w:t>
      </w:r>
      <w:bookmarkEnd w:id="138"/>
    </w:p>
    <w:bookmarkEnd w:id="136"/>
    <w:bookmarkEnd w:id="137"/>
    <w:p w14:paraId="3948BF79" w14:textId="592298CA" w:rsidR="00441346" w:rsidRPr="00E9473B" w:rsidRDefault="00441346" w:rsidP="00B2424A">
      <w:pPr>
        <w:jc w:val="center"/>
        <w:rPr>
          <w:rFonts w:ascii="Times New Roman" w:eastAsia="Calibri" w:hAnsi="Times New Roman" w:cs="Times New Roman"/>
          <w:szCs w:val="24"/>
          <w:lang w:eastAsia="en-US"/>
        </w:rPr>
      </w:pPr>
      <w:r>
        <w:rPr>
          <w:noProof/>
          <w:lang w:val="en-US" w:eastAsia="en-US"/>
        </w:rPr>
        <w:drawing>
          <wp:inline distT="0" distB="0" distL="0" distR="0" wp14:anchorId="2B142518" wp14:editId="0A6A6A5D">
            <wp:extent cx="4695825" cy="2533650"/>
            <wp:effectExtent l="0" t="0" r="9525" b="0"/>
            <wp:docPr id="635905267" name="Диаграма 1">
              <a:extLst xmlns:a="http://schemas.openxmlformats.org/drawingml/2006/main">
                <a:ext uri="{FF2B5EF4-FFF2-40B4-BE49-F238E27FC236}">
                  <a16:creationId xmlns:a16="http://schemas.microsoft.com/office/drawing/2014/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5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6E645EC" w14:textId="2904DD8A" w:rsidR="00441346" w:rsidRPr="00B2424A" w:rsidRDefault="00441346" w:rsidP="00441346">
      <w:pPr>
        <w:suppressAutoHyphens/>
        <w:spacing w:before="120" w:after="120" w:line="240" w:lineRule="auto"/>
        <w:jc w:val="both"/>
        <w:rPr>
          <w:rFonts w:eastAsia="Calibri" w:cs="Arial"/>
          <w:szCs w:val="24"/>
          <w:lang w:eastAsia="en-US"/>
        </w:rPr>
      </w:pPr>
      <w:bookmarkStart w:id="139" w:name="_Toc94192259"/>
      <w:bookmarkStart w:id="140" w:name="_Toc115547771"/>
      <w:bookmarkEnd w:id="135"/>
      <w:r w:rsidRPr="00B2424A">
        <w:rPr>
          <w:rFonts w:eastAsia="Calibri" w:cs="Arial"/>
          <w:szCs w:val="24"/>
          <w:lang w:eastAsia="en-US"/>
        </w:rPr>
        <w:t>Кратък анализ на динамиката на товарооборота в морските пристанища показва, че в последните години в тях се обработват по 27-28 млн. тона товари. Разпределението между натоварени и разтоварени е почти 50:50, като в  годините до 2020</w:t>
      </w:r>
      <w:r w:rsidR="00B2424A">
        <w:rPr>
          <w:rFonts w:eastAsia="Calibri" w:cs="Arial"/>
          <w:szCs w:val="24"/>
          <w:lang w:eastAsia="en-US"/>
        </w:rPr>
        <w:t xml:space="preserve"> </w:t>
      </w:r>
      <w:r w:rsidRPr="00B2424A">
        <w:rPr>
          <w:rFonts w:eastAsia="Calibri" w:cs="Arial"/>
          <w:szCs w:val="24"/>
          <w:lang w:eastAsia="en-US"/>
        </w:rPr>
        <w:t xml:space="preserve">г. включително, износът заема по-голям дял от вноса. За периода след COVID-19 пандемията, вносът заема вече около 60% от товарооборота. </w:t>
      </w:r>
    </w:p>
    <w:p w14:paraId="4659FC64" w14:textId="77777777" w:rsidR="009D178F" w:rsidRDefault="00441346" w:rsidP="009D178F">
      <w:pPr>
        <w:suppressAutoHyphens/>
        <w:spacing w:before="120" w:after="120" w:line="240" w:lineRule="auto"/>
        <w:jc w:val="both"/>
        <w:rPr>
          <w:rFonts w:eastAsia="Calibri" w:cs="Arial"/>
          <w:szCs w:val="24"/>
          <w:lang w:eastAsia="en-US"/>
        </w:rPr>
      </w:pPr>
      <w:r w:rsidRPr="00B2424A">
        <w:rPr>
          <w:rFonts w:eastAsia="Calibri" w:cs="Arial"/>
          <w:szCs w:val="24"/>
          <w:lang w:eastAsia="en-US"/>
        </w:rPr>
        <w:lastRenderedPageBreak/>
        <w:t xml:space="preserve">Без големия спад през 2020 г., темпа на нарастване на товарите е съпоставим със средно Европейския ръст на товарните превози, а резултатите от последните отчетни години  показват, че може да бъде направена реалистична прогноза със сравнително добър ръст на товарооборота за периода.  </w:t>
      </w:r>
    </w:p>
    <w:p w14:paraId="40493F12" w14:textId="1C4CB8CB" w:rsidR="009D178F" w:rsidRDefault="00441346" w:rsidP="009D178F">
      <w:pPr>
        <w:suppressAutoHyphens/>
        <w:spacing w:before="120" w:after="120" w:line="240" w:lineRule="auto"/>
        <w:jc w:val="both"/>
        <w:rPr>
          <w:rFonts w:eastAsia="Calibri" w:cs="Arial"/>
          <w:szCs w:val="24"/>
          <w:lang w:eastAsia="en-US"/>
        </w:rPr>
      </w:pPr>
      <w:r w:rsidRPr="00B2424A">
        <w:rPr>
          <w:rFonts w:eastAsia="Calibri" w:cs="Arial"/>
          <w:szCs w:val="24"/>
          <w:lang w:eastAsia="en-US"/>
        </w:rPr>
        <w:t>За същия период, по данни на НСИ , в речния товарен транспорт има много слабо изразен ръст от 0,04% средногодишно, без включване на спада от 2020 г. и -0,38% с тяхното отчитане.</w:t>
      </w:r>
      <w:bookmarkStart w:id="141" w:name="_Toc159749153"/>
    </w:p>
    <w:p w14:paraId="68CAD4D7" w14:textId="59244A91" w:rsidR="00B2424A" w:rsidRDefault="00B2424A" w:rsidP="00B2424A">
      <w:pPr>
        <w:suppressAutoHyphens/>
        <w:spacing w:before="120" w:after="120" w:line="240" w:lineRule="auto"/>
        <w:jc w:val="center"/>
        <w:rPr>
          <w:rFonts w:eastAsia="Calibri" w:cs="Arial"/>
          <w:szCs w:val="24"/>
          <w:lang w:eastAsia="en-US"/>
        </w:rPr>
      </w:pPr>
      <w:bookmarkStart w:id="142" w:name="_Toc174099091"/>
      <w:r w:rsidRPr="00067F50">
        <w:rPr>
          <w:rFonts w:cstheme="minorHAnsi"/>
          <w:i/>
          <w:sz w:val="22"/>
        </w:rPr>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6</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Обработени товари в Българските речни пристанища</w:t>
      </w:r>
      <w:bookmarkEnd w:id="142"/>
    </w:p>
    <w:bookmarkEnd w:id="139"/>
    <w:bookmarkEnd w:id="140"/>
    <w:bookmarkEnd w:id="141"/>
    <w:p w14:paraId="666AD6E3" w14:textId="40CB6903" w:rsidR="00441346" w:rsidRPr="00E9473B" w:rsidRDefault="00441346" w:rsidP="00B2424A">
      <w:pPr>
        <w:suppressAutoHyphens/>
        <w:spacing w:before="120" w:after="120" w:line="240" w:lineRule="auto"/>
        <w:jc w:val="center"/>
        <w:rPr>
          <w:rFonts w:ascii="Times New Roman" w:eastAsia="Calibri" w:hAnsi="Times New Roman" w:cs="Times New Roman"/>
          <w:szCs w:val="24"/>
          <w:lang w:eastAsia="en-US"/>
        </w:rPr>
      </w:pPr>
      <w:r>
        <w:rPr>
          <w:noProof/>
          <w:lang w:val="en-US" w:eastAsia="en-US"/>
        </w:rPr>
        <w:drawing>
          <wp:inline distT="0" distB="0" distL="0" distR="0" wp14:anchorId="2E26D6C0" wp14:editId="2E8482D2">
            <wp:extent cx="5076825" cy="2752725"/>
            <wp:effectExtent l="0" t="0" r="9525" b="9525"/>
            <wp:docPr id="138073925" name="Диаграма 1">
              <a:extLst xmlns:a="http://schemas.openxmlformats.org/drawingml/2006/main">
                <a:ext uri="{FF2B5EF4-FFF2-40B4-BE49-F238E27FC236}">
                  <a16:creationId xmlns:a16="http://schemas.microsoft.com/office/drawing/2014/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2C9B6FA8" w14:textId="77777777" w:rsidR="00B2424A" w:rsidRDefault="00B2424A" w:rsidP="00441346">
      <w:pPr>
        <w:spacing w:after="120" w:line="24" w:lineRule="atLeast"/>
        <w:jc w:val="both"/>
        <w:rPr>
          <w:rFonts w:eastAsia="Calibri" w:cs="Arial"/>
          <w:szCs w:val="24"/>
          <w:lang w:eastAsia="en-US"/>
        </w:rPr>
      </w:pPr>
    </w:p>
    <w:p w14:paraId="2BC2A5AC" w14:textId="3383C155"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Дин</w:t>
      </w:r>
      <w:r w:rsidR="00B2424A">
        <w:rPr>
          <w:rFonts w:eastAsia="Calibri" w:cs="Arial"/>
          <w:szCs w:val="24"/>
          <w:lang w:eastAsia="en-US"/>
        </w:rPr>
        <w:t xml:space="preserve">амиката на обработените товари </w:t>
      </w:r>
      <w:r w:rsidRPr="00B2424A">
        <w:rPr>
          <w:rFonts w:eastAsia="Calibri" w:cs="Arial"/>
          <w:szCs w:val="24"/>
          <w:lang w:eastAsia="en-US"/>
        </w:rPr>
        <w:t>в речните пристанища показва, че след пика през 2014 и 2015 г. започва лек спад и отново ръст през 2019 г. Въпреки трудностите по време на COVID-19 пандемията пред всички видове транспорт, товарооборота в речните пристанища е с по-високи  нива от годините преди пандемията, но още не са достигнати стойностите от пика през 2015 г. Това дава основание за слабо оптимистична прогноза за развитие, в сравнение с установения средногодишен ръст, който заради големия спад през 2016 г. е леко отрицателен (-0.38%) за периода на анализа.</w:t>
      </w:r>
    </w:p>
    <w:p w14:paraId="655A7DD7" w14:textId="77777777" w:rsidR="00441346"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При превоза на пътници с воден транспорт</w:t>
      </w:r>
      <w:r w:rsidRPr="00B2424A">
        <w:rPr>
          <w:rFonts w:eastAsia="Calibri" w:cs="Arial"/>
          <w:szCs w:val="24"/>
          <w:vertAlign w:val="superscript"/>
          <w:lang w:eastAsia="en-US"/>
        </w:rPr>
        <w:footnoteReference w:id="15"/>
      </w:r>
      <w:r w:rsidRPr="00B2424A">
        <w:rPr>
          <w:rFonts w:eastAsia="Calibri" w:cs="Arial"/>
          <w:szCs w:val="24"/>
          <w:lang w:eastAsia="en-US"/>
        </w:rPr>
        <w:t xml:space="preserve"> резултатите от последните години показват значителен ръст, като тенденция, но сривът през 2020 г. (-20,66%), намалява средногодишния ръст до 2,51%.</w:t>
      </w:r>
      <w:bookmarkStart w:id="143" w:name="_Toc94192260"/>
      <w:bookmarkStart w:id="144" w:name="_Toc115547772"/>
    </w:p>
    <w:p w14:paraId="71688BB3" w14:textId="77777777" w:rsidR="00B2424A" w:rsidRDefault="00B2424A">
      <w:pPr>
        <w:rPr>
          <w:rFonts w:cstheme="minorHAnsi"/>
          <w:i/>
          <w:sz w:val="22"/>
        </w:rPr>
      </w:pPr>
      <w:r>
        <w:rPr>
          <w:rFonts w:cstheme="minorHAnsi"/>
          <w:i/>
          <w:sz w:val="22"/>
        </w:rPr>
        <w:br w:type="page"/>
      </w:r>
    </w:p>
    <w:p w14:paraId="0BE79B1D" w14:textId="6992B303" w:rsidR="00B2424A" w:rsidRPr="00B2424A" w:rsidRDefault="00B2424A" w:rsidP="00441346">
      <w:pPr>
        <w:spacing w:after="120" w:line="24" w:lineRule="atLeast"/>
        <w:jc w:val="both"/>
        <w:rPr>
          <w:rFonts w:eastAsia="Calibri" w:cs="Arial"/>
          <w:szCs w:val="24"/>
          <w:lang w:eastAsia="en-US"/>
        </w:rPr>
      </w:pPr>
      <w:bookmarkStart w:id="145" w:name="_Toc174099092"/>
      <w:r w:rsidRPr="00067F50">
        <w:rPr>
          <w:rFonts w:cstheme="minorHAnsi"/>
          <w:i/>
          <w:sz w:val="22"/>
        </w:rPr>
        <w:lastRenderedPageBreak/>
        <w:t xml:space="preserve">Графика </w:t>
      </w:r>
      <w:r w:rsidRPr="00067F50">
        <w:rPr>
          <w:rFonts w:cstheme="minorHAnsi"/>
          <w:i/>
          <w:sz w:val="22"/>
        </w:rPr>
        <w:fldChar w:fldCharType="begin"/>
      </w:r>
      <w:r w:rsidRPr="00067F50">
        <w:rPr>
          <w:rFonts w:cstheme="minorHAnsi"/>
          <w:i/>
          <w:sz w:val="22"/>
        </w:rPr>
        <w:instrText xml:space="preserve"> SEQ Фигура \* ARABIC </w:instrText>
      </w:r>
      <w:r w:rsidRPr="00067F50">
        <w:rPr>
          <w:rFonts w:cstheme="minorHAnsi"/>
          <w:i/>
          <w:sz w:val="22"/>
        </w:rPr>
        <w:fldChar w:fldCharType="separate"/>
      </w:r>
      <w:r>
        <w:rPr>
          <w:rFonts w:cstheme="minorHAnsi"/>
          <w:i/>
          <w:noProof/>
          <w:sz w:val="22"/>
        </w:rPr>
        <w:t>7</w:t>
      </w:r>
      <w:r w:rsidRPr="00067F50">
        <w:rPr>
          <w:rFonts w:cstheme="minorHAnsi"/>
          <w:i/>
          <w:sz w:val="22"/>
        </w:rPr>
        <w:fldChar w:fldCharType="end"/>
      </w:r>
      <w:r w:rsidRPr="00067F50">
        <w:rPr>
          <w:rFonts w:cstheme="minorHAnsi"/>
          <w:i/>
          <w:sz w:val="22"/>
        </w:rPr>
        <w:t xml:space="preserve"> </w:t>
      </w:r>
      <w:r w:rsidRPr="00067F50">
        <w:rPr>
          <w:rFonts w:cstheme="minorHAnsi"/>
          <w:i/>
          <w:sz w:val="22"/>
        </w:rPr>
        <w:tab/>
      </w:r>
      <w:r w:rsidRPr="00B2424A">
        <w:rPr>
          <w:rFonts w:cstheme="minorHAnsi"/>
          <w:i/>
          <w:sz w:val="22"/>
        </w:rPr>
        <w:t>Динамика на броя превозени пътници в Българските пристанища</w:t>
      </w:r>
      <w:bookmarkEnd w:id="145"/>
    </w:p>
    <w:bookmarkEnd w:id="143"/>
    <w:bookmarkEnd w:id="144"/>
    <w:p w14:paraId="53A46278" w14:textId="77777777" w:rsidR="00441346" w:rsidRPr="00E9473B" w:rsidRDefault="00441346" w:rsidP="00441346">
      <w:pPr>
        <w:spacing w:after="120" w:line="24" w:lineRule="atLeast"/>
        <w:ind w:left="1134"/>
        <w:jc w:val="both"/>
        <w:rPr>
          <w:rFonts w:ascii="Times New Roman" w:eastAsia="Calibri" w:hAnsi="Times New Roman" w:cs="Times New Roman"/>
          <w:szCs w:val="24"/>
          <w:lang w:eastAsia="en-US"/>
        </w:rPr>
      </w:pPr>
      <w:r>
        <w:rPr>
          <w:noProof/>
          <w:lang w:val="en-US" w:eastAsia="en-US"/>
        </w:rPr>
        <w:drawing>
          <wp:inline distT="0" distB="0" distL="0" distR="0" wp14:anchorId="39E51531" wp14:editId="7CE6E85F">
            <wp:extent cx="4637314" cy="2775585"/>
            <wp:effectExtent l="0" t="0" r="11430" b="5715"/>
            <wp:docPr id="540434282" name="Диаграма 1">
              <a:extLst xmlns:a="http://schemas.openxmlformats.org/drawingml/2006/main">
                <a:ext uri="{FF2B5EF4-FFF2-40B4-BE49-F238E27FC236}">
                  <a16:creationId xmlns:a16="http://schemas.microsoft.com/office/drawing/2014/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5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69C34A06" w14:textId="77777777" w:rsidR="00B2424A" w:rsidRDefault="00B2424A" w:rsidP="00441346">
      <w:pPr>
        <w:spacing w:after="120" w:line="24" w:lineRule="atLeast"/>
        <w:jc w:val="both"/>
        <w:rPr>
          <w:rFonts w:eastAsia="Calibri" w:cs="Arial"/>
          <w:szCs w:val="24"/>
          <w:lang w:eastAsia="en-US"/>
        </w:rPr>
      </w:pPr>
      <w:bookmarkStart w:id="146" w:name="_Hlk95400661"/>
    </w:p>
    <w:p w14:paraId="64627580"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Изводите за пазара на транспортни услуги от морския и речен транспорт са, че товарните превози се развиват с по-бавни темпове от средното за Европейски съюз, а пътническите превози изпреварват този тренд, което се дължи на експанзията в речните круизи и чисто географското разположение на страната ни. И в двата вида превози има основание за оптимистични прогнози по отношение на търсенето на предлаганите услуги.</w:t>
      </w:r>
    </w:p>
    <w:p w14:paraId="30429C86" w14:textId="6B1D4288" w:rsidR="00441346" w:rsidRPr="00B2424A" w:rsidRDefault="00441346" w:rsidP="00441346">
      <w:pPr>
        <w:pBdr>
          <w:top w:val="nil"/>
          <w:left w:val="nil"/>
          <w:bottom w:val="nil"/>
          <w:right w:val="nil"/>
          <w:between w:val="nil"/>
          <w:bar w:val="nil"/>
        </w:pBdr>
        <w:spacing w:before="60" w:after="60" w:line="240" w:lineRule="auto"/>
        <w:jc w:val="both"/>
        <w:rPr>
          <w:rFonts w:eastAsia="Times New Roman" w:cs="Arial"/>
          <w:szCs w:val="24"/>
          <w:u w:color="FF0000"/>
          <w:bdr w:val="nil"/>
          <w14:textOutline w14:w="12700" w14:cap="flat" w14:cmpd="sng" w14:algn="ctr">
            <w14:noFill/>
            <w14:prstDash w14:val="solid"/>
            <w14:miter w14:lim="400000"/>
          </w14:textOutline>
        </w:rPr>
      </w:pPr>
      <w:r w:rsidRPr="00B2424A">
        <w:rPr>
          <w:rFonts w:eastAsia="Arial Unicode MS" w:cs="Arial"/>
          <w:szCs w:val="24"/>
          <w:u w:color="FF0000"/>
          <w:bdr w:val="nil"/>
          <w14:textOutline w14:w="12700" w14:cap="flat" w14:cmpd="sng" w14:algn="ctr">
            <w14:noFill/>
            <w14:prstDash w14:val="solid"/>
            <w14:miter w14:lim="400000"/>
          </w14:textOutline>
        </w:rPr>
        <w:t>Инвестицията за изграждане на нови кейово място е тази, която води до промяна/ повишаване на търсенето на съответната пристанищна услуга, и е пряко свързана с изпълнението на дейности</w:t>
      </w:r>
      <w:r w:rsidR="00CC4D1F">
        <w:rPr>
          <w:rFonts w:eastAsia="Arial Unicode MS" w:cs="Arial"/>
          <w:szCs w:val="24"/>
          <w:u w:color="FF0000"/>
          <w:bdr w:val="nil"/>
          <w14:textOutline w14:w="12700" w14:cap="flat" w14:cmpd="sng" w14:algn="ctr">
            <w14:noFill/>
            <w14:prstDash w14:val="solid"/>
            <w14:miter w14:lim="400000"/>
          </w14:textOutline>
        </w:rPr>
        <w:t>те</w:t>
      </w:r>
      <w:r w:rsidRPr="00B2424A">
        <w:rPr>
          <w:rFonts w:eastAsia="Arial Unicode MS" w:cs="Arial"/>
          <w:szCs w:val="24"/>
          <w:u w:color="FF0000"/>
          <w:bdr w:val="nil"/>
          <w14:textOutline w14:w="12700" w14:cap="flat" w14:cmpd="sng" w14:algn="ctr">
            <w14:noFill/>
            <w14:prstDash w14:val="solid"/>
            <w14:miter w14:lim="400000"/>
          </w14:textOutline>
        </w:rPr>
        <w:t>, предмет на настояшия проект, поради което за целите на настоящия анализ са използвани прогнозните данни за нарастване на трафика, определени  в анализа на търсенето, разработено за изграждане на самата кейова стена.</w:t>
      </w:r>
    </w:p>
    <w:p w14:paraId="067B7F2C" w14:textId="77777777"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 xml:space="preserve">Прогнозата за търсенето е направена на ниво собственик на инфраструктурата, в случая ДППИ, съгласно изискванията на Делегиран Регламент (ЕС) № 480/2014 на Комисията от 3 март 2014 г. и Указания за изготвяне на АРП на инвестиционни проекти, където в р. 2.7.2. Методология за изготвяне на Финансовия анализ, изрично е казано, че той се изготвя от гледна точка на собственика на инфраструктурата, а  не само за конкретния проект. На това основание, в прогнозата на търсенето са включени всички пристанища, като са използвани статистически данни за тях и информация, предоставена от ДППИ по отделни такива. </w:t>
      </w:r>
    </w:p>
    <w:bookmarkEnd w:id="146"/>
    <w:p w14:paraId="4ACA8131" w14:textId="72204D83" w:rsidR="00441346" w:rsidRPr="00B2424A"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В сценария „С проект“ са направени допускания, относно ръста на трафика, в резултат от реализацията на проект „</w:t>
      </w:r>
      <w:r w:rsidR="00E614D5" w:rsidRPr="00B2424A">
        <w:rPr>
          <w:rFonts w:eastAsia="Calibri" w:cs="Arial"/>
          <w:szCs w:val="24"/>
          <w:lang w:eastAsia="en-US"/>
        </w:rPr>
        <w:t>„Превенция от наводнение на гр. Лом и терминал Лом, чрез реконструкция на Източен кей“</w:t>
      </w:r>
      <w:r w:rsidRPr="00B2424A">
        <w:rPr>
          <w:rFonts w:eastAsia="Calibri" w:cs="Arial"/>
          <w:szCs w:val="24"/>
          <w:lang w:eastAsia="en-US"/>
        </w:rPr>
        <w:t xml:space="preserve">, </w:t>
      </w:r>
      <w:r w:rsidR="00E614D5" w:rsidRPr="00B2424A">
        <w:rPr>
          <w:rFonts w:eastAsia="Calibri" w:cs="Arial"/>
          <w:szCs w:val="24"/>
          <w:lang w:eastAsia="en-US"/>
        </w:rPr>
        <w:t xml:space="preserve">който няма да доведе до </w:t>
      </w:r>
      <w:r w:rsidR="00E614D5" w:rsidRPr="00B2424A">
        <w:rPr>
          <w:rFonts w:eastAsia="Calibri" w:cs="Arial"/>
          <w:szCs w:val="24"/>
          <w:lang w:eastAsia="en-US"/>
        </w:rPr>
        <w:lastRenderedPageBreak/>
        <w:t>промяна на експлоатационните параметри на Източния кей, но ще повиши безопасността за акостиращите кораби и по този начин ще стане по привлекателно място за транспортни операции.</w:t>
      </w:r>
    </w:p>
    <w:p w14:paraId="55CB1635" w14:textId="77777777" w:rsidR="00441346" w:rsidRDefault="00441346" w:rsidP="00441346">
      <w:pPr>
        <w:spacing w:after="120" w:line="24" w:lineRule="atLeast"/>
        <w:jc w:val="both"/>
        <w:rPr>
          <w:rFonts w:eastAsia="Calibri" w:cs="Arial"/>
          <w:szCs w:val="24"/>
          <w:lang w:eastAsia="en-US"/>
        </w:rPr>
      </w:pPr>
      <w:r w:rsidRPr="00B2424A">
        <w:rPr>
          <w:rFonts w:eastAsia="Calibri" w:cs="Arial"/>
          <w:szCs w:val="24"/>
          <w:lang w:eastAsia="en-US"/>
        </w:rPr>
        <w:t>За нуждите на дългосрочните прогнози е анализиран приноса на обработените товари по пристанища, на база данни, предоставени от ДППИ. Прогнозата е направена за 25 годишен период, препоръчван за този сектор от транспорта.</w:t>
      </w:r>
    </w:p>
    <w:p w14:paraId="03FBBD12" w14:textId="642E61B0" w:rsidR="00B2424A" w:rsidRPr="00B2424A" w:rsidRDefault="00B2424A" w:rsidP="00441346">
      <w:pPr>
        <w:spacing w:after="120" w:line="24" w:lineRule="atLeast"/>
        <w:jc w:val="both"/>
        <w:rPr>
          <w:rFonts w:eastAsia="Calibri" w:cs="Arial"/>
          <w:szCs w:val="24"/>
          <w:lang w:eastAsia="en-US"/>
        </w:rPr>
      </w:pPr>
      <w:bookmarkStart w:id="147" w:name="_Toc17409905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5</w:t>
      </w:r>
      <w:r w:rsidRPr="002E1E19">
        <w:rPr>
          <w:rFonts w:cs="Arial"/>
          <w:b/>
          <w:bCs/>
          <w:i/>
          <w:iCs/>
          <w:sz w:val="22"/>
        </w:rPr>
        <w:fldChar w:fldCharType="end"/>
      </w:r>
      <w:r>
        <w:rPr>
          <w:rFonts w:cs="Arial"/>
          <w:bCs/>
          <w:i/>
          <w:sz w:val="22"/>
        </w:rPr>
        <w:t xml:space="preserve"> </w:t>
      </w:r>
      <w:r w:rsidR="00110513" w:rsidRPr="00110513">
        <w:rPr>
          <w:rFonts w:eastAsia="Calibri" w:cs="Arial"/>
          <w:i/>
          <w:color w:val="000000"/>
          <w:sz w:val="22"/>
          <w:lang w:eastAsia="en-US"/>
        </w:rPr>
        <w:t>Обработени товари по пристанища</w:t>
      </w:r>
      <w:bookmarkEnd w:id="147"/>
    </w:p>
    <w:tbl>
      <w:tblPr>
        <w:tblStyle w:val="LightList-Accent111"/>
        <w:tblW w:w="5003" w:type="pct"/>
        <w:tblLook w:val="04A0" w:firstRow="1" w:lastRow="0" w:firstColumn="1" w:lastColumn="0" w:noHBand="0" w:noVBand="1"/>
      </w:tblPr>
      <w:tblGrid>
        <w:gridCol w:w="4562"/>
        <w:gridCol w:w="1261"/>
        <w:gridCol w:w="1348"/>
        <w:gridCol w:w="1237"/>
        <w:gridCol w:w="1075"/>
      </w:tblGrid>
      <w:tr w:rsidR="00441346" w:rsidRPr="009D178F" w14:paraId="01F9F69A" w14:textId="77777777" w:rsidTr="00110513">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3E35E699" w14:textId="7D4EE018" w:rsidR="00441346" w:rsidRPr="00B2424A" w:rsidRDefault="00441346" w:rsidP="00110513">
            <w:pPr>
              <w:spacing w:before="60" w:after="60" w:line="24" w:lineRule="atLeast"/>
              <w:jc w:val="center"/>
              <w:rPr>
                <w:rFonts w:cs="Arial"/>
                <w:b w:val="0"/>
                <w:bCs w:val="0"/>
                <w:sz w:val="20"/>
                <w:szCs w:val="20"/>
              </w:rPr>
            </w:pPr>
            <w:r w:rsidRPr="00B2424A">
              <w:rPr>
                <w:rFonts w:cs="Arial"/>
                <w:sz w:val="20"/>
                <w:szCs w:val="20"/>
              </w:rPr>
              <w:t xml:space="preserve">Показатели за </w:t>
            </w:r>
            <w:r w:rsidR="00110513">
              <w:rPr>
                <w:rFonts w:cs="Arial"/>
                <w:sz w:val="20"/>
                <w:szCs w:val="20"/>
              </w:rPr>
              <w:t>обработени товари</w:t>
            </w:r>
          </w:p>
        </w:tc>
        <w:tc>
          <w:tcPr>
            <w:tcW w:w="2595" w:type="pct"/>
            <w:gridSpan w:val="4"/>
            <w:noWrap/>
            <w:hideMark/>
          </w:tcPr>
          <w:p w14:paraId="34DC496F" w14:textId="77777777" w:rsidR="00441346" w:rsidRPr="00B2424A" w:rsidRDefault="00441346" w:rsidP="00BB0022">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B2424A">
              <w:rPr>
                <w:rFonts w:cs="Arial"/>
                <w:sz w:val="20"/>
                <w:szCs w:val="20"/>
              </w:rPr>
              <w:t>2018</w:t>
            </w:r>
            <w:r w:rsidRPr="00B2424A">
              <w:rPr>
                <w:rFonts w:cs="Arial"/>
                <w:sz w:val="20"/>
                <w:szCs w:val="20"/>
                <w:lang w:val="en-US"/>
              </w:rPr>
              <w:t xml:space="preserve"> </w:t>
            </w:r>
            <w:r w:rsidRPr="00B2424A">
              <w:rPr>
                <w:rFonts w:cs="Arial"/>
                <w:sz w:val="20"/>
                <w:szCs w:val="20"/>
              </w:rPr>
              <w:t>г.</w:t>
            </w:r>
          </w:p>
        </w:tc>
      </w:tr>
      <w:tr w:rsidR="00441346" w:rsidRPr="009D178F" w14:paraId="3E63EE05"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hideMark/>
          </w:tcPr>
          <w:p w14:paraId="6D762C2A"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69892644"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4D8DFBE8"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5B05E120" w14:textId="77777777" w:rsidR="00441346" w:rsidRPr="00B2424A" w:rsidRDefault="00441346" w:rsidP="00BB0022">
            <w:pPr>
              <w:spacing w:line="24" w:lineRule="atLeast"/>
              <w:ind w:firstLine="3"/>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B9A6D6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0B6D98F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AAF1B59"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4AB8DD87"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17 105 814</w:t>
            </w:r>
          </w:p>
        </w:tc>
        <w:tc>
          <w:tcPr>
            <w:tcW w:w="711" w:type="pct"/>
            <w:noWrap/>
            <w:hideMark/>
          </w:tcPr>
          <w:p w14:paraId="311766BA"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9 731 815</w:t>
            </w:r>
          </w:p>
        </w:tc>
        <w:tc>
          <w:tcPr>
            <w:tcW w:w="652" w:type="pct"/>
            <w:noWrap/>
            <w:hideMark/>
          </w:tcPr>
          <w:p w14:paraId="69CCA983" w14:textId="77777777" w:rsidR="00441346" w:rsidRPr="00B2424A" w:rsidRDefault="00441346" w:rsidP="00BB0022">
            <w:pPr>
              <w:spacing w:line="24" w:lineRule="atLeast"/>
              <w:ind w:firstLine="3"/>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1 146 977</w:t>
            </w:r>
          </w:p>
        </w:tc>
        <w:tc>
          <w:tcPr>
            <w:tcW w:w="567" w:type="pct"/>
            <w:noWrap/>
            <w:hideMark/>
          </w:tcPr>
          <w:p w14:paraId="6B8FEC6A"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732 114</w:t>
            </w:r>
          </w:p>
        </w:tc>
      </w:tr>
      <w:tr w:rsidR="00441346" w:rsidRPr="009D178F" w14:paraId="629821F0"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69127E7"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09B46DF0"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1 815</w:t>
            </w:r>
          </w:p>
        </w:tc>
        <w:tc>
          <w:tcPr>
            <w:tcW w:w="711" w:type="pct"/>
            <w:noWrap/>
            <w:hideMark/>
          </w:tcPr>
          <w:p w14:paraId="69EA3952"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1 602</w:t>
            </w:r>
          </w:p>
        </w:tc>
        <w:tc>
          <w:tcPr>
            <w:tcW w:w="652" w:type="pct"/>
            <w:noWrap/>
            <w:hideMark/>
          </w:tcPr>
          <w:p w14:paraId="59A5F446" w14:textId="77777777" w:rsidR="00441346" w:rsidRPr="00B2424A" w:rsidRDefault="00441346" w:rsidP="00BB0022">
            <w:pPr>
              <w:spacing w:line="24" w:lineRule="atLeast"/>
              <w:ind w:firstLine="3"/>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1 234</w:t>
            </w:r>
          </w:p>
        </w:tc>
        <w:tc>
          <w:tcPr>
            <w:tcW w:w="567" w:type="pct"/>
            <w:noWrap/>
            <w:hideMark/>
          </w:tcPr>
          <w:p w14:paraId="4E991A70"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1 383</w:t>
            </w:r>
          </w:p>
        </w:tc>
      </w:tr>
      <w:tr w:rsidR="00441346" w:rsidRPr="009D178F" w14:paraId="20D02E89"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015AD992" w14:textId="270F30B9" w:rsidR="00441346" w:rsidRPr="00B2424A" w:rsidRDefault="00441346" w:rsidP="00110513">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sidR="00110513">
              <w:rPr>
                <w:rFonts w:cs="Arial"/>
                <w:color w:val="000000"/>
                <w:sz w:val="20"/>
                <w:szCs w:val="20"/>
              </w:rPr>
              <w:t>обработени товари</w:t>
            </w:r>
          </w:p>
        </w:tc>
        <w:tc>
          <w:tcPr>
            <w:tcW w:w="2595" w:type="pct"/>
            <w:gridSpan w:val="4"/>
            <w:noWrap/>
            <w:hideMark/>
          </w:tcPr>
          <w:p w14:paraId="1559604D"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2019</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3591123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6D960476"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2F361E63"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4A38936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777BD5A5"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64C0051D"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2CA71248"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97471F1"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2343F99A"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9 987 311 </w:t>
            </w:r>
          </w:p>
        </w:tc>
        <w:tc>
          <w:tcPr>
            <w:tcW w:w="711" w:type="pct"/>
            <w:noWrap/>
            <w:hideMark/>
          </w:tcPr>
          <w:p w14:paraId="01CB54A1"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16 859 282</w:t>
            </w:r>
          </w:p>
        </w:tc>
        <w:tc>
          <w:tcPr>
            <w:tcW w:w="652" w:type="pct"/>
            <w:noWrap/>
            <w:hideMark/>
          </w:tcPr>
          <w:p w14:paraId="707A4322"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1 139 847</w:t>
            </w:r>
          </w:p>
        </w:tc>
        <w:tc>
          <w:tcPr>
            <w:tcW w:w="567" w:type="pct"/>
            <w:noWrap/>
            <w:hideMark/>
          </w:tcPr>
          <w:p w14:paraId="1D6E545C"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805 130</w:t>
            </w:r>
          </w:p>
        </w:tc>
      </w:tr>
      <w:tr w:rsidR="00441346" w:rsidRPr="009D178F" w14:paraId="0329228B"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20752B3A"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4A080618"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1 953</w:t>
            </w:r>
          </w:p>
        </w:tc>
        <w:tc>
          <w:tcPr>
            <w:tcW w:w="711" w:type="pct"/>
            <w:noWrap/>
            <w:hideMark/>
          </w:tcPr>
          <w:p w14:paraId="30DE9F23"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1 820</w:t>
            </w:r>
          </w:p>
        </w:tc>
        <w:tc>
          <w:tcPr>
            <w:tcW w:w="652" w:type="pct"/>
            <w:noWrap/>
            <w:hideMark/>
          </w:tcPr>
          <w:p w14:paraId="678BC213"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1 318</w:t>
            </w:r>
          </w:p>
        </w:tc>
        <w:tc>
          <w:tcPr>
            <w:tcW w:w="567" w:type="pct"/>
            <w:noWrap/>
            <w:hideMark/>
          </w:tcPr>
          <w:p w14:paraId="77A1543A"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1 522</w:t>
            </w:r>
          </w:p>
        </w:tc>
      </w:tr>
      <w:tr w:rsidR="00441346" w:rsidRPr="009D178F" w14:paraId="7E0C242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5C1EF082" w14:textId="78118E63"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29FD860B"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2020</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399E457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32D46D19"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1A6A2C14"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7629C67E"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3BB0B7B3"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5842579"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311F5727"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7DB83AE"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0B576C73" w14:textId="77777777" w:rsidR="00441346" w:rsidRPr="00B2424A" w:rsidRDefault="00441346" w:rsidP="00BB0022">
            <w:pPr>
              <w:spacing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8 567 444 </w:t>
            </w:r>
          </w:p>
        </w:tc>
        <w:tc>
          <w:tcPr>
            <w:tcW w:w="711" w:type="pct"/>
            <w:noWrap/>
            <w:hideMark/>
          </w:tcPr>
          <w:p w14:paraId="33E84122"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14 276 180</w:t>
            </w:r>
          </w:p>
        </w:tc>
        <w:tc>
          <w:tcPr>
            <w:tcW w:w="652" w:type="pct"/>
            <w:noWrap/>
            <w:hideMark/>
          </w:tcPr>
          <w:p w14:paraId="70178885"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1 055 933</w:t>
            </w:r>
          </w:p>
        </w:tc>
        <w:tc>
          <w:tcPr>
            <w:tcW w:w="567" w:type="pct"/>
            <w:noWrap/>
            <w:hideMark/>
          </w:tcPr>
          <w:p w14:paraId="51DD47FB" w14:textId="77777777" w:rsidR="00441346" w:rsidRPr="00B2424A" w:rsidRDefault="00441346" w:rsidP="00BB0022">
            <w:pPr>
              <w:spacing w:line="24" w:lineRule="atLeast"/>
              <w:ind w:left="-12"/>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sz w:val="20"/>
                <w:szCs w:val="20"/>
              </w:rPr>
              <w:t>898 258</w:t>
            </w:r>
          </w:p>
        </w:tc>
      </w:tr>
      <w:tr w:rsidR="00441346" w:rsidRPr="009D178F" w14:paraId="077F0664"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A5F4D62"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552876C0" w14:textId="77777777" w:rsidR="00441346" w:rsidRPr="00B2424A" w:rsidRDefault="00441346" w:rsidP="00BB0022">
            <w:pPr>
              <w:spacing w:line="24" w:lineRule="atLeast"/>
              <w:ind w:left="-5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1 731</w:t>
            </w:r>
          </w:p>
        </w:tc>
        <w:tc>
          <w:tcPr>
            <w:tcW w:w="711" w:type="pct"/>
            <w:noWrap/>
            <w:hideMark/>
          </w:tcPr>
          <w:p w14:paraId="0C608EE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1 680</w:t>
            </w:r>
          </w:p>
        </w:tc>
        <w:tc>
          <w:tcPr>
            <w:tcW w:w="652" w:type="pct"/>
            <w:noWrap/>
            <w:hideMark/>
          </w:tcPr>
          <w:p w14:paraId="6F56DDA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1 188</w:t>
            </w:r>
          </w:p>
        </w:tc>
        <w:tc>
          <w:tcPr>
            <w:tcW w:w="567" w:type="pct"/>
            <w:noWrap/>
            <w:hideMark/>
          </w:tcPr>
          <w:p w14:paraId="7282302C" w14:textId="77777777" w:rsidR="00441346" w:rsidRPr="00B2424A" w:rsidRDefault="00441346" w:rsidP="00BB0022">
            <w:pPr>
              <w:spacing w:line="24" w:lineRule="atLeast"/>
              <w:ind w:left="-12"/>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1 207</w:t>
            </w:r>
          </w:p>
        </w:tc>
      </w:tr>
      <w:tr w:rsidR="00441346" w:rsidRPr="009D178F" w14:paraId="58BCC990"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2F24EE4A" w14:textId="44F40F89"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36D65D0F" w14:textId="77777777" w:rsidR="00441346" w:rsidRPr="00B2424A" w:rsidRDefault="00441346" w:rsidP="00BB0022">
            <w:pPr>
              <w:spacing w:line="24" w:lineRule="atLeast"/>
              <w:ind w:left="-50"/>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2021</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2DD38E81"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5D8D6D3B"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15A45B0F" w14:textId="77777777" w:rsidR="00441346" w:rsidRPr="00B2424A" w:rsidRDefault="00441346" w:rsidP="00BB0022">
            <w:pPr>
              <w:spacing w:line="24" w:lineRule="atLeast"/>
              <w:ind w:left="-50"/>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5D461422"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647F3357"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7EE18C62"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686A57D4" w14:textId="77777777" w:rsidTr="00110513">
        <w:trPr>
          <w:trHeight w:val="333"/>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280EAAEE" w14:textId="77777777" w:rsidR="00441346" w:rsidRPr="00B2424A" w:rsidRDefault="00441346" w:rsidP="00BB0022">
            <w:pPr>
              <w:spacing w:after="0"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55C02B8D" w14:textId="77777777" w:rsidR="00441346" w:rsidRPr="00B2424A" w:rsidRDefault="00441346" w:rsidP="00BB0022">
            <w:pPr>
              <w:spacing w:after="0"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 xml:space="preserve">8 729 295 </w:t>
            </w:r>
          </w:p>
        </w:tc>
        <w:tc>
          <w:tcPr>
            <w:tcW w:w="711" w:type="pct"/>
            <w:noWrap/>
            <w:hideMark/>
          </w:tcPr>
          <w:p w14:paraId="485397D0"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16 801 283</w:t>
            </w:r>
          </w:p>
        </w:tc>
        <w:tc>
          <w:tcPr>
            <w:tcW w:w="652" w:type="pct"/>
            <w:noWrap/>
            <w:hideMark/>
          </w:tcPr>
          <w:p w14:paraId="49F3ED5D"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1 191 733</w:t>
            </w:r>
          </w:p>
        </w:tc>
        <w:tc>
          <w:tcPr>
            <w:tcW w:w="567" w:type="pct"/>
            <w:noWrap/>
            <w:hideMark/>
          </w:tcPr>
          <w:p w14:paraId="2DE5EAB8" w14:textId="77777777" w:rsidR="00441346" w:rsidRPr="00B2424A" w:rsidRDefault="00441346" w:rsidP="00BB0022">
            <w:pPr>
              <w:spacing w:after="0"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860</w:t>
            </w:r>
            <w:r w:rsidRPr="00B2424A">
              <w:rPr>
                <w:rFonts w:cs="Arial"/>
                <w:color w:val="000000"/>
                <w:sz w:val="20"/>
                <w:szCs w:val="20"/>
                <w:lang w:val="en-US"/>
              </w:rPr>
              <w:t xml:space="preserve"> </w:t>
            </w:r>
            <w:r w:rsidRPr="00B2424A">
              <w:rPr>
                <w:rFonts w:cs="Arial"/>
                <w:color w:val="000000"/>
                <w:sz w:val="20"/>
                <w:szCs w:val="20"/>
              </w:rPr>
              <w:t>086</w:t>
            </w:r>
          </w:p>
        </w:tc>
      </w:tr>
      <w:tr w:rsidR="00441346" w:rsidRPr="009D178F" w14:paraId="2CCA3483"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52B848B1"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02C97EA1"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1 662</w:t>
            </w:r>
          </w:p>
        </w:tc>
        <w:tc>
          <w:tcPr>
            <w:tcW w:w="711" w:type="pct"/>
            <w:noWrap/>
            <w:hideMark/>
          </w:tcPr>
          <w:p w14:paraId="070B8F2E"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 xml:space="preserve"> 1 635</w:t>
            </w:r>
          </w:p>
        </w:tc>
        <w:tc>
          <w:tcPr>
            <w:tcW w:w="652" w:type="pct"/>
            <w:noWrap/>
            <w:hideMark/>
          </w:tcPr>
          <w:p w14:paraId="61807D07"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1 341</w:t>
            </w:r>
          </w:p>
        </w:tc>
        <w:tc>
          <w:tcPr>
            <w:tcW w:w="567" w:type="pct"/>
            <w:noWrap/>
            <w:hideMark/>
          </w:tcPr>
          <w:p w14:paraId="1949518C"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1 319</w:t>
            </w:r>
          </w:p>
        </w:tc>
      </w:tr>
      <w:tr w:rsidR="00441346" w:rsidRPr="009D178F" w14:paraId="7F863868"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644D5875" w14:textId="6F294D29" w:rsidR="00441346" w:rsidRPr="00B2424A" w:rsidRDefault="00110513" w:rsidP="00BB0022">
            <w:pPr>
              <w:spacing w:line="24" w:lineRule="atLeast"/>
              <w:jc w:val="center"/>
              <w:rPr>
                <w:rFonts w:cs="Arial"/>
                <w:b w:val="0"/>
                <w:bCs w:val="0"/>
                <w:color w:val="000000"/>
                <w:sz w:val="20"/>
                <w:szCs w:val="20"/>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06477CAA" w14:textId="77777777" w:rsidR="00441346" w:rsidRPr="00B2424A" w:rsidRDefault="00441346" w:rsidP="00BB0022">
            <w:pPr>
              <w:spacing w:line="24" w:lineRule="atLeast"/>
              <w:ind w:left="-50"/>
              <w:jc w:val="center"/>
              <w:cnfStyle w:val="000000000000" w:firstRow="0" w:lastRow="0" w:firstColumn="0" w:lastColumn="0" w:oddVBand="0" w:evenVBand="0" w:oddHBand="0" w:evenHBand="0" w:firstRowFirstColumn="0" w:firstRowLastColumn="0" w:lastRowFirstColumn="0" w:lastRowLastColumn="0"/>
              <w:rPr>
                <w:rFonts w:cs="Arial"/>
                <w:b/>
                <w:color w:val="000000"/>
                <w:sz w:val="20"/>
                <w:szCs w:val="20"/>
              </w:rPr>
            </w:pPr>
            <w:r w:rsidRPr="00B2424A">
              <w:rPr>
                <w:rFonts w:cs="Arial"/>
                <w:b/>
                <w:color w:val="000000"/>
                <w:sz w:val="20"/>
                <w:szCs w:val="20"/>
              </w:rPr>
              <w:t>2022</w:t>
            </w:r>
            <w:r w:rsidRPr="00B2424A">
              <w:rPr>
                <w:rFonts w:cs="Arial"/>
                <w:b/>
                <w:color w:val="000000"/>
                <w:sz w:val="20"/>
                <w:szCs w:val="20"/>
                <w:lang w:val="en-US"/>
              </w:rPr>
              <w:t xml:space="preserve"> </w:t>
            </w:r>
            <w:r w:rsidRPr="00B2424A">
              <w:rPr>
                <w:rFonts w:cs="Arial"/>
                <w:b/>
                <w:color w:val="000000"/>
                <w:sz w:val="20"/>
                <w:szCs w:val="20"/>
              </w:rPr>
              <w:t>г.</w:t>
            </w:r>
          </w:p>
        </w:tc>
      </w:tr>
      <w:tr w:rsidR="00441346" w:rsidRPr="009D178F" w14:paraId="7757F4C6"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5B2EE5E4" w14:textId="77777777" w:rsidR="00441346" w:rsidRPr="00B2424A" w:rsidRDefault="00441346" w:rsidP="00BB0022">
            <w:pPr>
              <w:spacing w:line="24" w:lineRule="atLeast"/>
              <w:jc w:val="center"/>
              <w:rPr>
                <w:rFonts w:cs="Arial"/>
                <w:b w:val="0"/>
                <w:bCs w:val="0"/>
                <w:color w:val="000000"/>
                <w:sz w:val="20"/>
                <w:szCs w:val="20"/>
              </w:rPr>
            </w:pPr>
          </w:p>
        </w:tc>
        <w:tc>
          <w:tcPr>
            <w:tcW w:w="665" w:type="pct"/>
            <w:noWrap/>
            <w:hideMark/>
          </w:tcPr>
          <w:p w14:paraId="31363C43" w14:textId="77777777" w:rsidR="00441346" w:rsidRPr="00B2424A" w:rsidRDefault="00441346" w:rsidP="00BB0022">
            <w:pPr>
              <w:spacing w:line="24" w:lineRule="atLeast"/>
              <w:ind w:left="-50"/>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Варна</w:t>
            </w:r>
          </w:p>
        </w:tc>
        <w:tc>
          <w:tcPr>
            <w:tcW w:w="711" w:type="pct"/>
            <w:noWrap/>
            <w:hideMark/>
          </w:tcPr>
          <w:p w14:paraId="08B2A76A"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Бургас</w:t>
            </w:r>
          </w:p>
        </w:tc>
        <w:tc>
          <w:tcPr>
            <w:tcW w:w="652" w:type="pct"/>
            <w:noWrap/>
            <w:hideMark/>
          </w:tcPr>
          <w:p w14:paraId="48CD5584"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Русе</w:t>
            </w:r>
          </w:p>
        </w:tc>
        <w:tc>
          <w:tcPr>
            <w:tcW w:w="567" w:type="pct"/>
            <w:noWrap/>
            <w:hideMark/>
          </w:tcPr>
          <w:p w14:paraId="085671CA"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B2424A">
              <w:rPr>
                <w:rFonts w:cs="Arial"/>
                <w:b/>
                <w:bCs/>
                <w:color w:val="000000"/>
                <w:sz w:val="20"/>
                <w:szCs w:val="20"/>
              </w:rPr>
              <w:t>Лом</w:t>
            </w:r>
          </w:p>
        </w:tc>
      </w:tr>
      <w:tr w:rsidR="00441346" w:rsidRPr="009D178F" w14:paraId="7ECDBA08" w14:textId="77777777" w:rsidTr="00110513">
        <w:trPr>
          <w:trHeight w:val="333"/>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04563816" w14:textId="77777777" w:rsidR="00441346" w:rsidRPr="00B2424A" w:rsidRDefault="00441346" w:rsidP="00BB0022">
            <w:pPr>
              <w:spacing w:after="0" w:line="24" w:lineRule="atLeast"/>
              <w:jc w:val="center"/>
              <w:rPr>
                <w:rFonts w:cs="Arial"/>
                <w:color w:val="000000"/>
                <w:sz w:val="20"/>
                <w:szCs w:val="20"/>
              </w:rPr>
            </w:pPr>
            <w:r w:rsidRPr="00B2424A">
              <w:rPr>
                <w:rFonts w:cs="Arial"/>
                <w:color w:val="000000"/>
                <w:sz w:val="20"/>
                <w:szCs w:val="20"/>
              </w:rPr>
              <w:t>Обработени товари в тона</w:t>
            </w:r>
          </w:p>
        </w:tc>
        <w:tc>
          <w:tcPr>
            <w:tcW w:w="665" w:type="pct"/>
            <w:noWrap/>
            <w:hideMark/>
          </w:tcPr>
          <w:p w14:paraId="7AB243AF" w14:textId="77777777" w:rsidR="00441346" w:rsidRPr="00B2424A" w:rsidRDefault="00441346" w:rsidP="00BB0022">
            <w:pPr>
              <w:spacing w:after="0" w:line="24" w:lineRule="atLeast"/>
              <w:ind w:left="-5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8 692 585</w:t>
            </w:r>
          </w:p>
        </w:tc>
        <w:tc>
          <w:tcPr>
            <w:tcW w:w="711" w:type="pct"/>
            <w:noWrap/>
            <w:hideMark/>
          </w:tcPr>
          <w:p w14:paraId="23DB8A69"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20 643 538</w:t>
            </w:r>
          </w:p>
        </w:tc>
        <w:tc>
          <w:tcPr>
            <w:tcW w:w="652" w:type="pct"/>
            <w:noWrap/>
            <w:hideMark/>
          </w:tcPr>
          <w:p w14:paraId="38599F1C" w14:textId="77777777" w:rsidR="00441346" w:rsidRPr="00B2424A" w:rsidRDefault="00441346" w:rsidP="00BB0022">
            <w:pPr>
              <w:spacing w:after="0" w:line="24" w:lineRule="atLeast"/>
              <w:ind w:hanging="18"/>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1 225 784</w:t>
            </w:r>
          </w:p>
        </w:tc>
        <w:tc>
          <w:tcPr>
            <w:tcW w:w="567" w:type="pct"/>
            <w:noWrap/>
            <w:hideMark/>
          </w:tcPr>
          <w:p w14:paraId="6139BB27" w14:textId="77777777" w:rsidR="00441346" w:rsidRPr="00B2424A" w:rsidRDefault="00441346" w:rsidP="00BB0022">
            <w:pPr>
              <w:spacing w:after="0" w:line="24" w:lineRule="atLeast"/>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2424A">
              <w:rPr>
                <w:rFonts w:cs="Arial"/>
                <w:color w:val="000000"/>
                <w:sz w:val="20"/>
                <w:szCs w:val="20"/>
              </w:rPr>
              <w:t>545 050</w:t>
            </w:r>
          </w:p>
        </w:tc>
      </w:tr>
      <w:tr w:rsidR="00441346" w:rsidRPr="009D178F" w14:paraId="73D61507"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3566B034" w14:textId="77777777" w:rsidR="00441346" w:rsidRPr="00B2424A" w:rsidRDefault="00441346" w:rsidP="00BB0022">
            <w:pPr>
              <w:spacing w:line="24" w:lineRule="atLeast"/>
              <w:jc w:val="center"/>
              <w:rPr>
                <w:rFonts w:cs="Arial"/>
                <w:color w:val="000000"/>
                <w:sz w:val="20"/>
                <w:szCs w:val="20"/>
              </w:rPr>
            </w:pPr>
            <w:r w:rsidRPr="00B2424A">
              <w:rPr>
                <w:rFonts w:cs="Arial"/>
                <w:color w:val="000000"/>
                <w:sz w:val="20"/>
                <w:szCs w:val="20"/>
              </w:rPr>
              <w:t>Брой корабни посещения - товарни кораби</w:t>
            </w:r>
          </w:p>
        </w:tc>
        <w:tc>
          <w:tcPr>
            <w:tcW w:w="665" w:type="pct"/>
            <w:noWrap/>
            <w:hideMark/>
          </w:tcPr>
          <w:p w14:paraId="3F8298ED"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1 306</w:t>
            </w:r>
          </w:p>
        </w:tc>
        <w:tc>
          <w:tcPr>
            <w:tcW w:w="711" w:type="pct"/>
            <w:noWrap/>
            <w:hideMark/>
          </w:tcPr>
          <w:p w14:paraId="1031945E"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1 597</w:t>
            </w:r>
          </w:p>
        </w:tc>
        <w:tc>
          <w:tcPr>
            <w:tcW w:w="652" w:type="pct"/>
            <w:noWrap/>
            <w:hideMark/>
          </w:tcPr>
          <w:p w14:paraId="59158C93"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2 921</w:t>
            </w:r>
          </w:p>
        </w:tc>
        <w:tc>
          <w:tcPr>
            <w:tcW w:w="567" w:type="pct"/>
            <w:noWrap/>
            <w:hideMark/>
          </w:tcPr>
          <w:p w14:paraId="2ABEC69C"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2424A">
              <w:rPr>
                <w:rFonts w:cs="Arial"/>
                <w:color w:val="000000"/>
                <w:sz w:val="20"/>
                <w:szCs w:val="20"/>
              </w:rPr>
              <w:t>1 082</w:t>
            </w:r>
          </w:p>
        </w:tc>
      </w:tr>
      <w:tr w:rsidR="00441346" w:rsidRPr="009D178F" w14:paraId="177FA94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vMerge w:val="restart"/>
            <w:noWrap/>
            <w:vAlign w:val="center"/>
            <w:hideMark/>
          </w:tcPr>
          <w:p w14:paraId="76F19CE2" w14:textId="7D1D810A" w:rsidR="00441346" w:rsidRPr="00B2424A" w:rsidRDefault="00110513" w:rsidP="00BB0022">
            <w:pPr>
              <w:spacing w:line="24" w:lineRule="atLeast"/>
              <w:jc w:val="center"/>
              <w:rPr>
                <w:rFonts w:eastAsia="Calibri" w:cs="Arial"/>
                <w:color w:val="000000"/>
                <w:sz w:val="20"/>
                <w:szCs w:val="20"/>
                <w14:ligatures w14:val="standardContextual"/>
              </w:rPr>
            </w:pPr>
            <w:r w:rsidRPr="00B2424A">
              <w:rPr>
                <w:rFonts w:cs="Arial"/>
                <w:color w:val="000000"/>
                <w:sz w:val="20"/>
                <w:szCs w:val="20"/>
              </w:rPr>
              <w:t xml:space="preserve">Показатели за </w:t>
            </w:r>
            <w:r>
              <w:rPr>
                <w:rFonts w:cs="Arial"/>
                <w:color w:val="000000"/>
                <w:sz w:val="20"/>
                <w:szCs w:val="20"/>
              </w:rPr>
              <w:t>обработени товари</w:t>
            </w:r>
          </w:p>
        </w:tc>
        <w:tc>
          <w:tcPr>
            <w:tcW w:w="2595" w:type="pct"/>
            <w:gridSpan w:val="4"/>
            <w:noWrap/>
            <w:hideMark/>
          </w:tcPr>
          <w:p w14:paraId="2E1C874F" w14:textId="77777777" w:rsidR="00441346" w:rsidRPr="00B2424A" w:rsidRDefault="00441346" w:rsidP="00BB0022">
            <w:pPr>
              <w:spacing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2023 г.</w:t>
            </w:r>
          </w:p>
        </w:tc>
      </w:tr>
      <w:tr w:rsidR="00441346" w:rsidRPr="009D178F" w14:paraId="569A32E7"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405" w:type="pct"/>
            <w:vMerge/>
            <w:vAlign w:val="center"/>
            <w:hideMark/>
          </w:tcPr>
          <w:p w14:paraId="178D0E5D" w14:textId="77777777" w:rsidR="00441346" w:rsidRPr="00B2424A" w:rsidRDefault="00441346" w:rsidP="00BB0022">
            <w:pPr>
              <w:spacing w:after="0" w:line="240" w:lineRule="auto"/>
              <w:rPr>
                <w:rFonts w:eastAsia="Calibri" w:cs="Arial"/>
                <w:color w:val="000000"/>
                <w:sz w:val="20"/>
                <w:szCs w:val="20"/>
                <w14:ligatures w14:val="standardContextual"/>
              </w:rPr>
            </w:pPr>
          </w:p>
        </w:tc>
        <w:tc>
          <w:tcPr>
            <w:tcW w:w="665" w:type="pct"/>
            <w:noWrap/>
            <w:hideMark/>
          </w:tcPr>
          <w:p w14:paraId="196CC0E8"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Варна</w:t>
            </w:r>
          </w:p>
        </w:tc>
        <w:tc>
          <w:tcPr>
            <w:tcW w:w="711" w:type="pct"/>
            <w:noWrap/>
            <w:hideMark/>
          </w:tcPr>
          <w:p w14:paraId="7C3143D1" w14:textId="77777777" w:rsidR="00441346" w:rsidRPr="00B2424A" w:rsidRDefault="00441346" w:rsidP="00BB0022">
            <w:pPr>
              <w:spacing w:line="24" w:lineRule="atLeast"/>
              <w:ind w:hanging="18"/>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Бургас</w:t>
            </w:r>
          </w:p>
        </w:tc>
        <w:tc>
          <w:tcPr>
            <w:tcW w:w="652" w:type="pct"/>
            <w:noWrap/>
            <w:hideMark/>
          </w:tcPr>
          <w:p w14:paraId="0903AA55" w14:textId="77777777" w:rsidR="00441346" w:rsidRPr="00B2424A" w:rsidRDefault="00441346" w:rsidP="00BB0022">
            <w:pPr>
              <w:spacing w:line="24" w:lineRule="atLeast"/>
              <w:ind w:firstLine="3"/>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Русе</w:t>
            </w:r>
          </w:p>
        </w:tc>
        <w:tc>
          <w:tcPr>
            <w:tcW w:w="567" w:type="pct"/>
            <w:noWrap/>
            <w:hideMark/>
          </w:tcPr>
          <w:p w14:paraId="6CAA26AA" w14:textId="77777777" w:rsidR="00441346" w:rsidRPr="00B2424A" w:rsidRDefault="00441346" w:rsidP="00BB0022">
            <w:pPr>
              <w:spacing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b/>
                <w:bCs/>
                <w:color w:val="000000"/>
                <w:sz w:val="20"/>
                <w:szCs w:val="20"/>
                <w14:ligatures w14:val="standardContextual"/>
              </w:rPr>
            </w:pPr>
            <w:r w:rsidRPr="00B2424A">
              <w:rPr>
                <w:rFonts w:eastAsia="Calibri" w:cs="Arial"/>
                <w:b/>
                <w:bCs/>
                <w:color w:val="000000"/>
                <w:sz w:val="20"/>
                <w:szCs w:val="20"/>
                <w14:ligatures w14:val="standardContextual"/>
              </w:rPr>
              <w:t>Лом</w:t>
            </w:r>
          </w:p>
        </w:tc>
      </w:tr>
      <w:tr w:rsidR="00441346" w:rsidRPr="009D178F" w14:paraId="63C82A15"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749FBE87" w14:textId="77777777" w:rsidR="00441346" w:rsidRPr="00B2424A" w:rsidRDefault="00441346" w:rsidP="00BB0022">
            <w:pPr>
              <w:spacing w:line="24" w:lineRule="atLeast"/>
              <w:jc w:val="center"/>
              <w:rPr>
                <w:rFonts w:eastAsia="Calibri" w:cs="Arial"/>
                <w:color w:val="000000"/>
                <w:sz w:val="20"/>
                <w:szCs w:val="20"/>
                <w14:ligatures w14:val="standardContextual"/>
              </w:rPr>
            </w:pPr>
            <w:r w:rsidRPr="00B2424A">
              <w:rPr>
                <w:rFonts w:eastAsia="Calibri" w:cs="Arial"/>
                <w:color w:val="000000"/>
                <w:sz w:val="20"/>
                <w:szCs w:val="20"/>
                <w14:ligatures w14:val="standardContextual"/>
              </w:rPr>
              <w:t>Извършена работа в тона</w:t>
            </w:r>
          </w:p>
        </w:tc>
        <w:tc>
          <w:tcPr>
            <w:tcW w:w="665" w:type="pct"/>
            <w:noWrap/>
            <w:hideMark/>
          </w:tcPr>
          <w:p w14:paraId="2F5D2F7D" w14:textId="77777777" w:rsidR="00441346" w:rsidRPr="00B2424A" w:rsidRDefault="00441346" w:rsidP="00BB0022">
            <w:pPr>
              <w:spacing w:line="24" w:lineRule="atLeast"/>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8 279 723</w:t>
            </w:r>
          </w:p>
        </w:tc>
        <w:tc>
          <w:tcPr>
            <w:tcW w:w="711" w:type="pct"/>
            <w:noWrap/>
            <w:hideMark/>
          </w:tcPr>
          <w:p w14:paraId="24F39E5C" w14:textId="77777777" w:rsidR="00441346" w:rsidRPr="00B2424A" w:rsidRDefault="00441346" w:rsidP="00BB0022">
            <w:pPr>
              <w:spacing w:line="24" w:lineRule="atLeast"/>
              <w:ind w:hanging="18"/>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19 753 630</w:t>
            </w:r>
          </w:p>
        </w:tc>
        <w:tc>
          <w:tcPr>
            <w:tcW w:w="652" w:type="pct"/>
            <w:noWrap/>
            <w:hideMark/>
          </w:tcPr>
          <w:p w14:paraId="310F01FE" w14:textId="77777777" w:rsidR="00441346" w:rsidRPr="00B2424A" w:rsidRDefault="00441346" w:rsidP="00BB0022">
            <w:pPr>
              <w:spacing w:line="24" w:lineRule="atLeast"/>
              <w:ind w:firstLine="3"/>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1 347 517</w:t>
            </w:r>
          </w:p>
        </w:tc>
        <w:tc>
          <w:tcPr>
            <w:tcW w:w="567" w:type="pct"/>
            <w:noWrap/>
            <w:hideMark/>
          </w:tcPr>
          <w:p w14:paraId="27CC4D8F" w14:textId="77777777" w:rsidR="00441346" w:rsidRPr="00B2424A" w:rsidRDefault="00441346" w:rsidP="00BB0022">
            <w:pPr>
              <w:spacing w:line="24" w:lineRule="atLeast"/>
              <w:ind w:left="-111"/>
              <w:jc w:val="right"/>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277 531</w:t>
            </w:r>
          </w:p>
        </w:tc>
      </w:tr>
      <w:tr w:rsidR="00441346" w:rsidRPr="009D178F" w14:paraId="12680D2D" w14:textId="77777777" w:rsidTr="00110513">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405" w:type="pct"/>
            <w:noWrap/>
            <w:vAlign w:val="center"/>
            <w:hideMark/>
          </w:tcPr>
          <w:p w14:paraId="11035E3E" w14:textId="77777777" w:rsidR="00441346" w:rsidRPr="00B2424A" w:rsidRDefault="00441346" w:rsidP="00BB0022">
            <w:pPr>
              <w:spacing w:line="24" w:lineRule="atLeast"/>
              <w:jc w:val="center"/>
              <w:rPr>
                <w:rFonts w:eastAsia="Calibri" w:cs="Arial"/>
                <w:color w:val="000000"/>
                <w:sz w:val="20"/>
                <w:szCs w:val="20"/>
                <w14:ligatures w14:val="standardContextual"/>
              </w:rPr>
            </w:pPr>
            <w:r w:rsidRPr="00B2424A">
              <w:rPr>
                <w:rFonts w:eastAsia="Calibri" w:cs="Arial"/>
                <w:color w:val="000000"/>
                <w:sz w:val="20"/>
                <w:szCs w:val="20"/>
                <w14:ligatures w14:val="standardContextual"/>
              </w:rPr>
              <w:t>Брой корабни посещения - товарни кораби</w:t>
            </w:r>
          </w:p>
        </w:tc>
        <w:tc>
          <w:tcPr>
            <w:tcW w:w="665" w:type="pct"/>
            <w:noWrap/>
            <w:hideMark/>
          </w:tcPr>
          <w:p w14:paraId="4943389B" w14:textId="77777777" w:rsidR="00441346" w:rsidRPr="00B2424A" w:rsidRDefault="00441346" w:rsidP="00BB0022">
            <w:pPr>
              <w:spacing w:line="24" w:lineRule="atLeast"/>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1 103</w:t>
            </w:r>
          </w:p>
        </w:tc>
        <w:tc>
          <w:tcPr>
            <w:tcW w:w="711" w:type="pct"/>
            <w:noWrap/>
            <w:hideMark/>
          </w:tcPr>
          <w:p w14:paraId="32DF621C" w14:textId="77777777" w:rsidR="00441346" w:rsidRPr="00B2424A" w:rsidRDefault="00441346" w:rsidP="00BB0022">
            <w:pPr>
              <w:spacing w:line="24" w:lineRule="atLeast"/>
              <w:ind w:hanging="18"/>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1 393</w:t>
            </w:r>
          </w:p>
        </w:tc>
        <w:tc>
          <w:tcPr>
            <w:tcW w:w="652" w:type="pct"/>
            <w:noWrap/>
            <w:hideMark/>
          </w:tcPr>
          <w:p w14:paraId="3EC390CE" w14:textId="77777777" w:rsidR="00441346" w:rsidRPr="00B2424A" w:rsidRDefault="00441346" w:rsidP="00BB0022">
            <w:pPr>
              <w:spacing w:line="24" w:lineRule="atLeast"/>
              <w:ind w:firstLine="3"/>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2 394</w:t>
            </w:r>
          </w:p>
        </w:tc>
        <w:tc>
          <w:tcPr>
            <w:tcW w:w="567" w:type="pct"/>
            <w:noWrap/>
            <w:hideMark/>
          </w:tcPr>
          <w:p w14:paraId="6F97175C" w14:textId="77777777" w:rsidR="00441346" w:rsidRPr="00B2424A" w:rsidRDefault="00441346" w:rsidP="00BB0022">
            <w:pPr>
              <w:spacing w:line="24" w:lineRule="atLeast"/>
              <w:ind w:left="-111"/>
              <w:jc w:val="right"/>
              <w:cnfStyle w:val="000000100000" w:firstRow="0" w:lastRow="0" w:firstColumn="0" w:lastColumn="0" w:oddVBand="0" w:evenVBand="0" w:oddHBand="1" w:evenHBand="0" w:firstRowFirstColumn="0" w:firstRowLastColumn="0" w:lastRowFirstColumn="0" w:lastRowLastColumn="0"/>
              <w:rPr>
                <w:rFonts w:eastAsia="Calibri" w:cs="Arial"/>
                <w:color w:val="000000"/>
                <w:sz w:val="20"/>
                <w:szCs w:val="20"/>
                <w:lang w:val="en-US"/>
                <w14:ligatures w14:val="standardContextual"/>
              </w:rPr>
            </w:pPr>
            <w:r w:rsidRPr="00B2424A">
              <w:rPr>
                <w:rFonts w:eastAsia="Calibri" w:cs="Arial"/>
                <w:color w:val="000000"/>
                <w:sz w:val="20"/>
                <w:szCs w:val="20"/>
                <w:lang w:val="en-US"/>
                <w14:ligatures w14:val="standardContextual"/>
              </w:rPr>
              <w:t>791</w:t>
            </w:r>
          </w:p>
        </w:tc>
      </w:tr>
    </w:tbl>
    <w:p w14:paraId="3CCE286D" w14:textId="77777777" w:rsidR="00441346" w:rsidRPr="00110513" w:rsidRDefault="00441346" w:rsidP="00441346">
      <w:pPr>
        <w:spacing w:before="240" w:after="120" w:line="24" w:lineRule="atLeast"/>
        <w:jc w:val="both"/>
        <w:rPr>
          <w:rFonts w:cs="Arial"/>
          <w:bCs/>
          <w:i/>
          <w:szCs w:val="24"/>
        </w:rPr>
      </w:pPr>
      <w:r w:rsidRPr="00110513">
        <w:rPr>
          <w:rFonts w:eastAsia="Calibri" w:cs="Arial"/>
          <w:szCs w:val="24"/>
          <w:lang w:eastAsia="en-US"/>
        </w:rPr>
        <w:t>На база тези данни за последните пет години са направени обобщения за обработените тонове товари по видове пристанища, необходима за прогнозата.</w:t>
      </w:r>
      <w:bookmarkStart w:id="148" w:name="_Toc115547629"/>
    </w:p>
    <w:p w14:paraId="12DD9644" w14:textId="41A26006" w:rsidR="00110513" w:rsidRDefault="00110513" w:rsidP="00441346">
      <w:pPr>
        <w:tabs>
          <w:tab w:val="left" w:pos="1418"/>
        </w:tabs>
        <w:spacing w:before="60" w:after="60"/>
        <w:jc w:val="both"/>
        <w:rPr>
          <w:rFonts w:ascii="Times New Roman" w:hAnsi="Times New Roman" w:cs="Times New Roman"/>
          <w:bCs/>
          <w:i/>
          <w:szCs w:val="24"/>
        </w:rPr>
      </w:pPr>
      <w:bookmarkStart w:id="149" w:name="_Toc174099051"/>
      <w:bookmarkStart w:id="150" w:name="_Toc159749097"/>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6</w:t>
      </w:r>
      <w:r w:rsidRPr="002E1E19">
        <w:rPr>
          <w:rFonts w:cs="Arial"/>
          <w:b/>
          <w:bCs/>
          <w:i/>
          <w:iCs/>
          <w:sz w:val="22"/>
        </w:rPr>
        <w:fldChar w:fldCharType="end"/>
      </w:r>
      <w:r>
        <w:rPr>
          <w:rFonts w:cs="Arial"/>
          <w:bCs/>
          <w:i/>
          <w:sz w:val="22"/>
        </w:rPr>
        <w:t xml:space="preserve"> </w:t>
      </w:r>
      <w:r w:rsidRPr="00110513">
        <w:rPr>
          <w:rFonts w:eastAsia="Calibri" w:cs="Arial"/>
          <w:i/>
          <w:color w:val="000000"/>
          <w:sz w:val="22"/>
          <w:lang w:eastAsia="en-US"/>
        </w:rPr>
        <w:t>Определяне на средния товар за един кораб</w:t>
      </w:r>
      <w:bookmarkEnd w:id="149"/>
    </w:p>
    <w:tbl>
      <w:tblPr>
        <w:tblStyle w:val="LightList-Accent111"/>
        <w:tblW w:w="9494" w:type="dxa"/>
        <w:tblLook w:val="04A0" w:firstRow="1" w:lastRow="0" w:firstColumn="1" w:lastColumn="0" w:noHBand="0" w:noVBand="1"/>
      </w:tblPr>
      <w:tblGrid>
        <w:gridCol w:w="3410"/>
        <w:gridCol w:w="1224"/>
        <w:gridCol w:w="1260"/>
        <w:gridCol w:w="1260"/>
        <w:gridCol w:w="1170"/>
        <w:gridCol w:w="1170"/>
      </w:tblGrid>
      <w:tr w:rsidR="00441346" w:rsidRPr="009D178F" w14:paraId="6120D55F" w14:textId="77777777" w:rsidTr="00110513">
        <w:trPr>
          <w:cnfStyle w:val="100000000000" w:firstRow="1" w:lastRow="0" w:firstColumn="0" w:lastColumn="0" w:oddVBand="0" w:evenVBand="0" w:oddHBand="0"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410" w:type="dxa"/>
            <w:noWrap/>
            <w:vAlign w:val="center"/>
            <w:hideMark/>
          </w:tcPr>
          <w:bookmarkEnd w:id="148"/>
          <w:bookmarkEnd w:id="150"/>
          <w:p w14:paraId="12F1B70B" w14:textId="77777777" w:rsidR="00441346" w:rsidRPr="00110513" w:rsidRDefault="00441346" w:rsidP="00110513">
            <w:pPr>
              <w:jc w:val="center"/>
              <w:rPr>
                <w:rFonts w:cs="Arial"/>
                <w:sz w:val="20"/>
                <w:szCs w:val="20"/>
                <w:lang w:val="en-US"/>
              </w:rPr>
            </w:pPr>
            <w:r w:rsidRPr="00110513">
              <w:rPr>
                <w:rFonts w:cs="Arial"/>
                <w:sz w:val="20"/>
                <w:szCs w:val="20"/>
              </w:rPr>
              <w:t>Показатели</w:t>
            </w:r>
          </w:p>
        </w:tc>
        <w:tc>
          <w:tcPr>
            <w:tcW w:w="1224" w:type="dxa"/>
            <w:noWrap/>
            <w:vAlign w:val="center"/>
            <w:hideMark/>
          </w:tcPr>
          <w:p w14:paraId="5E07E33B"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2019 г.</w:t>
            </w:r>
          </w:p>
        </w:tc>
        <w:tc>
          <w:tcPr>
            <w:tcW w:w="1260" w:type="dxa"/>
            <w:noWrap/>
            <w:vAlign w:val="center"/>
            <w:hideMark/>
          </w:tcPr>
          <w:p w14:paraId="6FA53E26"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2020 г.</w:t>
            </w:r>
          </w:p>
        </w:tc>
        <w:tc>
          <w:tcPr>
            <w:tcW w:w="1260" w:type="dxa"/>
            <w:noWrap/>
            <w:vAlign w:val="center"/>
            <w:hideMark/>
          </w:tcPr>
          <w:p w14:paraId="314E3157"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sz w:val="20"/>
                <w:szCs w:val="20"/>
                <w:lang w:val="en-US"/>
              </w:rPr>
            </w:pPr>
            <w:r w:rsidRPr="00110513">
              <w:rPr>
                <w:rFonts w:cs="Arial"/>
                <w:sz w:val="20"/>
                <w:szCs w:val="20"/>
              </w:rPr>
              <w:t>2021 г.</w:t>
            </w:r>
          </w:p>
        </w:tc>
        <w:tc>
          <w:tcPr>
            <w:tcW w:w="1170" w:type="dxa"/>
            <w:vAlign w:val="center"/>
          </w:tcPr>
          <w:p w14:paraId="1FC7A210"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110513">
              <w:rPr>
                <w:rFonts w:cs="Arial"/>
                <w:sz w:val="20"/>
                <w:szCs w:val="20"/>
              </w:rPr>
              <w:t>2022 г.</w:t>
            </w:r>
          </w:p>
        </w:tc>
        <w:tc>
          <w:tcPr>
            <w:tcW w:w="1170" w:type="dxa"/>
            <w:vAlign w:val="center"/>
          </w:tcPr>
          <w:p w14:paraId="48A0EFEB" w14:textId="77777777" w:rsidR="00441346" w:rsidRPr="00110513" w:rsidRDefault="00441346" w:rsidP="00110513">
            <w:pPr>
              <w:jc w:val="center"/>
              <w:cnfStyle w:val="100000000000" w:firstRow="1" w:lastRow="0" w:firstColumn="0" w:lastColumn="0" w:oddVBand="0" w:evenVBand="0" w:oddHBand="0" w:evenHBand="0" w:firstRowFirstColumn="0" w:firstRowLastColumn="0" w:lastRowFirstColumn="0" w:lastRowLastColumn="0"/>
              <w:rPr>
                <w:rFonts w:cs="Arial"/>
                <w:b w:val="0"/>
                <w:sz w:val="20"/>
                <w:szCs w:val="20"/>
              </w:rPr>
            </w:pPr>
            <w:r w:rsidRPr="00110513">
              <w:rPr>
                <w:rFonts w:cs="Arial"/>
                <w:sz w:val="20"/>
                <w:szCs w:val="20"/>
              </w:rPr>
              <w:t>2023 г.</w:t>
            </w:r>
          </w:p>
        </w:tc>
      </w:tr>
      <w:tr w:rsidR="00441346" w:rsidRPr="009D178F" w14:paraId="2CA79D47"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43A696E5" w14:textId="77777777" w:rsidR="00441346" w:rsidRPr="00110513" w:rsidRDefault="00441346" w:rsidP="00BB0022">
            <w:pPr>
              <w:spacing w:after="0" w:line="240" w:lineRule="auto"/>
              <w:rPr>
                <w:rFonts w:cs="Arial"/>
                <w:color w:val="000000"/>
                <w:sz w:val="20"/>
                <w:szCs w:val="20"/>
                <w:lang w:val="en-US"/>
              </w:rPr>
            </w:pPr>
            <w:proofErr w:type="spellStart"/>
            <w:r w:rsidRPr="00110513">
              <w:rPr>
                <w:rFonts w:cs="Arial"/>
                <w:color w:val="000000"/>
                <w:sz w:val="20"/>
                <w:szCs w:val="20"/>
                <w:lang w:val="en-US"/>
              </w:rPr>
              <w:t>Обработени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товари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общо</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морски</w:t>
            </w:r>
            <w:proofErr w:type="spellEnd"/>
          </w:p>
        </w:tc>
        <w:tc>
          <w:tcPr>
            <w:tcW w:w="1224" w:type="dxa"/>
            <w:noWrap/>
            <w:hideMark/>
          </w:tcPr>
          <w:p w14:paraId="68F7B2E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26846593</w:t>
            </w:r>
          </w:p>
        </w:tc>
        <w:tc>
          <w:tcPr>
            <w:tcW w:w="1260" w:type="dxa"/>
            <w:noWrap/>
            <w:hideMark/>
          </w:tcPr>
          <w:p w14:paraId="0197D883"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22843624</w:t>
            </w:r>
          </w:p>
        </w:tc>
        <w:tc>
          <w:tcPr>
            <w:tcW w:w="1260" w:type="dxa"/>
            <w:noWrap/>
            <w:hideMark/>
          </w:tcPr>
          <w:p w14:paraId="3959C5B9"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25530578</w:t>
            </w:r>
          </w:p>
        </w:tc>
        <w:tc>
          <w:tcPr>
            <w:tcW w:w="1170" w:type="dxa"/>
          </w:tcPr>
          <w:p w14:paraId="44032386"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29336123</w:t>
            </w:r>
          </w:p>
        </w:tc>
        <w:tc>
          <w:tcPr>
            <w:tcW w:w="1170" w:type="dxa"/>
          </w:tcPr>
          <w:p w14:paraId="47769E67"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28033353</w:t>
            </w:r>
          </w:p>
        </w:tc>
      </w:tr>
      <w:tr w:rsidR="00441346" w:rsidRPr="009D178F" w14:paraId="1714CE47"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354967B0"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брой корабни посещения общо морски</w:t>
            </w:r>
          </w:p>
        </w:tc>
        <w:tc>
          <w:tcPr>
            <w:tcW w:w="1224" w:type="dxa"/>
            <w:noWrap/>
            <w:hideMark/>
          </w:tcPr>
          <w:p w14:paraId="5C1B9BEF"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3773</w:t>
            </w:r>
          </w:p>
        </w:tc>
        <w:tc>
          <w:tcPr>
            <w:tcW w:w="1260" w:type="dxa"/>
            <w:noWrap/>
            <w:hideMark/>
          </w:tcPr>
          <w:p w14:paraId="2A3A073A"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3411</w:t>
            </w:r>
          </w:p>
        </w:tc>
        <w:tc>
          <w:tcPr>
            <w:tcW w:w="1260" w:type="dxa"/>
            <w:noWrap/>
            <w:hideMark/>
          </w:tcPr>
          <w:p w14:paraId="0F340906"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3297</w:t>
            </w:r>
          </w:p>
        </w:tc>
        <w:tc>
          <w:tcPr>
            <w:tcW w:w="1170" w:type="dxa"/>
          </w:tcPr>
          <w:p w14:paraId="5A4AF38F"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rPr>
              <w:t>2903</w:t>
            </w:r>
          </w:p>
        </w:tc>
        <w:tc>
          <w:tcPr>
            <w:tcW w:w="1170" w:type="dxa"/>
          </w:tcPr>
          <w:p w14:paraId="086EA0A0"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2 496</w:t>
            </w:r>
          </w:p>
        </w:tc>
      </w:tr>
      <w:tr w:rsidR="00441346" w:rsidRPr="009D178F" w14:paraId="44A4BC59"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143A3D75"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среден товар на 1 кораб морски</w:t>
            </w:r>
          </w:p>
        </w:tc>
        <w:tc>
          <w:tcPr>
            <w:tcW w:w="1224" w:type="dxa"/>
            <w:noWrap/>
            <w:hideMark/>
          </w:tcPr>
          <w:p w14:paraId="195465CE"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7115,45</w:t>
            </w:r>
          </w:p>
        </w:tc>
        <w:tc>
          <w:tcPr>
            <w:tcW w:w="1260" w:type="dxa"/>
            <w:noWrap/>
            <w:hideMark/>
          </w:tcPr>
          <w:p w14:paraId="55D2616F"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6697,046</w:t>
            </w:r>
          </w:p>
        </w:tc>
        <w:tc>
          <w:tcPr>
            <w:tcW w:w="1260" w:type="dxa"/>
            <w:noWrap/>
            <w:hideMark/>
          </w:tcPr>
          <w:p w14:paraId="02F0B1C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7743,578</w:t>
            </w:r>
          </w:p>
        </w:tc>
        <w:tc>
          <w:tcPr>
            <w:tcW w:w="1170" w:type="dxa"/>
          </w:tcPr>
          <w:p w14:paraId="66DFBEB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10105,45</w:t>
            </w:r>
          </w:p>
        </w:tc>
        <w:tc>
          <w:tcPr>
            <w:tcW w:w="1170" w:type="dxa"/>
          </w:tcPr>
          <w:p w14:paraId="30A4FDAE"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11231,31</w:t>
            </w:r>
          </w:p>
        </w:tc>
      </w:tr>
      <w:tr w:rsidR="00441346" w:rsidRPr="009D178F" w14:paraId="7044BD95"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7EDA8EC0" w14:textId="77777777" w:rsidR="00441346" w:rsidRPr="00110513" w:rsidRDefault="00441346" w:rsidP="00BB0022">
            <w:pPr>
              <w:spacing w:after="0" w:line="240" w:lineRule="auto"/>
              <w:rPr>
                <w:rFonts w:cs="Arial"/>
                <w:color w:val="000000"/>
                <w:sz w:val="20"/>
                <w:szCs w:val="20"/>
                <w:lang w:val="en-US"/>
              </w:rPr>
            </w:pPr>
            <w:proofErr w:type="spellStart"/>
            <w:r w:rsidRPr="00110513">
              <w:rPr>
                <w:rFonts w:cs="Arial"/>
                <w:color w:val="000000"/>
                <w:sz w:val="20"/>
                <w:szCs w:val="20"/>
                <w:lang w:val="en-US"/>
              </w:rPr>
              <w:t>Обработени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товари</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общо</w:t>
            </w:r>
            <w:proofErr w:type="spellEnd"/>
            <w:r w:rsidRPr="00110513">
              <w:rPr>
                <w:rFonts w:cs="Arial"/>
                <w:color w:val="000000"/>
                <w:sz w:val="20"/>
                <w:szCs w:val="20"/>
                <w:lang w:val="en-US"/>
              </w:rPr>
              <w:t xml:space="preserve"> </w:t>
            </w:r>
            <w:proofErr w:type="spellStart"/>
            <w:r w:rsidRPr="00110513">
              <w:rPr>
                <w:rFonts w:cs="Arial"/>
                <w:color w:val="000000"/>
                <w:sz w:val="20"/>
                <w:szCs w:val="20"/>
                <w:lang w:val="en-US"/>
              </w:rPr>
              <w:t>речни</w:t>
            </w:r>
            <w:proofErr w:type="spellEnd"/>
          </w:p>
        </w:tc>
        <w:tc>
          <w:tcPr>
            <w:tcW w:w="1224" w:type="dxa"/>
            <w:noWrap/>
            <w:hideMark/>
          </w:tcPr>
          <w:p w14:paraId="21A35596"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1944977</w:t>
            </w:r>
          </w:p>
        </w:tc>
        <w:tc>
          <w:tcPr>
            <w:tcW w:w="1260" w:type="dxa"/>
            <w:noWrap/>
            <w:hideMark/>
          </w:tcPr>
          <w:p w14:paraId="12171C75"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1954191</w:t>
            </w:r>
          </w:p>
        </w:tc>
        <w:tc>
          <w:tcPr>
            <w:tcW w:w="1260" w:type="dxa"/>
            <w:noWrap/>
            <w:hideMark/>
          </w:tcPr>
          <w:p w14:paraId="1BAB7A7D"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2051819</w:t>
            </w:r>
          </w:p>
        </w:tc>
        <w:tc>
          <w:tcPr>
            <w:tcW w:w="1170" w:type="dxa"/>
          </w:tcPr>
          <w:p w14:paraId="1C86D9EA"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rPr>
              <w:t>1770834</w:t>
            </w:r>
          </w:p>
        </w:tc>
        <w:tc>
          <w:tcPr>
            <w:tcW w:w="1170" w:type="dxa"/>
          </w:tcPr>
          <w:p w14:paraId="7C62AAF0"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1625048</w:t>
            </w:r>
          </w:p>
        </w:tc>
      </w:tr>
      <w:tr w:rsidR="00441346" w:rsidRPr="009D178F" w14:paraId="29B2155E"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1829FBD6"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брой корабни посещения общо речни</w:t>
            </w:r>
          </w:p>
        </w:tc>
        <w:tc>
          <w:tcPr>
            <w:tcW w:w="1224" w:type="dxa"/>
            <w:noWrap/>
            <w:hideMark/>
          </w:tcPr>
          <w:p w14:paraId="1DAEFA37"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8034</w:t>
            </w:r>
          </w:p>
        </w:tc>
        <w:tc>
          <w:tcPr>
            <w:tcW w:w="1260" w:type="dxa"/>
            <w:noWrap/>
            <w:hideMark/>
          </w:tcPr>
          <w:p w14:paraId="5CC1CFA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7289</w:t>
            </w:r>
          </w:p>
        </w:tc>
        <w:tc>
          <w:tcPr>
            <w:tcW w:w="1260" w:type="dxa"/>
            <w:noWrap/>
            <w:hideMark/>
          </w:tcPr>
          <w:p w14:paraId="1248BC19"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12492</w:t>
            </w:r>
          </w:p>
        </w:tc>
        <w:tc>
          <w:tcPr>
            <w:tcW w:w="1170" w:type="dxa"/>
          </w:tcPr>
          <w:p w14:paraId="0B64D0E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11 383</w:t>
            </w:r>
          </w:p>
        </w:tc>
        <w:tc>
          <w:tcPr>
            <w:tcW w:w="1170" w:type="dxa"/>
          </w:tcPr>
          <w:p w14:paraId="35AF85F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10875</w:t>
            </w:r>
          </w:p>
        </w:tc>
      </w:tr>
      <w:tr w:rsidR="00441346" w:rsidRPr="009D178F" w14:paraId="0BE35F12"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3410" w:type="dxa"/>
            <w:noWrap/>
            <w:hideMark/>
          </w:tcPr>
          <w:p w14:paraId="2FEA6E12"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корабни посещения речни за товаро-разтоварване</w:t>
            </w:r>
          </w:p>
        </w:tc>
        <w:tc>
          <w:tcPr>
            <w:tcW w:w="1224" w:type="dxa"/>
            <w:noWrap/>
            <w:hideMark/>
          </w:tcPr>
          <w:p w14:paraId="4F8D87D9"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2840</w:t>
            </w:r>
          </w:p>
        </w:tc>
        <w:tc>
          <w:tcPr>
            <w:tcW w:w="1260" w:type="dxa"/>
            <w:noWrap/>
            <w:hideMark/>
          </w:tcPr>
          <w:p w14:paraId="03A16B79"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2395</w:t>
            </w:r>
          </w:p>
        </w:tc>
        <w:tc>
          <w:tcPr>
            <w:tcW w:w="1260" w:type="dxa"/>
            <w:noWrap/>
            <w:hideMark/>
          </w:tcPr>
          <w:p w14:paraId="62A4BA0D"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2660</w:t>
            </w:r>
          </w:p>
        </w:tc>
        <w:tc>
          <w:tcPr>
            <w:tcW w:w="1170" w:type="dxa"/>
          </w:tcPr>
          <w:p w14:paraId="64826E4B" w14:textId="77777777" w:rsidR="00441346" w:rsidRPr="00110513" w:rsidRDefault="00441346"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4003</w:t>
            </w:r>
          </w:p>
        </w:tc>
        <w:tc>
          <w:tcPr>
            <w:tcW w:w="1170" w:type="dxa"/>
          </w:tcPr>
          <w:p w14:paraId="7ACE30D3" w14:textId="77777777" w:rsidR="00441346" w:rsidRPr="00110513" w:rsidRDefault="00441346"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110513">
              <w:rPr>
                <w:rFonts w:cs="Arial"/>
                <w:color w:val="000000"/>
                <w:sz w:val="20"/>
                <w:szCs w:val="20"/>
              </w:rPr>
              <w:t>3 185</w:t>
            </w:r>
          </w:p>
          <w:p w14:paraId="5333F8FA" w14:textId="77777777" w:rsidR="00441346" w:rsidRPr="00110513" w:rsidRDefault="00441346"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r>
      <w:tr w:rsidR="00441346" w:rsidRPr="009D178F" w14:paraId="5E8D741C" w14:textId="77777777" w:rsidTr="00110513">
        <w:trPr>
          <w:cnfStyle w:val="000000100000" w:firstRow="0" w:lastRow="0" w:firstColumn="0" w:lastColumn="0" w:oddVBand="0" w:evenVBand="0" w:oddHBand="1" w:evenHBand="0" w:firstRowFirstColumn="0" w:firstRowLastColumn="0" w:lastRowFirstColumn="0" w:lastRowLastColumn="0"/>
          <w:trHeight w:val="100"/>
        </w:trPr>
        <w:tc>
          <w:tcPr>
            <w:cnfStyle w:val="001000000000" w:firstRow="0" w:lastRow="0" w:firstColumn="1" w:lastColumn="0" w:oddVBand="0" w:evenVBand="0" w:oddHBand="0" w:evenHBand="0" w:firstRowFirstColumn="0" w:firstRowLastColumn="0" w:lastRowFirstColumn="0" w:lastRowLastColumn="0"/>
            <w:tcW w:w="3410" w:type="dxa"/>
            <w:noWrap/>
            <w:hideMark/>
          </w:tcPr>
          <w:p w14:paraId="2CC2FD9F" w14:textId="77777777" w:rsidR="00441346" w:rsidRPr="009963CE" w:rsidRDefault="00441346" w:rsidP="00BB0022">
            <w:pPr>
              <w:spacing w:after="0" w:line="240" w:lineRule="auto"/>
              <w:rPr>
                <w:rFonts w:cs="Arial"/>
                <w:color w:val="000000"/>
                <w:sz w:val="20"/>
                <w:szCs w:val="20"/>
              </w:rPr>
            </w:pPr>
            <w:r w:rsidRPr="009963CE">
              <w:rPr>
                <w:rFonts w:cs="Arial"/>
                <w:color w:val="000000"/>
                <w:sz w:val="20"/>
                <w:szCs w:val="20"/>
              </w:rPr>
              <w:t>среден товар на 1 кораб речни</w:t>
            </w:r>
          </w:p>
        </w:tc>
        <w:tc>
          <w:tcPr>
            <w:tcW w:w="1224" w:type="dxa"/>
            <w:noWrap/>
            <w:hideMark/>
          </w:tcPr>
          <w:p w14:paraId="4F888C8F"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684,85</w:t>
            </w:r>
          </w:p>
        </w:tc>
        <w:tc>
          <w:tcPr>
            <w:tcW w:w="1260" w:type="dxa"/>
            <w:noWrap/>
            <w:hideMark/>
          </w:tcPr>
          <w:p w14:paraId="448534F2"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815,95</w:t>
            </w:r>
          </w:p>
        </w:tc>
        <w:tc>
          <w:tcPr>
            <w:tcW w:w="1260" w:type="dxa"/>
            <w:noWrap/>
            <w:hideMark/>
          </w:tcPr>
          <w:p w14:paraId="454D107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lang w:val="en-US"/>
              </w:rPr>
              <w:t>771,36</w:t>
            </w:r>
          </w:p>
        </w:tc>
        <w:tc>
          <w:tcPr>
            <w:tcW w:w="1170" w:type="dxa"/>
          </w:tcPr>
          <w:p w14:paraId="387C8170"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110513">
              <w:rPr>
                <w:rFonts w:cs="Arial"/>
                <w:color w:val="000000"/>
                <w:sz w:val="20"/>
                <w:szCs w:val="20"/>
              </w:rPr>
              <w:t>842,33</w:t>
            </w:r>
          </w:p>
        </w:tc>
        <w:tc>
          <w:tcPr>
            <w:tcW w:w="1170" w:type="dxa"/>
          </w:tcPr>
          <w:p w14:paraId="1B7E7CFB" w14:textId="77777777" w:rsidR="00441346" w:rsidRPr="00110513" w:rsidRDefault="00441346"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110513">
              <w:rPr>
                <w:rFonts w:cs="Arial"/>
                <w:color w:val="000000"/>
                <w:sz w:val="20"/>
                <w:szCs w:val="20"/>
              </w:rPr>
              <w:t>510,22</w:t>
            </w:r>
          </w:p>
        </w:tc>
      </w:tr>
    </w:tbl>
    <w:p w14:paraId="73AC4896" w14:textId="77777777" w:rsidR="00441346" w:rsidRPr="00110513" w:rsidRDefault="00441346" w:rsidP="00441346">
      <w:pPr>
        <w:spacing w:before="240" w:after="120" w:line="24" w:lineRule="atLeast"/>
        <w:jc w:val="both"/>
        <w:rPr>
          <w:rFonts w:eastAsia="Calibri" w:cs="Arial"/>
          <w:szCs w:val="24"/>
          <w:lang w:eastAsia="en-US"/>
        </w:rPr>
      </w:pPr>
      <w:r w:rsidRPr="00110513">
        <w:rPr>
          <w:rFonts w:eastAsia="Calibri" w:cs="Arial"/>
          <w:szCs w:val="24"/>
          <w:lang w:eastAsia="en-US"/>
        </w:rPr>
        <w:t>На база анализа на трендовете по видове пристанища и пътнически и товарни превози, за нуждите на прогнозата в сценария „Без проект“ са направени следните допускания:</w:t>
      </w:r>
    </w:p>
    <w:p w14:paraId="33698A58" w14:textId="77777777" w:rsidR="00441346" w:rsidRPr="00110513" w:rsidRDefault="00441346" w:rsidP="00441346">
      <w:pPr>
        <w:numPr>
          <w:ilvl w:val="0"/>
          <w:numId w:val="22"/>
        </w:numPr>
        <w:spacing w:after="120" w:line="24" w:lineRule="atLeast"/>
        <w:contextualSpacing/>
        <w:jc w:val="both"/>
        <w:rPr>
          <w:rFonts w:eastAsia="Calibri" w:cs="Arial"/>
          <w:szCs w:val="24"/>
          <w:lang w:eastAsia="en-US"/>
        </w:rPr>
      </w:pPr>
      <w:r w:rsidRPr="00110513">
        <w:rPr>
          <w:rFonts w:eastAsia="Calibri" w:cs="Arial"/>
          <w:szCs w:val="24"/>
          <w:lang w:eastAsia="en-US"/>
        </w:rPr>
        <w:t>За морския товарен транспорт е прогнозиран ръст, чрез който до 2030 г. се достига нивото от 2019 г., като се покриват последиците от COVID -19 в периода 2020-2022 г., а след този период се запазва установения тренд за последните 10 години от 2,9% ръст годишно, базирано на политиката на ЕС за преминаване към екологични видове транспорт;</w:t>
      </w:r>
    </w:p>
    <w:p w14:paraId="72ED2284" w14:textId="77777777" w:rsidR="00441346" w:rsidRPr="00110513" w:rsidRDefault="00441346" w:rsidP="00441346">
      <w:pPr>
        <w:numPr>
          <w:ilvl w:val="0"/>
          <w:numId w:val="22"/>
        </w:numPr>
        <w:spacing w:after="120" w:line="24" w:lineRule="atLeast"/>
        <w:contextualSpacing/>
        <w:jc w:val="both"/>
        <w:rPr>
          <w:rFonts w:eastAsia="Calibri" w:cs="Arial"/>
          <w:szCs w:val="24"/>
          <w:lang w:eastAsia="en-US"/>
        </w:rPr>
      </w:pPr>
      <w:r w:rsidRPr="00110513">
        <w:rPr>
          <w:rFonts w:eastAsia="Calibri" w:cs="Arial"/>
          <w:szCs w:val="24"/>
          <w:lang w:eastAsia="en-US"/>
        </w:rPr>
        <w:t>За речния товарен транспорт е направено същото допускане, че до 2030 г. ще се достигнат резултатите от преди COVID-19 пандемията през 2019 г., а след този период се запазва установения тренд за последните 10 години от 0,04% ръст годишно, базирано на политиката на ЕС за преминаване към екологични видове транспорт.</w:t>
      </w:r>
    </w:p>
    <w:p w14:paraId="0E5205E9" w14:textId="77777777" w:rsidR="00441346" w:rsidRDefault="00441346" w:rsidP="00110513">
      <w:pPr>
        <w:spacing w:after="240" w:line="24" w:lineRule="atLeast"/>
        <w:jc w:val="both"/>
        <w:rPr>
          <w:rFonts w:eastAsia="Calibri" w:cs="Arial"/>
          <w:szCs w:val="24"/>
          <w:lang w:eastAsia="en-US"/>
        </w:rPr>
      </w:pPr>
      <w:r w:rsidRPr="00110513">
        <w:rPr>
          <w:rFonts w:eastAsia="Calibri" w:cs="Arial"/>
          <w:szCs w:val="24"/>
          <w:lang w:eastAsia="en-US"/>
        </w:rPr>
        <w:t>Установените трендове за ръст на товарните превози по видове пристанища и определените средни стойности в горната таблица са основата за направените прогнози, показани в следващата таблица:</w:t>
      </w:r>
    </w:p>
    <w:p w14:paraId="253B9F0E" w14:textId="17C7FA81" w:rsidR="00110513" w:rsidRPr="00110513" w:rsidRDefault="00110513" w:rsidP="00441346">
      <w:pPr>
        <w:spacing w:after="120" w:line="24" w:lineRule="atLeast"/>
        <w:jc w:val="both"/>
        <w:rPr>
          <w:rFonts w:eastAsia="Calibri" w:cs="Arial"/>
          <w:szCs w:val="24"/>
          <w:lang w:eastAsia="en-US"/>
        </w:rPr>
      </w:pPr>
      <w:bookmarkStart w:id="151" w:name="_Toc17409905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Прогноза за обработените товари по пристанища „Без проект“</w:t>
      </w:r>
      <w:bookmarkEnd w:id="151"/>
    </w:p>
    <w:tbl>
      <w:tblPr>
        <w:tblStyle w:val="LightList-Accent111"/>
        <w:tblW w:w="5000" w:type="pct"/>
        <w:tblLook w:val="04A0" w:firstRow="1" w:lastRow="0" w:firstColumn="1" w:lastColumn="0" w:noHBand="0" w:noVBand="1"/>
      </w:tblPr>
      <w:tblGrid>
        <w:gridCol w:w="4286"/>
        <w:gridCol w:w="866"/>
        <w:gridCol w:w="840"/>
        <w:gridCol w:w="866"/>
        <w:gridCol w:w="900"/>
        <w:gridCol w:w="840"/>
        <w:gridCol w:w="879"/>
      </w:tblGrid>
      <w:tr w:rsidR="00B42AF5" w:rsidRPr="009D178F" w14:paraId="4834B95E" w14:textId="77777777" w:rsidTr="00110513">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vAlign w:val="center"/>
            <w:hideMark/>
          </w:tcPr>
          <w:p w14:paraId="15B4B53F" w14:textId="23CBADAD" w:rsidR="00441346" w:rsidRPr="00110513" w:rsidRDefault="00441346" w:rsidP="00110513">
            <w:pPr>
              <w:spacing w:before="60" w:after="60" w:line="24" w:lineRule="atLeast"/>
              <w:jc w:val="center"/>
              <w:rPr>
                <w:rFonts w:cs="Arial"/>
                <w:b w:val="0"/>
                <w:sz w:val="20"/>
                <w:szCs w:val="20"/>
              </w:rPr>
            </w:pPr>
            <w:r w:rsidRPr="00110513">
              <w:rPr>
                <w:rFonts w:cs="Arial"/>
                <w:sz w:val="20"/>
                <w:szCs w:val="20"/>
              </w:rPr>
              <w:t xml:space="preserve">Прогноза за </w:t>
            </w:r>
            <w:r w:rsidR="00110513">
              <w:rPr>
                <w:rFonts w:cs="Arial"/>
                <w:sz w:val="20"/>
                <w:szCs w:val="20"/>
              </w:rPr>
              <w:t>обработени товари</w:t>
            </w:r>
          </w:p>
        </w:tc>
        <w:tc>
          <w:tcPr>
            <w:tcW w:w="457" w:type="pct"/>
            <w:noWrap/>
            <w:vAlign w:val="center"/>
            <w:hideMark/>
          </w:tcPr>
          <w:p w14:paraId="5099DDDE" w14:textId="77777777" w:rsidR="00441346" w:rsidRPr="00110513" w:rsidRDefault="00441346" w:rsidP="00110513">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2023 г.</w:t>
            </w:r>
          </w:p>
        </w:tc>
        <w:tc>
          <w:tcPr>
            <w:tcW w:w="443" w:type="pct"/>
            <w:noWrap/>
            <w:vAlign w:val="center"/>
            <w:hideMark/>
          </w:tcPr>
          <w:p w14:paraId="39E17F64" w14:textId="72916BC0" w:rsidR="00441346" w:rsidRPr="00110513" w:rsidRDefault="00441346" w:rsidP="00110513">
            <w:pPr>
              <w:spacing w:before="60" w:after="60" w:line="24" w:lineRule="atLeast"/>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202</w:t>
            </w:r>
            <w:r w:rsidR="00E614D5" w:rsidRPr="00110513">
              <w:rPr>
                <w:rFonts w:eastAsia="Calibri" w:cs="Arial"/>
                <w:sz w:val="20"/>
                <w:szCs w:val="20"/>
              </w:rPr>
              <w:t>7</w:t>
            </w:r>
            <w:r w:rsidRPr="00110513">
              <w:rPr>
                <w:rFonts w:eastAsia="Calibri" w:cs="Arial"/>
                <w:sz w:val="20"/>
                <w:szCs w:val="20"/>
              </w:rPr>
              <w:t>г.</w:t>
            </w:r>
          </w:p>
        </w:tc>
        <w:tc>
          <w:tcPr>
            <w:tcW w:w="457" w:type="pct"/>
            <w:noWrap/>
            <w:vAlign w:val="center"/>
            <w:hideMark/>
          </w:tcPr>
          <w:p w14:paraId="1AE0EED4" w14:textId="77777777" w:rsidR="00441346" w:rsidRPr="00110513" w:rsidRDefault="00441346" w:rsidP="00110513">
            <w:pPr>
              <w:spacing w:before="60" w:after="60" w:line="24" w:lineRule="atLeast"/>
              <w:ind w:right="-141" w:hanging="110"/>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2030 г.</w:t>
            </w:r>
          </w:p>
        </w:tc>
        <w:tc>
          <w:tcPr>
            <w:tcW w:w="475" w:type="pct"/>
            <w:noWrap/>
            <w:vAlign w:val="center"/>
            <w:hideMark/>
          </w:tcPr>
          <w:p w14:paraId="42370A24" w14:textId="77777777" w:rsidR="00441346" w:rsidRPr="00110513" w:rsidRDefault="00441346" w:rsidP="00110513">
            <w:pPr>
              <w:spacing w:before="60" w:after="60" w:line="24" w:lineRule="atLeast"/>
              <w:ind w:right="-80" w:hanging="75"/>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2035 г.</w:t>
            </w:r>
          </w:p>
        </w:tc>
        <w:tc>
          <w:tcPr>
            <w:tcW w:w="443" w:type="pct"/>
            <w:noWrap/>
            <w:vAlign w:val="center"/>
            <w:hideMark/>
          </w:tcPr>
          <w:p w14:paraId="548CD9B9" w14:textId="77777777" w:rsidR="00441346" w:rsidRPr="00110513" w:rsidRDefault="00441346" w:rsidP="00110513">
            <w:pPr>
              <w:spacing w:before="60" w:after="60" w:line="24" w:lineRule="atLeast"/>
              <w:ind w:right="-120" w:hanging="136"/>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2040 г.</w:t>
            </w:r>
          </w:p>
        </w:tc>
        <w:tc>
          <w:tcPr>
            <w:tcW w:w="464" w:type="pct"/>
            <w:noWrap/>
            <w:vAlign w:val="center"/>
            <w:hideMark/>
          </w:tcPr>
          <w:p w14:paraId="3A897575" w14:textId="42C06C40" w:rsidR="00441346" w:rsidRPr="00110513" w:rsidRDefault="00441346" w:rsidP="00110513">
            <w:pPr>
              <w:spacing w:before="60" w:after="60" w:line="24" w:lineRule="atLeast"/>
              <w:ind w:right="-66" w:hanging="96"/>
              <w:jc w:val="center"/>
              <w:cnfStyle w:val="100000000000" w:firstRow="1" w:lastRow="0" w:firstColumn="0" w:lastColumn="0" w:oddVBand="0" w:evenVBand="0" w:oddHBand="0" w:evenHBand="0" w:firstRowFirstColumn="0" w:firstRowLastColumn="0" w:lastRowFirstColumn="0" w:lastRowLastColumn="0"/>
              <w:rPr>
                <w:rFonts w:eastAsia="Calibri" w:cs="Arial"/>
                <w:b w:val="0"/>
                <w:sz w:val="20"/>
                <w:szCs w:val="20"/>
              </w:rPr>
            </w:pPr>
            <w:r w:rsidRPr="00110513">
              <w:rPr>
                <w:rFonts w:eastAsia="Calibri" w:cs="Arial"/>
                <w:sz w:val="20"/>
                <w:szCs w:val="20"/>
              </w:rPr>
              <w:t>204</w:t>
            </w:r>
            <w:r w:rsidR="00B42AF5" w:rsidRPr="00110513">
              <w:rPr>
                <w:rFonts w:eastAsia="Calibri" w:cs="Arial"/>
                <w:sz w:val="20"/>
                <w:szCs w:val="20"/>
              </w:rPr>
              <w:t>8</w:t>
            </w:r>
            <w:r w:rsidRPr="00110513">
              <w:rPr>
                <w:rFonts w:eastAsia="Calibri" w:cs="Arial"/>
                <w:sz w:val="20"/>
                <w:szCs w:val="20"/>
              </w:rPr>
              <w:t xml:space="preserve"> г.</w:t>
            </w:r>
          </w:p>
        </w:tc>
      </w:tr>
      <w:tr w:rsidR="00B42AF5" w:rsidRPr="009D178F" w14:paraId="29BF3A93"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35B824BA"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Брой кораби в морските пристанища</w:t>
            </w:r>
          </w:p>
        </w:tc>
        <w:tc>
          <w:tcPr>
            <w:tcW w:w="457" w:type="pct"/>
            <w:noWrap/>
            <w:hideMark/>
          </w:tcPr>
          <w:p w14:paraId="7465B820" w14:textId="05C83E58"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6 469</w:t>
            </w:r>
          </w:p>
        </w:tc>
        <w:tc>
          <w:tcPr>
            <w:tcW w:w="443" w:type="pct"/>
            <w:noWrap/>
            <w:hideMark/>
          </w:tcPr>
          <w:p w14:paraId="7D55AB8B" w14:textId="6B8C9F39"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7 302</w:t>
            </w:r>
          </w:p>
        </w:tc>
        <w:tc>
          <w:tcPr>
            <w:tcW w:w="457" w:type="pct"/>
            <w:noWrap/>
            <w:hideMark/>
          </w:tcPr>
          <w:p w14:paraId="5AA2E084" w14:textId="07A9BCA3"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8 726</w:t>
            </w:r>
          </w:p>
        </w:tc>
        <w:tc>
          <w:tcPr>
            <w:tcW w:w="475" w:type="pct"/>
            <w:noWrap/>
            <w:hideMark/>
          </w:tcPr>
          <w:p w14:paraId="358C0CE2" w14:textId="1385A7B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9 504</w:t>
            </w:r>
          </w:p>
        </w:tc>
        <w:tc>
          <w:tcPr>
            <w:tcW w:w="443" w:type="pct"/>
            <w:noWrap/>
            <w:hideMark/>
          </w:tcPr>
          <w:p w14:paraId="58D70747" w14:textId="62DC665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9 778</w:t>
            </w:r>
          </w:p>
        </w:tc>
        <w:tc>
          <w:tcPr>
            <w:tcW w:w="464" w:type="pct"/>
            <w:noWrap/>
            <w:hideMark/>
          </w:tcPr>
          <w:p w14:paraId="4C3F0C14" w14:textId="1E5164FB"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10 957</w:t>
            </w:r>
          </w:p>
        </w:tc>
      </w:tr>
      <w:tr w:rsidR="00B42AF5" w:rsidRPr="009D178F" w14:paraId="706B7614"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2836F50B"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Брой кораби в речните пристанища</w:t>
            </w:r>
          </w:p>
        </w:tc>
        <w:tc>
          <w:tcPr>
            <w:tcW w:w="457" w:type="pct"/>
            <w:noWrap/>
            <w:hideMark/>
          </w:tcPr>
          <w:p w14:paraId="5F636017" w14:textId="79C2E29E"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6 811</w:t>
            </w:r>
          </w:p>
        </w:tc>
        <w:tc>
          <w:tcPr>
            <w:tcW w:w="443" w:type="pct"/>
            <w:noWrap/>
            <w:hideMark/>
          </w:tcPr>
          <w:p w14:paraId="026A3BEF" w14:textId="00A6606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6 814</w:t>
            </w:r>
          </w:p>
        </w:tc>
        <w:tc>
          <w:tcPr>
            <w:tcW w:w="457" w:type="pct"/>
            <w:noWrap/>
            <w:hideMark/>
          </w:tcPr>
          <w:p w14:paraId="4089F0AE" w14:textId="31F65CD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6 822</w:t>
            </w:r>
          </w:p>
        </w:tc>
        <w:tc>
          <w:tcPr>
            <w:tcW w:w="475" w:type="pct"/>
            <w:noWrap/>
            <w:hideMark/>
          </w:tcPr>
          <w:p w14:paraId="06E3072D" w14:textId="02C721C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6 829</w:t>
            </w:r>
          </w:p>
        </w:tc>
        <w:tc>
          <w:tcPr>
            <w:tcW w:w="443" w:type="pct"/>
            <w:noWrap/>
            <w:hideMark/>
          </w:tcPr>
          <w:p w14:paraId="4E970A29" w14:textId="26C95EB7"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6 832</w:t>
            </w:r>
          </w:p>
        </w:tc>
        <w:tc>
          <w:tcPr>
            <w:tcW w:w="464" w:type="pct"/>
            <w:noWrap/>
            <w:hideMark/>
          </w:tcPr>
          <w:p w14:paraId="136DA54F" w14:textId="32ED1F7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6 842</w:t>
            </w:r>
          </w:p>
        </w:tc>
      </w:tr>
      <w:tr w:rsidR="00B42AF5" w:rsidRPr="009D178F" w14:paraId="7E812C4C"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659DC7D0"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Обработени товари в х. тона морски</w:t>
            </w:r>
          </w:p>
        </w:tc>
        <w:tc>
          <w:tcPr>
            <w:tcW w:w="457" w:type="pct"/>
            <w:noWrap/>
            <w:hideMark/>
          </w:tcPr>
          <w:p w14:paraId="71075BCA" w14:textId="4538FCA1"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34717</w:t>
            </w:r>
          </w:p>
        </w:tc>
        <w:tc>
          <w:tcPr>
            <w:tcW w:w="443" w:type="pct"/>
            <w:noWrap/>
            <w:hideMark/>
          </w:tcPr>
          <w:p w14:paraId="42593D6F" w14:textId="664B40B8"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39191</w:t>
            </w:r>
          </w:p>
        </w:tc>
        <w:tc>
          <w:tcPr>
            <w:tcW w:w="457" w:type="pct"/>
            <w:noWrap/>
            <w:hideMark/>
          </w:tcPr>
          <w:p w14:paraId="74969846" w14:textId="19197CE7"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46833</w:t>
            </w:r>
          </w:p>
        </w:tc>
        <w:tc>
          <w:tcPr>
            <w:tcW w:w="475" w:type="pct"/>
            <w:noWrap/>
            <w:hideMark/>
          </w:tcPr>
          <w:p w14:paraId="505CA42C" w14:textId="0D2B22FC"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51007</w:t>
            </w:r>
          </w:p>
        </w:tc>
        <w:tc>
          <w:tcPr>
            <w:tcW w:w="443" w:type="pct"/>
            <w:noWrap/>
            <w:hideMark/>
          </w:tcPr>
          <w:p w14:paraId="0D1317CF" w14:textId="0771F6EF"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52480</w:t>
            </w:r>
          </w:p>
        </w:tc>
        <w:tc>
          <w:tcPr>
            <w:tcW w:w="464" w:type="pct"/>
            <w:noWrap/>
            <w:hideMark/>
          </w:tcPr>
          <w:p w14:paraId="3085224A" w14:textId="35F803AB" w:rsidR="00B42AF5" w:rsidRPr="00110513" w:rsidRDefault="00B42AF5" w:rsidP="00B42AF5">
            <w:pPr>
              <w:spacing w:after="0" w:line="24" w:lineRule="atLeast"/>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58808</w:t>
            </w:r>
          </w:p>
        </w:tc>
      </w:tr>
      <w:tr w:rsidR="00B42AF5" w:rsidRPr="009D178F" w14:paraId="526368D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261" w:type="pct"/>
            <w:noWrap/>
            <w:hideMark/>
          </w:tcPr>
          <w:p w14:paraId="3C8D6163" w14:textId="77777777" w:rsidR="00B42AF5" w:rsidRPr="00110513" w:rsidRDefault="00B42AF5" w:rsidP="00B42AF5">
            <w:pPr>
              <w:spacing w:after="0" w:line="24" w:lineRule="atLeast"/>
              <w:jc w:val="both"/>
              <w:rPr>
                <w:rFonts w:cs="Arial"/>
                <w:color w:val="000000"/>
                <w:sz w:val="20"/>
                <w:szCs w:val="20"/>
              </w:rPr>
            </w:pPr>
            <w:r w:rsidRPr="00110513">
              <w:rPr>
                <w:rFonts w:cs="Arial"/>
                <w:color w:val="000000"/>
                <w:sz w:val="20"/>
                <w:szCs w:val="20"/>
              </w:rPr>
              <w:t>Обработени товари в х. тона речен</w:t>
            </w:r>
          </w:p>
        </w:tc>
        <w:tc>
          <w:tcPr>
            <w:tcW w:w="457" w:type="pct"/>
            <w:noWrap/>
            <w:hideMark/>
          </w:tcPr>
          <w:p w14:paraId="16DDDD85" w14:textId="65665B4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lang w:val="en-US"/>
              </w:rPr>
            </w:pPr>
            <w:r w:rsidRPr="00110513">
              <w:rPr>
                <w:rFonts w:cs="Arial"/>
                <w:sz w:val="20"/>
                <w:szCs w:val="20"/>
              </w:rPr>
              <w:t>1939</w:t>
            </w:r>
          </w:p>
        </w:tc>
        <w:tc>
          <w:tcPr>
            <w:tcW w:w="443" w:type="pct"/>
            <w:noWrap/>
            <w:hideMark/>
          </w:tcPr>
          <w:p w14:paraId="588806E4" w14:textId="134C564A"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1939</w:t>
            </w:r>
          </w:p>
        </w:tc>
        <w:tc>
          <w:tcPr>
            <w:tcW w:w="457" w:type="pct"/>
            <w:noWrap/>
            <w:hideMark/>
          </w:tcPr>
          <w:p w14:paraId="757D2EEB" w14:textId="26FD650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1942</w:t>
            </w:r>
          </w:p>
        </w:tc>
        <w:tc>
          <w:tcPr>
            <w:tcW w:w="475" w:type="pct"/>
            <w:noWrap/>
            <w:hideMark/>
          </w:tcPr>
          <w:p w14:paraId="5E7DE242" w14:textId="1406723B"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1944</w:t>
            </w:r>
          </w:p>
        </w:tc>
        <w:tc>
          <w:tcPr>
            <w:tcW w:w="443" w:type="pct"/>
            <w:noWrap/>
            <w:hideMark/>
          </w:tcPr>
          <w:p w14:paraId="1E5DE59B" w14:textId="2D28A6C9"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1944</w:t>
            </w:r>
          </w:p>
        </w:tc>
        <w:tc>
          <w:tcPr>
            <w:tcW w:w="464" w:type="pct"/>
            <w:noWrap/>
            <w:hideMark/>
          </w:tcPr>
          <w:p w14:paraId="133E26CE" w14:textId="28636204" w:rsidR="00B42AF5" w:rsidRPr="00110513" w:rsidRDefault="00B42AF5" w:rsidP="00B42AF5">
            <w:pPr>
              <w:spacing w:after="0" w:line="24" w:lineRule="atLeast"/>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1947</w:t>
            </w:r>
          </w:p>
        </w:tc>
      </w:tr>
    </w:tbl>
    <w:p w14:paraId="4ABA5FFE" w14:textId="77777777"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lastRenderedPageBreak/>
        <w:t>Общо прогнозирания ръст спрямо 2019 г. за периода на прогнозата е 34,42% за броя на корабите в морските пристанища и около 49% на обработените товари в тона. По-високият ръст на прогнозата за обработените товари в тона се дължи на повишения среден товар на един кораб в периода 2020-2023 г., спрямо 2019</w:t>
      </w:r>
      <w:r w:rsidRPr="009963CE">
        <w:rPr>
          <w:rFonts w:eastAsia="Calibri" w:cs="Arial"/>
          <w:szCs w:val="24"/>
          <w:lang w:eastAsia="en-US"/>
        </w:rPr>
        <w:t xml:space="preserve"> </w:t>
      </w:r>
      <w:r w:rsidRPr="00110513">
        <w:rPr>
          <w:rFonts w:eastAsia="Calibri" w:cs="Arial"/>
          <w:szCs w:val="24"/>
          <w:lang w:eastAsia="en-US"/>
        </w:rPr>
        <w:t xml:space="preserve">г. За нуждите на прогнозата е взет среден товар за последните 5 години, който е с </w:t>
      </w:r>
      <w:r w:rsidRPr="009963CE">
        <w:rPr>
          <w:rFonts w:eastAsia="Calibri" w:cs="Arial"/>
          <w:szCs w:val="24"/>
          <w:lang w:eastAsia="en-US"/>
        </w:rPr>
        <w:t xml:space="preserve">16% </w:t>
      </w:r>
      <w:r w:rsidRPr="00110513">
        <w:rPr>
          <w:rFonts w:eastAsia="Calibri" w:cs="Arial"/>
          <w:szCs w:val="24"/>
          <w:lang w:eastAsia="en-US"/>
        </w:rPr>
        <w:t>по-висок от този през 2019 г.</w:t>
      </w:r>
    </w:p>
    <w:p w14:paraId="6B016338" w14:textId="23C7D6E9"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t xml:space="preserve">Общо прогнозирания ръст в речните пристанища спрямо 2019 г. е </w:t>
      </w:r>
      <w:r w:rsidRPr="009963CE">
        <w:rPr>
          <w:rFonts w:eastAsia="Calibri" w:cs="Arial"/>
          <w:szCs w:val="24"/>
          <w:lang w:eastAsia="en-US"/>
        </w:rPr>
        <w:t>5</w:t>
      </w:r>
      <w:r w:rsidRPr="00110513">
        <w:rPr>
          <w:rFonts w:eastAsia="Calibri" w:cs="Arial"/>
          <w:szCs w:val="24"/>
          <w:lang w:eastAsia="en-US"/>
        </w:rPr>
        <w:t>,</w:t>
      </w:r>
      <w:r w:rsidRPr="009963CE">
        <w:rPr>
          <w:rFonts w:eastAsia="Calibri" w:cs="Arial"/>
          <w:szCs w:val="24"/>
          <w:lang w:eastAsia="en-US"/>
        </w:rPr>
        <w:t>4</w:t>
      </w:r>
      <w:r w:rsidRPr="00110513">
        <w:rPr>
          <w:rFonts w:eastAsia="Calibri" w:cs="Arial"/>
          <w:szCs w:val="24"/>
          <w:lang w:eastAsia="en-US"/>
        </w:rPr>
        <w:t>% за броя на корабите и 24,</w:t>
      </w:r>
      <w:r w:rsidRPr="009963CE">
        <w:rPr>
          <w:rFonts w:eastAsia="Calibri" w:cs="Arial"/>
          <w:szCs w:val="24"/>
          <w:lang w:eastAsia="en-US"/>
        </w:rPr>
        <w:t>7</w:t>
      </w:r>
      <w:r w:rsidRPr="00110513">
        <w:rPr>
          <w:rFonts w:eastAsia="Calibri" w:cs="Arial"/>
          <w:szCs w:val="24"/>
          <w:lang w:eastAsia="en-US"/>
        </w:rPr>
        <w:t>3% за обработените товари в тона, което напълно съответства на установения тренд през последните 5 години. През 2021</w:t>
      </w:r>
      <w:r w:rsidRPr="009963CE">
        <w:rPr>
          <w:rFonts w:eastAsia="Calibri" w:cs="Arial"/>
          <w:szCs w:val="24"/>
          <w:lang w:eastAsia="en-US"/>
        </w:rPr>
        <w:t xml:space="preserve"> </w:t>
      </w:r>
      <w:r w:rsidRPr="00110513">
        <w:rPr>
          <w:rFonts w:eastAsia="Calibri" w:cs="Arial"/>
          <w:szCs w:val="24"/>
          <w:lang w:eastAsia="en-US"/>
        </w:rPr>
        <w:t>г. средната корабна патрида намалява спрямо 2020</w:t>
      </w:r>
      <w:r w:rsidRPr="009963CE">
        <w:rPr>
          <w:rFonts w:eastAsia="Calibri" w:cs="Arial"/>
          <w:szCs w:val="24"/>
          <w:lang w:eastAsia="en-US"/>
        </w:rPr>
        <w:t xml:space="preserve"> </w:t>
      </w:r>
      <w:r w:rsidRPr="00110513">
        <w:rPr>
          <w:rFonts w:eastAsia="Calibri" w:cs="Arial"/>
          <w:szCs w:val="24"/>
          <w:lang w:eastAsia="en-US"/>
        </w:rPr>
        <w:t>г., което вероятно се дължи на периодите с критично ниски нива на р. Дунав, водещи до по-малък обем натоварен на един плавателен съд.</w:t>
      </w:r>
      <w:r w:rsidRPr="009963CE">
        <w:rPr>
          <w:rFonts w:eastAsia="Calibri" w:cs="Arial"/>
          <w:szCs w:val="24"/>
          <w:lang w:eastAsia="en-US"/>
        </w:rPr>
        <w:t xml:space="preserve"> </w:t>
      </w:r>
      <w:r w:rsidRPr="00110513">
        <w:rPr>
          <w:rFonts w:eastAsia="Calibri" w:cs="Arial"/>
          <w:szCs w:val="24"/>
          <w:lang w:eastAsia="en-US"/>
        </w:rPr>
        <w:t>През 2022 г. отново се вдига, през 2023</w:t>
      </w:r>
      <w:r w:rsidR="00110513">
        <w:rPr>
          <w:rFonts w:eastAsia="Calibri" w:cs="Arial"/>
          <w:szCs w:val="24"/>
          <w:lang w:eastAsia="en-US"/>
        </w:rPr>
        <w:t xml:space="preserve"> </w:t>
      </w:r>
      <w:r w:rsidRPr="00110513">
        <w:rPr>
          <w:rFonts w:eastAsia="Calibri" w:cs="Arial"/>
          <w:szCs w:val="24"/>
          <w:lang w:eastAsia="en-US"/>
        </w:rPr>
        <w:t>г. отново намалява и затова  в прогнозата се работи със средната стойност за последните 5 години, която е с 25% по висока от тази през 2019г. На тази разлика се дължи изпреварващия ръст на обработените товари, спрямо този на броя товарни кораби.</w:t>
      </w:r>
    </w:p>
    <w:p w14:paraId="2F485448" w14:textId="77777777" w:rsidR="00441346" w:rsidRPr="00110513" w:rsidRDefault="00441346" w:rsidP="00441346">
      <w:pPr>
        <w:spacing w:before="120" w:after="120" w:line="24" w:lineRule="atLeast"/>
        <w:jc w:val="both"/>
        <w:rPr>
          <w:rFonts w:eastAsia="Calibri" w:cs="Arial"/>
          <w:szCs w:val="24"/>
          <w:lang w:eastAsia="en-US"/>
        </w:rPr>
      </w:pPr>
      <w:r w:rsidRPr="00110513">
        <w:rPr>
          <w:rFonts w:eastAsia="Calibri" w:cs="Arial"/>
          <w:szCs w:val="24"/>
          <w:lang w:eastAsia="en-US"/>
        </w:rPr>
        <w:t>Разделянето на прогнозата по видове пристанища е важна от гледна точка на приходите и разходите, които са различни за морските и речните пристанища.</w:t>
      </w:r>
    </w:p>
    <w:p w14:paraId="04D6083B" w14:textId="4EE8C799" w:rsidR="00441346" w:rsidRPr="00110513" w:rsidRDefault="00441346" w:rsidP="00441346">
      <w:pPr>
        <w:spacing w:after="120" w:line="24" w:lineRule="atLeast"/>
        <w:jc w:val="both"/>
        <w:rPr>
          <w:rFonts w:eastAsia="Calibri" w:cs="Arial"/>
          <w:szCs w:val="24"/>
          <w:lang w:eastAsia="en-US"/>
        </w:rPr>
      </w:pPr>
      <w:bookmarkStart w:id="152" w:name="_Toc115547631"/>
      <w:r w:rsidRPr="00110513">
        <w:rPr>
          <w:rFonts w:eastAsia="Calibri" w:cs="Arial"/>
          <w:szCs w:val="24"/>
          <w:lang w:eastAsia="en-US"/>
        </w:rPr>
        <w:t xml:space="preserve">За всички </w:t>
      </w:r>
      <w:r w:rsidR="00B42AF5" w:rsidRPr="00110513">
        <w:rPr>
          <w:rFonts w:eastAsia="Calibri" w:cs="Arial"/>
          <w:szCs w:val="24"/>
          <w:lang w:eastAsia="en-US"/>
        </w:rPr>
        <w:t>морски</w:t>
      </w:r>
      <w:r w:rsidRPr="00110513">
        <w:rPr>
          <w:rFonts w:eastAsia="Calibri" w:cs="Arial"/>
          <w:szCs w:val="24"/>
          <w:lang w:eastAsia="en-US"/>
        </w:rPr>
        <w:t xml:space="preserve"> пристанища прогнозата в сценария „С проект“ се запазва същата, както в сценария „Без проект“. За </w:t>
      </w:r>
      <w:r w:rsidR="00B42AF5" w:rsidRPr="00110513">
        <w:rPr>
          <w:rFonts w:eastAsia="Calibri" w:cs="Arial"/>
          <w:szCs w:val="24"/>
          <w:lang w:eastAsia="en-US"/>
        </w:rPr>
        <w:t>речн</w:t>
      </w:r>
      <w:r w:rsidRPr="00110513">
        <w:rPr>
          <w:rFonts w:eastAsia="Calibri" w:cs="Arial"/>
          <w:szCs w:val="24"/>
          <w:lang w:eastAsia="en-US"/>
        </w:rPr>
        <w:t xml:space="preserve">ите пристанища се увеличава броя на корабите и респективно товарооборота, в резултат от реализацията на проекта, </w:t>
      </w:r>
    </w:p>
    <w:p w14:paraId="22066A25" w14:textId="46B1E555" w:rsidR="00441346" w:rsidRPr="00110513" w:rsidRDefault="00441346" w:rsidP="00441346">
      <w:pPr>
        <w:spacing w:after="120" w:line="24" w:lineRule="atLeast"/>
        <w:jc w:val="both"/>
        <w:rPr>
          <w:rFonts w:eastAsia="Calibri" w:cs="Arial"/>
          <w:szCs w:val="24"/>
          <w:lang w:eastAsia="en-US"/>
        </w:rPr>
      </w:pPr>
      <w:r w:rsidRPr="00110513">
        <w:rPr>
          <w:rFonts w:eastAsia="Calibri" w:cs="Arial"/>
          <w:szCs w:val="24"/>
          <w:lang w:eastAsia="en-US"/>
        </w:rPr>
        <w:t>Анализът на търсенето в този сценарий е фокусиран върху</w:t>
      </w:r>
      <w:r w:rsidR="00B42AF5" w:rsidRPr="00110513">
        <w:rPr>
          <w:rFonts w:eastAsia="Calibri" w:cs="Arial"/>
          <w:szCs w:val="24"/>
          <w:lang w:eastAsia="en-US"/>
        </w:rPr>
        <w:t xml:space="preserve"> подобрените условия за безопасност, което повишава доверието на настоящите и потенциални товародатели в пристанище Лом и по специално на Източен кей</w:t>
      </w:r>
      <w:r w:rsidRPr="00110513">
        <w:rPr>
          <w:rFonts w:eastAsia="Calibri" w:cs="Arial"/>
          <w:szCs w:val="24"/>
          <w:lang w:eastAsia="en-US"/>
        </w:rPr>
        <w:t>.</w:t>
      </w:r>
    </w:p>
    <w:p w14:paraId="6B22D572" w14:textId="488C6450" w:rsidR="00441346" w:rsidRDefault="00441346" w:rsidP="00441346">
      <w:pPr>
        <w:spacing w:after="120" w:line="24" w:lineRule="atLeast"/>
        <w:jc w:val="both"/>
        <w:rPr>
          <w:rFonts w:eastAsia="Calibri" w:cs="Arial"/>
          <w:szCs w:val="24"/>
          <w:lang w:eastAsia="en-US"/>
        </w:rPr>
      </w:pPr>
      <w:r w:rsidRPr="00110513">
        <w:rPr>
          <w:rFonts w:eastAsia="Calibri" w:cs="Arial"/>
          <w:szCs w:val="24"/>
          <w:lang w:eastAsia="en-US"/>
        </w:rPr>
        <w:t xml:space="preserve">Така определения брой допълнителни тонове товари в пристанище </w:t>
      </w:r>
      <w:r w:rsidR="00B42AF5" w:rsidRPr="00110513">
        <w:rPr>
          <w:rFonts w:eastAsia="Calibri" w:cs="Arial"/>
          <w:szCs w:val="24"/>
          <w:lang w:eastAsia="en-US"/>
        </w:rPr>
        <w:t>Лом</w:t>
      </w:r>
      <w:r w:rsidRPr="00110513">
        <w:rPr>
          <w:rFonts w:eastAsia="Calibri" w:cs="Arial"/>
          <w:szCs w:val="24"/>
          <w:lang w:eastAsia="en-US"/>
        </w:rPr>
        <w:t xml:space="preserve"> е добавен към прогнозираното количество товари в прогнозата на сценария „Без проект“, за да се получи прогнозата в сценария „С проект“. </w:t>
      </w:r>
      <w:bookmarkEnd w:id="152"/>
      <w:r w:rsidRPr="00110513">
        <w:rPr>
          <w:rFonts w:eastAsia="Calibri" w:cs="Arial"/>
          <w:szCs w:val="24"/>
          <w:lang w:eastAsia="en-US"/>
        </w:rPr>
        <w:t>Тя е резюмирана в следващата таблица:</w:t>
      </w:r>
      <w:bookmarkStart w:id="153" w:name="_Toc115547632"/>
    </w:p>
    <w:p w14:paraId="06519821" w14:textId="78601A59" w:rsidR="00110513" w:rsidRPr="00110513" w:rsidRDefault="00110513" w:rsidP="00441346">
      <w:pPr>
        <w:spacing w:after="120" w:line="24" w:lineRule="atLeast"/>
        <w:jc w:val="both"/>
        <w:rPr>
          <w:rFonts w:eastAsia="Calibri" w:cs="Arial"/>
          <w:szCs w:val="24"/>
          <w:lang w:eastAsia="en-US"/>
        </w:rPr>
      </w:pPr>
      <w:bookmarkStart w:id="154" w:name="_Toc17409905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Pr>
          <w:rFonts w:cs="Arial"/>
          <w:bCs/>
          <w:i/>
          <w:noProof/>
          <w:sz w:val="22"/>
        </w:rPr>
        <w:t>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Прогноза за обработените товари по пристанища „С</w:t>
      </w:r>
      <w:r w:rsidRPr="00110513">
        <w:rPr>
          <w:rFonts w:eastAsia="Calibri" w:cs="Arial"/>
          <w:i/>
          <w:color w:val="000000"/>
          <w:sz w:val="22"/>
          <w:lang w:eastAsia="en-US"/>
        </w:rPr>
        <w:t xml:space="preserve"> проект</w:t>
      </w:r>
      <w:r>
        <w:rPr>
          <w:rFonts w:eastAsia="Calibri" w:cs="Arial"/>
          <w:i/>
          <w:color w:val="000000"/>
          <w:sz w:val="22"/>
          <w:lang w:eastAsia="en-US"/>
        </w:rPr>
        <w:t>“</w:t>
      </w:r>
      <w:bookmarkEnd w:id="154"/>
    </w:p>
    <w:tbl>
      <w:tblPr>
        <w:tblStyle w:val="LightList-Accent111"/>
        <w:tblW w:w="4976" w:type="pct"/>
        <w:tblLayout w:type="fixed"/>
        <w:tblLook w:val="04A0" w:firstRow="1" w:lastRow="0" w:firstColumn="1" w:lastColumn="0" w:noHBand="0" w:noVBand="1"/>
      </w:tblPr>
      <w:tblGrid>
        <w:gridCol w:w="4040"/>
        <w:gridCol w:w="894"/>
        <w:gridCol w:w="904"/>
        <w:gridCol w:w="898"/>
        <w:gridCol w:w="902"/>
        <w:gridCol w:w="902"/>
        <w:gridCol w:w="892"/>
      </w:tblGrid>
      <w:tr w:rsidR="00110513" w:rsidRPr="009D178F" w14:paraId="4F3BE9AF" w14:textId="77777777" w:rsidTr="00110513">
        <w:trPr>
          <w:cnfStyle w:val="100000000000" w:firstRow="1" w:lastRow="0" w:firstColumn="0" w:lastColumn="0" w:oddVBand="0" w:evenVBand="0" w:oddHBand="0" w:evenHBand="0" w:firstRowFirstColumn="0" w:firstRowLastColumn="0" w:lastRowFirstColumn="0" w:lastRowLastColumn="0"/>
          <w:trHeight w:val="315"/>
        </w:trPr>
        <w:tc>
          <w:tcPr>
            <w:cnfStyle w:val="001000000000" w:firstRow="0" w:lastRow="0" w:firstColumn="1" w:lastColumn="0" w:oddVBand="0" w:evenVBand="0" w:oddHBand="0" w:evenHBand="0" w:firstRowFirstColumn="0" w:firstRowLastColumn="0" w:lastRowFirstColumn="0" w:lastRowLastColumn="0"/>
            <w:tcW w:w="2142" w:type="pct"/>
            <w:noWrap/>
            <w:vAlign w:val="center"/>
            <w:hideMark/>
          </w:tcPr>
          <w:bookmarkEnd w:id="153"/>
          <w:p w14:paraId="2A3DDA6E" w14:textId="41E3E70C" w:rsidR="00441346" w:rsidRPr="00110513" w:rsidRDefault="00441346" w:rsidP="00110513">
            <w:pPr>
              <w:spacing w:line="24" w:lineRule="atLeast"/>
              <w:ind w:hanging="23"/>
              <w:jc w:val="center"/>
              <w:rPr>
                <w:rFonts w:cs="Arial"/>
                <w:b w:val="0"/>
                <w:bCs w:val="0"/>
                <w:color w:val="FFFFFF" w:themeColor="background1"/>
                <w:sz w:val="20"/>
                <w:szCs w:val="20"/>
              </w:rPr>
            </w:pPr>
            <w:r w:rsidRPr="00110513">
              <w:rPr>
                <w:rFonts w:cs="Arial"/>
                <w:color w:val="FFFFFF" w:themeColor="background1"/>
                <w:sz w:val="20"/>
                <w:szCs w:val="20"/>
              </w:rPr>
              <w:t xml:space="preserve">Прогноза за </w:t>
            </w:r>
            <w:r w:rsidR="00110513">
              <w:rPr>
                <w:rFonts w:cs="Arial"/>
                <w:color w:val="FFFFFF" w:themeColor="background1"/>
                <w:sz w:val="20"/>
                <w:szCs w:val="20"/>
              </w:rPr>
              <w:t>обработени товари</w:t>
            </w:r>
            <w:r w:rsidRPr="00110513">
              <w:rPr>
                <w:rFonts w:cs="Arial"/>
                <w:color w:val="FFFFFF" w:themeColor="background1"/>
                <w:sz w:val="20"/>
                <w:szCs w:val="20"/>
              </w:rPr>
              <w:t xml:space="preserve"> </w:t>
            </w:r>
          </w:p>
        </w:tc>
        <w:tc>
          <w:tcPr>
            <w:tcW w:w="474" w:type="pct"/>
            <w:noWrap/>
            <w:vAlign w:val="center"/>
            <w:hideMark/>
          </w:tcPr>
          <w:p w14:paraId="21F16FC0"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2023 г.</w:t>
            </w:r>
          </w:p>
        </w:tc>
        <w:tc>
          <w:tcPr>
            <w:tcW w:w="479" w:type="pct"/>
            <w:noWrap/>
            <w:vAlign w:val="center"/>
            <w:hideMark/>
          </w:tcPr>
          <w:p w14:paraId="4658DEA8" w14:textId="1484CD0B" w:rsidR="00441346" w:rsidRPr="00110513" w:rsidRDefault="00441346" w:rsidP="00BB0022">
            <w:pPr>
              <w:spacing w:line="24" w:lineRule="atLeast"/>
              <w:ind w:firstLine="26"/>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202</w:t>
            </w:r>
            <w:r w:rsidR="00B42AF5" w:rsidRPr="00110513">
              <w:rPr>
                <w:rFonts w:cs="Arial"/>
                <w:color w:val="FFFFFF" w:themeColor="background1"/>
                <w:sz w:val="20"/>
                <w:szCs w:val="20"/>
              </w:rPr>
              <w:t>7</w:t>
            </w:r>
            <w:r w:rsidRPr="00110513">
              <w:rPr>
                <w:rFonts w:cs="Arial"/>
                <w:color w:val="FFFFFF" w:themeColor="background1"/>
                <w:sz w:val="20"/>
                <w:szCs w:val="20"/>
              </w:rPr>
              <w:t xml:space="preserve"> г.</w:t>
            </w:r>
          </w:p>
        </w:tc>
        <w:tc>
          <w:tcPr>
            <w:tcW w:w="476" w:type="pct"/>
            <w:noWrap/>
            <w:vAlign w:val="center"/>
            <w:hideMark/>
          </w:tcPr>
          <w:p w14:paraId="5A62BEED" w14:textId="77777777" w:rsidR="00441346" w:rsidRPr="00110513" w:rsidRDefault="00441346" w:rsidP="00BB0022">
            <w:pPr>
              <w:spacing w:line="24" w:lineRule="atLeast"/>
              <w:ind w:hanging="7"/>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2030 г.</w:t>
            </w:r>
          </w:p>
        </w:tc>
        <w:tc>
          <w:tcPr>
            <w:tcW w:w="478" w:type="pct"/>
            <w:noWrap/>
            <w:vAlign w:val="center"/>
            <w:hideMark/>
          </w:tcPr>
          <w:p w14:paraId="19437985"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2035 г.</w:t>
            </w:r>
          </w:p>
        </w:tc>
        <w:tc>
          <w:tcPr>
            <w:tcW w:w="478" w:type="pct"/>
            <w:noWrap/>
            <w:vAlign w:val="center"/>
            <w:hideMark/>
          </w:tcPr>
          <w:p w14:paraId="4C999A9D" w14:textId="77777777" w:rsidR="00441346" w:rsidRPr="00110513" w:rsidRDefault="00441346" w:rsidP="00BB0022">
            <w:pPr>
              <w:spacing w:line="24" w:lineRule="atLeast"/>
              <w:ind w:hanging="24"/>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2040 г.</w:t>
            </w:r>
          </w:p>
        </w:tc>
        <w:tc>
          <w:tcPr>
            <w:tcW w:w="474" w:type="pct"/>
            <w:noWrap/>
            <w:vAlign w:val="center"/>
            <w:hideMark/>
          </w:tcPr>
          <w:p w14:paraId="3BCD54D3" w14:textId="77777777" w:rsidR="00441346" w:rsidRPr="00110513" w:rsidRDefault="00441346" w:rsidP="00BB0022">
            <w:pPr>
              <w:spacing w:line="24" w:lineRule="atLeast"/>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110513">
              <w:rPr>
                <w:rFonts w:cs="Arial"/>
                <w:color w:val="FFFFFF" w:themeColor="background1"/>
                <w:sz w:val="20"/>
                <w:szCs w:val="20"/>
              </w:rPr>
              <w:t>2047 г.</w:t>
            </w:r>
          </w:p>
        </w:tc>
      </w:tr>
      <w:tr w:rsidR="00110513" w:rsidRPr="009D178F" w14:paraId="0687906A"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4880BFE8"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Брой кораби в морските пристанища</w:t>
            </w:r>
          </w:p>
        </w:tc>
        <w:tc>
          <w:tcPr>
            <w:tcW w:w="474" w:type="pct"/>
            <w:noWrap/>
            <w:hideMark/>
          </w:tcPr>
          <w:p w14:paraId="0E4EFF40" w14:textId="70622F56"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8 726</w:t>
            </w:r>
          </w:p>
        </w:tc>
        <w:tc>
          <w:tcPr>
            <w:tcW w:w="479" w:type="pct"/>
            <w:noWrap/>
            <w:hideMark/>
          </w:tcPr>
          <w:p w14:paraId="07A2F72C" w14:textId="15912A22" w:rsidR="00B42AF5" w:rsidRPr="00110513" w:rsidRDefault="00B42AF5" w:rsidP="00B42AF5">
            <w:pPr>
              <w:spacing w:after="0"/>
              <w:ind w:firstLine="26"/>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9 504</w:t>
            </w:r>
          </w:p>
        </w:tc>
        <w:tc>
          <w:tcPr>
            <w:tcW w:w="476" w:type="pct"/>
            <w:noWrap/>
            <w:hideMark/>
          </w:tcPr>
          <w:p w14:paraId="11F0F9F3" w14:textId="06C6FAED" w:rsidR="00B42AF5" w:rsidRPr="00110513" w:rsidRDefault="00B42AF5" w:rsidP="00B42AF5">
            <w:pPr>
              <w:spacing w:after="0"/>
              <w:ind w:hanging="7"/>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9 778</w:t>
            </w:r>
          </w:p>
        </w:tc>
        <w:tc>
          <w:tcPr>
            <w:tcW w:w="478" w:type="pct"/>
            <w:noWrap/>
            <w:hideMark/>
          </w:tcPr>
          <w:p w14:paraId="64B1A422" w14:textId="627A9FA0"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10 957</w:t>
            </w:r>
          </w:p>
        </w:tc>
        <w:tc>
          <w:tcPr>
            <w:tcW w:w="478" w:type="pct"/>
            <w:noWrap/>
            <w:hideMark/>
          </w:tcPr>
          <w:p w14:paraId="0DF2A9C9" w14:textId="6B268109" w:rsidR="00B42AF5" w:rsidRPr="00110513" w:rsidRDefault="00B42AF5" w:rsidP="00B42AF5">
            <w:pPr>
              <w:spacing w:after="0"/>
              <w:ind w:hanging="24"/>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12 633</w:t>
            </w:r>
          </w:p>
        </w:tc>
        <w:tc>
          <w:tcPr>
            <w:tcW w:w="474" w:type="pct"/>
            <w:noWrap/>
            <w:hideMark/>
          </w:tcPr>
          <w:p w14:paraId="31683A0B" w14:textId="5C7CA34A"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15 418</w:t>
            </w:r>
          </w:p>
        </w:tc>
      </w:tr>
      <w:tr w:rsidR="00110513" w:rsidRPr="009D178F" w14:paraId="3ADAFDDA"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19BBF2E0"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Брой кораби в речните пристанища</w:t>
            </w:r>
          </w:p>
        </w:tc>
        <w:tc>
          <w:tcPr>
            <w:tcW w:w="474" w:type="pct"/>
            <w:noWrap/>
            <w:hideMark/>
          </w:tcPr>
          <w:p w14:paraId="5A612FF9" w14:textId="4428A247"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6 892</w:t>
            </w:r>
          </w:p>
        </w:tc>
        <w:tc>
          <w:tcPr>
            <w:tcW w:w="479" w:type="pct"/>
            <w:noWrap/>
            <w:hideMark/>
          </w:tcPr>
          <w:p w14:paraId="5D7A50ED" w14:textId="51778B1E" w:rsidR="00B42AF5" w:rsidRPr="00110513" w:rsidRDefault="00B42AF5" w:rsidP="00B42AF5">
            <w:pPr>
              <w:spacing w:after="0"/>
              <w:ind w:firstLine="26"/>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6 899</w:t>
            </w:r>
          </w:p>
        </w:tc>
        <w:tc>
          <w:tcPr>
            <w:tcW w:w="476" w:type="pct"/>
            <w:noWrap/>
            <w:hideMark/>
          </w:tcPr>
          <w:p w14:paraId="387F7C66" w14:textId="7109DEF1" w:rsidR="00B42AF5" w:rsidRPr="00110513" w:rsidRDefault="00B42AF5" w:rsidP="00B42AF5">
            <w:pPr>
              <w:spacing w:after="0"/>
              <w:ind w:hanging="7"/>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6 902</w:t>
            </w:r>
          </w:p>
        </w:tc>
        <w:tc>
          <w:tcPr>
            <w:tcW w:w="478" w:type="pct"/>
            <w:noWrap/>
            <w:hideMark/>
          </w:tcPr>
          <w:p w14:paraId="0DD428E7" w14:textId="700BEAD8"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6 912</w:t>
            </w:r>
          </w:p>
        </w:tc>
        <w:tc>
          <w:tcPr>
            <w:tcW w:w="478" w:type="pct"/>
            <w:noWrap/>
            <w:hideMark/>
          </w:tcPr>
          <w:p w14:paraId="1F31E336" w14:textId="0E6DFDCB" w:rsidR="00B42AF5" w:rsidRPr="00110513" w:rsidRDefault="00B42AF5" w:rsidP="00B42AF5">
            <w:pPr>
              <w:spacing w:after="0"/>
              <w:ind w:hanging="24"/>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6 925</w:t>
            </w:r>
          </w:p>
        </w:tc>
        <w:tc>
          <w:tcPr>
            <w:tcW w:w="474" w:type="pct"/>
            <w:noWrap/>
            <w:hideMark/>
          </w:tcPr>
          <w:p w14:paraId="57E6586C" w14:textId="2CEB53F5"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highlight w:val="yellow"/>
              </w:rPr>
            </w:pPr>
            <w:r w:rsidRPr="00110513">
              <w:rPr>
                <w:rFonts w:cs="Arial"/>
                <w:sz w:val="20"/>
                <w:szCs w:val="20"/>
              </w:rPr>
              <w:t>6 943</w:t>
            </w:r>
          </w:p>
        </w:tc>
      </w:tr>
      <w:tr w:rsidR="00110513" w:rsidRPr="009D178F" w14:paraId="607B65E1" w14:textId="77777777" w:rsidTr="00110513">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7E496D22"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Обработени товари в х. тона морски</w:t>
            </w:r>
          </w:p>
        </w:tc>
        <w:tc>
          <w:tcPr>
            <w:tcW w:w="474" w:type="pct"/>
            <w:noWrap/>
            <w:hideMark/>
          </w:tcPr>
          <w:p w14:paraId="61ECA27E" w14:textId="41D6B677"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rPr>
            </w:pPr>
            <w:r w:rsidRPr="00110513">
              <w:rPr>
                <w:rFonts w:cs="Arial"/>
                <w:sz w:val="20"/>
                <w:szCs w:val="20"/>
              </w:rPr>
              <w:t>46833</w:t>
            </w:r>
          </w:p>
        </w:tc>
        <w:tc>
          <w:tcPr>
            <w:tcW w:w="479" w:type="pct"/>
            <w:noWrap/>
            <w:hideMark/>
          </w:tcPr>
          <w:p w14:paraId="4E22A067" w14:textId="02FC9EE5" w:rsidR="00B42AF5" w:rsidRPr="00110513" w:rsidRDefault="00B42AF5" w:rsidP="00B42AF5">
            <w:pPr>
              <w:spacing w:after="0"/>
              <w:ind w:firstLine="26"/>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51007</w:t>
            </w:r>
          </w:p>
        </w:tc>
        <w:tc>
          <w:tcPr>
            <w:tcW w:w="476" w:type="pct"/>
            <w:noWrap/>
            <w:hideMark/>
          </w:tcPr>
          <w:p w14:paraId="21706716" w14:textId="33073A52" w:rsidR="00B42AF5" w:rsidRPr="00110513" w:rsidRDefault="00B42AF5" w:rsidP="00B42AF5">
            <w:pPr>
              <w:spacing w:after="0"/>
              <w:ind w:hanging="7"/>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52480</w:t>
            </w:r>
          </w:p>
        </w:tc>
        <w:tc>
          <w:tcPr>
            <w:tcW w:w="478" w:type="pct"/>
            <w:noWrap/>
            <w:hideMark/>
          </w:tcPr>
          <w:p w14:paraId="702F7E65" w14:textId="57AA192E"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58808</w:t>
            </w:r>
          </w:p>
        </w:tc>
        <w:tc>
          <w:tcPr>
            <w:tcW w:w="478" w:type="pct"/>
            <w:noWrap/>
            <w:hideMark/>
          </w:tcPr>
          <w:p w14:paraId="6910ECDD" w14:textId="72CBF421" w:rsidR="00B42AF5" w:rsidRPr="00110513" w:rsidRDefault="00B42AF5" w:rsidP="00B42AF5">
            <w:pPr>
              <w:spacing w:after="0"/>
              <w:ind w:hanging="24"/>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67802</w:t>
            </w:r>
          </w:p>
        </w:tc>
        <w:tc>
          <w:tcPr>
            <w:tcW w:w="474" w:type="pct"/>
            <w:noWrap/>
            <w:hideMark/>
          </w:tcPr>
          <w:p w14:paraId="495BC402" w14:textId="1D8B476E" w:rsidR="00B42AF5" w:rsidRPr="00110513" w:rsidRDefault="00B42AF5" w:rsidP="00B42AF5">
            <w:pPr>
              <w:spacing w:after="0"/>
              <w:jc w:val="center"/>
              <w:cnfStyle w:val="000000100000" w:firstRow="0" w:lastRow="0" w:firstColumn="0" w:lastColumn="0" w:oddVBand="0" w:evenVBand="0" w:oddHBand="1" w:evenHBand="0" w:firstRowFirstColumn="0" w:firstRowLastColumn="0" w:lastRowFirstColumn="0" w:lastRowLastColumn="0"/>
              <w:rPr>
                <w:rFonts w:eastAsia="Calibri" w:cs="Arial"/>
                <w:sz w:val="20"/>
                <w:szCs w:val="20"/>
                <w:highlight w:val="yellow"/>
              </w:rPr>
            </w:pPr>
            <w:r w:rsidRPr="00110513">
              <w:rPr>
                <w:rFonts w:cs="Arial"/>
                <w:sz w:val="20"/>
                <w:szCs w:val="20"/>
              </w:rPr>
              <w:t>82750</w:t>
            </w:r>
          </w:p>
        </w:tc>
      </w:tr>
      <w:tr w:rsidR="00110513" w:rsidRPr="009D178F" w14:paraId="20D63D7F" w14:textId="77777777" w:rsidTr="00110513">
        <w:trPr>
          <w:trHeight w:val="288"/>
        </w:trPr>
        <w:tc>
          <w:tcPr>
            <w:cnfStyle w:val="001000000000" w:firstRow="0" w:lastRow="0" w:firstColumn="1" w:lastColumn="0" w:oddVBand="0" w:evenVBand="0" w:oddHBand="0" w:evenHBand="0" w:firstRowFirstColumn="0" w:firstRowLastColumn="0" w:lastRowFirstColumn="0" w:lastRowLastColumn="0"/>
            <w:tcW w:w="2142" w:type="pct"/>
            <w:noWrap/>
            <w:hideMark/>
          </w:tcPr>
          <w:p w14:paraId="79004AD1" w14:textId="77777777" w:rsidR="00B42AF5" w:rsidRPr="00110513" w:rsidRDefault="00B42AF5" w:rsidP="00B42AF5">
            <w:pPr>
              <w:spacing w:after="0" w:line="24" w:lineRule="atLeast"/>
              <w:ind w:hanging="23"/>
              <w:rPr>
                <w:rFonts w:cs="Arial"/>
                <w:color w:val="000000"/>
                <w:sz w:val="20"/>
                <w:szCs w:val="20"/>
              </w:rPr>
            </w:pPr>
            <w:r w:rsidRPr="00110513">
              <w:rPr>
                <w:rFonts w:cs="Arial"/>
                <w:color w:val="000000"/>
                <w:sz w:val="20"/>
                <w:szCs w:val="20"/>
              </w:rPr>
              <w:t>Обработени товари в х. тона речен</w:t>
            </w:r>
          </w:p>
        </w:tc>
        <w:tc>
          <w:tcPr>
            <w:tcW w:w="474" w:type="pct"/>
            <w:noWrap/>
            <w:hideMark/>
          </w:tcPr>
          <w:p w14:paraId="1B432B37" w14:textId="4C76BE52"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lang w:val="en-US"/>
              </w:rPr>
            </w:pPr>
            <w:r w:rsidRPr="00110513">
              <w:rPr>
                <w:rFonts w:cs="Arial"/>
                <w:sz w:val="20"/>
                <w:szCs w:val="20"/>
              </w:rPr>
              <w:t>1962</w:t>
            </w:r>
          </w:p>
        </w:tc>
        <w:tc>
          <w:tcPr>
            <w:tcW w:w="479" w:type="pct"/>
            <w:noWrap/>
            <w:hideMark/>
          </w:tcPr>
          <w:p w14:paraId="7ADD970C" w14:textId="22843EFA" w:rsidR="00B42AF5" w:rsidRPr="00110513" w:rsidRDefault="00B42AF5" w:rsidP="00B42AF5">
            <w:pPr>
              <w:spacing w:after="0"/>
              <w:ind w:firstLine="26"/>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1964</w:t>
            </w:r>
          </w:p>
        </w:tc>
        <w:tc>
          <w:tcPr>
            <w:tcW w:w="476" w:type="pct"/>
            <w:noWrap/>
            <w:hideMark/>
          </w:tcPr>
          <w:p w14:paraId="21F89ECC" w14:textId="70472CD2" w:rsidR="00B42AF5" w:rsidRPr="00110513" w:rsidRDefault="00B42AF5" w:rsidP="00B42AF5">
            <w:pPr>
              <w:spacing w:after="0"/>
              <w:ind w:hanging="7"/>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1964</w:t>
            </w:r>
          </w:p>
        </w:tc>
        <w:tc>
          <w:tcPr>
            <w:tcW w:w="478" w:type="pct"/>
            <w:noWrap/>
            <w:hideMark/>
          </w:tcPr>
          <w:p w14:paraId="59F0C044" w14:textId="17980403"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1967</w:t>
            </w:r>
          </w:p>
        </w:tc>
        <w:tc>
          <w:tcPr>
            <w:tcW w:w="478" w:type="pct"/>
            <w:noWrap/>
            <w:hideMark/>
          </w:tcPr>
          <w:p w14:paraId="040CC779" w14:textId="20947613" w:rsidR="00B42AF5" w:rsidRPr="00110513" w:rsidRDefault="00B42AF5" w:rsidP="00B42AF5">
            <w:pPr>
              <w:spacing w:after="0"/>
              <w:ind w:hanging="24"/>
              <w:jc w:val="center"/>
              <w:cnfStyle w:val="000000000000" w:firstRow="0" w:lastRow="0" w:firstColumn="0" w:lastColumn="0" w:oddVBand="0" w:evenVBand="0" w:oddHBand="0" w:evenHBand="0" w:firstRowFirstColumn="0" w:firstRowLastColumn="0" w:lastRowFirstColumn="0" w:lastRowLastColumn="0"/>
              <w:rPr>
                <w:rFonts w:eastAsia="Calibri" w:cs="Arial"/>
                <w:sz w:val="20"/>
                <w:szCs w:val="20"/>
              </w:rPr>
            </w:pPr>
            <w:r w:rsidRPr="00110513">
              <w:rPr>
                <w:rFonts w:cs="Arial"/>
                <w:sz w:val="20"/>
                <w:szCs w:val="20"/>
              </w:rPr>
              <w:t>1971</w:t>
            </w:r>
          </w:p>
        </w:tc>
        <w:tc>
          <w:tcPr>
            <w:tcW w:w="474" w:type="pct"/>
            <w:noWrap/>
            <w:hideMark/>
          </w:tcPr>
          <w:p w14:paraId="794D2D78" w14:textId="78DE9568" w:rsidR="00B42AF5" w:rsidRPr="00110513" w:rsidRDefault="00B42AF5" w:rsidP="00B42AF5">
            <w:pPr>
              <w:spacing w:after="0"/>
              <w:jc w:val="center"/>
              <w:cnfStyle w:val="000000000000" w:firstRow="0" w:lastRow="0" w:firstColumn="0" w:lastColumn="0" w:oddVBand="0" w:evenVBand="0" w:oddHBand="0" w:evenHBand="0" w:firstRowFirstColumn="0" w:firstRowLastColumn="0" w:lastRowFirstColumn="0" w:lastRowLastColumn="0"/>
              <w:rPr>
                <w:rFonts w:eastAsia="Calibri" w:cs="Arial"/>
                <w:color w:val="000000"/>
                <w:sz w:val="20"/>
                <w:szCs w:val="20"/>
              </w:rPr>
            </w:pPr>
            <w:r w:rsidRPr="00110513">
              <w:rPr>
                <w:rFonts w:cs="Arial"/>
                <w:sz w:val="20"/>
                <w:szCs w:val="20"/>
              </w:rPr>
              <w:t>1976</w:t>
            </w:r>
          </w:p>
        </w:tc>
      </w:tr>
    </w:tbl>
    <w:p w14:paraId="2FC4C707" w14:textId="77777777" w:rsidR="00441346" w:rsidRPr="00110513" w:rsidRDefault="00441346" w:rsidP="00441346">
      <w:pPr>
        <w:spacing w:before="240"/>
        <w:jc w:val="both"/>
        <w:rPr>
          <w:rFonts w:eastAsia="Calibri" w:cs="Arial"/>
          <w:szCs w:val="24"/>
          <w:lang w:eastAsia="en-US"/>
        </w:rPr>
      </w:pPr>
      <w:r w:rsidRPr="00110513">
        <w:rPr>
          <w:rFonts w:eastAsia="Calibri" w:cs="Arial"/>
          <w:szCs w:val="24"/>
          <w:lang w:eastAsia="en-US"/>
        </w:rPr>
        <w:t>Анализът на търсенето и произтичащите от него прогнози са от важно значение за определяне икономическата целесъобразност на проекта. Те са свързани също така с изготвяне на финансовия анализ и определяне размера на необходимата безвъзмездна финансова помощ по проекта. Изготвените в ПП прогнози са използвани за нуждите на настоящия АРП.</w:t>
      </w:r>
    </w:p>
    <w:p w14:paraId="0E50971F" w14:textId="77777777" w:rsidR="00660BE3" w:rsidRPr="006B3639" w:rsidRDefault="00660BE3" w:rsidP="00660BE3">
      <w:pPr>
        <w:pStyle w:val="Heading2"/>
        <w:numPr>
          <w:ilvl w:val="1"/>
          <w:numId w:val="3"/>
        </w:numPr>
        <w:ind w:left="1080" w:hanging="540"/>
        <w:rPr>
          <w:szCs w:val="24"/>
          <w:lang w:val="bg-BG"/>
        </w:rPr>
      </w:pPr>
      <w:bookmarkStart w:id="155" w:name="_Toc143607762"/>
      <w:bookmarkStart w:id="156" w:name="_Toc143694160"/>
      <w:r w:rsidRPr="006B3639">
        <w:rPr>
          <w:szCs w:val="24"/>
          <w:lang w:val="bg-BG"/>
        </w:rPr>
        <w:lastRenderedPageBreak/>
        <w:t>Институционални аспекти</w:t>
      </w:r>
      <w:bookmarkEnd w:id="155"/>
      <w:bookmarkEnd w:id="156"/>
      <w:r w:rsidRPr="006B3639">
        <w:rPr>
          <w:szCs w:val="24"/>
          <w:lang w:val="bg-BG"/>
        </w:rPr>
        <w:t xml:space="preserve"> </w:t>
      </w:r>
    </w:p>
    <w:p w14:paraId="44C23191" w14:textId="77777777" w:rsidR="00660BE3" w:rsidRPr="00660BE3" w:rsidRDefault="00660BE3" w:rsidP="00D43AD6">
      <w:pPr>
        <w:spacing w:after="40"/>
        <w:jc w:val="both"/>
        <w:rPr>
          <w:rFonts w:cs="Arial"/>
          <w:szCs w:val="24"/>
        </w:rPr>
      </w:pPr>
      <w:r w:rsidRPr="00660BE3">
        <w:rPr>
          <w:rFonts w:cs="Arial"/>
          <w:szCs w:val="24"/>
        </w:rPr>
        <w:t xml:space="preserve">Тъй като проектът е предвиден да бъде финансиран по ПТС 2021 – 2027, за него са валидни приложимите документи на Европейския съюз (ЕС) и и на Република България, основната част от които са изброени накратко по-долу. </w:t>
      </w:r>
    </w:p>
    <w:p w14:paraId="68F44F15" w14:textId="77777777" w:rsidR="00660BE3" w:rsidRPr="00660BE3" w:rsidRDefault="00660BE3" w:rsidP="00D43AD6">
      <w:pPr>
        <w:pStyle w:val="A2"/>
        <w:numPr>
          <w:ilvl w:val="0"/>
          <w:numId w:val="0"/>
        </w:numPr>
        <w:tabs>
          <w:tab w:val="clear" w:pos="907"/>
        </w:tabs>
        <w:spacing w:before="0" w:after="40" w:line="276" w:lineRule="auto"/>
        <w:ind w:left="792" w:hanging="252"/>
        <w:rPr>
          <w:rFonts w:ascii="Arial" w:hAnsi="Arial" w:cs="Arial"/>
          <w:i/>
          <w:szCs w:val="24"/>
        </w:rPr>
      </w:pPr>
      <w:bookmarkStart w:id="157" w:name="_Toc91108216"/>
      <w:bookmarkStart w:id="158" w:name="_Toc138008748"/>
      <w:bookmarkStart w:id="159" w:name="_Toc143607763"/>
      <w:bookmarkStart w:id="160" w:name="_Toc143694161"/>
      <w:r w:rsidRPr="00660BE3">
        <w:rPr>
          <w:rFonts w:ascii="Arial" w:hAnsi="Arial" w:cs="Arial"/>
          <w:i/>
          <w:szCs w:val="24"/>
        </w:rPr>
        <w:t>Съответствие с политиката и директивите на ЕС в областта на транспорта</w:t>
      </w:r>
      <w:bookmarkEnd w:id="157"/>
      <w:bookmarkEnd w:id="158"/>
      <w:bookmarkEnd w:id="159"/>
      <w:bookmarkEnd w:id="160"/>
    </w:p>
    <w:p w14:paraId="7F8AB670" w14:textId="77777777" w:rsidR="00660BE3" w:rsidRPr="00660BE3" w:rsidRDefault="00660BE3" w:rsidP="00D43AD6">
      <w:pPr>
        <w:spacing w:after="40"/>
        <w:jc w:val="both"/>
        <w:rPr>
          <w:rFonts w:cs="Arial"/>
          <w:szCs w:val="24"/>
        </w:rPr>
      </w:pPr>
      <w:r w:rsidRPr="00660BE3">
        <w:rPr>
          <w:rFonts w:cs="Arial"/>
          <w:szCs w:val="24"/>
        </w:rPr>
        <w:t>Планирането, развитието и експлоатацията на Трансевропейската транспортна мрежа (ТЕТМ) допринасят за постигането на основни цели на ЕС, съгласно Стратегия „Европа 2030“ и Бялата книга за транспорта на Европейската комисия (ЕК), като гладкото функциониране на вътрешния пазар и засилването на икономическото, социалното и териториалното сближаване. ТЕТМ допринася за създаването на единно европейско транспортно пространство, увеличава ползите за своите потребители и подкрепя приобщаващия растеж.</w:t>
      </w:r>
    </w:p>
    <w:p w14:paraId="0785D06A" w14:textId="77777777" w:rsidR="00660BE3" w:rsidRPr="00660BE3" w:rsidRDefault="00660BE3" w:rsidP="00D43AD6">
      <w:pPr>
        <w:spacing w:after="40"/>
        <w:jc w:val="both"/>
        <w:rPr>
          <w:rFonts w:cs="Arial"/>
          <w:szCs w:val="24"/>
        </w:rPr>
      </w:pPr>
      <w:r w:rsidRPr="00660BE3">
        <w:rPr>
          <w:rFonts w:cs="Arial"/>
          <w:b/>
          <w:bCs/>
          <w:szCs w:val="24"/>
          <w:u w:val="single"/>
        </w:rPr>
        <w:t>Бялата книга на ЕС</w:t>
      </w:r>
      <w:r w:rsidRPr="00660BE3">
        <w:rPr>
          <w:rFonts w:cs="Arial"/>
          <w:szCs w:val="24"/>
          <w:u w:val="single"/>
        </w:rPr>
        <w:t>:</w:t>
      </w:r>
      <w:r w:rsidRPr="00660BE3">
        <w:rPr>
          <w:rFonts w:cs="Arial"/>
          <w:szCs w:val="24"/>
        </w:rPr>
        <w:t xml:space="preserve"> </w:t>
      </w:r>
      <w:r w:rsidRPr="00660BE3">
        <w:rPr>
          <w:rFonts w:cs="Arial"/>
          <w:i/>
          <w:iCs/>
          <w:szCs w:val="24"/>
        </w:rPr>
        <w:t>Пътна карта за постигането на Единно европейско транспортно пространство – към конкурентоспособна транспортна система с ефективно използване на ресурсите</w:t>
      </w:r>
      <w:r w:rsidRPr="00660BE3">
        <w:rPr>
          <w:rFonts w:cs="Arial"/>
          <w:szCs w:val="24"/>
        </w:rPr>
        <w:t xml:space="preserve"> е е основният европейски стратегически документ, който очертава насоките за развитие на транспорта. В нея са описани плановете на Европейската комисия (ЕК) за следващите десетилетия, предвиждащи изграждането на транспортна система до 2050 г., характеризираща се с Единно европейско транспортно пространство, отворени пазари, по-екологична инфраструктура и иновационни технологии с ниски въглеродни емисии;</w:t>
      </w:r>
    </w:p>
    <w:p w14:paraId="33993160" w14:textId="77777777" w:rsidR="00660BE3" w:rsidRPr="00660BE3" w:rsidRDefault="00660BE3" w:rsidP="00D43AD6">
      <w:pPr>
        <w:pStyle w:val="Default"/>
        <w:spacing w:before="0" w:after="40"/>
        <w:jc w:val="both"/>
        <w:outlineLvl w:val="0"/>
        <w:rPr>
          <w:lang w:val="bg-BG"/>
        </w:rPr>
      </w:pPr>
      <w:bookmarkStart w:id="161" w:name="_Toc143607764"/>
      <w:bookmarkStart w:id="162" w:name="_Toc143694162"/>
      <w:r w:rsidRPr="00660BE3">
        <w:rPr>
          <w:b/>
          <w:u w:val="single"/>
          <w:lang w:val="bg-BG"/>
        </w:rPr>
        <w:t>„Стратегия за умна и устойчива мобилност“</w:t>
      </w:r>
      <w:r w:rsidRPr="00660BE3">
        <w:rPr>
          <w:u w:val="single"/>
          <w:lang w:val="bg-BG"/>
        </w:rPr>
        <w:t xml:space="preserve"> </w:t>
      </w:r>
      <w:r w:rsidRPr="00660BE3">
        <w:rPr>
          <w:b/>
          <w:u w:val="single"/>
          <w:lang w:val="bg-BG"/>
        </w:rPr>
        <w:t>на ЕК</w:t>
      </w:r>
      <w:r w:rsidRPr="009963CE">
        <w:rPr>
          <w:lang w:val="bg-BG"/>
        </w:rPr>
        <w:t xml:space="preserve"> </w:t>
      </w:r>
      <w:r w:rsidRPr="00660BE3">
        <w:rPr>
          <w:lang w:val="bg-BG"/>
        </w:rPr>
        <w:t>(COM(2020) 789), която включва и план за действие с 82 инициативи за следващите години в областта на транспорта. Към това, Европейският зелен пакт от 2019 г. (COM/2019/640, т.нар. Зелена сделка) предоставя план за действие за повишаване на ефективното използване на ресурсите чрез преминаване към чиста, кръгова икономика, възстановяване на биологичното разнообразие и намаляване на замърсяването. В плана са посочени необходимите инвестиции и наличните финансови инструменти. В него се обяснява как да се гарантира справедлив и приобщаващ преход и</w:t>
      </w:r>
      <w:r w:rsidRPr="009963CE">
        <w:rPr>
          <w:lang w:val="bg-BG"/>
        </w:rPr>
        <w:t xml:space="preserve"> </w:t>
      </w:r>
      <w:r w:rsidRPr="00660BE3">
        <w:rPr>
          <w:lang w:val="bg-BG"/>
        </w:rPr>
        <w:t>се поставя цел за въвеждането на по-чисти, по-евтини и по-здравословни форми на транспорт.</w:t>
      </w:r>
      <w:bookmarkEnd w:id="161"/>
      <w:bookmarkEnd w:id="162"/>
    </w:p>
    <w:p w14:paraId="1707F290" w14:textId="77777777" w:rsidR="00660BE3" w:rsidRPr="00660BE3" w:rsidRDefault="00660BE3" w:rsidP="00D43AD6">
      <w:pPr>
        <w:spacing w:after="40"/>
        <w:jc w:val="both"/>
        <w:rPr>
          <w:rFonts w:cs="Arial"/>
          <w:szCs w:val="24"/>
        </w:rPr>
      </w:pPr>
      <w:r w:rsidRPr="00660BE3">
        <w:rPr>
          <w:rFonts w:cs="Arial"/>
          <w:szCs w:val="24"/>
        </w:rPr>
        <w:t>Във връзка с изпълнението на гореописаните стратегия и програма, Европейският парламент и Съветът са приели следните Регламенти, които имат отношение към проекта:</w:t>
      </w:r>
    </w:p>
    <w:p w14:paraId="129E7F0B" w14:textId="77777777" w:rsidR="00F759C5" w:rsidRPr="00F759C5" w:rsidRDefault="00F759C5" w:rsidP="00D43AD6">
      <w:pPr>
        <w:spacing w:after="40"/>
        <w:jc w:val="both"/>
        <w:rPr>
          <w:rFonts w:cs="Arial"/>
          <w:szCs w:val="24"/>
        </w:rPr>
      </w:pPr>
      <w:r w:rsidRPr="009963CE">
        <w:rPr>
          <w:rFonts w:cs="Arial"/>
          <w:b/>
          <w:szCs w:val="24"/>
          <w:u w:val="single"/>
        </w:rPr>
        <w:t>РЕГЛАМЕНТ (ЕС) 2024/1679</w:t>
      </w:r>
      <w:r w:rsidRPr="009963CE">
        <w:rPr>
          <w:rFonts w:cs="Arial"/>
          <w:b/>
          <w:szCs w:val="24"/>
        </w:rPr>
        <w:t xml:space="preserve"> НА ЕВРОПЕЙСКИЯ ПАРЛАМЕНТ И НА СЪВЕТА</w:t>
      </w:r>
      <w:r w:rsidRPr="00F759C5">
        <w:rPr>
          <w:rFonts w:cs="Arial"/>
          <w:b/>
          <w:szCs w:val="24"/>
        </w:rPr>
        <w:t xml:space="preserve"> </w:t>
      </w:r>
      <w:r w:rsidRPr="009963CE">
        <w:rPr>
          <w:rFonts w:cs="Arial"/>
          <w:b/>
          <w:szCs w:val="24"/>
        </w:rPr>
        <w:t>от 13 юни 2024 година</w:t>
      </w:r>
      <w:r w:rsidRPr="00F759C5">
        <w:rPr>
          <w:rFonts w:cs="Arial"/>
          <w:b/>
          <w:szCs w:val="24"/>
        </w:rPr>
        <w:t xml:space="preserve">, </w:t>
      </w:r>
      <w:r w:rsidRPr="009963CE">
        <w:rPr>
          <w:rFonts w:cs="Arial"/>
          <w:b/>
          <w:szCs w:val="24"/>
        </w:rPr>
        <w:t>относно насоките на Съюза за развитието на трансевропейската транспортна мрежа</w:t>
      </w:r>
      <w:r w:rsidRPr="00F759C5">
        <w:rPr>
          <w:rFonts w:cs="Arial"/>
          <w:b/>
          <w:szCs w:val="24"/>
        </w:rPr>
        <w:t xml:space="preserve"> (ТЕТМ)</w:t>
      </w:r>
      <w:r w:rsidRPr="009963CE">
        <w:rPr>
          <w:rFonts w:cs="Arial"/>
          <w:szCs w:val="24"/>
        </w:rPr>
        <w:t xml:space="preserve">, за изменение на регламенти (ЕС) </w:t>
      </w:r>
      <w:r w:rsidRPr="009963CE">
        <w:rPr>
          <w:rFonts w:cs="Arial"/>
          <w:szCs w:val="24"/>
        </w:rPr>
        <w:lastRenderedPageBreak/>
        <w:t>2021/1153 и (ЕС) № 913/2010 и за отмяна на Регламент (ЕС) № 1315/2013</w:t>
      </w:r>
      <w:r w:rsidRPr="00F759C5">
        <w:rPr>
          <w:rFonts w:cs="Arial"/>
          <w:szCs w:val="24"/>
        </w:rPr>
        <w:t xml:space="preserve">, според който ТЕТМ се състои от </w:t>
      </w:r>
      <w:r w:rsidRPr="009963CE">
        <w:rPr>
          <w:rFonts w:cs="Arial"/>
          <w:szCs w:val="24"/>
        </w:rPr>
        <w:t>основна мрежа</w:t>
      </w:r>
      <w:r w:rsidRPr="00F759C5">
        <w:rPr>
          <w:rFonts w:cs="Arial"/>
          <w:szCs w:val="24"/>
        </w:rPr>
        <w:t xml:space="preserve">, </w:t>
      </w:r>
      <w:r w:rsidRPr="009963CE">
        <w:rPr>
          <w:rFonts w:cs="Arial"/>
          <w:szCs w:val="24"/>
        </w:rPr>
        <w:t>разширена основна мрежа</w:t>
      </w:r>
      <w:r w:rsidRPr="00F759C5">
        <w:rPr>
          <w:rFonts w:cs="Arial"/>
          <w:szCs w:val="24"/>
        </w:rPr>
        <w:t xml:space="preserve"> и </w:t>
      </w:r>
      <w:r w:rsidRPr="009963CE">
        <w:rPr>
          <w:rFonts w:cs="Arial"/>
          <w:szCs w:val="24"/>
        </w:rPr>
        <w:t>широкообхватна мрежа, като основната мрежа и разширената основна мрежа трябва да бъдат създадени въз основа на широкообхватната мрежа.</w:t>
      </w:r>
      <w:r w:rsidRPr="00F759C5">
        <w:rPr>
          <w:rFonts w:cs="Arial"/>
          <w:szCs w:val="24"/>
        </w:rPr>
        <w:t xml:space="preserve"> </w:t>
      </w:r>
      <w:r w:rsidRPr="009963CE">
        <w:rPr>
          <w:rFonts w:cs="Arial"/>
          <w:szCs w:val="24"/>
        </w:rPr>
        <w:t xml:space="preserve">С </w:t>
      </w:r>
      <w:r w:rsidRPr="00F759C5">
        <w:rPr>
          <w:rFonts w:cs="Arial"/>
          <w:szCs w:val="24"/>
        </w:rPr>
        <w:t>този</w:t>
      </w:r>
      <w:r w:rsidRPr="009963CE">
        <w:rPr>
          <w:rFonts w:cs="Arial"/>
          <w:szCs w:val="24"/>
        </w:rPr>
        <w:t xml:space="preserve"> регламент се определят европейските транспортни коридори с най-високо стратегическо значение на базата на приоритетни участъци от трансевропейската транспортна мрежа и проекти от общ интерес и се конкретизират изискванията, които трябва да се спазват при развитието и изграждането на инфраструктурата на </w:t>
      </w:r>
      <w:r w:rsidRPr="00F759C5">
        <w:rPr>
          <w:rFonts w:cs="Arial"/>
          <w:szCs w:val="24"/>
        </w:rPr>
        <w:t>ТЕТМ</w:t>
      </w:r>
      <w:r w:rsidRPr="009963CE">
        <w:rPr>
          <w:rFonts w:cs="Arial"/>
          <w:szCs w:val="24"/>
        </w:rPr>
        <w:t>.</w:t>
      </w:r>
      <w:r w:rsidRPr="00F759C5">
        <w:rPr>
          <w:rFonts w:cs="Arial"/>
          <w:szCs w:val="24"/>
        </w:rPr>
        <w:t xml:space="preserve"> Допълнително се </w:t>
      </w:r>
      <w:r w:rsidRPr="009963CE">
        <w:rPr>
          <w:rFonts w:cs="Arial"/>
          <w:szCs w:val="24"/>
        </w:rPr>
        <w:t>установяват приоритетите за развитие на трансевропейска транспортна мрежа и се предвиждат мерки за реализирането на трансевропейската транспортна мрежа.</w:t>
      </w:r>
    </w:p>
    <w:p w14:paraId="12CB77C8" w14:textId="38023E69" w:rsidR="00F759C5" w:rsidRPr="00D43AD6" w:rsidRDefault="00F759C5" w:rsidP="00D43AD6">
      <w:pPr>
        <w:spacing w:after="40"/>
        <w:jc w:val="both"/>
        <w:rPr>
          <w:rFonts w:cs="Arial"/>
          <w:szCs w:val="24"/>
        </w:rPr>
      </w:pPr>
      <w:r w:rsidRPr="009963CE">
        <w:rPr>
          <w:rFonts w:cs="Arial"/>
          <w:szCs w:val="24"/>
        </w:rPr>
        <w:t xml:space="preserve">Като приложение </w:t>
      </w:r>
      <w:r w:rsidRPr="00F759C5">
        <w:rPr>
          <w:rFonts w:cs="Arial"/>
          <w:szCs w:val="24"/>
          <w:lang w:val="en-GB"/>
        </w:rPr>
        <w:t>I</w:t>
      </w:r>
      <w:r w:rsidRPr="009963CE">
        <w:rPr>
          <w:rFonts w:cs="Arial"/>
          <w:szCs w:val="24"/>
        </w:rPr>
        <w:t xml:space="preserve"> към Регламента са включени карти, определящи трасетата на основната</w:t>
      </w:r>
      <w:r w:rsidRPr="00F759C5">
        <w:rPr>
          <w:rFonts w:cs="Arial"/>
          <w:szCs w:val="24"/>
        </w:rPr>
        <w:t>, разширената основна</w:t>
      </w:r>
      <w:r w:rsidRPr="009963CE">
        <w:rPr>
          <w:rFonts w:cs="Arial"/>
          <w:szCs w:val="24"/>
        </w:rPr>
        <w:t xml:space="preserve"> и широкообхватната мрежа на териториите на страните-членки и на съседните държави. Както е видно на следващата фигура областта на проекта е част от </w:t>
      </w:r>
      <w:r w:rsidR="00D43AD6" w:rsidRPr="00D43AD6">
        <w:rPr>
          <w:rFonts w:cs="Arial"/>
          <w:szCs w:val="24"/>
        </w:rPr>
        <w:t>широкообхватната</w:t>
      </w:r>
      <w:r w:rsidRPr="009963CE">
        <w:rPr>
          <w:rFonts w:cs="Arial"/>
          <w:szCs w:val="24"/>
        </w:rPr>
        <w:t xml:space="preserve"> мрежа.</w:t>
      </w:r>
    </w:p>
    <w:p w14:paraId="2BA49585" w14:textId="1FCA2D85" w:rsidR="00660BE3" w:rsidRDefault="00660BE3" w:rsidP="00FF0D3F">
      <w:pPr>
        <w:suppressAutoHyphens/>
        <w:spacing w:before="120" w:after="120" w:line="240" w:lineRule="auto"/>
        <w:jc w:val="both"/>
        <w:rPr>
          <w:rFonts w:cs="Arial"/>
          <w:bCs/>
          <w:i/>
          <w:iCs/>
          <w:sz w:val="22"/>
        </w:rPr>
      </w:pPr>
      <w:bookmarkStart w:id="163" w:name="_Toc139460893"/>
      <w:bookmarkStart w:id="164" w:name="_Toc174099093"/>
      <w:r w:rsidRPr="00D43AD6">
        <w:rPr>
          <w:rFonts w:cs="Arial"/>
          <w:bCs/>
          <w:i/>
          <w:iCs/>
          <w:sz w:val="22"/>
        </w:rPr>
        <w:t xml:space="preserve">Фигура </w:t>
      </w:r>
      <w:r w:rsidRPr="00D43AD6">
        <w:rPr>
          <w:rFonts w:cs="Arial"/>
          <w:bCs/>
          <w:i/>
          <w:iCs/>
          <w:sz w:val="22"/>
        </w:rPr>
        <w:fldChar w:fldCharType="begin"/>
      </w:r>
      <w:r w:rsidRPr="00D43AD6">
        <w:rPr>
          <w:rFonts w:cs="Arial"/>
          <w:bCs/>
          <w:i/>
          <w:iCs/>
          <w:sz w:val="22"/>
        </w:rPr>
        <w:instrText xml:space="preserve"> SEQ Фигура \* ARABIC </w:instrText>
      </w:r>
      <w:r w:rsidRPr="00D43AD6">
        <w:rPr>
          <w:rFonts w:cs="Arial"/>
          <w:bCs/>
          <w:i/>
          <w:iCs/>
          <w:sz w:val="22"/>
        </w:rPr>
        <w:fldChar w:fldCharType="separate"/>
      </w:r>
      <w:r w:rsidR="00F759C5" w:rsidRPr="00D43AD6">
        <w:rPr>
          <w:rFonts w:cs="Arial"/>
          <w:bCs/>
          <w:i/>
          <w:iCs/>
          <w:noProof/>
          <w:sz w:val="22"/>
        </w:rPr>
        <w:t>8</w:t>
      </w:r>
      <w:r w:rsidRPr="00D43AD6">
        <w:rPr>
          <w:rFonts w:cs="Arial"/>
          <w:bCs/>
          <w:i/>
          <w:iCs/>
          <w:sz w:val="22"/>
        </w:rPr>
        <w:fldChar w:fldCharType="end"/>
      </w:r>
      <w:r w:rsidRPr="00D43AD6">
        <w:rPr>
          <w:rFonts w:cs="Arial"/>
          <w:bCs/>
          <w:i/>
          <w:iCs/>
          <w:sz w:val="22"/>
        </w:rPr>
        <w:t xml:space="preserve">  Широкообхватна</w:t>
      </w:r>
      <w:r w:rsidR="00D43AD6" w:rsidRPr="00D43AD6">
        <w:rPr>
          <w:rFonts w:cs="Arial"/>
          <w:bCs/>
          <w:i/>
          <w:iCs/>
          <w:sz w:val="22"/>
        </w:rPr>
        <w:t xml:space="preserve"> мрежа</w:t>
      </w:r>
      <w:r w:rsidRPr="00D43AD6">
        <w:rPr>
          <w:rFonts w:cs="Arial"/>
          <w:bCs/>
          <w:i/>
          <w:iCs/>
          <w:sz w:val="22"/>
        </w:rPr>
        <w:t xml:space="preserve"> и основна</w:t>
      </w:r>
      <w:r w:rsidR="00D43AD6" w:rsidRPr="00D43AD6">
        <w:rPr>
          <w:rFonts w:cs="Arial"/>
          <w:bCs/>
          <w:i/>
          <w:iCs/>
          <w:sz w:val="22"/>
        </w:rPr>
        <w:t xml:space="preserve"> мрежа</w:t>
      </w:r>
      <w:r w:rsidRPr="00D43AD6">
        <w:rPr>
          <w:rFonts w:cs="Arial"/>
          <w:bCs/>
          <w:i/>
          <w:iCs/>
          <w:sz w:val="22"/>
        </w:rPr>
        <w:t xml:space="preserve"> – вътрешни водни пътища и пристанища на територията на България и Румъния</w:t>
      </w:r>
      <w:bookmarkEnd w:id="163"/>
      <w:bookmarkEnd w:id="164"/>
    </w:p>
    <w:p w14:paraId="1E5CFBD2" w14:textId="78FD52B3" w:rsidR="00D43AD6" w:rsidRPr="00375CBC" w:rsidRDefault="00D43AD6" w:rsidP="00D43AD6">
      <w:pPr>
        <w:suppressAutoHyphens/>
        <w:spacing w:before="120" w:after="120" w:line="240" w:lineRule="auto"/>
        <w:jc w:val="center"/>
        <w:rPr>
          <w:rFonts w:cs="Arial"/>
          <w:bCs/>
          <w:i/>
          <w:iCs/>
          <w:sz w:val="22"/>
        </w:rPr>
      </w:pPr>
      <w:r w:rsidRPr="00D43AD6">
        <w:rPr>
          <w:rFonts w:cs="Arial"/>
          <w:bCs/>
          <w:i/>
          <w:iCs/>
          <w:noProof/>
          <w:sz w:val="22"/>
          <w:lang w:val="en-US" w:eastAsia="en-US"/>
        </w:rPr>
        <w:drawing>
          <wp:inline distT="0" distB="0" distL="0" distR="0" wp14:anchorId="5FD867BB" wp14:editId="5DFD3906">
            <wp:extent cx="3993266" cy="4305300"/>
            <wp:effectExtent l="0" t="0" r="762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94752" cy="4306902"/>
                    </a:xfrm>
                    <a:prstGeom prst="rect">
                      <a:avLst/>
                    </a:prstGeom>
                    <a:noFill/>
                    <a:ln>
                      <a:noFill/>
                    </a:ln>
                  </pic:spPr>
                </pic:pic>
              </a:graphicData>
            </a:graphic>
          </wp:inline>
        </w:drawing>
      </w:r>
    </w:p>
    <w:p w14:paraId="44E29555" w14:textId="77777777" w:rsidR="00660BE3" w:rsidRPr="00660BE3" w:rsidRDefault="00660BE3" w:rsidP="00660BE3">
      <w:pPr>
        <w:spacing w:before="60" w:after="60"/>
        <w:jc w:val="both"/>
        <w:rPr>
          <w:rFonts w:cs="Arial"/>
          <w:szCs w:val="24"/>
        </w:rPr>
      </w:pPr>
      <w:r w:rsidRPr="00660BE3">
        <w:rPr>
          <w:rFonts w:cs="Arial"/>
          <w:b/>
          <w:szCs w:val="24"/>
          <w:u w:val="single"/>
        </w:rPr>
        <w:lastRenderedPageBreak/>
        <w:t>РЕГЛАМЕНТ (ЕС) 2021/1060 НА ЕВРОПЕЙСКИЯ ПАРЛАМЕНТ И НА СЪВЕТА</w:t>
      </w:r>
      <w:r w:rsidRPr="00660BE3">
        <w:rPr>
          <w:rFonts w:cs="Arial"/>
          <w:szCs w:val="24"/>
        </w:rPr>
        <w:t xml:space="preserve">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p>
    <w:p w14:paraId="492CB92E" w14:textId="77777777" w:rsidR="00660BE3" w:rsidRPr="00660BE3" w:rsidRDefault="00660BE3" w:rsidP="00660BE3">
      <w:pPr>
        <w:spacing w:after="0"/>
        <w:jc w:val="both"/>
        <w:rPr>
          <w:rFonts w:cs="Arial"/>
          <w:color w:val="000000"/>
        </w:rPr>
      </w:pPr>
      <w:r w:rsidRPr="00660BE3">
        <w:rPr>
          <w:rFonts w:cs="Arial"/>
          <w:b/>
          <w:szCs w:val="24"/>
          <w:u w:val="single"/>
        </w:rPr>
        <w:t>РЕГЛАМЕНТ (ЕО) № 725/2004 НА ЕВРОПЕЙСКИЯ ПАРЛАМЕНТ И НА СЪВЕТА</w:t>
      </w:r>
      <w:r w:rsidRPr="00660BE3">
        <w:rPr>
          <w:rFonts w:cs="Arial"/>
          <w:szCs w:val="24"/>
        </w:rPr>
        <w:t xml:space="preserve"> от 31 март 2004 г. относно подобряване на сигурността на корабите и на пристанищните съоръжения, който има за цел </w:t>
      </w:r>
      <w:r w:rsidRPr="00660BE3">
        <w:rPr>
          <w:rFonts w:cs="Arial"/>
          <w:color w:val="000000"/>
        </w:rPr>
        <w:t>да въведе и да приложи мерки на Общността за повишаване на сигурността на корабите, използвани в международната търговия и в националния превоз, и на свързаните с тях пристанищни съоръжения.</w:t>
      </w:r>
    </w:p>
    <w:p w14:paraId="5D9EEC21" w14:textId="77777777" w:rsidR="00660BE3" w:rsidRPr="00660BE3" w:rsidRDefault="00660BE3" w:rsidP="00660BE3">
      <w:pPr>
        <w:spacing w:before="60" w:after="60"/>
        <w:jc w:val="both"/>
        <w:rPr>
          <w:rFonts w:cs="Arial"/>
          <w:szCs w:val="24"/>
        </w:rPr>
      </w:pPr>
      <w:r w:rsidRPr="00660BE3">
        <w:rPr>
          <w:rFonts w:cs="Arial"/>
          <w:b/>
          <w:szCs w:val="24"/>
          <w:u w:val="single"/>
        </w:rPr>
        <w:t>РЕГЛАМЕНТ (ЕО) № 336/2006 НА ЕВРОПЕЙСКИЯ ПАРЛАМЕНТ И НА СЪВЕТА</w:t>
      </w:r>
      <w:r w:rsidRPr="00660BE3">
        <w:rPr>
          <w:rFonts w:cs="Arial"/>
          <w:szCs w:val="24"/>
        </w:rPr>
        <w:t xml:space="preserve"> от 15 февруари 2006 г. за прилагане на Международния кодекс за управление на безопасността в рамките на Общността и за отмяна на Регламент (ЕО) № 3051/95 на Съвета, който има за цел да се подобрят управлението на безопасността и безопасната експлоатация на кораби, както и да се предотврати замърсяването от кораби, чрез установяването, въвеждането и правилното поддържане от компаниите на корабните и бреговите системи за управление на безопасността и контрол от страна на пристанищните държавни администрации.</w:t>
      </w:r>
    </w:p>
    <w:p w14:paraId="34D58D00" w14:textId="77777777" w:rsidR="00660BE3" w:rsidRPr="00660BE3" w:rsidRDefault="00660BE3" w:rsidP="00660BE3">
      <w:pPr>
        <w:pStyle w:val="A2"/>
        <w:numPr>
          <w:ilvl w:val="0"/>
          <w:numId w:val="0"/>
        </w:numPr>
        <w:tabs>
          <w:tab w:val="clear" w:pos="907"/>
        </w:tabs>
        <w:ind w:left="792" w:hanging="252"/>
        <w:rPr>
          <w:rFonts w:ascii="Arial" w:hAnsi="Arial" w:cs="Arial"/>
          <w:i/>
          <w:szCs w:val="24"/>
        </w:rPr>
      </w:pPr>
      <w:bookmarkStart w:id="165" w:name="_Toc24456585"/>
      <w:bookmarkStart w:id="166" w:name="_Toc134546863"/>
      <w:bookmarkStart w:id="167" w:name="_Toc138008749"/>
    </w:p>
    <w:p w14:paraId="7F8EF8C3" w14:textId="77777777" w:rsidR="00660BE3" w:rsidRPr="00660BE3" w:rsidRDefault="00660BE3" w:rsidP="00660BE3">
      <w:pPr>
        <w:pStyle w:val="A2"/>
        <w:numPr>
          <w:ilvl w:val="0"/>
          <w:numId w:val="0"/>
        </w:numPr>
        <w:tabs>
          <w:tab w:val="clear" w:pos="907"/>
        </w:tabs>
        <w:ind w:left="792" w:hanging="252"/>
        <w:rPr>
          <w:rFonts w:ascii="Arial" w:hAnsi="Arial" w:cs="Arial"/>
          <w:i/>
          <w:szCs w:val="24"/>
        </w:rPr>
      </w:pPr>
      <w:bookmarkStart w:id="168" w:name="_Toc143607765"/>
      <w:bookmarkStart w:id="169" w:name="_Toc143694163"/>
      <w:r w:rsidRPr="00660BE3">
        <w:rPr>
          <w:rFonts w:ascii="Arial" w:hAnsi="Arial" w:cs="Arial"/>
          <w:i/>
          <w:szCs w:val="24"/>
        </w:rPr>
        <w:t>Съответствие с националната транспортна политика</w:t>
      </w:r>
      <w:bookmarkEnd w:id="165"/>
      <w:bookmarkEnd w:id="166"/>
      <w:bookmarkEnd w:id="167"/>
      <w:bookmarkEnd w:id="168"/>
      <w:bookmarkEnd w:id="169"/>
    </w:p>
    <w:p w14:paraId="2AEA40C9" w14:textId="77777777" w:rsidR="00660BE3" w:rsidRPr="00660BE3" w:rsidRDefault="00660BE3" w:rsidP="00660BE3">
      <w:pPr>
        <w:spacing w:before="60" w:after="60"/>
        <w:jc w:val="both"/>
        <w:rPr>
          <w:rFonts w:cs="Arial"/>
          <w:szCs w:val="24"/>
        </w:rPr>
      </w:pPr>
      <w:r w:rsidRPr="00660BE3">
        <w:rPr>
          <w:rFonts w:cs="Arial"/>
          <w:szCs w:val="24"/>
        </w:rPr>
        <w:t>Проектът е в съответствие с целите и приоритетите, касаещи развитието на транспортната инфраструктура, залегнали в следните общонационални стратегически документи:</w:t>
      </w:r>
    </w:p>
    <w:p w14:paraId="77C420E1" w14:textId="77777777" w:rsidR="00660BE3" w:rsidRPr="00660BE3" w:rsidRDefault="00660BE3" w:rsidP="00660BE3">
      <w:pPr>
        <w:spacing w:before="60" w:after="60"/>
        <w:jc w:val="both"/>
        <w:rPr>
          <w:rFonts w:cs="Arial"/>
          <w:szCs w:val="24"/>
        </w:rPr>
      </w:pPr>
      <w:r w:rsidRPr="00660BE3">
        <w:rPr>
          <w:rFonts w:cs="Arial"/>
          <w:b/>
          <w:szCs w:val="24"/>
        </w:rPr>
        <w:t>„Национална програма за реформи”</w:t>
      </w:r>
      <w:r w:rsidRPr="00660BE3">
        <w:rPr>
          <w:rFonts w:cs="Arial"/>
          <w:szCs w:val="24"/>
        </w:rPr>
        <w:t xml:space="preserve"> - адаптира и превръща в национални целите на Стратегията „Европа 2020”. Идентифицира и приоритетните области (фактори за растеж) на реформите. Един от идентифицираните фактори за растеж и приоритет на българското правителство е „По-добра инфраструктура” с цел осигуряването на по-добра свързаност с Европа, достъпни услуги и по-добра свързаност помежду регионите. С подобряването на транспортната инфраструктура в страната ще се допринесе за развитието на икономиката и за повишаване на жизнения стандарт на населението; </w:t>
      </w:r>
    </w:p>
    <w:p w14:paraId="3A2E4AFB" w14:textId="77777777" w:rsidR="00660BE3" w:rsidRPr="00660BE3" w:rsidRDefault="00660BE3" w:rsidP="00660BE3">
      <w:pPr>
        <w:spacing w:before="60" w:after="60"/>
        <w:jc w:val="both"/>
        <w:rPr>
          <w:rFonts w:cs="Arial"/>
          <w:iCs/>
          <w:szCs w:val="24"/>
        </w:rPr>
      </w:pPr>
      <w:r w:rsidRPr="00660BE3">
        <w:rPr>
          <w:rFonts w:cs="Arial"/>
          <w:b/>
          <w:szCs w:val="24"/>
        </w:rPr>
        <w:t xml:space="preserve">„Национална програма за развитие България 2030“ - </w:t>
      </w:r>
      <w:r w:rsidRPr="00660BE3">
        <w:rPr>
          <w:rFonts w:cs="Arial"/>
          <w:szCs w:val="24"/>
        </w:rPr>
        <w:t xml:space="preserve">рамков стратегически документ от най-висок порядък в йерархията на националните програмни документи, определящ визията и общите цели на политиките за развитие във всички сектори на </w:t>
      </w:r>
      <w:r w:rsidRPr="00660BE3">
        <w:rPr>
          <w:rFonts w:cs="Arial"/>
          <w:szCs w:val="24"/>
        </w:rPr>
        <w:lastRenderedPageBreak/>
        <w:t xml:space="preserve">държавното управление, включително техните териториални измерения. В рамките на Програмата са определени три стратегически цели – ускорено икономическо развитие, демографски подем и намаляване на неравенствата, за чието изпълнение правителствените намерения са групирани в пет оси на развитие и са определени 13 национални приоритета. Програмата включва детайлизирани стратегии по приоритетите, индикативна финансова рамка, предварителна оценка на въздействието върху основни макроикономически индикатори от изпълнението на заложените интервенции, както и механизъм за наблюдение и контрол на изпълнението на стратегическия документ. В Ос на развитие 3 „Свързана и интегрирана България”, приоритет № 7 „Транспортна свързаност” е дефинирано, че по отношение на пристанищната инфраструктура и вътрешните водни пътища, ще се изграждат пристанищни съоръжения (кейови стени, кейови съоръжения, съоръжения против заливане, вълноломи, ледобрани) за безопасен, ефективен и сигурен вътрешно-воден и морски транспорт, както и ще се подобряват техническите характеристики на инфраструктурата за достъп с оглед устойчивото развитие на пристанищата. Ще се изпълняват и мерки за намаляване на вредното въздействие върху околната среда от пристанищните дейности и корабите, които ще доведат до подобряване на екологичните параметри на пристанищните акватории и въздуха; </w:t>
      </w:r>
    </w:p>
    <w:p w14:paraId="1CFF40C0" w14:textId="77777777" w:rsidR="00660BE3" w:rsidRPr="00660BE3" w:rsidRDefault="00660BE3" w:rsidP="00660BE3">
      <w:pPr>
        <w:spacing w:before="60" w:after="60"/>
        <w:jc w:val="both"/>
        <w:rPr>
          <w:rFonts w:cs="Arial"/>
          <w:szCs w:val="24"/>
        </w:rPr>
      </w:pPr>
      <w:r w:rsidRPr="00660BE3">
        <w:rPr>
          <w:rFonts w:cs="Arial"/>
          <w:b/>
          <w:szCs w:val="24"/>
        </w:rPr>
        <w:t>„Национална концепция за пространствено развитие за периода 2013 - 2025 г.”</w:t>
      </w:r>
      <w:r w:rsidRPr="00660BE3">
        <w:rPr>
          <w:rFonts w:cs="Arial"/>
          <w:bCs/>
          <w:szCs w:val="24"/>
        </w:rPr>
        <w:t>, която</w:t>
      </w:r>
      <w:r w:rsidRPr="00660BE3">
        <w:rPr>
          <w:rFonts w:cs="Arial"/>
          <w:szCs w:val="24"/>
        </w:rPr>
        <w:t xml:space="preserve"> дефинира като стратегическа цел № 1 „Интегриране в европейското пространство”, а Приоритет 1.4 „Развитие на националната транспортна инфраструктура като част от трансевропейската транспортна мрежа (ТЕТМ), осигуряваща интегриране в европейското пространство и връзки с основните урбанистки центрове на съседни страни”.</w:t>
      </w:r>
    </w:p>
    <w:p w14:paraId="0763B6C2" w14:textId="77777777" w:rsidR="00660BE3" w:rsidRPr="00660BE3" w:rsidRDefault="00660BE3" w:rsidP="00660BE3">
      <w:pPr>
        <w:spacing w:after="120"/>
        <w:jc w:val="both"/>
        <w:rPr>
          <w:rFonts w:cs="Arial"/>
          <w:szCs w:val="24"/>
        </w:rPr>
      </w:pPr>
      <w:bookmarkStart w:id="170" w:name="_Hlk20751870"/>
      <w:r w:rsidRPr="00660BE3">
        <w:rPr>
          <w:rFonts w:cs="Arial"/>
          <w:b/>
          <w:szCs w:val="24"/>
        </w:rPr>
        <w:t>„Интегрирана транспортна стратегия за периода до 2030 г</w:t>
      </w:r>
      <w:r w:rsidRPr="00660BE3">
        <w:rPr>
          <w:rFonts w:cs="Arial"/>
          <w:szCs w:val="24"/>
        </w:rPr>
        <w:t xml:space="preserve">.“, </w:t>
      </w:r>
      <w:bookmarkEnd w:id="170"/>
      <w:r w:rsidRPr="00660BE3">
        <w:rPr>
          <w:rFonts w:cs="Arial"/>
          <w:szCs w:val="24"/>
        </w:rPr>
        <w:t xml:space="preserve">одобрена с Решение № 336/23.06.2017 г. на Министерския съвет. Стратегията представлява всеобхватен план за устойчиво развитие на транспортната система на Република България и рамка за инвестиции в транспорта. В нея са дефинирани националните стратегически приоритети като един от тях е: </w:t>
      </w:r>
      <w:r w:rsidRPr="00660BE3">
        <w:rPr>
          <w:rFonts w:cs="Arial"/>
          <w:b/>
          <w:bCs/>
          <w:i/>
          <w:iCs/>
          <w:szCs w:val="24"/>
        </w:rPr>
        <w:t>„Повишаване на сигурността и безопасността на транспортната система“</w:t>
      </w:r>
      <w:r w:rsidRPr="00660BE3">
        <w:rPr>
          <w:rFonts w:cs="Arial"/>
          <w:szCs w:val="24"/>
        </w:rPr>
        <w:t>. В рамките на този стратегически приоритет са заложени съвкупност от мерки една от които касае речния транспорт и е насочена към „Експлоатация и поддържане на транспортната инфраструктура в съответствие с техническите нормативи и стандарти“.</w:t>
      </w:r>
    </w:p>
    <w:p w14:paraId="60132705" w14:textId="77777777" w:rsidR="00660BE3" w:rsidRPr="00052931" w:rsidRDefault="00660BE3" w:rsidP="00660BE3">
      <w:pPr>
        <w:pStyle w:val="Heading2"/>
        <w:numPr>
          <w:ilvl w:val="1"/>
          <w:numId w:val="3"/>
        </w:numPr>
        <w:ind w:left="1080" w:hanging="540"/>
        <w:rPr>
          <w:szCs w:val="24"/>
          <w:lang w:val="bg-BG"/>
        </w:rPr>
      </w:pPr>
      <w:bookmarkStart w:id="171" w:name="_Toc143607766"/>
      <w:bookmarkStart w:id="172" w:name="_Toc143694164"/>
      <w:r w:rsidRPr="00052931">
        <w:rPr>
          <w:szCs w:val="24"/>
          <w:lang w:val="bg-BG"/>
        </w:rPr>
        <w:t>Орган отговорен за изпълнението на проекта</w:t>
      </w:r>
      <w:bookmarkEnd w:id="171"/>
      <w:bookmarkEnd w:id="172"/>
    </w:p>
    <w:p w14:paraId="59CCD30A" w14:textId="77777777" w:rsidR="00660BE3" w:rsidRPr="00660BE3" w:rsidRDefault="00660BE3" w:rsidP="00660BE3">
      <w:pPr>
        <w:spacing w:before="60"/>
        <w:jc w:val="both"/>
        <w:rPr>
          <w:rFonts w:cs="Arial"/>
          <w:szCs w:val="24"/>
        </w:rPr>
      </w:pPr>
      <w:r w:rsidRPr="00660BE3">
        <w:rPr>
          <w:rFonts w:cs="Arial"/>
          <w:szCs w:val="24"/>
        </w:rPr>
        <w:t xml:space="preserve">Органът, отговорен за изпълнението на проекта, е Държавно предприятие „Пристанищна инфраструктура" (ДППИ), което е управителен орган на българските </w:t>
      </w:r>
      <w:r w:rsidRPr="00660BE3">
        <w:rPr>
          <w:rFonts w:cs="Arial"/>
          <w:szCs w:val="24"/>
        </w:rPr>
        <w:lastRenderedPageBreak/>
        <w:t xml:space="preserve">пристанища за обществен транспорт и предоставя услуги по управление на трафика и информационно обслужване на корабоплаването и на речни информационни услуги на корабния трафик в съответствие с разпоредбите на ЗМПВВППРБ. </w:t>
      </w:r>
    </w:p>
    <w:p w14:paraId="21C919E0" w14:textId="77777777" w:rsidR="00660BE3" w:rsidRPr="00660BE3" w:rsidRDefault="00660BE3" w:rsidP="00660BE3">
      <w:pPr>
        <w:spacing w:after="60"/>
        <w:jc w:val="both"/>
        <w:rPr>
          <w:rFonts w:cs="Arial"/>
          <w:szCs w:val="24"/>
        </w:rPr>
      </w:pPr>
      <w:r w:rsidRPr="00660BE3">
        <w:rPr>
          <w:rFonts w:cs="Arial"/>
          <w:szCs w:val="24"/>
        </w:rPr>
        <w:t>Дейността на ДППИ обхваща:</w:t>
      </w:r>
    </w:p>
    <w:p w14:paraId="3AF267CA"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на пристанища и пристанищни терминали – държавна собственост, както и реконструкция, рехабилитация и поддържане на пристанищните терминали – държавна собственост, от пристанищата за обществен транспорт;</w:t>
      </w:r>
    </w:p>
    <w:p w14:paraId="008479D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поддържане на съществуващите и изграждане на нови подоходни канали, пристанищни акватории, морски и речни депа за изхвърляне на драгажна маса, вълноломи, защитни съоръжения, мрежи и съоръжения на общата техническа инфраструктура, включително инфраструктура за достъп, в пристанищата по чл. 106а от ЗМПВВППРБ и в пристанищата за обществен транспорт – държавна собственост;</w:t>
      </w:r>
    </w:p>
    <w:p w14:paraId="7541FAB3"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управление на държавната собственост в пристанищата за обществен транспорт;</w:t>
      </w:r>
    </w:p>
    <w:p w14:paraId="7F3B9292"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изготвяне, поддържане и съхраняване на регистър, съдържащ данни за пристанищната инфраструктура – държавна собственост;</w:t>
      </w:r>
    </w:p>
    <w:p w14:paraId="2B72E5D9"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подпомагане министъра на транспорта, информационните технологии и съобщенията при осъществяване на контрола по изпълнението на концесионните договори и договорите с едноличните търговски дружества за извършване на пристанищни услуги и на дейности по чл. 116а, ал. 1 от ЗМПВВППРБ;</w:t>
      </w:r>
    </w:p>
    <w:p w14:paraId="71E88494"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отговорност за наличието, изпълнението и поддържането на плановете за сигурност на пристанищните райони, които включват пристанище за обществен транспорт;</w:t>
      </w:r>
    </w:p>
    <w:p w14:paraId="00331E4D"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обезпечаване на достъп до пристанищата;</w:t>
      </w:r>
    </w:p>
    <w:p w14:paraId="441E1F4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и поддържане на съоръженията, обслужващи системата за контрол на движението на корабите и за информация и българската речна информационна система;</w:t>
      </w:r>
    </w:p>
    <w:p w14:paraId="52A1CBB1"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навигационното осигуряване на корабоплаването в териториалното море, вътрешните морски води, каналите и акваторията на пристанищата;</w:t>
      </w:r>
    </w:p>
    <w:p w14:paraId="24102DAE" w14:textId="77777777" w:rsidR="00660BE3" w:rsidRPr="00660BE3" w:rsidRDefault="00660BE3" w:rsidP="00660BE3">
      <w:pPr>
        <w:pStyle w:val="ListParagraph"/>
        <w:numPr>
          <w:ilvl w:val="0"/>
          <w:numId w:val="20"/>
        </w:numPr>
        <w:spacing w:after="60"/>
        <w:jc w:val="both"/>
        <w:rPr>
          <w:rFonts w:ascii="Arial" w:eastAsiaTheme="minorHAnsi" w:hAnsi="Arial" w:cs="Arial"/>
          <w:szCs w:val="24"/>
        </w:rPr>
      </w:pPr>
      <w:r w:rsidRPr="00660BE3">
        <w:rPr>
          <w:rFonts w:ascii="Arial" w:eastAsiaTheme="minorHAnsi" w:hAnsi="Arial" w:cs="Arial"/>
          <w:szCs w:val="24"/>
        </w:rPr>
        <w:t>изграждане, поддържане и администриране на национална система за електронен обмен на информация в пристанищата за обществен транспорт.</w:t>
      </w:r>
    </w:p>
    <w:p w14:paraId="1BB520AA" w14:textId="77777777" w:rsidR="00660BE3" w:rsidRPr="00660BE3" w:rsidRDefault="00660BE3" w:rsidP="00660BE3">
      <w:pPr>
        <w:spacing w:before="240"/>
        <w:jc w:val="both"/>
        <w:rPr>
          <w:rFonts w:cs="Arial"/>
          <w:szCs w:val="24"/>
        </w:rPr>
      </w:pPr>
      <w:r w:rsidRPr="00660BE3">
        <w:rPr>
          <w:rFonts w:cs="Arial"/>
          <w:szCs w:val="24"/>
        </w:rPr>
        <w:lastRenderedPageBreak/>
        <w:t xml:space="preserve">ДППИ е национален координатор за единната информационна среда за морско информационно обслужване на Европейския съюз – European Maritime Single Window environment (EMSWe), и отговаря за предоставяне на информация за управлението на трафика и информационното обслужване на корабоплаването, разпространяване на морска информация за безопасност и поддържане. </w:t>
      </w:r>
    </w:p>
    <w:p w14:paraId="0EB2D2EE" w14:textId="77777777" w:rsidR="00660BE3" w:rsidRPr="00660BE3" w:rsidRDefault="00660BE3" w:rsidP="00660BE3">
      <w:pPr>
        <w:spacing w:before="60" w:after="60"/>
        <w:jc w:val="both"/>
        <w:rPr>
          <w:rFonts w:cs="Arial"/>
          <w:szCs w:val="24"/>
        </w:rPr>
      </w:pPr>
      <w:r w:rsidRPr="00660BE3">
        <w:rPr>
          <w:rFonts w:cs="Arial"/>
          <w:szCs w:val="24"/>
        </w:rPr>
        <w:t>ДППИ предоставя:</w:t>
      </w:r>
    </w:p>
    <w:p w14:paraId="7D52BEA3"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услуги, чрез Световната морска система за бедствия и безопасност (СМСББ);</w:t>
      </w:r>
    </w:p>
    <w:p w14:paraId="6A686CAC"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далекосъобщителни услуги кораб - бряг и бряг - кораб;</w:t>
      </w:r>
    </w:p>
    <w:p w14:paraId="431DED42"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услуги по управление на трафика и информационно обслужване на корабоплаването и предоставяне на речни информационни услуги на корабния трафик;</w:t>
      </w:r>
    </w:p>
    <w:p w14:paraId="6E23D098" w14:textId="77777777" w:rsidR="00660BE3" w:rsidRPr="00660BE3" w:rsidRDefault="00660BE3" w:rsidP="00660BE3">
      <w:pPr>
        <w:spacing w:before="60" w:after="60"/>
        <w:ind w:firstLine="567"/>
        <w:jc w:val="both"/>
        <w:rPr>
          <w:rFonts w:cs="Arial"/>
          <w:szCs w:val="24"/>
        </w:rPr>
      </w:pPr>
      <w:r w:rsidRPr="00660BE3">
        <w:rPr>
          <w:rFonts w:cs="Arial"/>
          <w:szCs w:val="24"/>
        </w:rPr>
        <w:t>•</w:t>
      </w:r>
      <w:r w:rsidRPr="00660BE3">
        <w:rPr>
          <w:rFonts w:cs="Arial"/>
          <w:szCs w:val="24"/>
        </w:rPr>
        <w:tab/>
        <w:t>хидрометеорологична информация.</w:t>
      </w:r>
    </w:p>
    <w:p w14:paraId="6F064C54" w14:textId="77777777" w:rsidR="00660BE3" w:rsidRPr="00660BE3" w:rsidRDefault="00660BE3" w:rsidP="00660BE3">
      <w:pPr>
        <w:spacing w:before="240"/>
        <w:jc w:val="both"/>
        <w:rPr>
          <w:rFonts w:cs="Arial"/>
          <w:szCs w:val="24"/>
        </w:rPr>
      </w:pPr>
      <w:r w:rsidRPr="00660BE3">
        <w:rPr>
          <w:rFonts w:cs="Arial"/>
          <w:szCs w:val="24"/>
        </w:rPr>
        <w:t>Съгласно чл. 115л от Закона за морските пространства, вътрешните водни пътища и пристанищата на Република България (ЗМПВВППРБ) Държавно предприятие "Пристанищна инфраструктура" (ДППИ) е юридическо лице по смисъла на чл. 62, ал. 3 от Търговския закон, със седалище София и с клонове-териториални поделения в Бургас, Варна, Лом и Русе.</w:t>
      </w:r>
    </w:p>
    <w:p w14:paraId="5FAB2F1F" w14:textId="77777777" w:rsidR="00660BE3" w:rsidRPr="00660BE3" w:rsidRDefault="00660BE3" w:rsidP="00660BE3">
      <w:pPr>
        <w:spacing w:before="60"/>
        <w:jc w:val="both"/>
        <w:rPr>
          <w:rFonts w:cs="Arial"/>
          <w:szCs w:val="24"/>
        </w:rPr>
      </w:pPr>
      <w:r w:rsidRPr="00660BE3">
        <w:rPr>
          <w:rFonts w:cs="Arial"/>
          <w:szCs w:val="24"/>
        </w:rPr>
        <w:t>ДППИ е Бенефициент по ОПТТИ и има значителен опит в изпълнението и управлението на проекти, финансирани със средства от ЕС, както по програмен период 2007-2013 г., така и в програмен период 2014-2020 г. Подготовката и изпълнението на проекта ще се извършва от дирекция „Управление на проекти “, като за целта ще бъде сформирано специално звено за изпълнение на проекта, в което при необходимост ще бъдат включени и експерти от други дирекции в организационната структура на предприятието.</w:t>
      </w:r>
    </w:p>
    <w:p w14:paraId="7A90A113" w14:textId="495D9F80" w:rsidR="00660BE3" w:rsidRDefault="00660BE3" w:rsidP="00660BE3">
      <w:pPr>
        <w:spacing w:before="120"/>
        <w:jc w:val="both"/>
      </w:pPr>
    </w:p>
    <w:p w14:paraId="57755503" w14:textId="77777777" w:rsidR="00120A6A" w:rsidRDefault="00120A6A">
      <w:pPr>
        <w:rPr>
          <w:rFonts w:eastAsia="Times New Roman" w:cs="Arial"/>
          <w:b/>
          <w:highlight w:val="yellow"/>
          <w:lang w:eastAsia="zh-CN"/>
        </w:rPr>
      </w:pPr>
      <w:r>
        <w:rPr>
          <w:rFonts w:cs="Arial"/>
          <w:b/>
          <w:highlight w:val="yellow"/>
        </w:rPr>
        <w:br w:type="page"/>
      </w:r>
    </w:p>
    <w:p w14:paraId="4B4B4B86" w14:textId="77777777" w:rsidR="002E55ED" w:rsidRDefault="002E55ED" w:rsidP="002E55ED">
      <w:pPr>
        <w:pStyle w:val="ListParagraph"/>
        <w:spacing w:before="240" w:after="120"/>
        <w:ind w:left="426"/>
        <w:contextualSpacing w:val="0"/>
        <w:outlineLvl w:val="1"/>
        <w:rPr>
          <w:rFonts w:ascii="Arial" w:hAnsi="Arial" w:cs="Arial"/>
          <w:b/>
          <w:highlight w:val="yellow"/>
        </w:rPr>
      </w:pPr>
    </w:p>
    <w:bookmarkEnd w:id="133"/>
    <w:p w14:paraId="7F86F283" w14:textId="6F6E20A7" w:rsidR="00660BE3" w:rsidRPr="002E1E19" w:rsidRDefault="00660BE3" w:rsidP="00660BE3">
      <w:pPr>
        <w:spacing w:before="60" w:after="60"/>
        <w:jc w:val="both"/>
        <w:rPr>
          <w:rFonts w:cs="Arial"/>
          <w:sz w:val="22"/>
        </w:rPr>
      </w:pPr>
    </w:p>
    <w:p w14:paraId="7712977A" w14:textId="77777777" w:rsidR="00660BE3" w:rsidRDefault="00660BE3" w:rsidP="00660BE3">
      <w:pPr>
        <w:pStyle w:val="Heading1"/>
        <w:numPr>
          <w:ilvl w:val="0"/>
          <w:numId w:val="3"/>
        </w:numPr>
        <w:ind w:left="360" w:hanging="360"/>
        <w:jc w:val="both"/>
        <w:rPr>
          <w:lang w:val="bg-BG"/>
        </w:rPr>
      </w:pPr>
      <w:bookmarkStart w:id="173" w:name="_Toc143607767"/>
      <w:bookmarkStart w:id="174" w:name="_Toc143694165"/>
      <w:r>
        <w:rPr>
          <w:lang w:val="bg-BG"/>
        </w:rPr>
        <w:t>ЦЕЛИ</w:t>
      </w:r>
      <w:r w:rsidRPr="00365CBE">
        <w:rPr>
          <w:lang w:val="bg-BG"/>
        </w:rPr>
        <w:t xml:space="preserve"> на проекта</w:t>
      </w:r>
      <w:bookmarkEnd w:id="173"/>
      <w:bookmarkEnd w:id="174"/>
    </w:p>
    <w:p w14:paraId="1F4A2852" w14:textId="77777777" w:rsidR="00660BE3" w:rsidRDefault="00660BE3" w:rsidP="00660BE3">
      <w:pPr>
        <w:spacing w:after="120"/>
        <w:jc w:val="both"/>
        <w:rPr>
          <w:rFonts w:ascii="Times New Roman" w:eastAsia="Calibri" w:hAnsi="Times New Roman" w:cs="Times New Roman"/>
          <w:szCs w:val="24"/>
          <w:lang w:eastAsia="en-US"/>
        </w:rPr>
      </w:pPr>
    </w:p>
    <w:p w14:paraId="78827C18" w14:textId="1AEBF5A5" w:rsidR="000A3C41" w:rsidRPr="000A3C41" w:rsidRDefault="000A3C41" w:rsidP="000A3C41">
      <w:pPr>
        <w:spacing w:before="60"/>
        <w:jc w:val="both"/>
        <w:rPr>
          <w:rFonts w:cs="Arial"/>
          <w:szCs w:val="24"/>
        </w:rPr>
      </w:pPr>
      <w:bookmarkStart w:id="175" w:name="_Toc290900751"/>
      <w:r w:rsidRPr="000A3C41">
        <w:rPr>
          <w:rFonts w:cs="Arial"/>
          <w:szCs w:val="24"/>
        </w:rPr>
        <w:t>Основна</w:t>
      </w:r>
      <w:r>
        <w:rPr>
          <w:rFonts w:cs="Arial"/>
          <w:szCs w:val="24"/>
        </w:rPr>
        <w:t>та</w:t>
      </w:r>
      <w:r w:rsidRPr="000A3C41">
        <w:rPr>
          <w:rFonts w:cs="Arial"/>
          <w:szCs w:val="24"/>
        </w:rPr>
        <w:t xml:space="preserve"> цел на проекта </w:t>
      </w:r>
      <w:bookmarkEnd w:id="175"/>
      <w:r w:rsidRPr="000A3C41">
        <w:rPr>
          <w:rFonts w:cs="Arial"/>
          <w:szCs w:val="24"/>
        </w:rPr>
        <w:t>е подобряване условията за воден транспорт по коридор Рейнско-Дунавски в българския участък</w:t>
      </w:r>
      <w:r>
        <w:rPr>
          <w:rFonts w:cs="Arial"/>
          <w:szCs w:val="24"/>
        </w:rPr>
        <w:t xml:space="preserve">, както и </w:t>
      </w:r>
      <w:r w:rsidRPr="000A3C41">
        <w:rPr>
          <w:rFonts w:cs="Arial"/>
          <w:szCs w:val="24"/>
        </w:rPr>
        <w:t xml:space="preserve"> </w:t>
      </w:r>
      <w:bookmarkStart w:id="176" w:name="_Toc290900752"/>
      <w:r w:rsidRPr="000A3C41">
        <w:rPr>
          <w:rFonts w:cs="Arial"/>
          <w:szCs w:val="24"/>
        </w:rPr>
        <w:t xml:space="preserve">превенция от наводнения на гр. Лом и пристанище Лом, с което се гарантира безопасността на населението и имуществото публична и частна държавна собственост, предоставени на ДППИ и разположени на </w:t>
      </w:r>
      <w:r>
        <w:rPr>
          <w:rFonts w:cs="Arial"/>
          <w:szCs w:val="24"/>
        </w:rPr>
        <w:t>пристанището</w:t>
      </w:r>
      <w:r w:rsidRPr="000A3C41">
        <w:rPr>
          <w:rFonts w:cs="Arial"/>
          <w:szCs w:val="24"/>
        </w:rPr>
        <w:t>.</w:t>
      </w:r>
    </w:p>
    <w:bookmarkEnd w:id="176"/>
    <w:p w14:paraId="40DF9004" w14:textId="77777777" w:rsidR="000A3C41" w:rsidRPr="000A3C41" w:rsidRDefault="000A3C41" w:rsidP="000A3C41">
      <w:pPr>
        <w:spacing w:before="120" w:after="240"/>
        <w:rPr>
          <w:rFonts w:cs="Arial"/>
          <w:bCs/>
          <w:iCs/>
        </w:rPr>
      </w:pPr>
      <w:r w:rsidRPr="000A3C41">
        <w:rPr>
          <w:rFonts w:cs="Arial"/>
          <w:bCs/>
          <w:iCs/>
        </w:rPr>
        <w:t>Специфичните цели на проекта са:</w:t>
      </w:r>
    </w:p>
    <w:p w14:paraId="65ABA6D7" w14:textId="63B598E4" w:rsidR="000A3C41" w:rsidRDefault="00A73CFB" w:rsidP="00BF37F2">
      <w:pPr>
        <w:pStyle w:val="ListParagraph"/>
        <w:numPr>
          <w:ilvl w:val="0"/>
          <w:numId w:val="37"/>
        </w:numPr>
        <w:spacing w:before="120" w:after="240"/>
        <w:jc w:val="both"/>
        <w:rPr>
          <w:rFonts w:ascii="Arial" w:hAnsi="Arial" w:cs="Arial"/>
        </w:rPr>
      </w:pPr>
      <w:r>
        <w:rPr>
          <w:rFonts w:ascii="Arial" w:hAnsi="Arial" w:cs="Arial"/>
        </w:rPr>
        <w:t>Повишаване не безопасността и оттам у</w:t>
      </w:r>
      <w:r w:rsidR="000A3C41" w:rsidRPr="000A3C41">
        <w:rPr>
          <w:rFonts w:ascii="Arial" w:hAnsi="Arial" w:cs="Arial"/>
        </w:rPr>
        <w:t>величаване на трафика, преминаващ през пристанище Лом</w:t>
      </w:r>
      <w:r>
        <w:rPr>
          <w:rFonts w:ascii="Arial" w:hAnsi="Arial" w:cs="Arial"/>
        </w:rPr>
        <w:t>, без да се променя капацитета на кея и неговите експлоатационни параметри</w:t>
      </w:r>
      <w:r w:rsidR="000A3C41">
        <w:rPr>
          <w:rFonts w:ascii="Arial" w:hAnsi="Arial" w:cs="Arial"/>
        </w:rPr>
        <w:t>;</w:t>
      </w:r>
    </w:p>
    <w:p w14:paraId="710C69AE" w14:textId="1FED92CF" w:rsidR="000A3C41" w:rsidRPr="000A3C41" w:rsidRDefault="000A3C41" w:rsidP="00BF37F2">
      <w:pPr>
        <w:pStyle w:val="ListParagraph"/>
        <w:numPr>
          <w:ilvl w:val="0"/>
          <w:numId w:val="37"/>
        </w:numPr>
        <w:spacing w:before="120" w:after="240"/>
        <w:jc w:val="both"/>
        <w:rPr>
          <w:rFonts w:ascii="Arial" w:hAnsi="Arial" w:cs="Arial"/>
        </w:rPr>
      </w:pPr>
      <w:r w:rsidRPr="000A3C41">
        <w:rPr>
          <w:rFonts w:ascii="Arial" w:hAnsi="Arial" w:cs="Arial"/>
        </w:rPr>
        <w:t xml:space="preserve">Минимизиране на риска от наводнения, </w:t>
      </w:r>
      <w:r>
        <w:rPr>
          <w:rFonts w:ascii="Arial" w:hAnsi="Arial" w:cs="Arial"/>
        </w:rPr>
        <w:t>заплашващи</w:t>
      </w:r>
      <w:r w:rsidRPr="000A3C41">
        <w:rPr>
          <w:rFonts w:ascii="Arial" w:hAnsi="Arial" w:cs="Arial"/>
        </w:rPr>
        <w:t xml:space="preserve"> индустриалната инфраструктура в района на пристанището</w:t>
      </w:r>
      <w:r>
        <w:rPr>
          <w:rFonts w:ascii="Arial" w:hAnsi="Arial" w:cs="Arial"/>
        </w:rPr>
        <w:t>.</w:t>
      </w:r>
    </w:p>
    <w:p w14:paraId="26CF4478" w14:textId="77777777" w:rsidR="000A3C41" w:rsidRPr="006B3639" w:rsidRDefault="000A3C41" w:rsidP="00660BE3">
      <w:pPr>
        <w:spacing w:after="120"/>
        <w:jc w:val="both"/>
        <w:rPr>
          <w:rFonts w:ascii="Times New Roman" w:eastAsia="Calibri" w:hAnsi="Times New Roman" w:cs="Times New Roman"/>
          <w:szCs w:val="24"/>
          <w:lang w:eastAsia="en-US"/>
        </w:rPr>
      </w:pPr>
    </w:p>
    <w:p w14:paraId="3CACE3C2" w14:textId="1B3B8A8A" w:rsidR="000A3C41" w:rsidRDefault="000A3C41">
      <w:pPr>
        <w:rPr>
          <w:rFonts w:eastAsia="Times New Roman" w:cs="Arial"/>
          <w:b/>
          <w:caps/>
          <w:szCs w:val="20"/>
          <w:lang w:eastAsia="en-US"/>
        </w:rPr>
      </w:pPr>
      <w:r>
        <w:br w:type="page"/>
      </w:r>
    </w:p>
    <w:p w14:paraId="563E907F" w14:textId="77777777" w:rsidR="000A3C41" w:rsidRDefault="000A3C41" w:rsidP="000A3C41">
      <w:pPr>
        <w:pStyle w:val="Heading1"/>
        <w:ind w:left="360"/>
        <w:jc w:val="both"/>
        <w:rPr>
          <w:lang w:val="bg-BG"/>
        </w:rPr>
      </w:pPr>
    </w:p>
    <w:p w14:paraId="4FAA55C1" w14:textId="77777777" w:rsidR="000A3C41" w:rsidRDefault="000A3C41" w:rsidP="000A3C41">
      <w:pPr>
        <w:pStyle w:val="Heading1"/>
        <w:numPr>
          <w:ilvl w:val="0"/>
          <w:numId w:val="3"/>
        </w:numPr>
        <w:ind w:left="360" w:hanging="360"/>
        <w:jc w:val="both"/>
        <w:rPr>
          <w:lang w:val="bg-BG"/>
        </w:rPr>
      </w:pPr>
      <w:bookmarkStart w:id="177" w:name="_Toc143607768"/>
      <w:bookmarkStart w:id="178" w:name="_Toc143694166"/>
      <w:r w:rsidRPr="00365CBE">
        <w:rPr>
          <w:lang w:val="bg-BG"/>
        </w:rPr>
        <w:t>идентификация на проекта</w:t>
      </w:r>
      <w:bookmarkEnd w:id="177"/>
      <w:bookmarkEnd w:id="178"/>
    </w:p>
    <w:p w14:paraId="54A8A381" w14:textId="77777777" w:rsidR="000A3C41" w:rsidRPr="00052931" w:rsidRDefault="000A3C41" w:rsidP="000A3C41">
      <w:pPr>
        <w:pStyle w:val="Heading2"/>
        <w:numPr>
          <w:ilvl w:val="1"/>
          <w:numId w:val="3"/>
        </w:numPr>
        <w:ind w:left="1080" w:hanging="540"/>
        <w:rPr>
          <w:szCs w:val="24"/>
          <w:lang w:val="bg-BG"/>
        </w:rPr>
      </w:pPr>
      <w:bookmarkStart w:id="179" w:name="_Toc143607769"/>
      <w:bookmarkStart w:id="180" w:name="_Toc143694167"/>
      <w:r w:rsidRPr="00052931">
        <w:rPr>
          <w:szCs w:val="24"/>
          <w:lang w:val="bg-BG"/>
        </w:rPr>
        <w:t>Описание на съществуващото положение</w:t>
      </w:r>
      <w:bookmarkEnd w:id="179"/>
      <w:bookmarkEnd w:id="180"/>
    </w:p>
    <w:p w14:paraId="64957642" w14:textId="0FCBB167" w:rsidR="000A3C41" w:rsidRPr="00F44608" w:rsidRDefault="000A3C41" w:rsidP="000A3C41">
      <w:pPr>
        <w:spacing w:after="120"/>
        <w:jc w:val="both"/>
        <w:rPr>
          <w:rFonts w:eastAsia="Calibri" w:cs="Arial"/>
          <w:szCs w:val="24"/>
          <w:lang w:eastAsia="en-US"/>
        </w:rPr>
      </w:pPr>
      <w:r w:rsidRPr="00F44608">
        <w:rPr>
          <w:rFonts w:eastAsia="Calibri" w:cs="Arial"/>
          <w:szCs w:val="24"/>
          <w:lang w:eastAsia="en-US"/>
        </w:rPr>
        <w:t>Съществуващата инфраструктура на пристанище</w:t>
      </w:r>
      <w:r w:rsidR="00F44608" w:rsidRPr="00F44608">
        <w:rPr>
          <w:rFonts w:eastAsia="Calibri" w:cs="Arial"/>
          <w:szCs w:val="24"/>
          <w:lang w:eastAsia="en-US"/>
        </w:rPr>
        <w:t xml:space="preserve"> Лом</w:t>
      </w:r>
      <w:r w:rsidRPr="00F44608">
        <w:rPr>
          <w:rFonts w:eastAsia="Calibri" w:cs="Arial"/>
          <w:szCs w:val="24"/>
          <w:lang w:eastAsia="en-US"/>
        </w:rPr>
        <w:t xml:space="preserve"> </w:t>
      </w:r>
      <w:r w:rsidR="00F44608" w:rsidRPr="00F44608">
        <w:rPr>
          <w:rFonts w:eastAsia="Calibri" w:cs="Arial"/>
          <w:szCs w:val="24"/>
          <w:lang w:eastAsia="en-US"/>
        </w:rPr>
        <w:t>е подробно описана</w:t>
      </w:r>
      <w:r w:rsidRPr="00F44608">
        <w:rPr>
          <w:rFonts w:eastAsia="Calibri" w:cs="Arial"/>
          <w:szCs w:val="24"/>
          <w:lang w:eastAsia="en-US"/>
        </w:rPr>
        <w:t xml:space="preserve"> в Предпроектното проучване. </w:t>
      </w:r>
    </w:p>
    <w:p w14:paraId="772B8B96" w14:textId="77777777" w:rsidR="00F44608" w:rsidRDefault="00F44608" w:rsidP="00F44608">
      <w:pPr>
        <w:spacing w:after="120" w:line="24" w:lineRule="atLeast"/>
        <w:jc w:val="both"/>
        <w:rPr>
          <w:rFonts w:cs="Arial"/>
        </w:rPr>
      </w:pPr>
      <w:r w:rsidRPr="00F44608">
        <w:rPr>
          <w:rFonts w:cs="Arial"/>
        </w:rPr>
        <w:t>Общата площ на терминала е 371 222 кв. м, ситуирана в ПИ 44238.507.1 по кадастралната карта на гр. Лом.</w:t>
      </w:r>
    </w:p>
    <w:p w14:paraId="18B82CD8" w14:textId="270EDD34" w:rsidR="00F44608" w:rsidRPr="009E3D61" w:rsidRDefault="00F44608" w:rsidP="00F44608">
      <w:pPr>
        <w:spacing w:after="120" w:line="24" w:lineRule="atLeast"/>
        <w:jc w:val="both"/>
      </w:pPr>
      <w:bookmarkStart w:id="181" w:name="_Toc174099094"/>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9</w:t>
      </w:r>
      <w:r w:rsidRPr="002E1E19">
        <w:rPr>
          <w:rFonts w:cs="Arial"/>
          <w:bCs/>
          <w:i/>
          <w:iCs/>
          <w:sz w:val="22"/>
        </w:rPr>
        <w:fldChar w:fldCharType="end"/>
      </w:r>
      <w:r w:rsidRPr="00375CBC">
        <w:rPr>
          <w:rFonts w:cs="Arial"/>
          <w:bCs/>
          <w:i/>
          <w:iCs/>
          <w:sz w:val="22"/>
        </w:rPr>
        <w:t xml:space="preserve">  </w:t>
      </w:r>
      <w:r w:rsidRPr="00F44608">
        <w:rPr>
          <w:rFonts w:cs="Arial"/>
          <w:bCs/>
          <w:i/>
          <w:iCs/>
          <w:sz w:val="22"/>
        </w:rPr>
        <w:t>Пристанищен терминал Лом по кадастралната карта на гр. Лом</w:t>
      </w:r>
      <w:bookmarkEnd w:id="181"/>
    </w:p>
    <w:p w14:paraId="5C96FB0B" w14:textId="77777777" w:rsidR="00F44608" w:rsidRPr="009E3D61" w:rsidRDefault="00F44608" w:rsidP="00F44608">
      <w:pPr>
        <w:pStyle w:val="BodyText"/>
        <w:spacing w:after="120" w:line="24" w:lineRule="atLeast"/>
        <w:ind w:hanging="720"/>
        <w:jc w:val="center"/>
        <w:rPr>
          <w:szCs w:val="24"/>
        </w:rPr>
      </w:pPr>
      <w:r w:rsidRPr="009E3D61">
        <w:rPr>
          <w:noProof/>
          <w:szCs w:val="24"/>
          <w:lang w:val="en-US"/>
        </w:rPr>
        <w:drawing>
          <wp:inline distT="0" distB="0" distL="0" distR="0" wp14:anchorId="43E50EE5" wp14:editId="320FAE1A">
            <wp:extent cx="3706416" cy="3732028"/>
            <wp:effectExtent l="0" t="0" r="889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44652" cy="3770528"/>
                    </a:xfrm>
                    <a:prstGeom prst="rect">
                      <a:avLst/>
                    </a:prstGeom>
                    <a:noFill/>
                    <a:ln>
                      <a:noFill/>
                    </a:ln>
                  </pic:spPr>
                </pic:pic>
              </a:graphicData>
            </a:graphic>
          </wp:inline>
        </w:drawing>
      </w:r>
    </w:p>
    <w:p w14:paraId="678D399D" w14:textId="0048E08C" w:rsidR="00F44608" w:rsidRPr="009E3D61" w:rsidRDefault="00F44608" w:rsidP="00F44608">
      <w:pPr>
        <w:spacing w:after="120" w:line="24" w:lineRule="atLeast"/>
        <w:jc w:val="both"/>
      </w:pPr>
      <w:r w:rsidRPr="009E3D61">
        <w:t>Върху територия</w:t>
      </w:r>
      <w:r>
        <w:t>та</w:t>
      </w:r>
      <w:r w:rsidRPr="009E3D61">
        <w:t xml:space="preserve"> на пристанищния терминал е изградена основната пристанищна инфраструктура и съоръжения, позволяващи извършването на пристанищни услуги и други стопански дейности.</w:t>
      </w:r>
    </w:p>
    <w:p w14:paraId="2FE83BDD" w14:textId="77777777" w:rsidR="00F44608" w:rsidRPr="009E3D61" w:rsidRDefault="00F44608" w:rsidP="00F44608">
      <w:pPr>
        <w:spacing w:after="120" w:line="24" w:lineRule="atLeast"/>
        <w:jc w:val="both"/>
      </w:pPr>
      <w:r w:rsidRPr="009E3D61">
        <w:t>На територията на терминала се извършва граничен паспортно-визов, митнически, фитосанитарен контрол и карантина. Територията на терминала се охранява и има организиран пропускателен режим.</w:t>
      </w:r>
    </w:p>
    <w:p w14:paraId="7B4D627A" w14:textId="77777777" w:rsidR="00F44608" w:rsidRPr="009E3D61" w:rsidRDefault="00F44608" w:rsidP="00F44608">
      <w:pPr>
        <w:spacing w:after="120" w:line="24" w:lineRule="atLeast"/>
        <w:jc w:val="both"/>
      </w:pPr>
      <w:r w:rsidRPr="009E3D61">
        <w:t xml:space="preserve">Пристанищният терминал е свързан с националната железопътна мрежа, чрез жп линия 72 и с републиканската пътна мрежа. Посредством първокласен път през гр. Монтана се осъществява връзка с международен път Е 79. </w:t>
      </w:r>
    </w:p>
    <w:p w14:paraId="62C7D050" w14:textId="77777777" w:rsidR="00F44608" w:rsidRPr="00661078" w:rsidRDefault="00F44608" w:rsidP="00F44608">
      <w:pPr>
        <w:spacing w:after="120" w:line="24" w:lineRule="atLeast"/>
        <w:rPr>
          <w:bCs/>
        </w:rPr>
      </w:pPr>
      <w:r w:rsidRPr="00661078">
        <w:rPr>
          <w:bCs/>
        </w:rPr>
        <w:lastRenderedPageBreak/>
        <w:t>Общите параметри на пристанищния терминал са, както следва:</w:t>
      </w:r>
    </w:p>
    <w:p w14:paraId="268F7FC8"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Корабни места – 13 броя;</w:t>
      </w:r>
    </w:p>
    <w:p w14:paraId="6A25D2A7" w14:textId="5AE87DB2"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Обща дължи</w:t>
      </w:r>
      <w:r>
        <w:t>на на корабните места – 1 335 м</w:t>
      </w:r>
      <w:r w:rsidRPr="009E3D61">
        <w:t>;</w:t>
      </w:r>
    </w:p>
    <w:p w14:paraId="480F36F2" w14:textId="1F74EB0E"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Обща дължина на кейовия фронт – 1 424 м и 140 м вълноломи;</w:t>
      </w:r>
    </w:p>
    <w:p w14:paraId="0ABBB96F"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Дъното пред корабните места в лимана е на кота +22,00 (Балтийска височинна система) /проектна/;</w:t>
      </w:r>
    </w:p>
    <w:p w14:paraId="5EC590CB" w14:textId="7AD6C7D4"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Дъното пред корабните места на Белия кей е от опорния бетонов блок (пета) с кота +25,80 (Балтийска височинна система) по на</w:t>
      </w:r>
      <w:r>
        <w:t>клона  на заскалявката 1:1,5</w:t>
      </w:r>
      <w:r w:rsidRPr="009E3D61">
        <w:t>;</w:t>
      </w:r>
    </w:p>
    <w:p w14:paraId="5C50A1CC"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Закрити складове с обща площ от 11 547 кв.м;</w:t>
      </w:r>
    </w:p>
    <w:p w14:paraId="1C5BF816"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Открити складове с обща площ от 58 000 кв.м (Съгласно УЕГ №14017/29.01.2021 г.);</w:t>
      </w:r>
    </w:p>
    <w:p w14:paraId="0F4929D4"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Вътрешно-пристанищна железопътна мрежа с обща дължина 5 944 м.;</w:t>
      </w:r>
    </w:p>
    <w:p w14:paraId="04D66896"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Вътрешни автомобилни пътища 3</w:t>
      </w:r>
      <w:r>
        <w:t xml:space="preserve"> </w:t>
      </w:r>
      <w:r w:rsidRPr="009E3D61">
        <w:t>461 м.;</w:t>
      </w:r>
    </w:p>
    <w:p w14:paraId="3076E94E" w14:textId="77777777" w:rsidR="00F44608" w:rsidRPr="009E3D61" w:rsidRDefault="00F44608" w:rsidP="00BF37F2">
      <w:pPr>
        <w:widowControl w:val="0"/>
        <w:numPr>
          <w:ilvl w:val="0"/>
          <w:numId w:val="39"/>
        </w:numPr>
        <w:tabs>
          <w:tab w:val="left" w:pos="1786"/>
        </w:tabs>
        <w:autoSpaceDE w:val="0"/>
        <w:autoSpaceDN w:val="0"/>
        <w:adjustRightInd w:val="0"/>
        <w:spacing w:after="0" w:line="240" w:lineRule="auto"/>
        <w:jc w:val="both"/>
      </w:pPr>
      <w:r w:rsidRPr="009E3D61">
        <w:t>Подкранови релсови пътища 1 935 м.;</w:t>
      </w:r>
    </w:p>
    <w:p w14:paraId="5CE1329F"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Пристанищни ел. мрежи и съоръжения;</w:t>
      </w:r>
    </w:p>
    <w:p w14:paraId="465FDD12"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Площадкови ВиК мрежи и съоръжения;</w:t>
      </w:r>
    </w:p>
    <w:p w14:paraId="66B0D72D" w14:textId="77777777" w:rsidR="00F44608" w:rsidRPr="009E3D61" w:rsidRDefault="00F44608" w:rsidP="00BF37F2">
      <w:pPr>
        <w:widowControl w:val="0"/>
        <w:numPr>
          <w:ilvl w:val="0"/>
          <w:numId w:val="39"/>
        </w:numPr>
        <w:tabs>
          <w:tab w:val="left" w:pos="1068"/>
        </w:tabs>
        <w:autoSpaceDE w:val="0"/>
        <w:autoSpaceDN w:val="0"/>
        <w:adjustRightInd w:val="0"/>
        <w:spacing w:after="0" w:line="240" w:lineRule="auto"/>
        <w:jc w:val="both"/>
      </w:pPr>
      <w:r w:rsidRPr="009E3D61">
        <w:t>Сгради и съоръжения за административно-битово, техническо, противопожарно, охранително и др. обслужване.</w:t>
      </w:r>
    </w:p>
    <w:p w14:paraId="293BB8CF" w14:textId="77777777" w:rsidR="00F44608" w:rsidRPr="009E3D61" w:rsidRDefault="00F44608" w:rsidP="00F44608">
      <w:pPr>
        <w:spacing w:after="120" w:line="24" w:lineRule="atLeast"/>
        <w:jc w:val="both"/>
      </w:pPr>
      <w:r w:rsidRPr="009E3D61">
        <w:t>Пристанищен терминал Лом е съоръжен с 5 бр. кейови стени, където са обособени 13 бр. корабни места за приставане и обработка на товарни кораби, един вълнолом, и други съоръжения, както следва:</w:t>
      </w:r>
    </w:p>
    <w:p w14:paraId="732DA068" w14:textId="55EED186" w:rsidR="00F44608" w:rsidRPr="009E3D61" w:rsidRDefault="00F44608" w:rsidP="00F44608">
      <w:pPr>
        <w:spacing w:after="120" w:line="24" w:lineRule="atLeast"/>
      </w:pPr>
      <w:bookmarkStart w:id="182" w:name="_Toc174099095"/>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10</w:t>
      </w:r>
      <w:r w:rsidRPr="002E1E19">
        <w:rPr>
          <w:rFonts w:cs="Arial"/>
          <w:bCs/>
          <w:i/>
          <w:iCs/>
          <w:sz w:val="22"/>
        </w:rPr>
        <w:fldChar w:fldCharType="end"/>
      </w:r>
      <w:r w:rsidRPr="00375CBC">
        <w:rPr>
          <w:rFonts w:cs="Arial"/>
          <w:bCs/>
          <w:i/>
          <w:iCs/>
          <w:sz w:val="22"/>
        </w:rPr>
        <w:t xml:space="preserve">  </w:t>
      </w:r>
      <w:r w:rsidR="00661078" w:rsidRPr="00661078">
        <w:rPr>
          <w:rFonts w:cs="Arial"/>
          <w:bCs/>
          <w:i/>
          <w:iCs/>
          <w:sz w:val="22"/>
        </w:rPr>
        <w:t>Кейови места на Пристанищен терминал Лом</w:t>
      </w:r>
      <w:bookmarkEnd w:id="182"/>
    </w:p>
    <w:p w14:paraId="386FB35D" w14:textId="77777777" w:rsidR="00F44608" w:rsidRPr="009E3D61" w:rsidRDefault="00F44608" w:rsidP="00F44608">
      <w:pPr>
        <w:spacing w:after="120" w:line="24" w:lineRule="atLeast"/>
        <w:jc w:val="center"/>
      </w:pPr>
      <w:r w:rsidRPr="009E3D61">
        <w:rPr>
          <w:noProof/>
          <w:lang w:val="en-US" w:eastAsia="en-US"/>
        </w:rPr>
        <w:drawing>
          <wp:inline distT="0" distB="0" distL="0" distR="0" wp14:anchorId="54C1241B" wp14:editId="1FE95BA1">
            <wp:extent cx="5061097" cy="3174362"/>
            <wp:effectExtent l="0" t="0" r="6350" b="7620"/>
            <wp:docPr id="67" name="Картина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а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81082" cy="3186896"/>
                    </a:xfrm>
                    <a:prstGeom prst="rect">
                      <a:avLst/>
                    </a:prstGeom>
                    <a:noFill/>
                    <a:ln>
                      <a:noFill/>
                    </a:ln>
                  </pic:spPr>
                </pic:pic>
              </a:graphicData>
            </a:graphic>
          </wp:inline>
        </w:drawing>
      </w:r>
    </w:p>
    <w:p w14:paraId="1B42D385" w14:textId="566CDFBE" w:rsidR="00F44608" w:rsidRPr="009E3D61" w:rsidRDefault="00F44608" w:rsidP="00F44608">
      <w:pPr>
        <w:spacing w:after="120" w:line="24" w:lineRule="atLeast"/>
      </w:pPr>
      <w:r w:rsidRPr="009E3D61">
        <w:lastRenderedPageBreak/>
        <w:t xml:space="preserve"> </w:t>
      </w:r>
    </w:p>
    <w:p w14:paraId="0B1E3AEC" w14:textId="77777777" w:rsidR="00F44608" w:rsidRPr="009E3D61" w:rsidRDefault="00F44608" w:rsidP="00661078">
      <w:pPr>
        <w:spacing w:after="120" w:line="24" w:lineRule="atLeast"/>
        <w:jc w:val="both"/>
      </w:pPr>
      <w:r w:rsidRPr="009E3D61">
        <w:t>В зависимост от историческия път и етапност на изграждане на пристанището в района на гр. Лом и геометричната конфигурация на пристанищната територия са се обособили отделни пристанищни райони - т.н. бял кей, метален шпунт, западен кей, южен кей и източен кей.</w:t>
      </w:r>
    </w:p>
    <w:p w14:paraId="21C72CCE" w14:textId="77777777" w:rsidR="00F44608" w:rsidRPr="009E3D61" w:rsidRDefault="00F44608" w:rsidP="00F44608">
      <w:pPr>
        <w:spacing w:after="120" w:line="24" w:lineRule="atLeast"/>
      </w:pPr>
      <w:bookmarkStart w:id="183" w:name="_Toc312935741"/>
      <w:r w:rsidRPr="009E3D61">
        <w:t xml:space="preserve">Основните технически и </w:t>
      </w:r>
      <w:r w:rsidRPr="009E3D61">
        <w:rPr>
          <w:iCs/>
        </w:rPr>
        <w:t>технологични характеристики</w:t>
      </w:r>
      <w:r w:rsidRPr="009E3D61">
        <w:t xml:space="preserve"> на отделните пристанищни райони са, както следва:</w:t>
      </w:r>
      <w:bookmarkEnd w:id="183"/>
    </w:p>
    <w:p w14:paraId="710E8FBC"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4" w:name="_Toc312935742"/>
      <w:bookmarkStart w:id="185" w:name="_Toc95837656"/>
      <w:bookmarkStart w:id="186" w:name="_Toc143694168"/>
      <w:r w:rsidRPr="00661078">
        <w:rPr>
          <w:b w:val="0"/>
          <w:i/>
          <w:sz w:val="24"/>
          <w:u w:val="single"/>
        </w:rPr>
        <w:t>Бял кей</w:t>
      </w:r>
      <w:bookmarkEnd w:id="184"/>
      <w:bookmarkEnd w:id="185"/>
      <w:bookmarkEnd w:id="186"/>
    </w:p>
    <w:p w14:paraId="56AD0247" w14:textId="7FE043D6" w:rsidR="00F44608" w:rsidRPr="009E3D61" w:rsidRDefault="00F44608" w:rsidP="00661078">
      <w:pPr>
        <w:spacing w:after="120" w:line="24" w:lineRule="atLeast"/>
        <w:jc w:val="both"/>
      </w:pPr>
      <w:r w:rsidRPr="009E3D61">
        <w:t>Разположен е западно от вълнолома, по протежение на р</w:t>
      </w:r>
      <w:r w:rsidR="00661078">
        <w:t>ека</w:t>
      </w:r>
      <w:r w:rsidRPr="009E3D61">
        <w:t xml:space="preserve"> Дунав. Представлява речна дига, състояща се от подводна каменна берма с насип отгоре, с каменна облицовка с наклон 1:1 пред петата.</w:t>
      </w:r>
      <w:r w:rsidRPr="009E3D61">
        <w:rPr>
          <w:b/>
          <w:bCs/>
        </w:rPr>
        <w:t xml:space="preserve"> </w:t>
      </w:r>
      <w:r w:rsidRPr="009E3D61">
        <w:t>Дължината на кея е 365 м. На кея са обособени 3 корабни места - к.м. № № 1, 2 и 3, всички проектирани за равномерен полезен товар от 6 т/м</w:t>
      </w:r>
      <w:r w:rsidRPr="009E3D61">
        <w:rPr>
          <w:vertAlign w:val="superscript"/>
        </w:rPr>
        <w:t>2</w:t>
      </w:r>
      <w:r w:rsidRPr="009E3D61">
        <w:t>. Построен е през 1953 г. Ремонтиран е през 1986 г. Ремонтът се е състоял в набиването на два реда пилоти тип “Беното” с Ф 1 200 мм, дълги 22 м. през 0,30 м., измервано от центъра, по протежение на 119-метровата аварирала зона.</w:t>
      </w:r>
    </w:p>
    <w:p w14:paraId="463D35AF" w14:textId="77777777" w:rsidR="00F44608" w:rsidRPr="009E3D61" w:rsidRDefault="00F44608" w:rsidP="00F44608">
      <w:pPr>
        <w:spacing w:after="120" w:line="24" w:lineRule="atLeast"/>
      </w:pPr>
      <w:r w:rsidRPr="009E3D61">
        <w:t>Проектната кота дъно пред корабните места е 21,25 м. БС.</w:t>
      </w:r>
    </w:p>
    <w:p w14:paraId="354156E3" w14:textId="77777777" w:rsidR="00F44608" w:rsidRPr="009E3D61" w:rsidRDefault="00F44608" w:rsidP="00F44608">
      <w:pPr>
        <w:spacing w:after="120" w:line="24" w:lineRule="atLeast"/>
      </w:pPr>
      <w:r w:rsidRPr="009E3D61">
        <w:t>В района на Белия кей има изградени:</w:t>
      </w:r>
    </w:p>
    <w:p w14:paraId="26AF13EA" w14:textId="77777777" w:rsidR="00F44608" w:rsidRPr="00547828" w:rsidRDefault="00F44608" w:rsidP="00BF37F2">
      <w:pPr>
        <w:widowControl w:val="0"/>
        <w:numPr>
          <w:ilvl w:val="0"/>
          <w:numId w:val="39"/>
        </w:numPr>
        <w:tabs>
          <w:tab w:val="left" w:pos="1068"/>
        </w:tabs>
        <w:autoSpaceDE w:val="0"/>
        <w:autoSpaceDN w:val="0"/>
        <w:adjustRightInd w:val="0"/>
        <w:spacing w:after="120" w:line="24" w:lineRule="atLeast"/>
        <w:jc w:val="both"/>
      </w:pPr>
      <w:r w:rsidRPr="00547828">
        <w:t>открити складове с обща площ 8 776 кв.м.;</w:t>
      </w:r>
    </w:p>
    <w:p w14:paraId="259BBC7F"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Закрит склад - 1бр. съответно: Склад № 3 с площ от 2 461 кв.м.;</w:t>
      </w:r>
    </w:p>
    <w:p w14:paraId="629B085C" w14:textId="77777777" w:rsidR="00F44608" w:rsidRPr="009E3D61" w:rsidRDefault="00F44608" w:rsidP="00BF37F2">
      <w:pPr>
        <w:widowControl w:val="0"/>
        <w:numPr>
          <w:ilvl w:val="0"/>
          <w:numId w:val="39"/>
        </w:numPr>
        <w:tabs>
          <w:tab w:val="left" w:pos="1068"/>
        </w:tabs>
        <w:autoSpaceDE w:val="0"/>
        <w:autoSpaceDN w:val="0"/>
        <w:adjustRightInd w:val="0"/>
        <w:spacing w:after="120" w:line="24" w:lineRule="atLeast"/>
        <w:jc w:val="both"/>
      </w:pPr>
      <w:r w:rsidRPr="009E3D61">
        <w:t xml:space="preserve">Товарни ж.п. коловози: </w:t>
      </w:r>
    </w:p>
    <w:p w14:paraId="709CA269" w14:textId="77777777" w:rsidR="00F44608" w:rsidRPr="009E3D61" w:rsidRDefault="00F44608" w:rsidP="00661078">
      <w:pPr>
        <w:spacing w:after="120" w:line="24" w:lineRule="atLeast"/>
        <w:ind w:firstLine="720"/>
      </w:pPr>
      <w:r w:rsidRPr="009E3D61">
        <w:t>- челни в междурелсието на кейовите пристанищни кранове - 2 бр.;</w:t>
      </w:r>
    </w:p>
    <w:p w14:paraId="440F930D" w14:textId="77777777" w:rsidR="00F44608" w:rsidRPr="009E3D61" w:rsidRDefault="00F44608" w:rsidP="00661078">
      <w:pPr>
        <w:spacing w:after="120" w:line="24" w:lineRule="atLeast"/>
        <w:ind w:firstLine="720"/>
      </w:pPr>
      <w:r w:rsidRPr="009E3D61">
        <w:t xml:space="preserve">- подход - 1 бр. към Склад № 3. </w:t>
      </w:r>
    </w:p>
    <w:p w14:paraId="3C2EE666"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6E49AB7F" w14:textId="2CE61949" w:rsidR="00F44608" w:rsidRPr="009E3D61" w:rsidRDefault="00F44608" w:rsidP="00BF37F2">
      <w:pPr>
        <w:numPr>
          <w:ilvl w:val="0"/>
          <w:numId w:val="43"/>
        </w:numPr>
        <w:spacing w:after="120" w:line="24" w:lineRule="atLeast"/>
        <w:jc w:val="both"/>
      </w:pPr>
      <w:r w:rsidRPr="009E3D61">
        <w:t>Експлоатация на кея</w:t>
      </w:r>
      <w:r w:rsidR="00661078">
        <w:t xml:space="preserve"> - </w:t>
      </w:r>
      <w:r w:rsidRPr="009E3D61">
        <w:t>за обработка на насипни и генерални товари;</w:t>
      </w:r>
    </w:p>
    <w:p w14:paraId="1B451C2D" w14:textId="77777777" w:rsidR="00F44608" w:rsidRPr="009E3D61" w:rsidRDefault="00F44608" w:rsidP="00BF37F2">
      <w:pPr>
        <w:numPr>
          <w:ilvl w:val="0"/>
          <w:numId w:val="43"/>
        </w:numPr>
        <w:spacing w:after="120" w:line="24" w:lineRule="atLeast"/>
        <w:jc w:val="both"/>
      </w:pPr>
      <w:r w:rsidRPr="009E3D61">
        <w:t xml:space="preserve">Кейова пропускателна способност </w:t>
      </w:r>
      <w:r>
        <w:t>–</w:t>
      </w:r>
      <w:r w:rsidRPr="009E3D61">
        <w:t xml:space="preserve"> 781 хил.т./год.;</w:t>
      </w:r>
    </w:p>
    <w:p w14:paraId="4556B9B2" w14:textId="77777777" w:rsidR="00F44608" w:rsidRPr="009E3D61" w:rsidRDefault="00F44608" w:rsidP="00BF37F2">
      <w:pPr>
        <w:numPr>
          <w:ilvl w:val="0"/>
          <w:numId w:val="43"/>
        </w:numPr>
        <w:spacing w:after="120" w:line="24" w:lineRule="atLeast"/>
        <w:jc w:val="both"/>
      </w:pPr>
      <w:r w:rsidRPr="009E3D61">
        <w:t>Пропускателна способност на закритите складове – 127 хил. т./год.;</w:t>
      </w:r>
    </w:p>
    <w:p w14:paraId="2B1EC937" w14:textId="77777777" w:rsidR="00F44608" w:rsidRPr="009E3D61" w:rsidRDefault="00F44608" w:rsidP="00BF37F2">
      <w:pPr>
        <w:numPr>
          <w:ilvl w:val="0"/>
          <w:numId w:val="43"/>
        </w:numPr>
        <w:spacing w:after="120" w:line="24" w:lineRule="atLeast"/>
        <w:jc w:val="both"/>
      </w:pPr>
      <w:r w:rsidRPr="009E3D61">
        <w:t>Пропускателна способност на откритите складове – 686 хил. т./год.;</w:t>
      </w:r>
    </w:p>
    <w:p w14:paraId="571A1DDE" w14:textId="77777777" w:rsidR="00F44608" w:rsidRPr="009E3D61" w:rsidRDefault="00F44608" w:rsidP="00BF37F2">
      <w:pPr>
        <w:numPr>
          <w:ilvl w:val="0"/>
          <w:numId w:val="43"/>
        </w:numPr>
        <w:spacing w:after="120" w:line="24" w:lineRule="atLeast"/>
        <w:jc w:val="both"/>
      </w:pPr>
      <w:r w:rsidRPr="009E3D61">
        <w:t>Пропускателна способност на товарните жп коловози – 13 140 бр. ваг./год.</w:t>
      </w:r>
    </w:p>
    <w:p w14:paraId="1FF8B427" w14:textId="77777777" w:rsidR="00F44608" w:rsidRPr="009963CE" w:rsidRDefault="00F44608" w:rsidP="00F44608">
      <w:pPr>
        <w:pStyle w:val="BodyText"/>
        <w:spacing w:after="120" w:line="24" w:lineRule="atLeast"/>
        <w:rPr>
          <w:szCs w:val="24"/>
          <w:lang w:val="bg-BG"/>
        </w:rPr>
      </w:pPr>
    </w:p>
    <w:p w14:paraId="2324023A"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7" w:name="_Toc95837657"/>
      <w:bookmarkStart w:id="188" w:name="_Toc143694169"/>
      <w:r w:rsidRPr="00661078">
        <w:rPr>
          <w:b w:val="0"/>
          <w:i/>
          <w:sz w:val="24"/>
          <w:u w:val="single"/>
        </w:rPr>
        <w:t>Метален шпунт:</w:t>
      </w:r>
      <w:bookmarkEnd w:id="187"/>
      <w:bookmarkEnd w:id="188"/>
    </w:p>
    <w:p w14:paraId="37763E8B" w14:textId="77777777" w:rsidR="00F44608" w:rsidRPr="009E3D61" w:rsidRDefault="00F44608" w:rsidP="00661078">
      <w:pPr>
        <w:spacing w:after="120" w:line="24" w:lineRule="atLeast"/>
        <w:jc w:val="both"/>
      </w:pPr>
      <w:r w:rsidRPr="009E3D61">
        <w:t>Металният шпунт е изграден през 1940 - 1942 г. Разположен на северозападната страна на пристанището зад прикритието на западния вълнолом, той се простира на 282 м. в направление север-юг.</w:t>
      </w:r>
    </w:p>
    <w:p w14:paraId="4E4A1B4F" w14:textId="77777777" w:rsidR="00F44608" w:rsidRPr="009E3D61" w:rsidRDefault="00F44608" w:rsidP="00661078">
      <w:pPr>
        <w:spacing w:after="120" w:line="24" w:lineRule="atLeast"/>
        <w:jc w:val="both"/>
      </w:pPr>
      <w:r w:rsidRPr="009E3D61">
        <w:lastRenderedPageBreak/>
        <w:t>Кейовата конструкция е отвесен стоманен шпунт, закрепен с два реда анкери.</w:t>
      </w:r>
    </w:p>
    <w:p w14:paraId="0C06841D" w14:textId="77777777" w:rsidR="00F44608" w:rsidRPr="009E3D61" w:rsidRDefault="00F44608" w:rsidP="00661078">
      <w:pPr>
        <w:spacing w:after="120" w:line="24" w:lineRule="atLeast"/>
        <w:jc w:val="both"/>
      </w:pPr>
      <w:r w:rsidRPr="009E3D61">
        <w:t xml:space="preserve">Връхната кота на короната е 31,7 м. Широката 24 м. корона носи един ж.п. коловоз в обхвата на подкранов път и втори ж.п. коловоз в тила. Съоръжена е с кнехтове. </w:t>
      </w:r>
    </w:p>
    <w:p w14:paraId="7106FAEA" w14:textId="77777777" w:rsidR="00F44608" w:rsidRPr="009E3D61" w:rsidRDefault="00F44608" w:rsidP="00661078">
      <w:pPr>
        <w:spacing w:after="120" w:line="24" w:lineRule="atLeast"/>
        <w:jc w:val="both"/>
      </w:pPr>
      <w:r w:rsidRPr="009E3D61">
        <w:t>На металния кей има три корабни места - к.м. № № 4, 5 и 6, проектирани за равномерен полезен товар от 6 т/м</w:t>
      </w:r>
      <w:r w:rsidRPr="009E3D61">
        <w:rPr>
          <w:vertAlign w:val="superscript"/>
        </w:rPr>
        <w:t>2</w:t>
      </w:r>
      <w:r w:rsidRPr="009E3D61">
        <w:t>.</w:t>
      </w:r>
    </w:p>
    <w:p w14:paraId="33D4CD8F" w14:textId="5B704519" w:rsidR="00F44608" w:rsidRPr="009E3D61" w:rsidRDefault="00F44608" w:rsidP="00661078">
      <w:pPr>
        <w:spacing w:after="120" w:line="24" w:lineRule="atLeast"/>
        <w:jc w:val="both"/>
      </w:pPr>
      <w:r w:rsidRPr="009E3D61">
        <w:t>Кеят е ремонтиран през 1953 г. и удължен през 1968</w:t>
      </w:r>
      <w:r w:rsidR="00661078">
        <w:t xml:space="preserve"> г.  Последният участък от 40 м</w:t>
      </w:r>
      <w:r w:rsidRPr="009E3D61">
        <w:t xml:space="preserve"> е изграден като железобетонна платформа на ж.б. пилоти, закрита с ж.б. плочи. </w:t>
      </w:r>
    </w:p>
    <w:p w14:paraId="05DEA5D1" w14:textId="77777777" w:rsidR="00F44608" w:rsidRPr="009E3D61" w:rsidRDefault="00F44608" w:rsidP="00661078">
      <w:pPr>
        <w:spacing w:after="120" w:line="24" w:lineRule="atLeast"/>
        <w:jc w:val="both"/>
      </w:pPr>
      <w:r w:rsidRPr="009E3D61">
        <w:t>В района на Металния шпунт има изградени:</w:t>
      </w:r>
    </w:p>
    <w:p w14:paraId="498C059D" w14:textId="4170B6B8" w:rsidR="00F44608" w:rsidRPr="00547828" w:rsidRDefault="00F44608" w:rsidP="00BF37F2">
      <w:pPr>
        <w:numPr>
          <w:ilvl w:val="0"/>
          <w:numId w:val="42"/>
        </w:numPr>
        <w:spacing w:after="120" w:line="24" w:lineRule="atLeast"/>
        <w:ind w:firstLine="720"/>
        <w:jc w:val="both"/>
      </w:pPr>
      <w:r w:rsidRPr="00547828">
        <w:t xml:space="preserve">открити </w:t>
      </w:r>
      <w:r w:rsidR="00661078" w:rsidRPr="00547828">
        <w:t>складове с обща площ 4 065 кв.м</w:t>
      </w:r>
      <w:r w:rsidRPr="00547828">
        <w:t>;</w:t>
      </w:r>
    </w:p>
    <w:p w14:paraId="1BC024D7" w14:textId="40195DC7" w:rsidR="00F44608" w:rsidRPr="009E3D61" w:rsidRDefault="00F44608" w:rsidP="00BF37F2">
      <w:pPr>
        <w:numPr>
          <w:ilvl w:val="0"/>
          <w:numId w:val="42"/>
        </w:numPr>
        <w:spacing w:after="120" w:line="24" w:lineRule="atLeast"/>
        <w:ind w:firstLine="720"/>
        <w:jc w:val="both"/>
      </w:pPr>
      <w:r w:rsidRPr="009E3D61">
        <w:t>закри</w:t>
      </w:r>
      <w:r w:rsidR="00661078">
        <w:t>т склад № 10 с площ 2 736 кв.м.</w:t>
      </w:r>
    </w:p>
    <w:p w14:paraId="47F73C64"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72D4AD1B" w14:textId="77777777" w:rsidR="00F44608" w:rsidRPr="009E3D61" w:rsidRDefault="00F44608" w:rsidP="00BF37F2">
      <w:pPr>
        <w:numPr>
          <w:ilvl w:val="0"/>
          <w:numId w:val="44"/>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6401CA69" w14:textId="77777777" w:rsidR="00F44608" w:rsidRPr="009E3D61" w:rsidRDefault="00F44608" w:rsidP="00BF37F2">
      <w:pPr>
        <w:numPr>
          <w:ilvl w:val="0"/>
          <w:numId w:val="44"/>
        </w:numPr>
        <w:spacing w:after="120" w:line="24" w:lineRule="atLeast"/>
        <w:jc w:val="both"/>
      </w:pPr>
      <w:r w:rsidRPr="009E3D61">
        <w:t>Кейова пропускателна способност - 388 хил. т./год.;</w:t>
      </w:r>
    </w:p>
    <w:p w14:paraId="33BF03AC" w14:textId="77777777" w:rsidR="00F44608" w:rsidRPr="009E3D61" w:rsidRDefault="00F44608" w:rsidP="00BF37F2">
      <w:pPr>
        <w:numPr>
          <w:ilvl w:val="0"/>
          <w:numId w:val="44"/>
        </w:numPr>
        <w:spacing w:after="120" w:line="24" w:lineRule="atLeast"/>
        <w:jc w:val="both"/>
      </w:pPr>
      <w:r w:rsidRPr="009E3D61">
        <w:t>Пропускателна способност на закритите складове – 158 хил. т./год.;</w:t>
      </w:r>
    </w:p>
    <w:p w14:paraId="41FCBC0B" w14:textId="77777777" w:rsidR="00F44608" w:rsidRPr="009E3D61" w:rsidRDefault="00F44608" w:rsidP="00BF37F2">
      <w:pPr>
        <w:numPr>
          <w:ilvl w:val="0"/>
          <w:numId w:val="44"/>
        </w:numPr>
        <w:spacing w:after="120" w:line="24" w:lineRule="atLeast"/>
        <w:jc w:val="both"/>
      </w:pPr>
      <w:r w:rsidRPr="009E3D61">
        <w:t>Пропускателна способност на откритите складове – 75 хил. т./год.;</w:t>
      </w:r>
    </w:p>
    <w:p w14:paraId="17C6D4AE" w14:textId="77777777" w:rsidR="00F44608" w:rsidRPr="009E3D61" w:rsidRDefault="00F44608" w:rsidP="00BF37F2">
      <w:pPr>
        <w:numPr>
          <w:ilvl w:val="0"/>
          <w:numId w:val="44"/>
        </w:numPr>
        <w:spacing w:after="120" w:line="24" w:lineRule="atLeast"/>
        <w:jc w:val="both"/>
      </w:pPr>
      <w:r w:rsidRPr="009E3D61">
        <w:t>Пропускателна способност на товарните жп коловози – 13 140 бр. ваг./год.</w:t>
      </w:r>
    </w:p>
    <w:p w14:paraId="41D9D327" w14:textId="77777777" w:rsidR="00F44608" w:rsidRPr="009E3D61" w:rsidRDefault="00F44608" w:rsidP="00F44608">
      <w:pPr>
        <w:spacing w:after="120" w:line="24" w:lineRule="atLeast"/>
      </w:pPr>
    </w:p>
    <w:p w14:paraId="5C8664FE"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89" w:name="_Toc95837658"/>
      <w:bookmarkStart w:id="190" w:name="_Toc143694170"/>
      <w:r w:rsidRPr="00661078">
        <w:rPr>
          <w:b w:val="0"/>
          <w:i/>
          <w:sz w:val="24"/>
          <w:u w:val="single"/>
        </w:rPr>
        <w:t>Западен кей</w:t>
      </w:r>
      <w:bookmarkEnd w:id="189"/>
      <w:bookmarkEnd w:id="190"/>
    </w:p>
    <w:p w14:paraId="2ADD5EB5" w14:textId="77777777" w:rsidR="00F44608" w:rsidRPr="009E3D61" w:rsidRDefault="00F44608" w:rsidP="00661078">
      <w:pPr>
        <w:spacing w:after="120" w:line="24" w:lineRule="atLeast"/>
        <w:jc w:val="both"/>
      </w:pPr>
      <w:r w:rsidRPr="009E3D61">
        <w:t>Западният кей е успореден на металния шпунт, но на 30 м. на изток и с 30-метрова стена на края на металния шпунт. Той е построен между 1979 г.</w:t>
      </w:r>
      <w:r>
        <w:t xml:space="preserve"> </w:t>
      </w:r>
      <w:r w:rsidRPr="009E3D61">
        <w:t>и 1984 г. и е с обща дължина от 345 м.</w:t>
      </w:r>
    </w:p>
    <w:p w14:paraId="098717F4" w14:textId="77777777" w:rsidR="00F44608" w:rsidRPr="009E3D61" w:rsidRDefault="00F44608" w:rsidP="00661078">
      <w:pPr>
        <w:spacing w:after="120" w:line="24" w:lineRule="atLeast"/>
        <w:jc w:val="both"/>
      </w:pPr>
      <w:r w:rsidRPr="009E3D61">
        <w:t xml:space="preserve">Конструкцията се състои от железобетонна кутия на ж.б. пилоти, затворена от ж.б. отвесни плочи, както е описано по-горе за Източния кей. </w:t>
      </w:r>
    </w:p>
    <w:p w14:paraId="1EAEA916" w14:textId="77777777" w:rsidR="00F44608" w:rsidRPr="009E3D61" w:rsidRDefault="00F44608" w:rsidP="00661078">
      <w:pPr>
        <w:spacing w:after="120" w:line="24" w:lineRule="atLeast"/>
        <w:jc w:val="both"/>
      </w:pPr>
      <w:r w:rsidRPr="009E3D61">
        <w:t>Западният кей е с три корабни места, всички проектирани за равномерен полезен товар от 6 до 10 т/м</w:t>
      </w:r>
      <w:r w:rsidRPr="009E3D61">
        <w:rPr>
          <w:vertAlign w:val="superscript"/>
        </w:rPr>
        <w:t>2</w:t>
      </w:r>
      <w:r w:rsidRPr="009E3D61">
        <w:t>.</w:t>
      </w:r>
    </w:p>
    <w:p w14:paraId="2D99625F" w14:textId="77777777" w:rsidR="00F44608" w:rsidRPr="009E3D61" w:rsidRDefault="00F44608" w:rsidP="00661078">
      <w:pPr>
        <w:spacing w:after="120" w:line="24" w:lineRule="atLeast"/>
        <w:jc w:val="both"/>
      </w:pPr>
      <w:r w:rsidRPr="009E3D61">
        <w:t>В района на Западния кей има изградени:</w:t>
      </w:r>
    </w:p>
    <w:p w14:paraId="705FA4E2" w14:textId="77777777" w:rsidR="00F44608" w:rsidRPr="00547828" w:rsidRDefault="00F44608" w:rsidP="00BF37F2">
      <w:pPr>
        <w:numPr>
          <w:ilvl w:val="0"/>
          <w:numId w:val="42"/>
        </w:numPr>
        <w:spacing w:after="120" w:line="24" w:lineRule="atLeast"/>
        <w:ind w:firstLine="720"/>
        <w:jc w:val="both"/>
      </w:pPr>
      <w:r w:rsidRPr="00547828">
        <w:t>открити складове с обща площ 7 636 кв.м.;</w:t>
      </w:r>
    </w:p>
    <w:p w14:paraId="20457228" w14:textId="77777777" w:rsidR="00F44608" w:rsidRPr="009E3D61" w:rsidRDefault="00F44608" w:rsidP="00BF37F2">
      <w:pPr>
        <w:numPr>
          <w:ilvl w:val="0"/>
          <w:numId w:val="42"/>
        </w:numPr>
        <w:spacing w:after="120" w:line="24" w:lineRule="atLeast"/>
        <w:ind w:firstLine="720"/>
        <w:jc w:val="both"/>
      </w:pPr>
      <w:r w:rsidRPr="009E3D61">
        <w:t>претоварни площадки с площ 3 360 кв.м.;</w:t>
      </w:r>
    </w:p>
    <w:p w14:paraId="23392C58" w14:textId="77777777" w:rsidR="00F44608" w:rsidRPr="009E3D61" w:rsidRDefault="00F44608" w:rsidP="00BF37F2">
      <w:pPr>
        <w:numPr>
          <w:ilvl w:val="0"/>
          <w:numId w:val="42"/>
        </w:numPr>
        <w:spacing w:after="120" w:line="24" w:lineRule="atLeast"/>
        <w:ind w:firstLine="720"/>
        <w:jc w:val="both"/>
      </w:pPr>
      <w:r w:rsidRPr="009E3D61">
        <w:t xml:space="preserve">Товарни ж.п. коловози: </w:t>
      </w:r>
    </w:p>
    <w:p w14:paraId="6366EE34" w14:textId="77777777" w:rsidR="00F44608" w:rsidRPr="009E3D61" w:rsidRDefault="00F44608" w:rsidP="00661078">
      <w:pPr>
        <w:spacing w:after="120" w:line="24" w:lineRule="atLeast"/>
        <w:ind w:left="708" w:firstLine="372"/>
      </w:pPr>
      <w:r w:rsidRPr="009E3D61">
        <w:t>- челни в междурелсието на кейовите пристанищни кранове - 2 бр.;</w:t>
      </w:r>
    </w:p>
    <w:p w14:paraId="7ECD309B" w14:textId="77777777" w:rsidR="00F44608" w:rsidRPr="009E3D61" w:rsidRDefault="00F44608" w:rsidP="00661078">
      <w:pPr>
        <w:spacing w:after="120" w:line="24" w:lineRule="atLeast"/>
        <w:ind w:left="708" w:firstLine="372"/>
      </w:pPr>
      <w:r w:rsidRPr="009E3D61">
        <w:t>- тилови - 2 бр.</w:t>
      </w:r>
    </w:p>
    <w:p w14:paraId="20CEA3D8" w14:textId="77777777" w:rsidR="00F44608" w:rsidRPr="009E3D61" w:rsidRDefault="00F44608" w:rsidP="00F44608">
      <w:pPr>
        <w:spacing w:after="120" w:line="24" w:lineRule="atLeast"/>
      </w:pPr>
    </w:p>
    <w:p w14:paraId="10DE7DCF" w14:textId="77777777" w:rsidR="00F44608" w:rsidRPr="009E3D61" w:rsidRDefault="00F44608" w:rsidP="00F44608">
      <w:pPr>
        <w:spacing w:after="120" w:line="24" w:lineRule="atLeast"/>
      </w:pPr>
      <w:r w:rsidRPr="009E3D61">
        <w:rPr>
          <w:bCs/>
        </w:rPr>
        <w:lastRenderedPageBreak/>
        <w:t>Технологичните показатели са</w:t>
      </w:r>
      <w:r>
        <w:rPr>
          <w:bCs/>
        </w:rPr>
        <w:t>,</w:t>
      </w:r>
      <w:r w:rsidRPr="009E3D61">
        <w:rPr>
          <w:bCs/>
        </w:rPr>
        <w:t xml:space="preserve"> както следва:</w:t>
      </w:r>
    </w:p>
    <w:p w14:paraId="428D251F" w14:textId="77777777" w:rsidR="00F44608" w:rsidRPr="009E3D61" w:rsidRDefault="00F44608" w:rsidP="00BF37F2">
      <w:pPr>
        <w:numPr>
          <w:ilvl w:val="0"/>
          <w:numId w:val="45"/>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3BD5F592" w14:textId="77777777" w:rsidR="00F44608" w:rsidRPr="009E3D61" w:rsidRDefault="00F44608" w:rsidP="00BF37F2">
      <w:pPr>
        <w:numPr>
          <w:ilvl w:val="0"/>
          <w:numId w:val="45"/>
        </w:numPr>
        <w:spacing w:after="120" w:line="24" w:lineRule="atLeast"/>
        <w:jc w:val="both"/>
      </w:pPr>
      <w:r w:rsidRPr="009E3D61">
        <w:t>Кейова пропускателна способност - 282 хил. т./год.;</w:t>
      </w:r>
    </w:p>
    <w:p w14:paraId="1A3ABDAE" w14:textId="77777777" w:rsidR="00F44608" w:rsidRPr="009E3D61" w:rsidRDefault="00F44608" w:rsidP="00BF37F2">
      <w:pPr>
        <w:numPr>
          <w:ilvl w:val="0"/>
          <w:numId w:val="45"/>
        </w:numPr>
        <w:spacing w:after="120" w:line="24" w:lineRule="atLeast"/>
        <w:jc w:val="both"/>
      </w:pPr>
      <w:r w:rsidRPr="009E3D61">
        <w:t>Пропускателна способност на откритите складове -  726 хил. т./год.;</w:t>
      </w:r>
    </w:p>
    <w:p w14:paraId="5A8B754E" w14:textId="77777777" w:rsidR="00F44608" w:rsidRPr="009E3D61" w:rsidRDefault="00F44608" w:rsidP="00BF37F2">
      <w:pPr>
        <w:numPr>
          <w:ilvl w:val="0"/>
          <w:numId w:val="45"/>
        </w:numPr>
        <w:spacing w:after="120" w:line="24" w:lineRule="atLeast"/>
        <w:jc w:val="both"/>
      </w:pPr>
      <w:r w:rsidRPr="009E3D61">
        <w:t>Пропускателна способност на товарните жп коловози – 16 425 бр. ваг./год.</w:t>
      </w:r>
    </w:p>
    <w:p w14:paraId="23E46552" w14:textId="77777777" w:rsidR="00661078" w:rsidRDefault="00661078" w:rsidP="00F44608">
      <w:pPr>
        <w:pStyle w:val="Heading3"/>
        <w:keepLines w:val="0"/>
        <w:numPr>
          <w:ilvl w:val="2"/>
          <w:numId w:val="0"/>
        </w:numPr>
        <w:tabs>
          <w:tab w:val="num" w:pos="1920"/>
        </w:tabs>
        <w:suppressAutoHyphens/>
        <w:spacing w:before="0" w:after="120" w:line="24" w:lineRule="atLeast"/>
        <w:ind w:left="1920" w:hanging="720"/>
        <w:jc w:val="both"/>
      </w:pPr>
      <w:bookmarkStart w:id="191" w:name="_Toc95837659"/>
    </w:p>
    <w:p w14:paraId="33201AE9"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92" w:name="_Toc143694171"/>
      <w:r w:rsidRPr="00661078">
        <w:rPr>
          <w:b w:val="0"/>
          <w:i/>
          <w:sz w:val="24"/>
          <w:u w:val="single"/>
        </w:rPr>
        <w:t>Южен кей</w:t>
      </w:r>
      <w:bookmarkEnd w:id="191"/>
      <w:bookmarkEnd w:id="192"/>
    </w:p>
    <w:p w14:paraId="71B533DC" w14:textId="77777777" w:rsidR="00F44608" w:rsidRPr="009E3D61" w:rsidRDefault="00F44608" w:rsidP="00661078">
      <w:pPr>
        <w:spacing w:after="120" w:line="24" w:lineRule="atLeast"/>
        <w:jc w:val="both"/>
      </w:pPr>
      <w:r w:rsidRPr="009E3D61">
        <w:t>Южният кей, построен перпендикулярно на Западния и Източния кей, затваря лимана на пристанището. Изграден през 1985 г., той е с дължина 130 м.</w:t>
      </w:r>
    </w:p>
    <w:p w14:paraId="4F93693F" w14:textId="77777777" w:rsidR="00F44608" w:rsidRPr="009E3D61" w:rsidRDefault="00F44608" w:rsidP="00661078">
      <w:pPr>
        <w:spacing w:after="120" w:line="24" w:lineRule="atLeast"/>
        <w:jc w:val="both"/>
      </w:pPr>
      <w:r w:rsidRPr="009E3D61">
        <w:t>Конструкцията е била подобна на тази на Западния кей, включително надстройката до връхна кота 34,25 м. и укрепване с пилоти тип “Беното”.</w:t>
      </w:r>
    </w:p>
    <w:p w14:paraId="65396622" w14:textId="77777777" w:rsidR="00F44608" w:rsidRPr="009E3D61" w:rsidRDefault="00F44608" w:rsidP="00661078">
      <w:pPr>
        <w:spacing w:after="120" w:line="24" w:lineRule="atLeast"/>
        <w:jc w:val="both"/>
      </w:pPr>
      <w:r w:rsidRPr="009E3D61">
        <w:t xml:space="preserve">Вследствие от претоварване, линията на кея е била изпъкнала навън до 0,90 м. в последствие </w:t>
      </w:r>
      <w:r>
        <w:t xml:space="preserve">са налице </w:t>
      </w:r>
      <w:r w:rsidRPr="009E3D61">
        <w:t xml:space="preserve">допълнителни деформации – пропадане на настилката и др. </w:t>
      </w:r>
    </w:p>
    <w:p w14:paraId="661014CB" w14:textId="77777777" w:rsidR="00F44608" w:rsidRPr="009E3D61" w:rsidRDefault="00F44608" w:rsidP="00661078">
      <w:pPr>
        <w:spacing w:after="120" w:line="24" w:lineRule="atLeast"/>
        <w:jc w:val="both"/>
      </w:pPr>
      <w:r w:rsidRPr="009E3D61">
        <w:t>За възстановяване на южния кей е изпълнена шпунтовата стена. Монтиран е шпунт тип “Larsen” 607n / 25 м. на минимално отстояние от 20 см. от най - изпъкналата част на деформиралата стара конструкция и тилова анкерна шпунтова стена тип непрекъсната стена тип “Larsen” 607n / 8 м. на отстояние около 32 м. Анкерите са тип d58/3”х32000 мм от материал ASF 600. Анкерите са снаждащи се на муфа. Анкерните апарати са заложени на дълбочина около 4.25 м. от котата на ръба на кея. При връзката на анкерите със стоманения шпунт са използвани подложни планки 280/280/60.</w:t>
      </w:r>
    </w:p>
    <w:p w14:paraId="11FAA5E9" w14:textId="77777777" w:rsidR="00F44608" w:rsidRPr="009E3D61" w:rsidRDefault="00F44608" w:rsidP="00661078">
      <w:pPr>
        <w:spacing w:after="120" w:line="24" w:lineRule="atLeast"/>
        <w:jc w:val="both"/>
      </w:pPr>
      <w:r w:rsidRPr="009E3D61">
        <w:t>Южният кей е с едно корабно място – № 10, за равномерен полезен товар (първоначално) от 6 до 10 т/м</w:t>
      </w:r>
      <w:r w:rsidRPr="009E3D61">
        <w:rPr>
          <w:vertAlign w:val="superscript"/>
        </w:rPr>
        <w:t>2</w:t>
      </w:r>
      <w:r w:rsidRPr="009E3D61">
        <w:t>. Кейът е съоръжен с подкранов път.</w:t>
      </w:r>
    </w:p>
    <w:p w14:paraId="57BBA047" w14:textId="77777777" w:rsidR="00F44608" w:rsidRPr="009E3D61" w:rsidRDefault="00F44608" w:rsidP="00661078">
      <w:pPr>
        <w:spacing w:after="120" w:line="24" w:lineRule="atLeast"/>
        <w:jc w:val="both"/>
      </w:pPr>
      <w:r w:rsidRPr="009E3D61">
        <w:t>В района на южния кей има изграден открит склад с обща площ 66 000 кв.м.;</w:t>
      </w:r>
    </w:p>
    <w:p w14:paraId="7ABF4345"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16849BEA" w14:textId="77777777" w:rsidR="00F44608" w:rsidRPr="009E3D61" w:rsidRDefault="00F44608" w:rsidP="00BF37F2">
      <w:pPr>
        <w:numPr>
          <w:ilvl w:val="0"/>
          <w:numId w:val="46"/>
        </w:numPr>
        <w:spacing w:after="120" w:line="24" w:lineRule="atLeast"/>
        <w:jc w:val="both"/>
      </w:pPr>
      <w:r w:rsidRPr="009E3D61">
        <w:t>Експлоатация на кея</w:t>
      </w:r>
      <w:r w:rsidRPr="009E3D61">
        <w:rPr>
          <w:b/>
          <w:bCs/>
        </w:rPr>
        <w:t xml:space="preserve"> - </w:t>
      </w:r>
      <w:r w:rsidRPr="009E3D61">
        <w:t>за обработка на насипни и генерални товари;</w:t>
      </w:r>
    </w:p>
    <w:p w14:paraId="785E1E92" w14:textId="77777777" w:rsidR="00F44608" w:rsidRPr="009E3D61" w:rsidRDefault="00F44608" w:rsidP="00BF37F2">
      <w:pPr>
        <w:numPr>
          <w:ilvl w:val="0"/>
          <w:numId w:val="46"/>
        </w:numPr>
        <w:spacing w:after="120" w:line="24" w:lineRule="atLeast"/>
        <w:jc w:val="both"/>
      </w:pPr>
      <w:r w:rsidRPr="009E3D61">
        <w:t>Кейова пропускателна способност - 116 хил. т./год.;</w:t>
      </w:r>
    </w:p>
    <w:p w14:paraId="4DC7BA94" w14:textId="773183BC" w:rsidR="00F44608" w:rsidRPr="009E3D61" w:rsidRDefault="00F44608" w:rsidP="00BF37F2">
      <w:pPr>
        <w:numPr>
          <w:ilvl w:val="0"/>
          <w:numId w:val="46"/>
        </w:numPr>
        <w:spacing w:after="120" w:line="24" w:lineRule="atLeast"/>
        <w:jc w:val="both"/>
      </w:pPr>
      <w:r w:rsidRPr="009E3D61">
        <w:t>Пропускателна способност на откритите</w:t>
      </w:r>
      <w:r w:rsidR="00661078">
        <w:t xml:space="preserve"> складове -  1 565 хил. т./год.</w:t>
      </w:r>
    </w:p>
    <w:p w14:paraId="024D9D35" w14:textId="77777777" w:rsidR="00F44608" w:rsidRPr="009E3D61" w:rsidRDefault="00F44608" w:rsidP="00F44608">
      <w:pPr>
        <w:spacing w:after="120" w:line="24" w:lineRule="atLeast"/>
      </w:pPr>
    </w:p>
    <w:p w14:paraId="76949AC5" w14:textId="77777777" w:rsidR="00F44608" w:rsidRPr="00661078" w:rsidRDefault="00F44608" w:rsidP="00661078">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bookmarkStart w:id="193" w:name="_Toc95837660"/>
      <w:bookmarkStart w:id="194" w:name="_Toc143694172"/>
      <w:r w:rsidRPr="00661078">
        <w:rPr>
          <w:b w:val="0"/>
          <w:i/>
          <w:sz w:val="24"/>
          <w:u w:val="single"/>
        </w:rPr>
        <w:t>Източен кей</w:t>
      </w:r>
      <w:bookmarkEnd w:id="193"/>
      <w:bookmarkEnd w:id="194"/>
    </w:p>
    <w:p w14:paraId="3E027154" w14:textId="77777777" w:rsidR="00F44608" w:rsidRPr="009E3D61" w:rsidRDefault="00F44608" w:rsidP="00661078">
      <w:pPr>
        <w:spacing w:after="120" w:line="24" w:lineRule="atLeast"/>
        <w:jc w:val="both"/>
      </w:pPr>
      <w:r w:rsidRPr="009E3D61">
        <w:t>Източният кей е с дължина 300 м. и е бил вторият вътрешен кей, изграден в лимана, след Металния шпунт. Строен е през периода 1965 - 1968 г. от източната страна на лимана с цел използването на достатъчно свободна територия за складирането на големи количества насипни материали.</w:t>
      </w:r>
    </w:p>
    <w:p w14:paraId="7EC2745C" w14:textId="77777777" w:rsidR="00F44608" w:rsidRPr="009E3D61" w:rsidRDefault="00F44608" w:rsidP="00661078">
      <w:pPr>
        <w:spacing w:after="120" w:line="24" w:lineRule="atLeast"/>
        <w:jc w:val="both"/>
      </w:pPr>
      <w:r w:rsidRPr="009E3D61">
        <w:lastRenderedPageBreak/>
        <w:t>На този кей са обособени три корабни места с дължина по 100 м., на които се обработват предимно насипни товари – въглища и руда.</w:t>
      </w:r>
    </w:p>
    <w:p w14:paraId="04F6ED41" w14:textId="77777777" w:rsidR="00F44608" w:rsidRPr="009E3D61" w:rsidRDefault="00F44608" w:rsidP="00661078">
      <w:pPr>
        <w:spacing w:after="120" w:line="24" w:lineRule="atLeast"/>
        <w:jc w:val="both"/>
      </w:pPr>
      <w:r w:rsidRPr="009E3D61">
        <w:t xml:space="preserve">Кейовата стена на източния кей е съчетана конструкция от челен ст. бетонов шпунт с набивни ст. бетонови пилоти и надстройка тип „кутия” която ляга върху шпунта и пилотите. Така се образува обща конструкция „пакет”, известна в пристанищното строителство. </w:t>
      </w:r>
    </w:p>
    <w:p w14:paraId="0FF88599" w14:textId="5229F332" w:rsidR="00F44608" w:rsidRPr="009E3D61" w:rsidRDefault="00D67A64" w:rsidP="00F44608">
      <w:pPr>
        <w:spacing w:after="120" w:line="24" w:lineRule="atLeast"/>
      </w:pPr>
      <w:bookmarkStart w:id="195" w:name="_Toc174099096"/>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11</w:t>
      </w:r>
      <w:r w:rsidRPr="002E1E19">
        <w:rPr>
          <w:rFonts w:cs="Arial"/>
          <w:bCs/>
          <w:i/>
          <w:iCs/>
          <w:sz w:val="22"/>
        </w:rPr>
        <w:fldChar w:fldCharType="end"/>
      </w:r>
      <w:r w:rsidRPr="00375CBC">
        <w:rPr>
          <w:rFonts w:cs="Arial"/>
          <w:bCs/>
          <w:i/>
          <w:iCs/>
          <w:sz w:val="22"/>
        </w:rPr>
        <w:t xml:space="preserve">  </w:t>
      </w:r>
      <w:r w:rsidRPr="00D67A64">
        <w:rPr>
          <w:rFonts w:cs="Arial"/>
          <w:bCs/>
          <w:i/>
          <w:iCs/>
          <w:sz w:val="22"/>
        </w:rPr>
        <w:t>Разрез през кейовата стена – съществуащо положение</w:t>
      </w:r>
      <w:bookmarkEnd w:id="195"/>
    </w:p>
    <w:p w14:paraId="4C29EDC9" w14:textId="77777777" w:rsidR="00F44608" w:rsidRPr="009E3D61" w:rsidRDefault="00F44608" w:rsidP="00F44608">
      <w:pPr>
        <w:spacing w:after="120" w:line="24" w:lineRule="atLeast"/>
      </w:pPr>
      <w:r w:rsidRPr="009E3D61">
        <w:rPr>
          <w:noProof/>
          <w:lang w:val="en-US" w:eastAsia="en-US"/>
        </w:rPr>
        <w:drawing>
          <wp:inline distT="0" distB="0" distL="0" distR="0" wp14:anchorId="755A1A9D" wp14:editId="1CBBFEB6">
            <wp:extent cx="5760720" cy="2329815"/>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2329815"/>
                    </a:xfrm>
                    <a:prstGeom prst="rect">
                      <a:avLst/>
                    </a:prstGeom>
                  </pic:spPr>
                </pic:pic>
              </a:graphicData>
            </a:graphic>
          </wp:inline>
        </w:drawing>
      </w:r>
    </w:p>
    <w:p w14:paraId="2E63B5B5" w14:textId="77777777" w:rsidR="00D67A64" w:rsidRDefault="00D67A64" w:rsidP="00661078">
      <w:pPr>
        <w:spacing w:after="120" w:line="24" w:lineRule="atLeast"/>
        <w:jc w:val="both"/>
      </w:pPr>
    </w:p>
    <w:p w14:paraId="70FC19E1" w14:textId="77777777" w:rsidR="00F44608" w:rsidRPr="009E3D61" w:rsidRDefault="00F44608" w:rsidP="00661078">
      <w:pPr>
        <w:spacing w:after="120" w:line="24" w:lineRule="atLeast"/>
        <w:jc w:val="both"/>
      </w:pPr>
      <w:r w:rsidRPr="009E3D61">
        <w:t xml:space="preserve">Вследствие на претоварване през 1975 г. кейовите стени на лимана аварират и за тяхното стабилизиране са проведени редица стабилизиращи инженерни мероприятия с изграждане на пилотни редици от изливни пилоти, с различна гъстота за отделните кейове. </w:t>
      </w:r>
    </w:p>
    <w:p w14:paraId="1279D257" w14:textId="77777777" w:rsidR="00F44608" w:rsidRPr="009E3D61" w:rsidRDefault="00F44608" w:rsidP="00661078">
      <w:pPr>
        <w:spacing w:after="120" w:line="24" w:lineRule="atLeast"/>
        <w:jc w:val="both"/>
      </w:pPr>
      <w:r w:rsidRPr="009E3D61">
        <w:t>Стабилизирането на източния кей е завършено в края на 80-те години, като са изградени средно четири реда изливни пилоти с дълбочина на залягане 35 м., като първия ред пилоти е положен през съществуващата „кутия", която обхваща ст.бетоновата челна шпунтова стена и наклонените ж.б. пилоти на старата конструкция.</w:t>
      </w:r>
    </w:p>
    <w:p w14:paraId="668701FC" w14:textId="77777777" w:rsidR="00F44608" w:rsidRPr="009E3D61" w:rsidRDefault="00F44608" w:rsidP="00661078">
      <w:pPr>
        <w:spacing w:after="120" w:line="24" w:lineRule="atLeast"/>
        <w:jc w:val="both"/>
      </w:pPr>
      <w:r w:rsidRPr="009E3D61">
        <w:t xml:space="preserve">Извършеното укрепване чрез пилоти тип </w:t>
      </w:r>
      <w:r>
        <w:t>„</w:t>
      </w:r>
      <w:r w:rsidRPr="009E3D61">
        <w:t>Беното” (измерено от Южния кей) е</w:t>
      </w:r>
      <w:r>
        <w:t>,</w:t>
      </w:r>
      <w:r w:rsidRPr="009E3D61">
        <w:t xml:space="preserve">  както следва: </w:t>
      </w:r>
    </w:p>
    <w:p w14:paraId="64640B18" w14:textId="77777777" w:rsidR="00F44608" w:rsidRPr="009E3D61" w:rsidRDefault="00F44608" w:rsidP="00BF37F2">
      <w:pPr>
        <w:numPr>
          <w:ilvl w:val="0"/>
          <w:numId w:val="40"/>
        </w:numPr>
        <w:tabs>
          <w:tab w:val="clear" w:pos="1425"/>
          <w:tab w:val="num" w:pos="720"/>
        </w:tabs>
        <w:spacing w:after="120" w:line="24" w:lineRule="atLeast"/>
        <w:jc w:val="both"/>
      </w:pPr>
      <w:r w:rsidRPr="009E3D61">
        <w:t xml:space="preserve">от т. 0 + 80 до т. 0 + 260 е положена една редица пилоти тип </w:t>
      </w:r>
      <w:r>
        <w:t>„</w:t>
      </w:r>
      <w:r w:rsidRPr="009E3D61">
        <w:t>Беното” ø 1200 през съществуващата конструкция през 3 м. осово. За този участък е разрешено от проектанта експлоатационно натоварване до 15 т./ м² върху откритите складови площи;</w:t>
      </w:r>
    </w:p>
    <w:p w14:paraId="6D0A7CCB" w14:textId="77777777" w:rsidR="00F44608" w:rsidRPr="009E3D61" w:rsidRDefault="00F44608" w:rsidP="00BF37F2">
      <w:pPr>
        <w:numPr>
          <w:ilvl w:val="0"/>
          <w:numId w:val="40"/>
        </w:numPr>
        <w:tabs>
          <w:tab w:val="clear" w:pos="1425"/>
          <w:tab w:val="num" w:pos="720"/>
        </w:tabs>
        <w:spacing w:after="120" w:line="24" w:lineRule="atLeast"/>
        <w:jc w:val="both"/>
      </w:pPr>
      <w:r w:rsidRPr="009E3D61">
        <w:t xml:space="preserve">от т. 0 + 260 до т. 0 + 300 са изпълнени пет реда пилоти – един ред през съществуващата конструкция осово през 3 метра, а останалите четири реда са през 6 метра в тил и през 6 м. в редица. Това е по </w:t>
      </w:r>
      <w:r w:rsidRPr="009E3D61">
        <w:lastRenderedPageBreak/>
        <w:t>първоначалния проект, осигуряващ 50 т/ м². В последствие той е изоставен поради липса на средства;</w:t>
      </w:r>
      <w:r w:rsidRPr="009E3D61">
        <w:tab/>
      </w:r>
    </w:p>
    <w:p w14:paraId="46627939" w14:textId="77777777" w:rsidR="00F44608" w:rsidRPr="009E3D61" w:rsidRDefault="00F44608" w:rsidP="00661078">
      <w:pPr>
        <w:spacing w:after="120" w:line="24" w:lineRule="atLeast"/>
        <w:jc w:val="both"/>
      </w:pPr>
      <w:r w:rsidRPr="009E3D61">
        <w:t>Източният кей е с три корабни места, предвидени за насипни товари:</w:t>
      </w:r>
    </w:p>
    <w:p w14:paraId="4AD154C0" w14:textId="77777777" w:rsidR="00F44608" w:rsidRPr="009E3D61" w:rsidRDefault="00F44608" w:rsidP="00BF37F2">
      <w:pPr>
        <w:numPr>
          <w:ilvl w:val="0"/>
          <w:numId w:val="41"/>
        </w:numPr>
        <w:spacing w:after="120" w:line="24" w:lineRule="atLeast"/>
        <w:jc w:val="both"/>
      </w:pPr>
      <w:r w:rsidRPr="009E3D61">
        <w:t>Корабно място № 11, проектирано за 30 т/ м² , укрепено за 15 т/м²;</w:t>
      </w:r>
    </w:p>
    <w:p w14:paraId="5BAD29CF" w14:textId="77777777" w:rsidR="00F44608" w:rsidRPr="009E3D61" w:rsidRDefault="00F44608" w:rsidP="00BF37F2">
      <w:pPr>
        <w:numPr>
          <w:ilvl w:val="0"/>
          <w:numId w:val="41"/>
        </w:numPr>
        <w:spacing w:after="120" w:line="24" w:lineRule="atLeast"/>
        <w:jc w:val="both"/>
      </w:pPr>
      <w:r w:rsidRPr="009E3D61">
        <w:t>Корабно място № 12, проектирано за 30 т/м², укрепено за 15 т/м²;</w:t>
      </w:r>
    </w:p>
    <w:p w14:paraId="1D29BECC" w14:textId="77777777" w:rsidR="00F44608" w:rsidRPr="009E3D61" w:rsidRDefault="00F44608" w:rsidP="00BF37F2">
      <w:pPr>
        <w:numPr>
          <w:ilvl w:val="0"/>
          <w:numId w:val="41"/>
        </w:numPr>
        <w:spacing w:after="120" w:line="24" w:lineRule="atLeast"/>
        <w:jc w:val="both"/>
      </w:pPr>
      <w:r w:rsidRPr="009E3D61">
        <w:t>Корабно място № 13 – 40 м. от него – проектирано и ремонтирано за 50 т/м², в последствие за 30 т/м², като останалите 60 м. са за 15 т/м².</w:t>
      </w:r>
    </w:p>
    <w:p w14:paraId="65894E5B" w14:textId="2629D5AC" w:rsidR="00F44608" w:rsidRPr="009E3D61" w:rsidRDefault="00661078" w:rsidP="00661078">
      <w:pPr>
        <w:spacing w:after="120" w:line="24" w:lineRule="atLeast"/>
        <w:jc w:val="both"/>
      </w:pPr>
      <w:r>
        <w:t>О</w:t>
      </w:r>
      <w:r w:rsidR="00F44608" w:rsidRPr="009E3D61">
        <w:t>ткрит</w:t>
      </w:r>
      <w:r w:rsidR="00547828">
        <w:t>ите</w:t>
      </w:r>
      <w:r w:rsidR="00F44608" w:rsidRPr="009E3D61">
        <w:t xml:space="preserve"> складов</w:t>
      </w:r>
      <w:r w:rsidR="00547828">
        <w:t>и</w:t>
      </w:r>
      <w:r w:rsidR="00F44608" w:rsidRPr="009E3D61">
        <w:t xml:space="preserve"> площ</w:t>
      </w:r>
      <w:r w:rsidR="00547828">
        <w:t>и</w:t>
      </w:r>
      <w:r w:rsidR="006331AC">
        <w:t xml:space="preserve"> са</w:t>
      </w:r>
      <w:r w:rsidR="00F44608" w:rsidRPr="009E3D61">
        <w:t xml:space="preserve"> разделен</w:t>
      </w:r>
      <w:r w:rsidR="006331AC">
        <w:t>и</w:t>
      </w:r>
      <w:r w:rsidR="00F44608" w:rsidRPr="009E3D61">
        <w:t xml:space="preserve"> на три отделни зони за складиране на насипни товари, успоредни на кея, обслужвани от кранове, които товарят на влакови композиции. Между релсите на всеки подкранов път са положени по два ж.п. коловоза.</w:t>
      </w:r>
    </w:p>
    <w:p w14:paraId="5F8FE661" w14:textId="77777777" w:rsidR="00F44608" w:rsidRPr="009E3D61" w:rsidRDefault="00F44608" w:rsidP="00661078">
      <w:pPr>
        <w:spacing w:after="120" w:line="24" w:lineRule="atLeast"/>
        <w:jc w:val="both"/>
      </w:pPr>
      <w:r w:rsidRPr="009E3D61">
        <w:t xml:space="preserve">В района на Източния кей има изградени следните товарни жп коловози: </w:t>
      </w:r>
    </w:p>
    <w:p w14:paraId="2E85F19A" w14:textId="77777777" w:rsidR="00F44608" w:rsidRPr="009E3D61" w:rsidRDefault="00F44608" w:rsidP="00661078">
      <w:pPr>
        <w:spacing w:after="120" w:line="24" w:lineRule="atLeast"/>
        <w:ind w:firstLine="360"/>
        <w:jc w:val="both"/>
      </w:pPr>
      <w:r w:rsidRPr="009E3D61">
        <w:t>- челни в междурелсието на кейовите пристанищни кранове - 2 бр.;</w:t>
      </w:r>
    </w:p>
    <w:p w14:paraId="63927D08" w14:textId="77777777" w:rsidR="00F44608" w:rsidRPr="009E3D61" w:rsidRDefault="00F44608" w:rsidP="00661078">
      <w:pPr>
        <w:spacing w:after="120" w:line="24" w:lineRule="atLeast"/>
        <w:ind w:firstLine="360"/>
        <w:jc w:val="both"/>
      </w:pPr>
      <w:r w:rsidRPr="009E3D61">
        <w:t>- тилови - 2 бр.</w:t>
      </w:r>
    </w:p>
    <w:p w14:paraId="5CC6334D" w14:textId="77777777" w:rsidR="00F44608" w:rsidRPr="009E3D61" w:rsidRDefault="00F44608" w:rsidP="00F44608">
      <w:pPr>
        <w:spacing w:after="120" w:line="24" w:lineRule="atLeast"/>
      </w:pPr>
      <w:r w:rsidRPr="009E3D61">
        <w:rPr>
          <w:bCs/>
        </w:rPr>
        <w:t>Технологичните показатели са</w:t>
      </w:r>
      <w:r>
        <w:rPr>
          <w:bCs/>
        </w:rPr>
        <w:t>,</w:t>
      </w:r>
      <w:r w:rsidRPr="009E3D61">
        <w:rPr>
          <w:bCs/>
        </w:rPr>
        <w:t xml:space="preserve"> както следва:</w:t>
      </w:r>
    </w:p>
    <w:p w14:paraId="3AAAEB56" w14:textId="77777777" w:rsidR="00F44608" w:rsidRPr="009E3D61" w:rsidRDefault="00F44608" w:rsidP="00BF37F2">
      <w:pPr>
        <w:numPr>
          <w:ilvl w:val="0"/>
          <w:numId w:val="47"/>
        </w:numPr>
        <w:spacing w:after="120" w:line="24" w:lineRule="atLeast"/>
        <w:jc w:val="both"/>
      </w:pPr>
      <w:r w:rsidRPr="009E3D61">
        <w:t>Експлоатация на кея</w:t>
      </w:r>
      <w:r w:rsidRPr="009E3D61">
        <w:rPr>
          <w:b/>
          <w:bCs/>
        </w:rPr>
        <w:t xml:space="preserve"> - </w:t>
      </w:r>
      <w:r w:rsidRPr="009E3D61">
        <w:t>за обработка на насипни товари;</w:t>
      </w:r>
    </w:p>
    <w:p w14:paraId="4A131E54" w14:textId="77777777" w:rsidR="00F44608" w:rsidRPr="009E3D61" w:rsidRDefault="00F44608" w:rsidP="00BF37F2">
      <w:pPr>
        <w:numPr>
          <w:ilvl w:val="0"/>
          <w:numId w:val="47"/>
        </w:numPr>
        <w:spacing w:after="120" w:line="24" w:lineRule="atLeast"/>
        <w:jc w:val="both"/>
      </w:pPr>
      <w:r w:rsidRPr="009E3D61">
        <w:t>Кейовата пропускателна способност – 1 233хил. т./год.</w:t>
      </w:r>
    </w:p>
    <w:p w14:paraId="5A7F5F6B" w14:textId="77777777" w:rsidR="00F44608" w:rsidRPr="009E3D61" w:rsidRDefault="00F44608" w:rsidP="00BF37F2">
      <w:pPr>
        <w:numPr>
          <w:ilvl w:val="0"/>
          <w:numId w:val="47"/>
        </w:numPr>
        <w:spacing w:after="120" w:line="24" w:lineRule="atLeast"/>
        <w:ind w:right="456"/>
        <w:jc w:val="both"/>
      </w:pPr>
      <w:r w:rsidRPr="009E3D61">
        <w:t>Пропускателна способност на откритите складове  при сега използваните площи - 2 608 хил. т./год.;</w:t>
      </w:r>
    </w:p>
    <w:p w14:paraId="637C8315" w14:textId="77777777" w:rsidR="00F44608" w:rsidRPr="009E3D61" w:rsidRDefault="00F44608" w:rsidP="00BF37F2">
      <w:pPr>
        <w:numPr>
          <w:ilvl w:val="0"/>
          <w:numId w:val="47"/>
        </w:numPr>
        <w:spacing w:after="120" w:line="24" w:lineRule="atLeast"/>
        <w:ind w:right="456"/>
        <w:jc w:val="both"/>
      </w:pPr>
      <w:r w:rsidRPr="009E3D61">
        <w:t>Пропускателна способност на товарните жп коловози – 27 375 бр. ваг./год.</w:t>
      </w:r>
    </w:p>
    <w:p w14:paraId="1633EBEA" w14:textId="2583FF6E" w:rsidR="00F44608" w:rsidRPr="009E3D61" w:rsidRDefault="00F44608" w:rsidP="00F44608">
      <w:pPr>
        <w:spacing w:after="120" w:line="24" w:lineRule="atLeast"/>
        <w:ind w:right="456"/>
      </w:pPr>
    </w:p>
    <w:p w14:paraId="60EE37A3" w14:textId="77777777" w:rsidR="00F44608" w:rsidRPr="00D67A64" w:rsidRDefault="00F44608" w:rsidP="00D67A64">
      <w:pPr>
        <w:pStyle w:val="Heading3"/>
        <w:keepLines w:val="0"/>
        <w:numPr>
          <w:ilvl w:val="2"/>
          <w:numId w:val="0"/>
        </w:numPr>
        <w:tabs>
          <w:tab w:val="num" w:pos="1920"/>
        </w:tabs>
        <w:suppressAutoHyphens/>
        <w:spacing w:before="0" w:after="120" w:line="24" w:lineRule="atLeast"/>
        <w:ind w:left="1920" w:hanging="1920"/>
        <w:jc w:val="both"/>
        <w:rPr>
          <w:b w:val="0"/>
          <w:i/>
          <w:sz w:val="24"/>
          <w:u w:val="single"/>
        </w:rPr>
      </w:pPr>
      <w:r w:rsidRPr="00D67A64">
        <w:rPr>
          <w:b w:val="0"/>
          <w:i/>
          <w:sz w:val="24"/>
          <w:u w:val="single"/>
        </w:rPr>
        <w:t xml:space="preserve"> </w:t>
      </w:r>
      <w:bookmarkStart w:id="196" w:name="_Toc95837661"/>
      <w:bookmarkStart w:id="197" w:name="_Toc143694173"/>
      <w:r w:rsidRPr="00D67A64">
        <w:rPr>
          <w:b w:val="0"/>
          <w:i/>
          <w:sz w:val="24"/>
          <w:u w:val="single"/>
        </w:rPr>
        <w:t>Капацитет</w:t>
      </w:r>
      <w:bookmarkEnd w:id="196"/>
      <w:bookmarkEnd w:id="197"/>
    </w:p>
    <w:p w14:paraId="2DD95AEE" w14:textId="77777777" w:rsidR="00F44608" w:rsidRPr="009E3D61" w:rsidRDefault="00F44608" w:rsidP="00D67A64">
      <w:pPr>
        <w:spacing w:before="120" w:after="120" w:line="240" w:lineRule="auto"/>
        <w:jc w:val="both"/>
      </w:pPr>
      <w:r w:rsidRPr="009E3D61">
        <w:t>По експертна оценка</w:t>
      </w:r>
      <w:r>
        <w:t>,</w:t>
      </w:r>
      <w:r w:rsidRPr="009E3D61">
        <w:t xml:space="preserve"> </w:t>
      </w:r>
      <w:r w:rsidRPr="009E3D61">
        <w:rPr>
          <w:bCs/>
        </w:rPr>
        <w:t>кейовата пропускателна способност</w:t>
      </w:r>
      <w:r w:rsidRPr="009E3D61">
        <w:t xml:space="preserve"> на пристанищен терминал Лом, при сегашната структура на товарооборота през последните няколко години (насипни 80-85 % и генерални товари 15-20 %), техническата и технологическата комплектованост и организацията на работа е около 2 800 хил. тона товари годишно.</w:t>
      </w:r>
    </w:p>
    <w:p w14:paraId="068239D3" w14:textId="77777777" w:rsidR="00F44608" w:rsidRPr="009E3D61" w:rsidRDefault="00F44608" w:rsidP="00D67A64">
      <w:pPr>
        <w:spacing w:before="120" w:after="120" w:line="240" w:lineRule="auto"/>
        <w:jc w:val="both"/>
        <w:rPr>
          <w:bCs/>
        </w:rPr>
      </w:pPr>
      <w:r w:rsidRPr="009E3D61">
        <w:rPr>
          <w:bCs/>
        </w:rPr>
        <w:t>Складовата пропускателна способност е</w:t>
      </w:r>
      <w:r>
        <w:rPr>
          <w:bCs/>
        </w:rPr>
        <w:t>,</w:t>
      </w:r>
      <w:r w:rsidRPr="009E3D61">
        <w:rPr>
          <w:bCs/>
        </w:rPr>
        <w:t xml:space="preserve"> както следва:</w:t>
      </w:r>
    </w:p>
    <w:p w14:paraId="4CF11391" w14:textId="77777777" w:rsidR="00F44608" w:rsidRPr="009E3D61" w:rsidRDefault="00F44608" w:rsidP="00BF37F2">
      <w:pPr>
        <w:numPr>
          <w:ilvl w:val="0"/>
          <w:numId w:val="48"/>
        </w:numPr>
        <w:tabs>
          <w:tab w:val="left" w:pos="1080"/>
          <w:tab w:val="left" w:pos="1420"/>
        </w:tabs>
        <w:spacing w:before="120" w:after="120" w:line="240" w:lineRule="auto"/>
        <w:contextualSpacing/>
        <w:jc w:val="both"/>
      </w:pPr>
      <w:r w:rsidRPr="009E3D61">
        <w:t>за открито съхранение при средно 20 дни престой – 5 760 хил. т./год.;</w:t>
      </w:r>
    </w:p>
    <w:p w14:paraId="57887931" w14:textId="77777777" w:rsidR="00F44608" w:rsidRPr="009E3D61" w:rsidRDefault="00F44608" w:rsidP="00BF37F2">
      <w:pPr>
        <w:numPr>
          <w:ilvl w:val="0"/>
          <w:numId w:val="48"/>
        </w:numPr>
        <w:spacing w:before="120" w:after="120" w:line="240" w:lineRule="auto"/>
        <w:contextualSpacing/>
        <w:jc w:val="both"/>
      </w:pPr>
      <w:r w:rsidRPr="009E3D61">
        <w:t>за закрито съхранение при средно 15 дневен престой – 285 хил. т./год.</w:t>
      </w:r>
    </w:p>
    <w:p w14:paraId="299E2CA3" w14:textId="77777777" w:rsidR="00F44608" w:rsidRPr="009E3D61" w:rsidRDefault="00F44608" w:rsidP="00D67A64">
      <w:pPr>
        <w:spacing w:before="120" w:after="120" w:line="240" w:lineRule="auto"/>
        <w:jc w:val="both"/>
        <w:rPr>
          <w:bCs/>
        </w:rPr>
      </w:pPr>
      <w:r w:rsidRPr="009E3D61">
        <w:rPr>
          <w:bCs/>
        </w:rPr>
        <w:t>Има голям резерв за открити складови площи – основно на източния кей, района на белия кей след разчистване на остарели и ненужни постройки и описаните към всеки от районите претоварни площадки.</w:t>
      </w:r>
    </w:p>
    <w:p w14:paraId="3E634267" w14:textId="342328E8" w:rsidR="000A3C41" w:rsidRPr="00E939BD" w:rsidRDefault="00F44608" w:rsidP="00D67A64">
      <w:pPr>
        <w:autoSpaceDE w:val="0"/>
        <w:autoSpaceDN w:val="0"/>
        <w:adjustRightInd w:val="0"/>
        <w:spacing w:before="120" w:after="120" w:line="240" w:lineRule="auto"/>
        <w:jc w:val="both"/>
        <w:rPr>
          <w:rFonts w:ascii="Times New Roman" w:hAnsi="Times New Roman" w:cs="Times New Roman"/>
        </w:rPr>
      </w:pPr>
      <w:r w:rsidRPr="009E3D61">
        <w:t>Общата пропускателната способност на ж.п. коловозите при две подавания в денонощие е 70 080 бр. ваг./год. или 3 500 хил. т./год.</w:t>
      </w:r>
      <w:r w:rsidRPr="009E3D61">
        <w:rPr>
          <w:b/>
          <w:bCs/>
        </w:rPr>
        <w:t xml:space="preserve"> </w:t>
      </w:r>
      <w:r w:rsidRPr="009E3D61">
        <w:rPr>
          <w:bCs/>
        </w:rPr>
        <w:t>Пропускателната способност на ж.п. коловозите не е лимитираща.</w:t>
      </w:r>
    </w:p>
    <w:p w14:paraId="00F7382C" w14:textId="77777777" w:rsidR="000A3C41" w:rsidRPr="00052931" w:rsidRDefault="000A3C41" w:rsidP="000A3C41">
      <w:pPr>
        <w:pStyle w:val="Heading2"/>
        <w:numPr>
          <w:ilvl w:val="1"/>
          <w:numId w:val="3"/>
        </w:numPr>
        <w:ind w:left="1080" w:hanging="540"/>
        <w:rPr>
          <w:szCs w:val="24"/>
          <w:lang w:val="bg-BG"/>
        </w:rPr>
      </w:pPr>
      <w:bookmarkStart w:id="198" w:name="_Toc143607770"/>
      <w:bookmarkStart w:id="199" w:name="_Toc143694174"/>
      <w:r w:rsidRPr="00052931">
        <w:rPr>
          <w:szCs w:val="24"/>
          <w:lang w:val="bg-BG"/>
        </w:rPr>
        <w:lastRenderedPageBreak/>
        <w:t>Описание на проекта</w:t>
      </w:r>
      <w:bookmarkEnd w:id="198"/>
      <w:bookmarkEnd w:id="199"/>
      <w:r w:rsidRPr="00052931">
        <w:rPr>
          <w:szCs w:val="24"/>
          <w:lang w:val="bg-BG"/>
        </w:rPr>
        <w:t xml:space="preserve"> </w:t>
      </w:r>
    </w:p>
    <w:p w14:paraId="2EC11F52" w14:textId="578DA583" w:rsidR="00C81C8B" w:rsidRPr="003C574A" w:rsidRDefault="003C574A" w:rsidP="003C574A">
      <w:pPr>
        <w:autoSpaceDE w:val="0"/>
        <w:autoSpaceDN w:val="0"/>
        <w:adjustRightInd w:val="0"/>
        <w:spacing w:after="60"/>
        <w:jc w:val="both"/>
      </w:pPr>
      <w:r>
        <w:t>Екстремално високите нива на река</w:t>
      </w:r>
      <w:r w:rsidR="00C81C8B" w:rsidRPr="009E3D61">
        <w:t xml:space="preserve"> Дунав през м.</w:t>
      </w:r>
      <w:r>
        <w:t xml:space="preserve"> ап</w:t>
      </w:r>
      <w:r w:rsidR="00C81C8B" w:rsidRPr="009E3D61">
        <w:t>рил 2006 г. са довели до сериозни по мащабите си разливи на територията на Пристанище Лом. За периода на достигане на водни стоежи при отчет над +900 см., измерени спрямо нулата на пегела на ХМС на АППД в гр.</w:t>
      </w:r>
      <w:r>
        <w:t xml:space="preserve"> </w:t>
      </w:r>
      <w:r w:rsidR="00C81C8B" w:rsidRPr="009E3D61">
        <w:t xml:space="preserve">Лом, като това водно ниво е достигнато на 12.04.2006 г. и с плавно темпо на нарастване достига до отчет +985 см., измерен на 23.04.2006 г. и са били залети почти цялото т.н. „старо пристанище”, включващо „Бял кей”, Западен вълнолом и „Метален кей” с 6 (шест) корабни места, както и  „Източен кей” с три корабни места, заедно с прилежащата им инфраструктура. Обстоятелствата са довели до напълно спиране на експлоатацията на тези три обособени терминали с 9 (девет) корабни места, от общо 13 (тринадесет) корабни места в Пристанище Лом. Районът на „Източен кей”, който е с връхна кота +31,70 м., е бил залят с вода с височина на водния стълб от 1,25 м. над терена. </w:t>
      </w:r>
    </w:p>
    <w:p w14:paraId="189E246E" w14:textId="364D1173" w:rsidR="00C81C8B" w:rsidRPr="009E3D61" w:rsidRDefault="00C81C8B" w:rsidP="003C574A">
      <w:pPr>
        <w:autoSpaceDE w:val="0"/>
        <w:autoSpaceDN w:val="0"/>
        <w:adjustRightInd w:val="0"/>
        <w:spacing w:after="60"/>
        <w:jc w:val="both"/>
      </w:pPr>
      <w:r w:rsidRPr="009E3D61">
        <w:t>Освен опасностите от заливане на пристанищ</w:t>
      </w:r>
      <w:r w:rsidR="003C574A">
        <w:t>ето при високи водни нива на река</w:t>
      </w:r>
      <w:r w:rsidRPr="009E3D61">
        <w:t xml:space="preserve"> Дунав, необходимостта от реализиране на проекта се обосновава и от съществуващото състояние на носещата конструкция на Източния кей и изградената върху него прилежаща пристанищна инфраструктура.</w:t>
      </w:r>
      <w:r w:rsidR="003C574A">
        <w:t xml:space="preserve"> </w:t>
      </w:r>
      <w:r w:rsidRPr="009E3D61">
        <w:t>Натиск от претоварване и/или земетресението от 1977 г. е причинил изместване на челната линия на кея до 1,17 м. в северната част. След няколкократно експлоатационно претоварване през 1974-75 г, кейовата стена се деформира и се премества към лимана, като преместването на места е над 1.6 м. За възстановяване на техническите и технологични възможности за експлоатация на дефектиралите кейови стени са провеждани система от стабилизиращи и укрепителни мероприятия с прилагане на инженерни решения при използване на познати строителни технологии.</w:t>
      </w:r>
    </w:p>
    <w:p w14:paraId="05E857E5" w14:textId="77777777" w:rsidR="00C81C8B" w:rsidRPr="009E3D61" w:rsidRDefault="00C81C8B" w:rsidP="003C574A">
      <w:pPr>
        <w:autoSpaceDE w:val="0"/>
        <w:autoSpaceDN w:val="0"/>
        <w:adjustRightInd w:val="0"/>
        <w:spacing w:after="60"/>
        <w:jc w:val="both"/>
      </w:pPr>
      <w:r w:rsidRPr="009E3D61">
        <w:t>Конструкцията на Източния кей е в общо недобро състояние, което се характеризира с частично разместени талпи на затварящия челен ст.бетонов шпунт, липса на бетоново тяло при връзката на ст.бетоновия шпунт със ст.бетоновата надстройка (разрушена бетонова връзка, оголена и силно ерозирала арматура и др. механични увреждания), което предпоставя евентуално изтичане на почвата зад шпунта и образуване на неустановими каверни.</w:t>
      </w:r>
    </w:p>
    <w:p w14:paraId="41B5123E" w14:textId="3D80AE0E" w:rsidR="000A3C41" w:rsidRDefault="00C81C8B" w:rsidP="003C574A">
      <w:pPr>
        <w:autoSpaceDE w:val="0"/>
        <w:autoSpaceDN w:val="0"/>
        <w:adjustRightInd w:val="0"/>
        <w:spacing w:after="60"/>
        <w:jc w:val="both"/>
        <w:rPr>
          <w:rFonts w:ascii="Times New Roman" w:eastAsia="Calibri" w:hAnsi="Times New Roman" w:cs="Times New Roman"/>
          <w:color w:val="000000"/>
          <w:szCs w:val="24"/>
          <w:lang w:eastAsia="en-US"/>
        </w:rPr>
      </w:pPr>
      <w:r w:rsidRPr="009E3D61">
        <w:t xml:space="preserve">Необходимо е израждане на нова кейова стена и прилежащата и инфраструктура в това число: Повдигане на цялото насипно равнище на кея до кота на Южен и Западен кей, изграждане на изцяло нови подкранови пътища, ЖП коловози и ЖП връзки с гара Лом, автомобилни пътни връзки, свободни разтоварища и открити складови площи, силнотокова и слаботокова ел. инсталация на терминала, създаване на условия за пожарогасене и бункероване с вода на плавателните съдове. Новата </w:t>
      </w:r>
      <w:r w:rsidRPr="009E3D61">
        <w:lastRenderedPageBreak/>
        <w:t>кейова стена се предвижда да се изгради непосредствено пред съществуващата конструкция.</w:t>
      </w:r>
      <w:r w:rsidR="000A3C41" w:rsidRPr="00B77F5F">
        <w:rPr>
          <w:rFonts w:ascii="Times New Roman" w:eastAsia="Calibri" w:hAnsi="Times New Roman" w:cs="Times New Roman"/>
          <w:color w:val="000000"/>
          <w:szCs w:val="24"/>
          <w:lang w:eastAsia="en-US"/>
        </w:rPr>
        <w:t xml:space="preserve"> </w:t>
      </w:r>
    </w:p>
    <w:p w14:paraId="5A89994E" w14:textId="4590D40E" w:rsidR="000A3C41" w:rsidRPr="003C574A" w:rsidRDefault="000A3C41" w:rsidP="003C574A">
      <w:pPr>
        <w:autoSpaceDE w:val="0"/>
        <w:autoSpaceDN w:val="0"/>
        <w:adjustRightInd w:val="0"/>
        <w:spacing w:after="60"/>
        <w:jc w:val="both"/>
      </w:pPr>
      <w:r w:rsidRPr="003C574A">
        <w:t xml:space="preserve">Чрез SWОT анализ и последващ МКА от всички технологични решения е избран вариант с </w:t>
      </w:r>
      <w:r w:rsidR="003C574A">
        <w:t xml:space="preserve">изграждане на комбинирана шпунтова кейова стена, </w:t>
      </w:r>
      <w:r w:rsidR="003C574A">
        <w:rPr>
          <w:rFonts w:eastAsia="Times New Roman"/>
          <w:color w:val="000000"/>
        </w:rPr>
        <w:t>която</w:t>
      </w:r>
      <w:r w:rsidR="003C574A" w:rsidRPr="009E3D61">
        <w:rPr>
          <w:rFonts w:eastAsia="Times New Roman"/>
          <w:color w:val="000000"/>
        </w:rPr>
        <w:t xml:space="preserve"> не намалява акваторията</w:t>
      </w:r>
      <w:r w:rsidR="003C574A">
        <w:rPr>
          <w:rFonts w:eastAsia="Times New Roman"/>
          <w:color w:val="000000"/>
        </w:rPr>
        <w:t xml:space="preserve"> и се характеризира с</w:t>
      </w:r>
      <w:r w:rsidR="003C574A" w:rsidRPr="009E3D61">
        <w:rPr>
          <w:rFonts w:eastAsia="Times New Roman"/>
          <w:color w:val="000000"/>
        </w:rPr>
        <w:t xml:space="preserve"> бърза  строителна технология и сравнително ниски разходи за СМР и поддръжка</w:t>
      </w:r>
      <w:r w:rsidR="003C574A">
        <w:rPr>
          <w:rFonts w:eastAsia="Times New Roman"/>
          <w:color w:val="000000"/>
        </w:rPr>
        <w:t xml:space="preserve">. </w:t>
      </w:r>
      <w:r w:rsidRPr="003C574A">
        <w:t>По-подро</w:t>
      </w:r>
      <w:r w:rsidR="003C574A">
        <w:t>бно описание е дадено в раздел 4</w:t>
      </w:r>
      <w:r w:rsidRPr="003C574A">
        <w:t>.1. Описание на вариантите.</w:t>
      </w:r>
    </w:p>
    <w:p w14:paraId="6BCB3BCC" w14:textId="77777777" w:rsidR="000A3C41" w:rsidRPr="004F30AC" w:rsidRDefault="000A3C41" w:rsidP="000A3C41">
      <w:pPr>
        <w:pStyle w:val="Heading3"/>
        <w:numPr>
          <w:ilvl w:val="2"/>
          <w:numId w:val="3"/>
        </w:numPr>
        <w:spacing w:before="240"/>
        <w:jc w:val="both"/>
        <w:rPr>
          <w:rFonts w:cs="Arial"/>
          <w:sz w:val="22"/>
          <w:szCs w:val="22"/>
        </w:rPr>
      </w:pPr>
      <w:bookmarkStart w:id="200" w:name="_Toc143607771"/>
      <w:bookmarkStart w:id="201" w:name="_Toc143694175"/>
      <w:r w:rsidRPr="004F30AC">
        <w:rPr>
          <w:rFonts w:cs="Arial"/>
          <w:sz w:val="22"/>
          <w:szCs w:val="22"/>
        </w:rPr>
        <w:t>Местоположение</w:t>
      </w:r>
      <w:bookmarkEnd w:id="200"/>
      <w:bookmarkEnd w:id="201"/>
      <w:r w:rsidRPr="004F30AC">
        <w:rPr>
          <w:rFonts w:cs="Arial"/>
          <w:sz w:val="22"/>
          <w:szCs w:val="22"/>
        </w:rPr>
        <w:t xml:space="preserve"> </w:t>
      </w:r>
    </w:p>
    <w:p w14:paraId="45A33EDF" w14:textId="77777777" w:rsidR="003C574A" w:rsidRPr="003C574A" w:rsidRDefault="003C574A" w:rsidP="003C574A">
      <w:pPr>
        <w:autoSpaceDE w:val="0"/>
        <w:autoSpaceDN w:val="0"/>
        <w:adjustRightInd w:val="0"/>
        <w:spacing w:after="0" w:line="240" w:lineRule="auto"/>
        <w:jc w:val="both"/>
        <w:rPr>
          <w:rFonts w:eastAsia="Times New Roman"/>
          <w:color w:val="000000"/>
          <w:sz w:val="16"/>
          <w:szCs w:val="16"/>
        </w:rPr>
      </w:pPr>
    </w:p>
    <w:p w14:paraId="67F56C35" w14:textId="77777777" w:rsidR="00D67A64" w:rsidRPr="003C574A" w:rsidRDefault="00D67A64" w:rsidP="003C574A">
      <w:pPr>
        <w:autoSpaceDE w:val="0"/>
        <w:autoSpaceDN w:val="0"/>
        <w:adjustRightInd w:val="0"/>
        <w:spacing w:after="60"/>
        <w:jc w:val="both"/>
        <w:rPr>
          <w:rFonts w:eastAsia="Times New Roman"/>
          <w:color w:val="000000"/>
        </w:rPr>
      </w:pPr>
      <w:r w:rsidRPr="003C574A">
        <w:rPr>
          <w:rFonts w:eastAsia="Times New Roman"/>
          <w:color w:val="000000"/>
        </w:rPr>
        <w:t xml:space="preserve">Пристанище Лом е разположено на  Европейски транспортен коридор Рейнско-Дунавски. Коридорът осигурява основната връзка изток-запад през континентална Европа. Проследявайки маршрута по река Дунав, той свързва Страсбург и Южна Германия с централноевропейските градове Виена, Братислава и Будапеща, преди да премине през румънската столица Букурещ, за да достигне в черноморското пристанище Констанца. Втори клон на коридора проследява път от Франкфурт до границата на Словакия/Украина, свързващ Мюнхен, Прага, Жилина и Кошице. Този коридор предлага истински алтернативен избор на вид транспорт като непрекъснат, интегриран коридор за товарни превози. Участъкът на река Дунав от Западните Балкани играе важна роля във функционирането на този коридор, но в същото време е определен, като „тясно място“ по коридора и следователно всички усилия в подобряването на условията по него от българска страна са с висока европейска добавена стойност. </w:t>
      </w:r>
    </w:p>
    <w:p w14:paraId="760CABCD" w14:textId="77777777" w:rsidR="00D67A64" w:rsidRDefault="00D67A64" w:rsidP="00D67A64">
      <w:pPr>
        <w:spacing w:after="120"/>
        <w:jc w:val="both"/>
        <w:rPr>
          <w:rFonts w:ascii="Times New Roman" w:hAnsi="Times New Roman" w:cs="Times New Roman"/>
        </w:rPr>
      </w:pPr>
      <w:bookmarkStart w:id="202" w:name="_Toc174099097"/>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12</w:t>
      </w:r>
      <w:r w:rsidRPr="002E1E19">
        <w:rPr>
          <w:rFonts w:cs="Arial"/>
          <w:bCs/>
          <w:i/>
          <w:iCs/>
          <w:sz w:val="22"/>
        </w:rPr>
        <w:fldChar w:fldCharType="end"/>
      </w:r>
      <w:r>
        <w:rPr>
          <w:rFonts w:eastAsia="Times New Roman" w:cs="Arial"/>
          <w:i/>
          <w:sz w:val="22"/>
          <w:lang w:eastAsia="ar-SA"/>
        </w:rPr>
        <w:t xml:space="preserve">  </w:t>
      </w:r>
      <w:r w:rsidRPr="00307980">
        <w:rPr>
          <w:rFonts w:eastAsia="Times New Roman" w:cs="Arial"/>
          <w:i/>
          <w:sz w:val="22"/>
          <w:lang w:eastAsia="ar-SA"/>
        </w:rPr>
        <w:t>Карта на транспортен коридор Рейн-Дунав</w:t>
      </w:r>
      <w:bookmarkEnd w:id="202"/>
    </w:p>
    <w:p w14:paraId="5F27DC52" w14:textId="77777777" w:rsidR="00D67A64" w:rsidRPr="00622DFC" w:rsidRDefault="00D67A64" w:rsidP="00D67A64">
      <w:pPr>
        <w:spacing w:after="120"/>
        <w:jc w:val="center"/>
      </w:pPr>
      <w:r w:rsidRPr="00622DFC">
        <w:rPr>
          <w:noProof/>
          <w:lang w:val="en-US" w:eastAsia="en-US"/>
        </w:rPr>
        <w:drawing>
          <wp:inline distT="0" distB="0" distL="0" distR="0" wp14:anchorId="6CCC7070" wp14:editId="5A3867D2">
            <wp:extent cx="4129588" cy="2806996"/>
            <wp:effectExtent l="19050" t="19050" r="23495" b="1270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screen">
                      <a:extLst>
                        <a:ext uri="{28A0092B-C50C-407E-A947-70E740481C1C}">
                          <a14:useLocalDpi xmlns:a14="http://schemas.microsoft.com/office/drawing/2010/main"/>
                        </a:ext>
                      </a:extLst>
                    </a:blip>
                    <a:stretch>
                      <a:fillRect/>
                    </a:stretch>
                  </pic:blipFill>
                  <pic:spPr>
                    <a:xfrm>
                      <a:off x="0" y="0"/>
                      <a:ext cx="4206084" cy="2858992"/>
                    </a:xfrm>
                    <a:prstGeom prst="rect">
                      <a:avLst/>
                    </a:prstGeom>
                    <a:ln>
                      <a:solidFill>
                        <a:srgbClr val="000000"/>
                      </a:solidFill>
                    </a:ln>
                  </pic:spPr>
                </pic:pic>
              </a:graphicData>
            </a:graphic>
          </wp:inline>
        </w:drawing>
      </w:r>
    </w:p>
    <w:p w14:paraId="3F15D986" w14:textId="6CCAF233" w:rsidR="00D67A64" w:rsidRDefault="00D67A64" w:rsidP="00D67A64">
      <w:pPr>
        <w:spacing w:after="120" w:line="24" w:lineRule="atLeast"/>
        <w:jc w:val="both"/>
      </w:pPr>
      <w:r w:rsidRPr="009E3D61">
        <w:lastRenderedPageBreak/>
        <w:t xml:space="preserve">Пристанищен терминал Лом е разположен между км. 742,300 и км. 743,000 на десния бряг по поречието на река Дунав. </w:t>
      </w:r>
    </w:p>
    <w:p w14:paraId="4CF0EF01" w14:textId="07FD3882" w:rsidR="00D67A64" w:rsidRPr="009E3D61" w:rsidRDefault="00D67A64" w:rsidP="00D67A64">
      <w:pPr>
        <w:spacing w:after="120" w:line="24" w:lineRule="atLeast"/>
        <w:jc w:val="both"/>
      </w:pPr>
      <w:bookmarkStart w:id="203" w:name="_Toc174099098"/>
      <w:r>
        <w:rPr>
          <w:rFonts w:cs="Arial"/>
          <w:bCs/>
          <w:i/>
          <w:iCs/>
          <w:sz w:val="22"/>
        </w:rPr>
        <w:t>Фигура</w:t>
      </w:r>
      <w:r w:rsidRPr="002E1E19">
        <w:rPr>
          <w:rFonts w:cs="Arial"/>
          <w:bCs/>
          <w:i/>
          <w:iCs/>
          <w:sz w:val="22"/>
        </w:rPr>
        <w:t xml:space="preserve"> </w:t>
      </w:r>
      <w:r w:rsidRPr="002E1E19">
        <w:rPr>
          <w:rFonts w:cs="Arial"/>
          <w:bCs/>
          <w:i/>
          <w:iCs/>
          <w:sz w:val="22"/>
        </w:rPr>
        <w:fldChar w:fldCharType="begin"/>
      </w:r>
      <w:r w:rsidRPr="002E1E19">
        <w:rPr>
          <w:rFonts w:cs="Arial"/>
          <w:bCs/>
          <w:i/>
          <w:iCs/>
          <w:sz w:val="22"/>
        </w:rPr>
        <w:instrText xml:space="preserve"> SEQ Фигура \* ARABIC </w:instrText>
      </w:r>
      <w:r w:rsidRPr="002E1E19">
        <w:rPr>
          <w:rFonts w:cs="Arial"/>
          <w:bCs/>
          <w:i/>
          <w:iCs/>
          <w:sz w:val="22"/>
        </w:rPr>
        <w:fldChar w:fldCharType="separate"/>
      </w:r>
      <w:r w:rsidR="00A81B8F">
        <w:rPr>
          <w:rFonts w:cs="Arial"/>
          <w:bCs/>
          <w:i/>
          <w:iCs/>
          <w:noProof/>
          <w:sz w:val="22"/>
        </w:rPr>
        <w:t>13</w:t>
      </w:r>
      <w:r w:rsidRPr="002E1E19">
        <w:rPr>
          <w:rFonts w:cs="Arial"/>
          <w:bCs/>
          <w:i/>
          <w:iCs/>
          <w:sz w:val="22"/>
        </w:rPr>
        <w:fldChar w:fldCharType="end"/>
      </w:r>
      <w:r>
        <w:rPr>
          <w:rFonts w:eastAsia="Times New Roman" w:cs="Arial"/>
          <w:i/>
          <w:sz w:val="22"/>
          <w:lang w:eastAsia="ar-SA"/>
        </w:rPr>
        <w:t xml:space="preserve">  </w:t>
      </w:r>
      <w:r w:rsidRPr="00307980">
        <w:rPr>
          <w:rFonts w:eastAsia="Times New Roman" w:cs="Arial"/>
          <w:i/>
          <w:sz w:val="22"/>
          <w:lang w:eastAsia="ar-SA"/>
        </w:rPr>
        <w:t xml:space="preserve">Местоположение на  Пристанищен терминал </w:t>
      </w:r>
      <w:r>
        <w:rPr>
          <w:rFonts w:eastAsia="Times New Roman" w:cs="Arial"/>
          <w:i/>
          <w:sz w:val="22"/>
          <w:lang w:eastAsia="ar-SA"/>
        </w:rPr>
        <w:t>Лом</w:t>
      </w:r>
      <w:bookmarkEnd w:id="203"/>
    </w:p>
    <w:p w14:paraId="4446C8EA" w14:textId="460B46EC" w:rsidR="00D67A64" w:rsidRPr="009E3D61" w:rsidRDefault="00D67A64" w:rsidP="00D67A64">
      <w:pPr>
        <w:spacing w:after="120" w:line="24" w:lineRule="atLeast"/>
        <w:jc w:val="center"/>
      </w:pPr>
      <w:r>
        <w:rPr>
          <w:noProof/>
          <w:lang w:val="en-US" w:eastAsia="en-US"/>
        </w:rPr>
        <w:drawing>
          <wp:inline distT="0" distB="0" distL="0" distR="0" wp14:anchorId="00737252" wp14:editId="01E19484">
            <wp:extent cx="5922645" cy="1318260"/>
            <wp:effectExtent l="0" t="0" r="1905" b="0"/>
            <wp:docPr id="21" name="Picture 21" descr="ф"/>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ф"/>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22645" cy="1318260"/>
                    </a:xfrm>
                    <a:prstGeom prst="rect">
                      <a:avLst/>
                    </a:prstGeom>
                    <a:noFill/>
                    <a:ln>
                      <a:noFill/>
                    </a:ln>
                  </pic:spPr>
                </pic:pic>
              </a:graphicData>
            </a:graphic>
          </wp:inline>
        </w:drawing>
      </w:r>
    </w:p>
    <w:p w14:paraId="28DA739D" w14:textId="77777777" w:rsidR="000A3C41" w:rsidRDefault="000A3C41" w:rsidP="000A3C41">
      <w:pPr>
        <w:rPr>
          <w:rFonts w:cs="Arial"/>
          <w:sz w:val="22"/>
        </w:rPr>
      </w:pPr>
    </w:p>
    <w:p w14:paraId="5F922014" w14:textId="77777777" w:rsidR="000A3C41" w:rsidRPr="004F30AC" w:rsidRDefault="000A3C41" w:rsidP="000A3C41">
      <w:pPr>
        <w:pStyle w:val="Heading3"/>
        <w:numPr>
          <w:ilvl w:val="2"/>
          <w:numId w:val="3"/>
        </w:numPr>
        <w:spacing w:before="240"/>
        <w:jc w:val="both"/>
        <w:rPr>
          <w:rFonts w:cs="Arial"/>
          <w:sz w:val="22"/>
          <w:szCs w:val="22"/>
        </w:rPr>
      </w:pPr>
      <w:bookmarkStart w:id="204" w:name="_Toc143607772"/>
      <w:bookmarkStart w:id="205" w:name="_Toc143694176"/>
      <w:r w:rsidRPr="004F30AC">
        <w:rPr>
          <w:rFonts w:cs="Arial"/>
          <w:sz w:val="22"/>
          <w:szCs w:val="22"/>
        </w:rPr>
        <w:t>Заинтересовани страни от изпълнението на проекта</w:t>
      </w:r>
      <w:bookmarkEnd w:id="204"/>
      <w:bookmarkEnd w:id="205"/>
    </w:p>
    <w:p w14:paraId="03E59B80" w14:textId="77777777" w:rsidR="000A3C41" w:rsidRPr="003C574A" w:rsidRDefault="000A3C41" w:rsidP="000A3C41">
      <w:pPr>
        <w:spacing w:before="240"/>
        <w:rPr>
          <w:rFonts w:cs="Arial"/>
          <w:szCs w:val="24"/>
        </w:rPr>
      </w:pPr>
      <w:r w:rsidRPr="003C574A">
        <w:rPr>
          <w:rFonts w:cs="Arial"/>
          <w:szCs w:val="24"/>
        </w:rPr>
        <w:t>Заинтересованите страни от изпълнението на проекта са следните:</w:t>
      </w:r>
    </w:p>
    <w:p w14:paraId="1A8B371F" w14:textId="299F8B38"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ДППИ, в качеството му на управител на пристанищната инфраструктура, Бенефициер</w:t>
      </w:r>
      <w:r w:rsidR="00652235">
        <w:rPr>
          <w:rFonts w:ascii="Arial" w:hAnsi="Arial" w:cs="Arial"/>
          <w:szCs w:val="24"/>
        </w:rPr>
        <w:t xml:space="preserve">нт </w:t>
      </w:r>
      <w:r w:rsidRPr="003C574A">
        <w:rPr>
          <w:rFonts w:ascii="Arial" w:hAnsi="Arial" w:cs="Arial"/>
          <w:szCs w:val="24"/>
        </w:rPr>
        <w:t>и предприятие, отговорно за изграждането и поддържането на пристанищната инфраструктура;</w:t>
      </w:r>
    </w:p>
    <w:p w14:paraId="69CE6DE3" w14:textId="1BAB441A"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МТС в ролята му на Принципал на ДППИ и собственик на пристанищната инфраструктура</w:t>
      </w:r>
      <w:r w:rsidR="00505B89">
        <w:rPr>
          <w:rFonts w:ascii="Arial" w:hAnsi="Arial" w:cs="Arial"/>
          <w:szCs w:val="24"/>
        </w:rPr>
        <w:t>, както и в качеството му на Концедент по договора за концесия</w:t>
      </w:r>
      <w:r w:rsidRPr="003C574A">
        <w:rPr>
          <w:rFonts w:ascii="Arial" w:hAnsi="Arial" w:cs="Arial"/>
          <w:szCs w:val="24"/>
        </w:rPr>
        <w:t>;</w:t>
      </w:r>
    </w:p>
    <w:p w14:paraId="2F5A7E33" w14:textId="5177A80A" w:rsidR="000A3C41"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 xml:space="preserve">Пристанище </w:t>
      </w:r>
      <w:r w:rsidR="00652235">
        <w:rPr>
          <w:rFonts w:ascii="Arial" w:hAnsi="Arial" w:cs="Arial"/>
          <w:szCs w:val="24"/>
        </w:rPr>
        <w:t>Лом</w:t>
      </w:r>
      <w:r w:rsidRPr="003C574A">
        <w:rPr>
          <w:rFonts w:ascii="Arial" w:hAnsi="Arial" w:cs="Arial"/>
          <w:szCs w:val="24"/>
        </w:rPr>
        <w:t>, в качеството му на пристанищен оператор;</w:t>
      </w:r>
    </w:p>
    <w:p w14:paraId="3D3027B2" w14:textId="79B8868D" w:rsidR="00505B89" w:rsidRPr="003C574A" w:rsidRDefault="00505B89" w:rsidP="00BF37F2">
      <w:pPr>
        <w:pStyle w:val="ListParagraph"/>
        <w:numPr>
          <w:ilvl w:val="0"/>
          <w:numId w:val="38"/>
        </w:numPr>
        <w:spacing w:after="0"/>
        <w:jc w:val="both"/>
        <w:rPr>
          <w:rFonts w:ascii="Arial" w:hAnsi="Arial" w:cs="Arial"/>
          <w:szCs w:val="24"/>
        </w:rPr>
      </w:pPr>
      <w:r>
        <w:rPr>
          <w:rFonts w:ascii="Arial" w:hAnsi="Arial" w:cs="Arial"/>
          <w:szCs w:val="24"/>
        </w:rPr>
        <w:t>Концесионерът на пристанище Лом</w:t>
      </w:r>
    </w:p>
    <w:p w14:paraId="3DA8311C"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Товародатели, корабопритежатели и други крайни потребители на услугите с воден транспорт;</w:t>
      </w:r>
    </w:p>
    <w:p w14:paraId="7870DD0E"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Работниците и служителите на пристанищния терминал, които от една страна биха били застрашени при заливане на терминала, а от друга трябва да поправят щетите, нанесени от евентуално заливане на терминала;</w:t>
      </w:r>
    </w:p>
    <w:p w14:paraId="1CDD52C8"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Населението на общината, осигуряваща работниците и служителите, както и обитателите на близките промишлени, административни и битови сгради;</w:t>
      </w:r>
    </w:p>
    <w:p w14:paraId="71BD7D53"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Местният бизнес, за който пристанищните услуги са предимство за неговото развитие</w:t>
      </w:r>
    </w:p>
    <w:p w14:paraId="0D7DBB9D" w14:textId="77777777" w:rsidR="000A3C41" w:rsidRPr="003C574A" w:rsidRDefault="000A3C41" w:rsidP="00BF37F2">
      <w:pPr>
        <w:pStyle w:val="ListParagraph"/>
        <w:numPr>
          <w:ilvl w:val="0"/>
          <w:numId w:val="38"/>
        </w:numPr>
        <w:spacing w:after="0"/>
        <w:jc w:val="both"/>
        <w:rPr>
          <w:rFonts w:ascii="Arial" w:hAnsi="Arial" w:cs="Arial"/>
          <w:szCs w:val="24"/>
        </w:rPr>
      </w:pPr>
      <w:r w:rsidRPr="003C574A">
        <w:rPr>
          <w:rFonts w:ascii="Arial" w:hAnsi="Arial" w:cs="Arial"/>
          <w:szCs w:val="24"/>
        </w:rPr>
        <w:t>Мултиплициращо влияние върху корабоплаването по река Дунав като цяло, при високи води на река Дунав и намаляване на риска от заливане, което спира работата на цялото пристанище.</w:t>
      </w:r>
    </w:p>
    <w:p w14:paraId="2B931D39" w14:textId="77777777" w:rsidR="000A3C41" w:rsidRDefault="000A3C41" w:rsidP="000A3C41">
      <w:pPr>
        <w:rPr>
          <w:rFonts w:cs="Arial"/>
          <w:sz w:val="22"/>
        </w:rPr>
      </w:pPr>
    </w:p>
    <w:p w14:paraId="45D4ED79" w14:textId="77777777" w:rsidR="000A3C41" w:rsidRPr="004F30AC" w:rsidRDefault="000A3C41" w:rsidP="000A3C41">
      <w:pPr>
        <w:pStyle w:val="Heading3"/>
        <w:numPr>
          <w:ilvl w:val="2"/>
          <w:numId w:val="3"/>
        </w:numPr>
        <w:spacing w:before="240"/>
        <w:jc w:val="both"/>
        <w:rPr>
          <w:rFonts w:cs="Arial"/>
          <w:sz w:val="22"/>
          <w:szCs w:val="22"/>
        </w:rPr>
      </w:pPr>
      <w:bookmarkStart w:id="206" w:name="_Toc143607773"/>
      <w:bookmarkStart w:id="207" w:name="_Toc143694177"/>
      <w:r w:rsidRPr="004F30AC">
        <w:rPr>
          <w:rFonts w:cs="Arial"/>
          <w:sz w:val="22"/>
          <w:szCs w:val="22"/>
        </w:rPr>
        <w:lastRenderedPageBreak/>
        <w:t>Описание на дейностите по проекта</w:t>
      </w:r>
      <w:bookmarkEnd w:id="206"/>
      <w:bookmarkEnd w:id="207"/>
    </w:p>
    <w:p w14:paraId="50818157" w14:textId="57EA9D74" w:rsidR="00652235" w:rsidRPr="009E3D61" w:rsidRDefault="000A3C41" w:rsidP="0072302D">
      <w:pPr>
        <w:spacing w:after="120" w:line="24" w:lineRule="atLeast"/>
        <w:jc w:val="both"/>
      </w:pPr>
      <w:r w:rsidRPr="0072302D">
        <w:t xml:space="preserve">В резултат на извършеното ПИП и избрано като най-подходящо техническо решение </w:t>
      </w:r>
      <w:r w:rsidR="00652235" w:rsidRPr="009E3D61">
        <w:t>изграждане на нова подпираща стена пред съществуващата, повдигане на котата на територията и кейовия ръб, изграждане на нови подкранови пътища и коловозни развития, изграждане на ново външно ел.захранване на крановата механизация с монтаж на нови щек дози и ел-кабелни трасета от съществуващ-нов трафопост. Предвидено е отводняване с дренажни канавки „Акодрен“ и колектори към сепаратор, чрез който повърхностните потоци се третират механично и се заустват в реката-водоприемник II категория.</w:t>
      </w:r>
    </w:p>
    <w:p w14:paraId="0D52E084" w14:textId="4CCB7E2B" w:rsidR="00652235" w:rsidRDefault="00652235" w:rsidP="0072302D">
      <w:pPr>
        <w:spacing w:after="120" w:line="24" w:lineRule="atLeast"/>
        <w:jc w:val="both"/>
      </w:pPr>
      <w:r w:rsidRPr="009E3D61">
        <w:rPr>
          <w:b/>
        </w:rPr>
        <w:t>Конструктивното решение</w:t>
      </w:r>
      <w:r w:rsidRPr="009E3D61">
        <w:t xml:space="preserve"> предвижда изграждане на комбинирана анкерирана стоманена конструкция от ст.тръба Ф1220/12 +TKL 603D(Double Pile) (или подобни), с която ще се извърши изправяне на кея и повдигането му до кота 34.25, каквато е котата на Южния кей, както и повдигане на вертикалната планировка на целия тил.</w:t>
      </w:r>
      <w:r w:rsidR="0072302D" w:rsidRPr="009963CE">
        <w:t xml:space="preserve"> </w:t>
      </w:r>
      <w:r w:rsidRPr="009E3D61">
        <w:t xml:space="preserve">Този тип кейова конструкция се практикува масово в Европа и навлиза в последните години като концепция у нас. Основна характеристика на предвидената конструкция е прецизно и бързо изпълнение, с поемане на големи усилия при оптимизиран разход на метал. </w:t>
      </w:r>
    </w:p>
    <w:p w14:paraId="6B21197B" w14:textId="3BEBAC24" w:rsidR="0072302D" w:rsidRPr="009E3D61" w:rsidRDefault="0072302D" w:rsidP="0072302D">
      <w:pPr>
        <w:spacing w:after="120" w:line="24" w:lineRule="atLeast"/>
        <w:jc w:val="both"/>
      </w:pPr>
      <w:r>
        <w:t>Предвиденото</w:t>
      </w:r>
      <w:r w:rsidRPr="0072302D">
        <w:t xml:space="preserve"> етапно </w:t>
      </w:r>
      <w:r>
        <w:t>изпълнение на избраното конструктивно решение</w:t>
      </w:r>
      <w:r w:rsidRPr="0072302D">
        <w:t xml:space="preserve"> включва следните етапи:</w:t>
      </w:r>
    </w:p>
    <w:p w14:paraId="0E884E5A" w14:textId="7F9970BB" w:rsidR="00652235" w:rsidRPr="009E3D61" w:rsidRDefault="00652235" w:rsidP="00F856CE">
      <w:pPr>
        <w:spacing w:after="120" w:line="24" w:lineRule="atLeast"/>
        <w:jc w:val="both"/>
      </w:pPr>
      <w:bookmarkStart w:id="208" w:name="_Hlk95398295"/>
      <w:r w:rsidRPr="009E3D61">
        <w:rPr>
          <w:b/>
          <w:bCs/>
        </w:rPr>
        <w:t xml:space="preserve">Първи етап </w:t>
      </w:r>
      <w:r w:rsidRPr="00523F39">
        <w:rPr>
          <w:b/>
        </w:rPr>
        <w:t>е с площ от 24452 кв.м</w:t>
      </w:r>
      <w:r>
        <w:t xml:space="preserve">. Той </w:t>
      </w:r>
      <w:r w:rsidRPr="009E3D61">
        <w:t xml:space="preserve">обхваща територия около втора коловозна група. Работите, които следва да се извършат, не пречат на експлоатацията на кейовата стена в цялата й дължина във вида, в който е понастоящем. </w:t>
      </w:r>
      <w:bookmarkEnd w:id="208"/>
      <w:r w:rsidRPr="009E3D61">
        <w:t>Така ще се работи с 300 м. кей, с цялата челна механизация, но с тил до 50 м.</w:t>
      </w:r>
      <w:r w:rsidR="0072302D">
        <w:t xml:space="preserve"> </w:t>
      </w:r>
      <w:r w:rsidRPr="0072302D">
        <w:t>За извършване на пристанищна дейност ще се използва кейовата стена в цялата й дължина 300 м, и кейовата механизация от 3 бр. ел портални пристанищни кранове.</w:t>
      </w:r>
      <w:r w:rsidR="00F856CE">
        <w:t xml:space="preserve"> </w:t>
      </w:r>
      <w:r w:rsidRPr="009E3D61">
        <w:t>По време на строителните работи се извършва доставка на специализираната строителна механизация за изграждането на кейовата стена и конструктивните елементи за стената. Що се касае до необходимостта от ниски води за стартиране на работите по връзката на новата конструкция на източния кей към конструкцията на южния кей, се разчита влагането на свързващия елемент Е22 към конструкцията на южния кей да се реализира в периода на извършване на строителните работи за този етап. Площадката на първи строителен етап е достъпна по главния път, като за втори подход се допуска ползването на източния обходен път за подход от север.</w:t>
      </w:r>
    </w:p>
    <w:p w14:paraId="56DED491" w14:textId="0D212488" w:rsidR="00652235" w:rsidRPr="009E3D61" w:rsidRDefault="00652235" w:rsidP="00F856CE">
      <w:pPr>
        <w:spacing w:after="120" w:line="24" w:lineRule="atLeast"/>
        <w:jc w:val="both"/>
      </w:pPr>
      <w:bookmarkStart w:id="209" w:name="_Hlk95398321"/>
      <w:r w:rsidRPr="009E3D61">
        <w:rPr>
          <w:b/>
          <w:bCs/>
        </w:rPr>
        <w:t xml:space="preserve">Втори етап </w:t>
      </w:r>
      <w:r w:rsidRPr="000318ED">
        <w:rPr>
          <w:b/>
          <w:bCs/>
        </w:rPr>
        <w:t>е с площ от 11503</w:t>
      </w:r>
      <w:r>
        <w:rPr>
          <w:b/>
          <w:bCs/>
        </w:rPr>
        <w:t xml:space="preserve"> </w:t>
      </w:r>
      <w:r w:rsidRPr="000318ED">
        <w:rPr>
          <w:b/>
          <w:bCs/>
        </w:rPr>
        <w:t>кв.м</w:t>
      </w:r>
      <w:r>
        <w:rPr>
          <w:b/>
          <w:bCs/>
        </w:rPr>
        <w:t>.</w:t>
      </w:r>
      <w:r w:rsidRPr="000318ED">
        <w:rPr>
          <w:b/>
          <w:bCs/>
        </w:rPr>
        <w:t xml:space="preserve"> </w:t>
      </w:r>
      <w:r w:rsidRPr="00523F39">
        <w:rPr>
          <w:bCs/>
        </w:rPr>
        <w:t>Той</w:t>
      </w:r>
      <w:r>
        <w:rPr>
          <w:b/>
          <w:bCs/>
        </w:rPr>
        <w:t xml:space="preserve"> </w:t>
      </w:r>
      <w:r w:rsidRPr="009E3D61">
        <w:t>на практика представлява същинския стартов етап за изграждане на челната конструкция на кея. Този етап стартира след завършване на първи етап и включването му във временна експлоатация, по времето на който е заложена връзката между новата стена и южния ке</w:t>
      </w:r>
      <w:r>
        <w:t>й</w:t>
      </w:r>
      <w:r w:rsidRPr="009E3D61">
        <w:t xml:space="preserve">, защото изграждането на връзката между новата стена и южния кей е под зависимост от водните стоежи и е наложително това да е станало по възможност през първи строителен етап. </w:t>
      </w:r>
      <w:bookmarkEnd w:id="209"/>
      <w:r w:rsidRPr="009E3D61">
        <w:t>В процеса на строителните работи по втори етап експлоатацията ще се извършва на вторите 150</w:t>
      </w:r>
      <w:r>
        <w:t xml:space="preserve"> </w:t>
      </w:r>
      <w:r w:rsidRPr="009E3D61">
        <w:t xml:space="preserve">м кей на ниската кота без ж.п.транспорт, като се </w:t>
      </w:r>
      <w:r w:rsidRPr="009E3D61">
        <w:lastRenderedPageBreak/>
        <w:t xml:space="preserve">работи по схема „телефон“ към втората коловозната група, подкрановия път, настилките и пр. от вече изградения първи етап. </w:t>
      </w:r>
    </w:p>
    <w:p w14:paraId="695B1E3D" w14:textId="571CA658" w:rsidR="00652235" w:rsidRPr="009E3D61" w:rsidRDefault="00652235" w:rsidP="0072302D">
      <w:pPr>
        <w:spacing w:after="120" w:line="24" w:lineRule="atLeast"/>
        <w:jc w:val="both"/>
      </w:pPr>
      <w:bookmarkStart w:id="210" w:name="_Hlk95398364"/>
      <w:r w:rsidRPr="009E3D61">
        <w:rPr>
          <w:b/>
          <w:bCs/>
        </w:rPr>
        <w:t xml:space="preserve">Трети етап </w:t>
      </w:r>
      <w:r w:rsidRPr="000318ED">
        <w:rPr>
          <w:b/>
          <w:bCs/>
        </w:rPr>
        <w:t xml:space="preserve">е с площ от 8305 кв.м. </w:t>
      </w:r>
      <w:r w:rsidRPr="00523F39">
        <w:rPr>
          <w:bCs/>
        </w:rPr>
        <w:t xml:space="preserve">Той </w:t>
      </w:r>
      <w:r w:rsidRPr="009E3D61">
        <w:t>се явява финален. Завършват се работите по вторите 150</w:t>
      </w:r>
      <w:r>
        <w:t xml:space="preserve"> </w:t>
      </w:r>
      <w:r w:rsidRPr="009E3D61">
        <w:t>м кей и прилежащия тил от 150 м., като за освобождаване на фронта за работа се предприема прехвърляне на крановете на вече изградените във втори строителен етап 150 м.</w:t>
      </w:r>
      <w:r w:rsidR="0072302D" w:rsidRPr="009963CE">
        <w:t xml:space="preserve"> </w:t>
      </w:r>
      <w:bookmarkEnd w:id="210"/>
      <w:r w:rsidRPr="0072302D">
        <w:t>За извършване на пристанищна дейност ще се използва новоизградената източна част на кейовата стена с дължина 150 м. и прилежащ тил, вкл. и изградената инфраструктура и съоръжения от първи етап.</w:t>
      </w:r>
      <w:r w:rsidR="0072302D" w:rsidRPr="009963CE">
        <w:t xml:space="preserve"> </w:t>
      </w:r>
      <w:r w:rsidRPr="0072302D">
        <w:t>Кейовите претоварни работи ще се извършват посредством изместените на високата кота 3 бр. ел портални пристанищни кранове.</w:t>
      </w:r>
      <w:r w:rsidR="0072302D" w:rsidRPr="009963CE">
        <w:t xml:space="preserve"> </w:t>
      </w:r>
      <w:bookmarkStart w:id="211" w:name="_Hlk95398459"/>
      <w:r w:rsidRPr="009E3D61">
        <w:t xml:space="preserve">По същество строителните работи не се отличават с допълнителни ограничителни изисквания, а продължават по вече усвоената строителна технология: кейова стена, повдигане на тила, удължаване на първа коловозна група и подкрановия път, настилки и пр. В този етап се включва изграждането на заустващата система за отвеждане на повърхностните води със събирателните шахти и каломаслоуловителя. </w:t>
      </w:r>
    </w:p>
    <w:p w14:paraId="04A7AE4C" w14:textId="54FE93EE" w:rsidR="000A3C41" w:rsidRPr="00652235" w:rsidRDefault="00652235" w:rsidP="00652235">
      <w:pPr>
        <w:spacing w:after="120" w:line="24" w:lineRule="atLeast"/>
        <w:jc w:val="both"/>
      </w:pPr>
      <w:r w:rsidRPr="009E3D61">
        <w:t xml:space="preserve">Предвидените етапи са изпълними при условие на цялостно съгласуване с експлоатацията в частта, свързана преди всичко с осигуряване на безопасна експлоатация на пристанищната механизация. </w:t>
      </w:r>
      <w:bookmarkEnd w:id="211"/>
      <w:r w:rsidRPr="009E3D61">
        <w:t>Реализирането на така описаните технологични етапи на изграждане на рехабилитацията на източния кей</w:t>
      </w:r>
      <w:r>
        <w:t xml:space="preserve"> обхваща</w:t>
      </w:r>
      <w:r w:rsidRPr="009E3D61">
        <w:t xml:space="preserve"> </w:t>
      </w:r>
      <w:r w:rsidRPr="00A91236">
        <w:t>44260</w:t>
      </w:r>
      <w:r w:rsidRPr="007C4CBD">
        <w:t xml:space="preserve"> </w:t>
      </w:r>
      <w:r>
        <w:t>кв.м.</w:t>
      </w:r>
      <w:r w:rsidRPr="009E3D61">
        <w:t xml:space="preserve"> </w:t>
      </w:r>
      <w:r w:rsidRPr="00652235">
        <w:t>След цялостното изграждане на обекта ситуационното разположение и параметри на функционалните зони за пристанищна дейност ще бъдат напълно възстановени в съответствие със съществуващия технологичен план на пристанищния терминал.</w:t>
      </w:r>
      <w:r w:rsidR="000A3C41" w:rsidRPr="00652235">
        <w:t xml:space="preserve">  </w:t>
      </w:r>
    </w:p>
    <w:p w14:paraId="2FD64B37" w14:textId="77777777" w:rsidR="000A3C41" w:rsidRPr="004F30AC" w:rsidRDefault="000A3C41" w:rsidP="000A3C41">
      <w:pPr>
        <w:pStyle w:val="Heading3"/>
        <w:numPr>
          <w:ilvl w:val="2"/>
          <w:numId w:val="3"/>
        </w:numPr>
        <w:spacing w:before="240"/>
        <w:jc w:val="both"/>
        <w:rPr>
          <w:rFonts w:cs="Arial"/>
          <w:sz w:val="22"/>
          <w:szCs w:val="22"/>
        </w:rPr>
      </w:pPr>
      <w:bookmarkStart w:id="212" w:name="_Toc143607774"/>
      <w:bookmarkStart w:id="213" w:name="_Toc143694178"/>
      <w:r w:rsidRPr="004F30AC">
        <w:rPr>
          <w:rFonts w:cs="Arial"/>
          <w:sz w:val="22"/>
          <w:szCs w:val="22"/>
        </w:rPr>
        <w:t>Очаквани резултати от проекта</w:t>
      </w:r>
      <w:bookmarkEnd w:id="212"/>
      <w:bookmarkEnd w:id="213"/>
      <w:r w:rsidRPr="004F30AC">
        <w:rPr>
          <w:rFonts w:cs="Arial"/>
          <w:sz w:val="22"/>
          <w:szCs w:val="22"/>
        </w:rPr>
        <w:t xml:space="preserve"> </w:t>
      </w:r>
    </w:p>
    <w:p w14:paraId="4B1039E6" w14:textId="1BCFB241" w:rsidR="000A3C41" w:rsidRPr="00C675B4" w:rsidRDefault="000A3C41" w:rsidP="000A3C41">
      <w:pPr>
        <w:spacing w:before="240"/>
        <w:jc w:val="both"/>
        <w:rPr>
          <w:rFonts w:cs="Arial"/>
        </w:rPr>
      </w:pPr>
      <w:r w:rsidRPr="00F856CE">
        <w:rPr>
          <w:rFonts w:cs="Arial"/>
        </w:rPr>
        <w:t xml:space="preserve">Очакваните резултати от реализацията на проекта са </w:t>
      </w:r>
      <w:r w:rsidR="00F856CE" w:rsidRPr="00F856CE">
        <w:rPr>
          <w:rFonts w:cs="Arial"/>
        </w:rPr>
        <w:t>у</w:t>
      </w:r>
      <w:r w:rsidR="00F856CE" w:rsidRPr="000A3C41">
        <w:rPr>
          <w:rFonts w:cs="Arial"/>
        </w:rPr>
        <w:t xml:space="preserve">величаване на </w:t>
      </w:r>
      <w:r w:rsidR="00890F7C">
        <w:rPr>
          <w:rFonts w:cs="Arial"/>
        </w:rPr>
        <w:t>безопаснотта на корабите, акостиращи в</w:t>
      </w:r>
      <w:r w:rsidR="00F856CE" w:rsidRPr="000A3C41">
        <w:rPr>
          <w:rFonts w:cs="Arial"/>
        </w:rPr>
        <w:t xml:space="preserve"> пристанище Лом</w:t>
      </w:r>
      <w:r w:rsidR="00C675B4">
        <w:rPr>
          <w:rFonts w:cs="Arial"/>
        </w:rPr>
        <w:t xml:space="preserve">, както и </w:t>
      </w:r>
      <w:r w:rsidR="00C675B4" w:rsidRPr="009E3D61">
        <w:t xml:space="preserve">извършването на строителни работи за рехабилитация на Източния кей в лимана на </w:t>
      </w:r>
      <w:r w:rsidR="00C675B4" w:rsidRPr="00C675B4">
        <w:rPr>
          <w:rFonts w:cs="Arial"/>
        </w:rPr>
        <w:t xml:space="preserve">Пристанище Лом, </w:t>
      </w:r>
      <w:r w:rsidRPr="00C675B4">
        <w:rPr>
          <w:rFonts w:cs="Arial"/>
        </w:rPr>
        <w:t xml:space="preserve">с което се гарантира безопасността на населението и имуществото публична и частна държавна собственост, предоставени на ДППИ и разположени на терминала, както и на товарите, намиращи се на </w:t>
      </w:r>
      <w:r w:rsidR="00F856CE" w:rsidRPr="00C675B4">
        <w:rPr>
          <w:rFonts w:cs="Arial"/>
        </w:rPr>
        <w:t xml:space="preserve">пристанищен </w:t>
      </w:r>
      <w:r w:rsidRPr="00C675B4">
        <w:rPr>
          <w:rFonts w:cs="Arial"/>
        </w:rPr>
        <w:t xml:space="preserve">терминал </w:t>
      </w:r>
      <w:r w:rsidR="00F856CE" w:rsidRPr="00C675B4">
        <w:rPr>
          <w:rFonts w:cs="Arial"/>
        </w:rPr>
        <w:t>Лом.</w:t>
      </w:r>
    </w:p>
    <w:p w14:paraId="4889F9E1" w14:textId="77777777" w:rsidR="000A3C41" w:rsidRPr="004F30AC" w:rsidRDefault="000A3C41" w:rsidP="000A3C41">
      <w:pPr>
        <w:pStyle w:val="Heading3"/>
        <w:numPr>
          <w:ilvl w:val="2"/>
          <w:numId w:val="3"/>
        </w:numPr>
        <w:spacing w:before="240"/>
        <w:jc w:val="both"/>
        <w:rPr>
          <w:rFonts w:cs="Arial"/>
          <w:sz w:val="22"/>
          <w:szCs w:val="22"/>
        </w:rPr>
      </w:pPr>
      <w:bookmarkStart w:id="214" w:name="_Toc143607775"/>
      <w:bookmarkStart w:id="215" w:name="_Toc143694179"/>
      <w:r w:rsidRPr="004F30AC">
        <w:rPr>
          <w:rFonts w:cs="Arial"/>
          <w:sz w:val="22"/>
          <w:szCs w:val="22"/>
        </w:rPr>
        <w:t>Проучване за осъществимост на проекта</w:t>
      </w:r>
      <w:bookmarkEnd w:id="214"/>
      <w:bookmarkEnd w:id="215"/>
    </w:p>
    <w:p w14:paraId="271ED8A1" w14:textId="77777777" w:rsidR="00F856CE" w:rsidRPr="00C675B4" w:rsidRDefault="00F856CE" w:rsidP="00F856CE">
      <w:pPr>
        <w:spacing w:after="120" w:line="24" w:lineRule="atLeast"/>
        <w:jc w:val="both"/>
        <w:rPr>
          <w:rFonts w:cs="Arial"/>
          <w:sz w:val="16"/>
          <w:szCs w:val="16"/>
        </w:rPr>
      </w:pPr>
      <w:bookmarkStart w:id="216" w:name="_Hlk95398524"/>
    </w:p>
    <w:p w14:paraId="7C2B1CDE" w14:textId="77777777" w:rsidR="00F856CE" w:rsidRPr="00F856CE" w:rsidRDefault="00F856CE" w:rsidP="00F856CE">
      <w:pPr>
        <w:spacing w:after="120" w:line="24" w:lineRule="atLeast"/>
        <w:jc w:val="both"/>
        <w:rPr>
          <w:rFonts w:cs="Arial"/>
        </w:rPr>
      </w:pPr>
      <w:r w:rsidRPr="00F856CE">
        <w:rPr>
          <w:rFonts w:cs="Arial"/>
        </w:rPr>
        <w:t xml:space="preserve">За реализиране на обекта (според избрания вариант) е изготвен инвестиционен проект: „Рехабилитация на източен кей в Пристанищен терминал Лом“, който е оформен в съответствие с изискванията на чл.139 ал. 3 от Закона за устройство на територията и Наредба № 4 от 21.05.2001 г. за обема и съдържанието на инвестиционните проекти във фаза: </w:t>
      </w:r>
      <w:bookmarkEnd w:id="216"/>
      <w:r w:rsidRPr="00F856CE">
        <w:rPr>
          <w:rFonts w:cs="Arial"/>
        </w:rPr>
        <w:t>Технически проект, който съдържа  следните проектни части:</w:t>
      </w:r>
    </w:p>
    <w:p w14:paraId="1CFF5AAD"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lastRenderedPageBreak/>
        <w:t>Проектна част ХТС;</w:t>
      </w:r>
    </w:p>
    <w:p w14:paraId="0B46533A"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Статически изчисления;</w:t>
      </w:r>
    </w:p>
    <w:p w14:paraId="23F38A46" w14:textId="16B8F032"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„Технологична“</w:t>
      </w:r>
      <w:r>
        <w:rPr>
          <w:rFonts w:ascii="Arial" w:hAnsi="Arial" w:cs="Arial"/>
        </w:rPr>
        <w:t>;</w:t>
      </w:r>
    </w:p>
    <w:p w14:paraId="510C6DBB" w14:textId="656960F1"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„Пътна“</w:t>
      </w:r>
      <w:r>
        <w:rPr>
          <w:rFonts w:ascii="Arial" w:hAnsi="Arial" w:cs="Arial"/>
        </w:rPr>
        <w:t>;</w:t>
      </w:r>
    </w:p>
    <w:p w14:paraId="64DA71A7"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„Геодезическа, вертикално планиране и трасировъчен план;</w:t>
      </w:r>
    </w:p>
    <w:p w14:paraId="2B4701E4"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„ЖП Коловозно развитие“;</w:t>
      </w:r>
    </w:p>
    <w:p w14:paraId="5E2042B8"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„Електро“;</w:t>
      </w:r>
    </w:p>
    <w:p w14:paraId="16AC8435"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„ВиК и отводняване“;</w:t>
      </w:r>
    </w:p>
    <w:p w14:paraId="7358A64A"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„ВиК – пожарни хидранти“;</w:t>
      </w:r>
    </w:p>
    <w:p w14:paraId="2AF05833"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„ПБЗ“;</w:t>
      </w:r>
    </w:p>
    <w:p w14:paraId="617464FB" w14:textId="77777777" w:rsidR="00F856CE" w:rsidRPr="00F856CE" w:rsidRDefault="00F856CE" w:rsidP="00BF37F2">
      <w:pPr>
        <w:pStyle w:val="ListParagraph"/>
        <w:numPr>
          <w:ilvl w:val="0"/>
          <w:numId w:val="49"/>
        </w:numPr>
        <w:spacing w:before="0" w:after="120" w:line="24" w:lineRule="atLeast"/>
        <w:jc w:val="both"/>
        <w:rPr>
          <w:rFonts w:ascii="Arial" w:hAnsi="Arial" w:cs="Arial"/>
        </w:rPr>
      </w:pPr>
      <w:r w:rsidRPr="00F856CE">
        <w:rPr>
          <w:rFonts w:ascii="Arial" w:hAnsi="Arial" w:cs="Arial"/>
        </w:rPr>
        <w:t>Част: „ПУСО“;</w:t>
      </w:r>
    </w:p>
    <w:p w14:paraId="4952E3D3" w14:textId="60A16833" w:rsidR="00F856CE" w:rsidRPr="00F856CE" w:rsidRDefault="00F856CE" w:rsidP="00BF37F2">
      <w:pPr>
        <w:pStyle w:val="ListParagraph"/>
        <w:numPr>
          <w:ilvl w:val="0"/>
          <w:numId w:val="49"/>
        </w:numPr>
        <w:spacing w:before="0" w:after="120" w:line="24" w:lineRule="atLeast"/>
        <w:jc w:val="both"/>
        <w:rPr>
          <w:rFonts w:ascii="Arial" w:hAnsi="Arial" w:cs="Arial"/>
        </w:rPr>
      </w:pPr>
      <w:r>
        <w:rPr>
          <w:rFonts w:ascii="Arial" w:hAnsi="Arial" w:cs="Arial"/>
        </w:rPr>
        <w:t>Част: „Пожарна безопасност“;</w:t>
      </w:r>
    </w:p>
    <w:p w14:paraId="0BFAEC0C" w14:textId="77777777"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Проектна част „ВОБД“;</w:t>
      </w:r>
    </w:p>
    <w:p w14:paraId="343E4C65" w14:textId="1C5BDA7A" w:rsidR="00F856CE" w:rsidRPr="00F856CE" w:rsidRDefault="00F856CE" w:rsidP="00BF37F2">
      <w:pPr>
        <w:pStyle w:val="ListParagraph"/>
        <w:numPr>
          <w:ilvl w:val="0"/>
          <w:numId w:val="49"/>
        </w:numPr>
        <w:spacing w:before="0" w:after="120" w:line="24" w:lineRule="atLeast"/>
        <w:jc w:val="both"/>
        <w:rPr>
          <w:rFonts w:ascii="Arial" w:hAnsi="Arial" w:cs="Arial"/>
          <w:smallCaps/>
        </w:rPr>
      </w:pPr>
      <w:r w:rsidRPr="00F856CE">
        <w:rPr>
          <w:rFonts w:ascii="Arial" w:hAnsi="Arial" w:cs="Arial"/>
        </w:rPr>
        <w:t>Прое</w:t>
      </w:r>
      <w:r>
        <w:rPr>
          <w:rFonts w:ascii="Arial" w:hAnsi="Arial" w:cs="Arial"/>
        </w:rPr>
        <w:t>ктна част „Сметна документация“.</w:t>
      </w:r>
    </w:p>
    <w:p w14:paraId="550595D5" w14:textId="77777777" w:rsidR="00F856CE" w:rsidRPr="00F856CE" w:rsidRDefault="00F856CE" w:rsidP="00F856CE">
      <w:pPr>
        <w:spacing w:after="120" w:line="24" w:lineRule="atLeast"/>
        <w:jc w:val="both"/>
        <w:rPr>
          <w:rFonts w:cs="Arial"/>
        </w:rPr>
      </w:pPr>
      <w:r w:rsidRPr="00F856CE">
        <w:rPr>
          <w:rFonts w:cs="Arial"/>
        </w:rPr>
        <w:t>За инвестиционния проект са извършени необходимите съгласувателни дейности.</w:t>
      </w:r>
    </w:p>
    <w:p w14:paraId="5251EFBC" w14:textId="77777777" w:rsidR="00F856CE" w:rsidRPr="00F856CE" w:rsidRDefault="00F856CE" w:rsidP="00F856CE">
      <w:pPr>
        <w:spacing w:after="120" w:line="24" w:lineRule="atLeast"/>
        <w:jc w:val="both"/>
        <w:rPr>
          <w:rFonts w:cs="Arial"/>
        </w:rPr>
      </w:pPr>
      <w:r w:rsidRPr="00F856CE">
        <w:rPr>
          <w:rFonts w:cs="Arial"/>
        </w:rPr>
        <w:t>Проектът е съгласуван от Министерство на транспорта, информационните технологии и съобщенията (МТИТС) по реда на чл. 112г, ал. 3 от ЗМПВВППРБ, Министерство на отбраната,  Министерство на културата и Регионална дирекция „Пожарна безопасност и защита на населението“ (РДПБЗН) - Монтана.</w:t>
      </w:r>
    </w:p>
    <w:p w14:paraId="2C66D398" w14:textId="77777777" w:rsidR="00F856CE" w:rsidRPr="00F856CE" w:rsidRDefault="00F856CE" w:rsidP="00F856CE">
      <w:pPr>
        <w:spacing w:after="120" w:line="24" w:lineRule="atLeast"/>
        <w:jc w:val="both"/>
        <w:rPr>
          <w:rFonts w:cs="Arial"/>
        </w:rPr>
      </w:pPr>
      <w:r w:rsidRPr="00F856CE">
        <w:rPr>
          <w:rFonts w:cs="Arial"/>
        </w:rPr>
        <w:t>За реализиране на инвестиционното намерение са проведени необходимите процедури по Закона за опазване на околната среда (ЗООС), Закона за биологичното разнообразие (ЗБР) и Закона за водите, в резултат на което са издадени:</w:t>
      </w:r>
    </w:p>
    <w:p w14:paraId="7FD02EF4"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Решение № 5.ПР/05.03.2020 г. за преценяване необходимостта от извършване на оценка въздействието върху околната среда, издадено от РИОСВ – Монтата; С Решението е определено „да не се извършва оценка на въздействието върху околната среда за инвестиционно предложение „Рехабилитация на източния кей на пристанищен терминал Лом” в поземлен имот (ПИ) с идентификатор 44238.507.1 по кадастралната карта (КК) и кадастралните регистри (КР) на гр. Лом, общ. Лом, обл. Монтана, което няма вероятност да окаже значително отрицателно въздействие върху природни местообитаиия, популации и местообитания на видове, предмет на опазване в защитени зони.“</w:t>
      </w:r>
    </w:p>
    <w:p w14:paraId="70A64471"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Разрешително за ползване на повърхностен воден обект с № 12170812/08.12.2020 г. на Басейнова дирекция „Дунавски район“ (БД “ДР“);</w:t>
      </w:r>
    </w:p>
    <w:p w14:paraId="359CA25B" w14:textId="77777777" w:rsidR="00F856CE" w:rsidRPr="00F856CE" w:rsidRDefault="00F856CE" w:rsidP="00BF37F2">
      <w:pPr>
        <w:pStyle w:val="ListParagraph"/>
        <w:numPr>
          <w:ilvl w:val="0"/>
          <w:numId w:val="50"/>
        </w:numPr>
        <w:spacing w:before="0" w:after="120" w:line="24" w:lineRule="atLeast"/>
        <w:jc w:val="both"/>
        <w:rPr>
          <w:rFonts w:ascii="Arial" w:hAnsi="Arial" w:cs="Arial"/>
        </w:rPr>
      </w:pPr>
      <w:r w:rsidRPr="00F856CE">
        <w:rPr>
          <w:rFonts w:ascii="Arial" w:hAnsi="Arial" w:cs="Arial"/>
        </w:rPr>
        <w:t>Разрешително за ползване на воден обект за заустване на отпадни води и повърхностни води с № 13130018/08.12.2020 г. на Басейнова дирекция „Дунавски район“ (БД“ДР“);</w:t>
      </w:r>
    </w:p>
    <w:p w14:paraId="2F2D143C" w14:textId="0AD94E9E" w:rsidR="00660BE3" w:rsidRPr="002B143B" w:rsidRDefault="00F856CE" w:rsidP="00F856CE">
      <w:pPr>
        <w:jc w:val="both"/>
        <w:rPr>
          <w:lang w:eastAsia="en-US"/>
        </w:rPr>
      </w:pPr>
      <w:r w:rsidRPr="00F856CE">
        <w:rPr>
          <w:rFonts w:cs="Arial"/>
        </w:rPr>
        <w:t xml:space="preserve">Изготвен е доклад за оценка на съответствието на инвестиционния проект от назначен от ДП „Пристанищна инфраструктура“ лицензиран консултант - Строителен надзор (чл. 166 от ЗУТ), въз основа на които  внесеният в Министерство на </w:t>
      </w:r>
      <w:r w:rsidRPr="00F856CE">
        <w:rPr>
          <w:rFonts w:cs="Arial"/>
        </w:rPr>
        <w:lastRenderedPageBreak/>
        <w:t xml:space="preserve">регионалното развитие и благоустройство инвестиционен проект  за “Рехабилитация на източен кей в Пристанищен терминал Лом“ е одобрен и е издадено Разрешение за строеж </w:t>
      </w:r>
      <w:r w:rsidRPr="00F856CE">
        <w:rPr>
          <w:rFonts w:cs="Arial"/>
          <w:b/>
          <w:bCs/>
        </w:rPr>
        <w:t xml:space="preserve">№ РС-17/09.03.2021 г. </w:t>
      </w:r>
      <w:r w:rsidRPr="00F856CE">
        <w:rPr>
          <w:rFonts w:cs="Arial"/>
          <w:bCs/>
        </w:rPr>
        <w:t>( влязло в сила на 03.04.2021 г.)</w:t>
      </w:r>
      <w:r>
        <w:rPr>
          <w:rFonts w:cs="Arial"/>
          <w:bCs/>
        </w:rPr>
        <w:t>.</w:t>
      </w:r>
    </w:p>
    <w:p w14:paraId="20B66F4B" w14:textId="77777777" w:rsidR="00FE127A" w:rsidRDefault="00FE127A">
      <w:pPr>
        <w:rPr>
          <w:rFonts w:cs="Arial"/>
          <w:sz w:val="22"/>
        </w:rPr>
      </w:pPr>
    </w:p>
    <w:p w14:paraId="33B5DED5" w14:textId="77777777" w:rsidR="00FD6363" w:rsidRPr="00B376A7" w:rsidRDefault="00B870E2" w:rsidP="00660BE3">
      <w:pPr>
        <w:pStyle w:val="Heading1"/>
        <w:numPr>
          <w:ilvl w:val="0"/>
          <w:numId w:val="3"/>
        </w:numPr>
        <w:ind w:left="360" w:hanging="360"/>
        <w:jc w:val="both"/>
        <w:rPr>
          <w:lang w:val="bg-BG"/>
        </w:rPr>
      </w:pPr>
      <w:bookmarkStart w:id="217" w:name="_Toc56079283"/>
      <w:bookmarkStart w:id="218" w:name="_Toc143694180"/>
      <w:bookmarkEnd w:id="217"/>
      <w:r w:rsidRPr="00B376A7">
        <w:rPr>
          <w:lang w:val="bg-BG"/>
        </w:rPr>
        <w:t>АНАЛИЗ НА ВАРИАНТИТЕ</w:t>
      </w:r>
      <w:bookmarkEnd w:id="218"/>
    </w:p>
    <w:p w14:paraId="6332667F" w14:textId="41DB3BE5" w:rsidR="00FE127A" w:rsidRPr="00C675B4" w:rsidRDefault="00262D31" w:rsidP="00C675B4">
      <w:pPr>
        <w:pStyle w:val="Heading2"/>
        <w:numPr>
          <w:ilvl w:val="1"/>
          <w:numId w:val="3"/>
        </w:numPr>
        <w:ind w:left="1080" w:hanging="540"/>
        <w:rPr>
          <w:szCs w:val="24"/>
          <w:lang w:val="bg-BG"/>
        </w:rPr>
      </w:pPr>
      <w:bookmarkStart w:id="219" w:name="_Toc143694181"/>
      <w:r w:rsidRPr="00C675B4">
        <w:rPr>
          <w:szCs w:val="24"/>
          <w:lang w:val="bg-BG"/>
        </w:rPr>
        <w:t>Описание на вариантите</w:t>
      </w:r>
      <w:bookmarkEnd w:id="219"/>
    </w:p>
    <w:p w14:paraId="4290F048" w14:textId="61905CDD" w:rsidR="007C4BA1" w:rsidRDefault="007C4BA1" w:rsidP="00E0143D">
      <w:pPr>
        <w:jc w:val="both"/>
        <w:rPr>
          <w:rFonts w:cs="Arial"/>
        </w:rPr>
      </w:pPr>
      <w:r w:rsidRPr="00E0143D">
        <w:rPr>
          <w:rFonts w:cs="Arial"/>
        </w:rPr>
        <w:t>Поради наличието на голямо разнообразие от строителни технологии</w:t>
      </w:r>
      <w:r w:rsidR="00E0143D" w:rsidRPr="00E0143D">
        <w:rPr>
          <w:rFonts w:cs="Arial"/>
        </w:rPr>
        <w:t xml:space="preserve"> за изграждане на кейови стени, в Прединвестиционното проучване</w:t>
      </w:r>
      <w:r w:rsidRPr="00E0143D">
        <w:rPr>
          <w:rFonts w:cs="Arial"/>
        </w:rPr>
        <w:t xml:space="preserve"> е използван SWОT анализ за определяне на тези, за които да бъде приложен МКА и краен избор на вариант. Това е широко използван метод за избор на решения, при който се оценяват предимствата и недостатъците на различни варианти, както и техните възможности и опасности. В случая възможностите и опасностите са идентични, затова прилагането на метода е симплифицирано до предимства и недостатъци.</w:t>
      </w:r>
      <w:r w:rsidR="00E0143D">
        <w:rPr>
          <w:rFonts w:cs="Arial"/>
        </w:rPr>
        <w:t xml:space="preserve"> </w:t>
      </w:r>
      <w:r w:rsidRPr="00E0143D">
        <w:rPr>
          <w:rFonts w:cs="Arial"/>
        </w:rPr>
        <w:t xml:space="preserve">Описанията на всички разгледани възможности с техните предимства и недостатъци са </w:t>
      </w:r>
      <w:r w:rsidR="00E0143D">
        <w:rPr>
          <w:rFonts w:cs="Arial"/>
        </w:rPr>
        <w:t>подробно описани</w:t>
      </w:r>
      <w:r w:rsidRPr="00E0143D">
        <w:rPr>
          <w:rFonts w:cs="Arial"/>
        </w:rPr>
        <w:t xml:space="preserve"> в Приложение I</w:t>
      </w:r>
      <w:r w:rsidR="00E0143D">
        <w:rPr>
          <w:rFonts w:cs="Arial"/>
        </w:rPr>
        <w:t xml:space="preserve"> на Прединвестиционното проучване</w:t>
      </w:r>
      <w:r w:rsidRPr="00E0143D">
        <w:rPr>
          <w:rFonts w:cs="Arial"/>
        </w:rPr>
        <w:t>, а обобщените резултати са показани в  следващата таблица:</w:t>
      </w:r>
    </w:p>
    <w:p w14:paraId="03F945C9" w14:textId="679250B7" w:rsidR="00E0143D" w:rsidRPr="00E0143D" w:rsidRDefault="00E0143D" w:rsidP="00E0143D">
      <w:pPr>
        <w:jc w:val="both"/>
        <w:rPr>
          <w:rFonts w:cs="Arial"/>
        </w:rPr>
      </w:pPr>
      <w:bookmarkStart w:id="220" w:name="_Toc17409905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0143D">
        <w:rPr>
          <w:rFonts w:eastAsia="Calibri" w:cs="Arial"/>
          <w:i/>
          <w:color w:val="000000"/>
          <w:sz w:val="22"/>
          <w:lang w:eastAsia="en-US"/>
        </w:rPr>
        <w:t>Обобщени резултати за избор на видове кейови стени за прилагане на Мултикритериален анализ</w:t>
      </w:r>
      <w:bookmarkEnd w:id="220"/>
    </w:p>
    <w:tbl>
      <w:tblPr>
        <w:tblW w:w="9490" w:type="dxa"/>
        <w:tblInd w:w="-5" w:type="dxa"/>
        <w:tblLook w:val="04A0" w:firstRow="1" w:lastRow="0" w:firstColumn="1" w:lastColumn="0" w:noHBand="0" w:noVBand="1"/>
      </w:tblPr>
      <w:tblGrid>
        <w:gridCol w:w="2430"/>
        <w:gridCol w:w="2520"/>
        <w:gridCol w:w="4540"/>
      </w:tblGrid>
      <w:tr w:rsidR="007C4BA1" w:rsidRPr="009E3D61" w14:paraId="2A944BE6" w14:textId="77777777" w:rsidTr="00E0143D">
        <w:trPr>
          <w:trHeight w:val="276"/>
        </w:trPr>
        <w:tc>
          <w:tcPr>
            <w:tcW w:w="4950" w:type="dxa"/>
            <w:gridSpan w:val="2"/>
            <w:tcBorders>
              <w:top w:val="single" w:sz="4" w:space="0" w:color="auto"/>
              <w:left w:val="single" w:sz="4" w:space="0" w:color="auto"/>
              <w:bottom w:val="single" w:sz="4" w:space="0" w:color="auto"/>
              <w:right w:val="single" w:sz="4" w:space="0" w:color="auto"/>
            </w:tcBorders>
            <w:shd w:val="clear" w:color="000000" w:fill="8DB3E2"/>
            <w:vAlign w:val="center"/>
            <w:hideMark/>
          </w:tcPr>
          <w:p w14:paraId="3E2C6032" w14:textId="77777777" w:rsidR="007C4BA1" w:rsidRPr="009E3D61" w:rsidRDefault="007C4BA1" w:rsidP="002501DC">
            <w:pPr>
              <w:spacing w:before="120" w:after="120" w:line="240" w:lineRule="auto"/>
              <w:jc w:val="center"/>
              <w:rPr>
                <w:rFonts w:eastAsia="Times New Roman"/>
                <w:b/>
                <w:bCs/>
                <w:color w:val="000000"/>
              </w:rPr>
            </w:pPr>
            <w:r w:rsidRPr="009E3D61">
              <w:rPr>
                <w:rFonts w:eastAsia="Times New Roman"/>
                <w:b/>
                <w:bCs/>
                <w:color w:val="000000"/>
              </w:rPr>
              <w:t>Видове Кейови Стени</w:t>
            </w:r>
          </w:p>
        </w:tc>
        <w:tc>
          <w:tcPr>
            <w:tcW w:w="4540" w:type="dxa"/>
            <w:tcBorders>
              <w:top w:val="single" w:sz="4" w:space="0" w:color="auto"/>
              <w:left w:val="nil"/>
              <w:bottom w:val="single" w:sz="4" w:space="0" w:color="auto"/>
              <w:right w:val="single" w:sz="4" w:space="0" w:color="auto"/>
            </w:tcBorders>
            <w:shd w:val="clear" w:color="auto" w:fill="auto"/>
            <w:noWrap/>
            <w:vAlign w:val="bottom"/>
            <w:hideMark/>
          </w:tcPr>
          <w:p w14:paraId="47733A67" w14:textId="77777777" w:rsidR="007C4BA1" w:rsidRPr="009E3D61" w:rsidRDefault="007C4BA1" w:rsidP="002501DC">
            <w:pPr>
              <w:spacing w:before="120" w:after="120" w:line="240" w:lineRule="auto"/>
              <w:jc w:val="center"/>
              <w:rPr>
                <w:rFonts w:eastAsia="Times New Roman"/>
                <w:b/>
                <w:bCs/>
                <w:color w:val="000000"/>
              </w:rPr>
            </w:pPr>
            <w:r w:rsidRPr="009E3D61">
              <w:rPr>
                <w:rFonts w:eastAsia="Times New Roman"/>
                <w:b/>
                <w:bCs/>
                <w:color w:val="000000"/>
              </w:rPr>
              <w:t>Мотиви за решението</w:t>
            </w:r>
          </w:p>
        </w:tc>
      </w:tr>
      <w:tr w:rsidR="007C4BA1" w:rsidRPr="009E3D61" w14:paraId="7E9DE6EF" w14:textId="77777777" w:rsidTr="00E0143D">
        <w:trPr>
          <w:trHeight w:val="828"/>
        </w:trPr>
        <w:tc>
          <w:tcPr>
            <w:tcW w:w="2430" w:type="dxa"/>
            <w:vMerge w:val="restart"/>
            <w:tcBorders>
              <w:top w:val="nil"/>
              <w:left w:val="single" w:sz="4" w:space="0" w:color="auto"/>
              <w:bottom w:val="single" w:sz="4" w:space="0" w:color="auto"/>
              <w:right w:val="single" w:sz="4" w:space="0" w:color="auto"/>
            </w:tcBorders>
            <w:shd w:val="clear" w:color="000000" w:fill="C6D9F1"/>
            <w:vAlign w:val="center"/>
            <w:hideMark/>
          </w:tcPr>
          <w:p w14:paraId="16307F2A" w14:textId="77777777" w:rsidR="007C4BA1" w:rsidRPr="009E3D61" w:rsidRDefault="007C4BA1" w:rsidP="00E0143D">
            <w:pPr>
              <w:spacing w:after="120" w:line="24" w:lineRule="atLeast"/>
              <w:ind w:right="-141"/>
              <w:rPr>
                <w:rFonts w:eastAsia="Times New Roman"/>
                <w:b/>
                <w:bCs/>
                <w:color w:val="000000"/>
              </w:rPr>
            </w:pPr>
            <w:r w:rsidRPr="009E3D61">
              <w:rPr>
                <w:rFonts w:eastAsia="Times New Roman"/>
                <w:b/>
                <w:bCs/>
                <w:color w:val="000000"/>
              </w:rPr>
              <w:t xml:space="preserve">A. </w:t>
            </w:r>
            <w:r w:rsidRPr="009E3D61">
              <w:rPr>
                <w:rFonts w:eastAsia="Times New Roman"/>
                <w:color w:val="000000"/>
              </w:rPr>
              <w:t>Гравитационни стени</w:t>
            </w:r>
          </w:p>
        </w:tc>
        <w:tc>
          <w:tcPr>
            <w:tcW w:w="2520" w:type="dxa"/>
            <w:tcBorders>
              <w:top w:val="nil"/>
              <w:left w:val="nil"/>
              <w:bottom w:val="single" w:sz="4" w:space="0" w:color="auto"/>
              <w:right w:val="single" w:sz="4" w:space="0" w:color="auto"/>
            </w:tcBorders>
            <w:shd w:val="clear" w:color="000000" w:fill="FFFFFF"/>
            <w:vAlign w:val="center"/>
            <w:hideMark/>
          </w:tcPr>
          <w:p w14:paraId="5D8B221B" w14:textId="0C0D7097" w:rsidR="007C4BA1" w:rsidRPr="009E3D61" w:rsidRDefault="00E0143D" w:rsidP="00C15AC1">
            <w:pPr>
              <w:spacing w:after="120" w:line="24" w:lineRule="atLeast"/>
              <w:ind w:left="252" w:hanging="252"/>
              <w:rPr>
                <w:rFonts w:eastAsia="Times New Roman"/>
                <w:color w:val="000000"/>
              </w:rPr>
            </w:pPr>
            <w:r>
              <w:rPr>
                <w:rFonts w:eastAsia="Times New Roman"/>
                <w:color w:val="000000"/>
              </w:rPr>
              <w:t>1) Масивни бетонови блокове</w:t>
            </w:r>
          </w:p>
        </w:tc>
        <w:tc>
          <w:tcPr>
            <w:tcW w:w="4540" w:type="dxa"/>
            <w:tcBorders>
              <w:top w:val="nil"/>
              <w:left w:val="nil"/>
              <w:bottom w:val="single" w:sz="4" w:space="0" w:color="auto"/>
              <w:right w:val="single" w:sz="4" w:space="0" w:color="auto"/>
            </w:tcBorders>
            <w:shd w:val="clear" w:color="000000" w:fill="FFFFFF"/>
            <w:vAlign w:val="bottom"/>
            <w:hideMark/>
          </w:tcPr>
          <w:p w14:paraId="3DA85A53" w14:textId="732F648E" w:rsidR="007C4BA1" w:rsidRPr="009E3D61" w:rsidRDefault="007C4BA1" w:rsidP="00E0143D">
            <w:pPr>
              <w:spacing w:after="0" w:line="24" w:lineRule="atLeast"/>
              <w:rPr>
                <w:rFonts w:eastAsia="Times New Roman"/>
                <w:color w:val="000000"/>
              </w:rPr>
            </w:pPr>
            <w:r>
              <w:rPr>
                <w:rFonts w:eastAsia="Times New Roman"/>
                <w:color w:val="000000"/>
              </w:rPr>
              <w:t>Щ</w:t>
            </w:r>
            <w:r w:rsidRPr="009E3D61">
              <w:rPr>
                <w:rFonts w:eastAsia="Times New Roman"/>
                <w:color w:val="000000"/>
              </w:rPr>
              <w:t xml:space="preserve">е се стесни акваторията, но са здрави и трайни и сравнително евтини за изграждане, затова се </w:t>
            </w:r>
            <w:r w:rsidRPr="00E0143D">
              <w:rPr>
                <w:rFonts w:eastAsia="Times New Roman"/>
                <w:b/>
                <w:color w:val="000000"/>
              </w:rPr>
              <w:t>препоръчва за МКА</w:t>
            </w:r>
            <w:r w:rsidR="00E0143D">
              <w:rPr>
                <w:rFonts w:eastAsia="Times New Roman"/>
                <w:color w:val="000000"/>
              </w:rPr>
              <w:t>.</w:t>
            </w:r>
          </w:p>
        </w:tc>
      </w:tr>
      <w:tr w:rsidR="007C4BA1" w:rsidRPr="009E3D61" w14:paraId="062C3E46"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0AB1554A"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000000" w:fill="FFFFFF"/>
            <w:vAlign w:val="center"/>
            <w:hideMark/>
          </w:tcPr>
          <w:p w14:paraId="5021B21A" w14:textId="5D751F88" w:rsidR="007C4BA1" w:rsidRPr="009E3D61" w:rsidRDefault="007C4BA1" w:rsidP="00C15AC1">
            <w:pPr>
              <w:spacing w:after="120" w:line="24" w:lineRule="atLeast"/>
              <w:rPr>
                <w:rFonts w:eastAsia="Times New Roman"/>
                <w:color w:val="000000"/>
              </w:rPr>
            </w:pPr>
            <w:r w:rsidRPr="009E3D61">
              <w:rPr>
                <w:rFonts w:eastAsia="Times New Roman"/>
                <w:color w:val="000000"/>
              </w:rPr>
              <w:t>2) Кесонна стена</w:t>
            </w:r>
          </w:p>
        </w:tc>
        <w:tc>
          <w:tcPr>
            <w:tcW w:w="4540" w:type="dxa"/>
            <w:tcBorders>
              <w:top w:val="nil"/>
              <w:left w:val="nil"/>
              <w:bottom w:val="single" w:sz="4" w:space="0" w:color="auto"/>
              <w:right w:val="single" w:sz="4" w:space="0" w:color="auto"/>
            </w:tcBorders>
            <w:shd w:val="clear" w:color="000000" w:fill="FFFFFF"/>
            <w:vAlign w:val="bottom"/>
            <w:hideMark/>
          </w:tcPr>
          <w:p w14:paraId="37BA6E75" w14:textId="7C3180E3" w:rsidR="007C4BA1" w:rsidRPr="009E3D61" w:rsidRDefault="007C4BA1" w:rsidP="00E0143D">
            <w:pPr>
              <w:spacing w:after="0" w:line="24" w:lineRule="atLeast"/>
              <w:rPr>
                <w:rFonts w:eastAsia="Times New Roman"/>
                <w:color w:val="000000"/>
              </w:rPr>
            </w:pPr>
            <w:r>
              <w:rPr>
                <w:rFonts w:eastAsia="Times New Roman"/>
                <w:color w:val="000000"/>
              </w:rPr>
              <w:t>Щ</w:t>
            </w:r>
            <w:r w:rsidRPr="009E3D61">
              <w:rPr>
                <w:rFonts w:eastAsia="Times New Roman"/>
                <w:color w:val="000000"/>
              </w:rPr>
              <w:t xml:space="preserve">е се стесни акваторията,изисква модерна строителна технология и ниски разходи за поддръжка, затова се </w:t>
            </w:r>
            <w:r w:rsidRPr="00E0143D">
              <w:rPr>
                <w:rFonts w:eastAsia="Times New Roman"/>
                <w:b/>
                <w:color w:val="000000"/>
              </w:rPr>
              <w:t>препоръчва за МКА</w:t>
            </w:r>
            <w:r w:rsidR="00E0143D">
              <w:rPr>
                <w:rFonts w:eastAsia="Times New Roman"/>
                <w:color w:val="000000"/>
              </w:rPr>
              <w:t>.</w:t>
            </w:r>
          </w:p>
        </w:tc>
      </w:tr>
      <w:tr w:rsidR="007C4BA1" w:rsidRPr="009E3D61" w14:paraId="766F1221"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6A5DA6A5"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25CEF005" w14:textId="1F265DE5" w:rsidR="007C4BA1" w:rsidRPr="009E3D61" w:rsidRDefault="00E0143D" w:rsidP="00C15AC1">
            <w:pPr>
              <w:spacing w:after="120" w:line="24" w:lineRule="atLeast"/>
              <w:rPr>
                <w:rFonts w:eastAsia="Times New Roman"/>
                <w:color w:val="000000"/>
              </w:rPr>
            </w:pPr>
            <w:r>
              <w:rPr>
                <w:rFonts w:eastAsia="Times New Roman"/>
                <w:color w:val="000000"/>
              </w:rPr>
              <w:t>3) L-образна стена</w:t>
            </w:r>
          </w:p>
        </w:tc>
        <w:tc>
          <w:tcPr>
            <w:tcW w:w="4540" w:type="dxa"/>
            <w:tcBorders>
              <w:top w:val="nil"/>
              <w:left w:val="nil"/>
              <w:bottom w:val="single" w:sz="4" w:space="0" w:color="auto"/>
              <w:right w:val="single" w:sz="4" w:space="0" w:color="auto"/>
            </w:tcBorders>
            <w:shd w:val="clear" w:color="auto" w:fill="auto"/>
            <w:vAlign w:val="bottom"/>
            <w:hideMark/>
          </w:tcPr>
          <w:p w14:paraId="0EDAAEC2" w14:textId="122A747C" w:rsidR="007C4BA1" w:rsidRPr="009E3D61" w:rsidRDefault="007C4BA1" w:rsidP="00E0143D">
            <w:pPr>
              <w:spacing w:after="0" w:line="24" w:lineRule="atLeast"/>
              <w:rPr>
                <w:rFonts w:eastAsia="Times New Roman"/>
                <w:color w:val="000000"/>
              </w:rPr>
            </w:pPr>
            <w:r>
              <w:rPr>
                <w:rFonts w:eastAsia="Times New Roman"/>
                <w:color w:val="000000"/>
              </w:rPr>
              <w:t>Т</w:t>
            </w:r>
            <w:r w:rsidRPr="009E3D61">
              <w:rPr>
                <w:rFonts w:eastAsia="Times New Roman"/>
                <w:color w:val="000000"/>
              </w:rPr>
              <w:t xml:space="preserve">рудно отводняване, опасност от корозия, скъпа поддръжка и високи разходи,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75505E7" w14:textId="77777777" w:rsidTr="00E0143D">
        <w:trPr>
          <w:trHeight w:val="828"/>
        </w:trPr>
        <w:tc>
          <w:tcPr>
            <w:tcW w:w="2430" w:type="dxa"/>
            <w:vMerge/>
            <w:tcBorders>
              <w:top w:val="nil"/>
              <w:left w:val="single" w:sz="4" w:space="0" w:color="auto"/>
              <w:bottom w:val="single" w:sz="4" w:space="0" w:color="auto"/>
              <w:right w:val="single" w:sz="4" w:space="0" w:color="auto"/>
            </w:tcBorders>
            <w:vAlign w:val="center"/>
            <w:hideMark/>
          </w:tcPr>
          <w:p w14:paraId="1E176B09"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0371F33E" w14:textId="019D18C1" w:rsidR="007C4BA1" w:rsidRPr="009E3D61" w:rsidRDefault="00E0143D" w:rsidP="00C15AC1">
            <w:pPr>
              <w:spacing w:after="120" w:line="24" w:lineRule="atLeast"/>
              <w:rPr>
                <w:rFonts w:eastAsia="Times New Roman"/>
                <w:color w:val="000000"/>
              </w:rPr>
            </w:pPr>
            <w:r>
              <w:rPr>
                <w:rFonts w:eastAsia="Times New Roman"/>
                <w:color w:val="000000"/>
              </w:rPr>
              <w:t>4) Клетъчна стена</w:t>
            </w:r>
          </w:p>
        </w:tc>
        <w:tc>
          <w:tcPr>
            <w:tcW w:w="4540" w:type="dxa"/>
            <w:tcBorders>
              <w:top w:val="nil"/>
              <w:left w:val="nil"/>
              <w:bottom w:val="single" w:sz="4" w:space="0" w:color="auto"/>
              <w:right w:val="single" w:sz="4" w:space="0" w:color="auto"/>
            </w:tcBorders>
            <w:shd w:val="clear" w:color="auto" w:fill="auto"/>
            <w:vAlign w:val="bottom"/>
            <w:hideMark/>
          </w:tcPr>
          <w:p w14:paraId="458D4320" w14:textId="01C381CE"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се тежко оборудване, дълъг период за строителство, скъпа и трудна поддръжка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3D72D37" w14:textId="77777777" w:rsidTr="00E0143D">
        <w:trPr>
          <w:trHeight w:val="715"/>
        </w:trPr>
        <w:tc>
          <w:tcPr>
            <w:tcW w:w="2430" w:type="dxa"/>
            <w:vMerge/>
            <w:tcBorders>
              <w:top w:val="nil"/>
              <w:left w:val="single" w:sz="4" w:space="0" w:color="auto"/>
              <w:bottom w:val="single" w:sz="4" w:space="0" w:color="auto"/>
              <w:right w:val="single" w:sz="4" w:space="0" w:color="auto"/>
            </w:tcBorders>
            <w:vAlign w:val="center"/>
            <w:hideMark/>
          </w:tcPr>
          <w:p w14:paraId="73D0629B"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1C63BF89" w14:textId="484CAA4F"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5)</w:t>
            </w:r>
            <w:r w:rsidR="00E0143D">
              <w:rPr>
                <w:rFonts w:eastAsia="Times New Roman"/>
                <w:color w:val="000000"/>
              </w:rPr>
              <w:t> Армирана земна конструкция</w:t>
            </w:r>
          </w:p>
        </w:tc>
        <w:tc>
          <w:tcPr>
            <w:tcW w:w="4540" w:type="dxa"/>
            <w:tcBorders>
              <w:top w:val="nil"/>
              <w:left w:val="nil"/>
              <w:bottom w:val="single" w:sz="4" w:space="0" w:color="auto"/>
              <w:right w:val="single" w:sz="4" w:space="0" w:color="auto"/>
            </w:tcBorders>
            <w:shd w:val="clear" w:color="auto" w:fill="auto"/>
            <w:vAlign w:val="bottom"/>
            <w:hideMark/>
          </w:tcPr>
          <w:p w14:paraId="39B79B8C" w14:textId="44577D9F" w:rsidR="007C4BA1" w:rsidRPr="009E3D61" w:rsidRDefault="007C4BA1" w:rsidP="00E0143D">
            <w:pPr>
              <w:spacing w:after="0" w:line="24" w:lineRule="atLeast"/>
              <w:rPr>
                <w:rFonts w:eastAsia="Times New Roman"/>
                <w:color w:val="000000"/>
              </w:rPr>
            </w:pPr>
            <w:r>
              <w:rPr>
                <w:rFonts w:eastAsia="Times New Roman"/>
                <w:color w:val="000000"/>
              </w:rPr>
              <w:t>Т</w:t>
            </w:r>
            <w:r w:rsidRPr="009E3D61">
              <w:rPr>
                <w:rFonts w:eastAsia="Times New Roman"/>
                <w:color w:val="000000"/>
              </w:rPr>
              <w:t xml:space="preserve">рудно изпълнение във водна среда, непрекъснато отводняване и изпълнение на "сухо"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04005C2A" w14:textId="77777777" w:rsidTr="00E0143D">
        <w:trPr>
          <w:trHeight w:val="796"/>
        </w:trPr>
        <w:tc>
          <w:tcPr>
            <w:tcW w:w="2430" w:type="dxa"/>
            <w:vMerge w:val="restart"/>
            <w:tcBorders>
              <w:top w:val="nil"/>
              <w:left w:val="single" w:sz="4" w:space="0" w:color="auto"/>
              <w:bottom w:val="single" w:sz="4" w:space="0" w:color="auto"/>
              <w:right w:val="single" w:sz="4" w:space="0" w:color="auto"/>
            </w:tcBorders>
            <w:shd w:val="clear" w:color="000000" w:fill="EAF1DD"/>
            <w:vAlign w:val="center"/>
            <w:hideMark/>
          </w:tcPr>
          <w:p w14:paraId="00EE6B47"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B. </w:t>
            </w:r>
            <w:r w:rsidRPr="009E3D61">
              <w:rPr>
                <w:rFonts w:eastAsia="Times New Roman"/>
                <w:color w:val="000000"/>
              </w:rPr>
              <w:t>Анкерирани подпорни стени</w:t>
            </w:r>
          </w:p>
        </w:tc>
        <w:tc>
          <w:tcPr>
            <w:tcW w:w="2520" w:type="dxa"/>
            <w:tcBorders>
              <w:top w:val="nil"/>
              <w:left w:val="nil"/>
              <w:bottom w:val="single" w:sz="4" w:space="0" w:color="auto"/>
              <w:right w:val="single" w:sz="4" w:space="0" w:color="auto"/>
            </w:tcBorders>
            <w:shd w:val="clear" w:color="auto" w:fill="auto"/>
            <w:vAlign w:val="center"/>
            <w:hideMark/>
          </w:tcPr>
          <w:p w14:paraId="55964388" w14:textId="07FDCA6A" w:rsidR="007C4BA1" w:rsidRPr="009E3D61" w:rsidRDefault="00E0143D" w:rsidP="00E0143D">
            <w:pPr>
              <w:spacing w:after="120" w:line="24" w:lineRule="atLeast"/>
              <w:rPr>
                <w:rFonts w:eastAsia="Times New Roman"/>
                <w:color w:val="000000"/>
              </w:rPr>
            </w:pPr>
            <w:r>
              <w:rPr>
                <w:rFonts w:eastAsia="Times New Roman"/>
                <w:color w:val="000000"/>
              </w:rPr>
              <w:t>6) Шпунтова стена</w:t>
            </w:r>
          </w:p>
        </w:tc>
        <w:tc>
          <w:tcPr>
            <w:tcW w:w="4540" w:type="dxa"/>
            <w:tcBorders>
              <w:top w:val="nil"/>
              <w:left w:val="nil"/>
              <w:bottom w:val="single" w:sz="4" w:space="0" w:color="auto"/>
              <w:right w:val="single" w:sz="4" w:space="0" w:color="auto"/>
            </w:tcBorders>
            <w:shd w:val="clear" w:color="auto" w:fill="auto"/>
            <w:vAlign w:val="bottom"/>
            <w:hideMark/>
          </w:tcPr>
          <w:p w14:paraId="00A98FDA" w14:textId="6B7B2908" w:rsidR="007C4BA1" w:rsidRPr="009E3D61" w:rsidRDefault="007C4BA1" w:rsidP="00E0143D">
            <w:pPr>
              <w:spacing w:after="0" w:line="24" w:lineRule="atLeast"/>
              <w:rPr>
                <w:rFonts w:eastAsia="Times New Roman"/>
                <w:color w:val="000000"/>
              </w:rPr>
            </w:pPr>
            <w:r>
              <w:rPr>
                <w:rFonts w:eastAsia="Times New Roman"/>
                <w:color w:val="000000"/>
              </w:rPr>
              <w:t>Н</w:t>
            </w:r>
            <w:r w:rsidRPr="009E3D61">
              <w:rPr>
                <w:rFonts w:eastAsia="Times New Roman"/>
                <w:color w:val="000000"/>
              </w:rPr>
              <w:t xml:space="preserve">еустойчива при високи стени и натоварвания и въпреки ниските разходи за СМР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693C855D" w14:textId="77777777" w:rsidTr="00E0143D">
        <w:trPr>
          <w:trHeight w:val="445"/>
        </w:trPr>
        <w:tc>
          <w:tcPr>
            <w:tcW w:w="2430" w:type="dxa"/>
            <w:vMerge/>
            <w:tcBorders>
              <w:top w:val="nil"/>
              <w:left w:val="single" w:sz="4" w:space="0" w:color="auto"/>
              <w:bottom w:val="single" w:sz="4" w:space="0" w:color="auto"/>
              <w:right w:val="single" w:sz="4" w:space="0" w:color="auto"/>
            </w:tcBorders>
            <w:vAlign w:val="center"/>
            <w:hideMark/>
          </w:tcPr>
          <w:p w14:paraId="1CDC730E"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000000" w:fill="FFFFFF"/>
            <w:vAlign w:val="center"/>
            <w:hideMark/>
          </w:tcPr>
          <w:p w14:paraId="50369D1C" w14:textId="1A9AD19B"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7)</w:t>
            </w:r>
            <w:r w:rsidR="00E0143D">
              <w:rPr>
                <w:rFonts w:eastAsia="Times New Roman"/>
                <w:color w:val="000000"/>
              </w:rPr>
              <w:t> Комбинирана Шпунтова стена</w:t>
            </w:r>
          </w:p>
        </w:tc>
        <w:tc>
          <w:tcPr>
            <w:tcW w:w="4540" w:type="dxa"/>
            <w:tcBorders>
              <w:top w:val="nil"/>
              <w:left w:val="nil"/>
              <w:bottom w:val="single" w:sz="4" w:space="0" w:color="auto"/>
              <w:right w:val="single" w:sz="4" w:space="0" w:color="auto"/>
            </w:tcBorders>
            <w:shd w:val="clear" w:color="000000" w:fill="FFFFFF"/>
            <w:vAlign w:val="bottom"/>
            <w:hideMark/>
          </w:tcPr>
          <w:p w14:paraId="5A361E7D" w14:textId="77777777"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драгиране на мястото, но не намалява акваторията, бърза  строителна технология и сравнително ниски разходи за СМР и поддръжка, затова се </w:t>
            </w:r>
            <w:r w:rsidRPr="00E0143D">
              <w:rPr>
                <w:rFonts w:eastAsia="Times New Roman"/>
                <w:b/>
                <w:color w:val="000000"/>
              </w:rPr>
              <w:t>препоръчва за МКА</w:t>
            </w:r>
          </w:p>
        </w:tc>
      </w:tr>
      <w:tr w:rsidR="007C4BA1" w:rsidRPr="009E3D61" w14:paraId="671D40D6" w14:textId="77777777" w:rsidTr="00E0143D">
        <w:trPr>
          <w:trHeight w:val="1140"/>
        </w:trPr>
        <w:tc>
          <w:tcPr>
            <w:tcW w:w="2430" w:type="dxa"/>
            <w:vMerge/>
            <w:tcBorders>
              <w:top w:val="nil"/>
              <w:left w:val="single" w:sz="4" w:space="0" w:color="auto"/>
              <w:bottom w:val="single" w:sz="4" w:space="0" w:color="auto"/>
              <w:right w:val="single" w:sz="4" w:space="0" w:color="auto"/>
            </w:tcBorders>
            <w:vAlign w:val="center"/>
            <w:hideMark/>
          </w:tcPr>
          <w:p w14:paraId="51D52676"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7931695C" w14:textId="54FE5D07" w:rsidR="007C4BA1" w:rsidRPr="009E3D61" w:rsidRDefault="007C4BA1" w:rsidP="00C15AC1">
            <w:pPr>
              <w:spacing w:after="120" w:line="24" w:lineRule="atLeast"/>
              <w:ind w:left="252" w:hanging="252"/>
              <w:rPr>
                <w:rFonts w:eastAsia="Times New Roman"/>
                <w:color w:val="000000"/>
              </w:rPr>
            </w:pPr>
            <w:r w:rsidRPr="009E3D61">
              <w:rPr>
                <w:rFonts w:eastAsia="Times New Roman"/>
                <w:color w:val="000000"/>
              </w:rPr>
              <w:t>8) Кофердам стена  - двуред</w:t>
            </w:r>
            <w:r w:rsidR="00E0143D">
              <w:rPr>
                <w:rFonts w:eastAsia="Times New Roman"/>
                <w:color w:val="000000"/>
              </w:rPr>
              <w:t>ова шпунтова стена /Cofferdam/)</w:t>
            </w:r>
          </w:p>
        </w:tc>
        <w:tc>
          <w:tcPr>
            <w:tcW w:w="4540" w:type="dxa"/>
            <w:tcBorders>
              <w:top w:val="nil"/>
              <w:left w:val="nil"/>
              <w:bottom w:val="single" w:sz="4" w:space="0" w:color="auto"/>
              <w:right w:val="single" w:sz="4" w:space="0" w:color="auto"/>
            </w:tcBorders>
            <w:shd w:val="clear" w:color="auto" w:fill="auto"/>
            <w:vAlign w:val="bottom"/>
            <w:hideMark/>
          </w:tcPr>
          <w:p w14:paraId="77A3EF38" w14:textId="6EE21ACE"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нсталирането на шпунтовете под вода усложнява и забавя строителството, разходите за строителство са средни, но високи за поддръжка и затова </w:t>
            </w:r>
            <w:r w:rsidRPr="00E0143D">
              <w:rPr>
                <w:rFonts w:eastAsia="Times New Roman"/>
                <w:i/>
                <w:color w:val="000000"/>
              </w:rPr>
              <w:t>не се препоръчва за МКА</w:t>
            </w:r>
            <w:r w:rsidR="00E0143D">
              <w:rPr>
                <w:rFonts w:eastAsia="Times New Roman"/>
                <w:i/>
                <w:color w:val="000000"/>
              </w:rPr>
              <w:t>.</w:t>
            </w:r>
            <w:r w:rsidRPr="009E3D61">
              <w:rPr>
                <w:rFonts w:eastAsia="Times New Roman"/>
                <w:color w:val="000000"/>
              </w:rPr>
              <w:t xml:space="preserve"> </w:t>
            </w:r>
          </w:p>
        </w:tc>
      </w:tr>
      <w:tr w:rsidR="007C4BA1" w:rsidRPr="009E3D61" w14:paraId="213C9E08" w14:textId="77777777" w:rsidTr="00E0143D">
        <w:trPr>
          <w:trHeight w:val="1525"/>
        </w:trPr>
        <w:tc>
          <w:tcPr>
            <w:tcW w:w="2430" w:type="dxa"/>
            <w:vMerge/>
            <w:tcBorders>
              <w:top w:val="nil"/>
              <w:left w:val="single" w:sz="4" w:space="0" w:color="auto"/>
              <w:bottom w:val="single" w:sz="4" w:space="0" w:color="auto"/>
              <w:right w:val="single" w:sz="4" w:space="0" w:color="auto"/>
            </w:tcBorders>
            <w:vAlign w:val="center"/>
            <w:hideMark/>
          </w:tcPr>
          <w:p w14:paraId="684D3791"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7559B01B" w14:textId="3CFBBA06" w:rsidR="007C4BA1" w:rsidRPr="009E3D61" w:rsidRDefault="00E0143D" w:rsidP="00E0143D">
            <w:pPr>
              <w:spacing w:after="120" w:line="24" w:lineRule="atLeast"/>
              <w:rPr>
                <w:rFonts w:eastAsia="Times New Roman"/>
                <w:color w:val="000000"/>
              </w:rPr>
            </w:pPr>
            <w:r>
              <w:rPr>
                <w:rFonts w:eastAsia="Times New Roman"/>
                <w:color w:val="000000"/>
              </w:rPr>
              <w:t>9) Шлицова стена</w:t>
            </w:r>
          </w:p>
        </w:tc>
        <w:tc>
          <w:tcPr>
            <w:tcW w:w="4540" w:type="dxa"/>
            <w:tcBorders>
              <w:top w:val="nil"/>
              <w:left w:val="nil"/>
              <w:bottom w:val="single" w:sz="4" w:space="0" w:color="auto"/>
              <w:right w:val="single" w:sz="4" w:space="0" w:color="auto"/>
            </w:tcBorders>
            <w:shd w:val="clear" w:color="auto" w:fill="auto"/>
            <w:vAlign w:val="bottom"/>
            <w:hideMark/>
          </w:tcPr>
          <w:p w14:paraId="0CC5F45F" w14:textId="732B3743" w:rsidR="007C4BA1" w:rsidRPr="009E3D61" w:rsidRDefault="007C4BA1" w:rsidP="00E0143D">
            <w:pPr>
              <w:spacing w:after="0" w:line="24" w:lineRule="atLeast"/>
              <w:rPr>
                <w:rFonts w:eastAsia="Times New Roman"/>
                <w:color w:val="000000"/>
              </w:rPr>
            </w:pPr>
            <w:r>
              <w:rPr>
                <w:rFonts w:eastAsia="Times New Roman"/>
                <w:color w:val="000000"/>
              </w:rPr>
              <w:t>И</w:t>
            </w:r>
            <w:r w:rsidRPr="009E3D61">
              <w:rPr>
                <w:rFonts w:eastAsia="Times New Roman"/>
                <w:color w:val="000000"/>
              </w:rPr>
              <w:t xml:space="preserve">зисква се сложна строителна технология със строг контрол и при тези хидрогеоложки и геоложки условия, без гаранции за  качеството и дълъг срок, както и сравнително високи разходи за СМР,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50A4A6B1" w14:textId="77777777" w:rsidTr="00E0143D">
        <w:trPr>
          <w:trHeight w:val="1066"/>
        </w:trPr>
        <w:tc>
          <w:tcPr>
            <w:tcW w:w="2430" w:type="dxa"/>
            <w:vMerge w:val="restart"/>
            <w:tcBorders>
              <w:top w:val="nil"/>
              <w:left w:val="single" w:sz="4" w:space="0" w:color="auto"/>
              <w:bottom w:val="single" w:sz="4" w:space="0" w:color="auto"/>
              <w:right w:val="single" w:sz="4" w:space="0" w:color="auto"/>
            </w:tcBorders>
            <w:shd w:val="clear" w:color="000000" w:fill="FDE9D9"/>
            <w:vAlign w:val="center"/>
            <w:hideMark/>
          </w:tcPr>
          <w:p w14:paraId="2D875141"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C. </w:t>
            </w:r>
            <w:r w:rsidRPr="009E3D61">
              <w:rPr>
                <w:rFonts w:eastAsia="Times New Roman"/>
                <w:color w:val="000000"/>
              </w:rPr>
              <w:t>Пилотни конструкции:</w:t>
            </w:r>
          </w:p>
        </w:tc>
        <w:tc>
          <w:tcPr>
            <w:tcW w:w="2520" w:type="dxa"/>
            <w:tcBorders>
              <w:top w:val="nil"/>
              <w:left w:val="nil"/>
              <w:bottom w:val="single" w:sz="4" w:space="0" w:color="auto"/>
              <w:right w:val="single" w:sz="4" w:space="0" w:color="auto"/>
            </w:tcBorders>
            <w:shd w:val="clear" w:color="auto" w:fill="auto"/>
            <w:vAlign w:val="center"/>
            <w:hideMark/>
          </w:tcPr>
          <w:p w14:paraId="3B44F4DE"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10) Пилотна конструкция с надстройка </w:t>
            </w:r>
          </w:p>
        </w:tc>
        <w:tc>
          <w:tcPr>
            <w:tcW w:w="4540" w:type="dxa"/>
            <w:tcBorders>
              <w:top w:val="nil"/>
              <w:left w:val="nil"/>
              <w:bottom w:val="single" w:sz="4" w:space="0" w:color="auto"/>
              <w:right w:val="single" w:sz="4" w:space="0" w:color="auto"/>
            </w:tcBorders>
            <w:shd w:val="clear" w:color="auto" w:fill="auto"/>
            <w:vAlign w:val="bottom"/>
            <w:hideMark/>
          </w:tcPr>
          <w:p w14:paraId="5F72C2B6" w14:textId="77777777" w:rsidR="007C4BA1" w:rsidRPr="009E3D61" w:rsidRDefault="007C4BA1" w:rsidP="00E0143D">
            <w:pPr>
              <w:spacing w:after="0" w:line="24" w:lineRule="atLeast"/>
              <w:rPr>
                <w:rFonts w:eastAsia="Times New Roman"/>
                <w:color w:val="000000"/>
              </w:rPr>
            </w:pPr>
            <w:r w:rsidRPr="009E3D61">
              <w:rPr>
                <w:rFonts w:eastAsia="Times New Roman"/>
                <w:color w:val="000000"/>
              </w:rPr>
              <w:t>Почвените условия са неподохдящи, сложна и бавна строителна технология и изключително високи разходи за СМР, затова не се препоръчва за МКА</w:t>
            </w:r>
          </w:p>
        </w:tc>
      </w:tr>
      <w:tr w:rsidR="007C4BA1" w:rsidRPr="009E3D61" w14:paraId="48969772" w14:textId="77777777" w:rsidTr="00E0143D">
        <w:trPr>
          <w:trHeight w:val="888"/>
        </w:trPr>
        <w:tc>
          <w:tcPr>
            <w:tcW w:w="2430" w:type="dxa"/>
            <w:vMerge/>
            <w:tcBorders>
              <w:top w:val="nil"/>
              <w:left w:val="single" w:sz="4" w:space="0" w:color="auto"/>
              <w:bottom w:val="single" w:sz="4" w:space="0" w:color="auto"/>
              <w:right w:val="single" w:sz="4" w:space="0" w:color="auto"/>
            </w:tcBorders>
            <w:vAlign w:val="center"/>
            <w:hideMark/>
          </w:tcPr>
          <w:p w14:paraId="579BC7B0" w14:textId="77777777" w:rsidR="007C4BA1" w:rsidRPr="009E3D61" w:rsidRDefault="007C4BA1" w:rsidP="00535ED7">
            <w:pPr>
              <w:spacing w:after="120" w:line="24" w:lineRule="atLeast"/>
              <w:rPr>
                <w:rFonts w:eastAsia="Times New Roman"/>
                <w:b/>
                <w:bCs/>
                <w:color w:val="000000"/>
              </w:rPr>
            </w:pPr>
          </w:p>
        </w:tc>
        <w:tc>
          <w:tcPr>
            <w:tcW w:w="2520" w:type="dxa"/>
            <w:tcBorders>
              <w:top w:val="nil"/>
              <w:left w:val="nil"/>
              <w:bottom w:val="single" w:sz="4" w:space="0" w:color="auto"/>
              <w:right w:val="single" w:sz="4" w:space="0" w:color="auto"/>
            </w:tcBorders>
            <w:shd w:val="clear" w:color="auto" w:fill="auto"/>
            <w:vAlign w:val="center"/>
            <w:hideMark/>
          </w:tcPr>
          <w:p w14:paraId="0E48A0A7"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11) Пилотна конструкция – тип Пирс (непрекъснат пирс/долфини с мост)</w:t>
            </w:r>
          </w:p>
        </w:tc>
        <w:tc>
          <w:tcPr>
            <w:tcW w:w="4540" w:type="dxa"/>
            <w:tcBorders>
              <w:top w:val="nil"/>
              <w:left w:val="nil"/>
              <w:bottom w:val="single" w:sz="4" w:space="0" w:color="auto"/>
              <w:right w:val="single" w:sz="4" w:space="0" w:color="auto"/>
            </w:tcBorders>
            <w:shd w:val="clear" w:color="auto" w:fill="auto"/>
            <w:hideMark/>
          </w:tcPr>
          <w:p w14:paraId="1347E7DC" w14:textId="5BF3EADE" w:rsidR="007C4BA1" w:rsidRPr="009E3D61" w:rsidRDefault="007C4BA1" w:rsidP="00E0143D">
            <w:pPr>
              <w:spacing w:after="0" w:line="24" w:lineRule="atLeast"/>
              <w:rPr>
                <w:rFonts w:eastAsia="Times New Roman"/>
                <w:color w:val="000000"/>
              </w:rPr>
            </w:pPr>
            <w:r w:rsidRPr="009E3D61">
              <w:rPr>
                <w:rFonts w:eastAsia="Times New Roman"/>
                <w:color w:val="000000"/>
              </w:rPr>
              <w:t xml:space="preserve">Неподходяща за терминали с натоварване като това на Източния кей, а предимно за Течни терминали и затова </w:t>
            </w:r>
            <w:r w:rsidRPr="00E0143D">
              <w:rPr>
                <w:rFonts w:eastAsia="Times New Roman"/>
                <w:i/>
                <w:color w:val="000000"/>
              </w:rPr>
              <w:t>не се препоръчва за МКА</w:t>
            </w:r>
            <w:r w:rsidR="00E0143D">
              <w:rPr>
                <w:rFonts w:eastAsia="Times New Roman"/>
                <w:i/>
                <w:color w:val="000000"/>
              </w:rPr>
              <w:t>.</w:t>
            </w:r>
          </w:p>
        </w:tc>
      </w:tr>
      <w:tr w:rsidR="007C4BA1" w:rsidRPr="009E3D61" w14:paraId="6653E923" w14:textId="77777777" w:rsidTr="00E0143D">
        <w:trPr>
          <w:trHeight w:val="828"/>
        </w:trPr>
        <w:tc>
          <w:tcPr>
            <w:tcW w:w="2430" w:type="dxa"/>
            <w:tcBorders>
              <w:top w:val="nil"/>
              <w:left w:val="single" w:sz="4" w:space="0" w:color="auto"/>
              <w:bottom w:val="single" w:sz="4" w:space="0" w:color="auto"/>
              <w:right w:val="single" w:sz="4" w:space="0" w:color="auto"/>
            </w:tcBorders>
            <w:shd w:val="clear" w:color="000000" w:fill="FFFF99"/>
            <w:vAlign w:val="center"/>
            <w:hideMark/>
          </w:tcPr>
          <w:p w14:paraId="543CD6EA" w14:textId="77777777" w:rsidR="007C4BA1" w:rsidRPr="009E3D61" w:rsidRDefault="007C4BA1" w:rsidP="00535ED7">
            <w:pPr>
              <w:spacing w:after="120" w:line="24" w:lineRule="atLeast"/>
              <w:rPr>
                <w:rFonts w:eastAsia="Times New Roman"/>
                <w:b/>
                <w:bCs/>
                <w:color w:val="000000"/>
              </w:rPr>
            </w:pPr>
            <w:r w:rsidRPr="009E3D61">
              <w:rPr>
                <w:rFonts w:eastAsia="Times New Roman"/>
                <w:b/>
                <w:bCs/>
                <w:color w:val="000000"/>
              </w:rPr>
              <w:t xml:space="preserve">D.    </w:t>
            </w:r>
            <w:r w:rsidRPr="009E3D61">
              <w:rPr>
                <w:rFonts w:eastAsia="Times New Roman"/>
                <w:color w:val="000000"/>
              </w:rPr>
              <w:t>Пилотна конструкция с Ростверк</w:t>
            </w:r>
          </w:p>
        </w:tc>
        <w:tc>
          <w:tcPr>
            <w:tcW w:w="2520" w:type="dxa"/>
            <w:tcBorders>
              <w:top w:val="nil"/>
              <w:left w:val="nil"/>
              <w:bottom w:val="single" w:sz="4" w:space="0" w:color="auto"/>
              <w:right w:val="single" w:sz="4" w:space="0" w:color="auto"/>
            </w:tcBorders>
            <w:shd w:val="clear" w:color="auto" w:fill="auto"/>
            <w:vAlign w:val="center"/>
            <w:hideMark/>
          </w:tcPr>
          <w:p w14:paraId="3D0DBB6E" w14:textId="77777777" w:rsidR="007C4BA1" w:rsidRPr="009E3D61" w:rsidRDefault="007C4BA1" w:rsidP="00C15AC1">
            <w:pPr>
              <w:spacing w:after="120" w:line="24" w:lineRule="atLeast"/>
              <w:ind w:left="432" w:hanging="432"/>
              <w:rPr>
                <w:rFonts w:eastAsia="Times New Roman"/>
                <w:color w:val="000000"/>
              </w:rPr>
            </w:pPr>
            <w:r w:rsidRPr="009E3D61">
              <w:rPr>
                <w:rFonts w:eastAsia="Times New Roman"/>
                <w:color w:val="000000"/>
              </w:rPr>
              <w:t xml:space="preserve">12) Пилотна конструкция с нисък или висок Ростверк </w:t>
            </w:r>
            <w:r w:rsidRPr="009E3D61">
              <w:rPr>
                <w:rFonts w:eastAsia="Times New Roman"/>
                <w:color w:val="000000"/>
              </w:rPr>
              <w:lastRenderedPageBreak/>
              <w:t>(облекчителна платформа)</w:t>
            </w:r>
          </w:p>
        </w:tc>
        <w:tc>
          <w:tcPr>
            <w:tcW w:w="4540" w:type="dxa"/>
            <w:tcBorders>
              <w:top w:val="nil"/>
              <w:left w:val="nil"/>
              <w:bottom w:val="single" w:sz="4" w:space="0" w:color="auto"/>
              <w:right w:val="single" w:sz="4" w:space="0" w:color="auto"/>
            </w:tcBorders>
            <w:shd w:val="clear" w:color="auto" w:fill="auto"/>
            <w:hideMark/>
          </w:tcPr>
          <w:p w14:paraId="52DC3E6E" w14:textId="37862549" w:rsidR="007C4BA1" w:rsidRPr="009E3D61" w:rsidRDefault="007C4BA1" w:rsidP="00E0143D">
            <w:pPr>
              <w:spacing w:after="0" w:line="24" w:lineRule="atLeast"/>
              <w:rPr>
                <w:rFonts w:eastAsia="Times New Roman"/>
                <w:color w:val="000000"/>
              </w:rPr>
            </w:pPr>
            <w:r>
              <w:rPr>
                <w:rFonts w:eastAsia="Times New Roman"/>
                <w:color w:val="000000"/>
              </w:rPr>
              <w:lastRenderedPageBreak/>
              <w:t>Н</w:t>
            </w:r>
            <w:r w:rsidRPr="009E3D61">
              <w:rPr>
                <w:rFonts w:eastAsia="Times New Roman"/>
                <w:color w:val="000000"/>
              </w:rPr>
              <w:t xml:space="preserve">еобходим е сух изкоп, бавен строителен процес и много високи разходи за СМР и поддръжка и затова </w:t>
            </w:r>
            <w:r w:rsidRPr="00E0143D">
              <w:rPr>
                <w:rFonts w:eastAsia="Times New Roman"/>
                <w:i/>
                <w:color w:val="000000"/>
              </w:rPr>
              <w:t>не се препоръчва за МКА</w:t>
            </w:r>
            <w:r w:rsidR="00E0143D">
              <w:rPr>
                <w:rFonts w:eastAsia="Times New Roman"/>
                <w:i/>
                <w:color w:val="000000"/>
              </w:rPr>
              <w:t>.</w:t>
            </w:r>
          </w:p>
        </w:tc>
      </w:tr>
    </w:tbl>
    <w:p w14:paraId="3C23C220" w14:textId="77777777" w:rsidR="007C4BA1" w:rsidRPr="009E3D61" w:rsidRDefault="007C4BA1" w:rsidP="007C4BA1">
      <w:pPr>
        <w:spacing w:after="120" w:line="24" w:lineRule="atLeast"/>
        <w:rPr>
          <w:rFonts w:eastAsia="Times New Roman"/>
        </w:rPr>
      </w:pPr>
    </w:p>
    <w:p w14:paraId="7EDED28B" w14:textId="14215E69" w:rsidR="007C4BA1" w:rsidRPr="00C675B4" w:rsidRDefault="007C4BA1" w:rsidP="007C4BA1">
      <w:pPr>
        <w:jc w:val="both"/>
        <w:rPr>
          <w:rFonts w:cs="Arial"/>
        </w:rPr>
      </w:pPr>
      <w:r w:rsidRPr="009E3D61">
        <w:rPr>
          <w:rFonts w:eastAsia="Times New Roman"/>
        </w:rPr>
        <w:t>Изводите са, че подробно изследване за избор на подходящ вариант трябва да бъде направен на три от възможните строителни технологии, а именно</w:t>
      </w:r>
      <w:r w:rsidR="00C15AC1">
        <w:rPr>
          <w:rFonts w:eastAsia="Times New Roman"/>
        </w:rPr>
        <w:t>:</w:t>
      </w:r>
    </w:p>
    <w:p w14:paraId="090E98ED" w14:textId="263F4A25" w:rsidR="00C675B4" w:rsidRPr="00C675B4" w:rsidRDefault="00C675B4" w:rsidP="00C675B4">
      <w:pPr>
        <w:shd w:val="clear" w:color="auto" w:fill="FFFFFF"/>
        <w:spacing w:after="0"/>
        <w:ind w:firstLine="720"/>
        <w:jc w:val="both"/>
        <w:rPr>
          <w:rFonts w:eastAsia="Times New Roman" w:cs="Arial"/>
          <w:szCs w:val="24"/>
          <w:lang w:eastAsia="en-US"/>
        </w:rPr>
      </w:pPr>
      <w:r w:rsidRPr="00C675B4">
        <w:rPr>
          <w:rFonts w:eastAsia="Times New Roman" w:cs="Arial"/>
          <w:szCs w:val="24"/>
          <w:lang w:eastAsia="en-US"/>
        </w:rPr>
        <w:t xml:space="preserve">Вариант 1 - </w:t>
      </w:r>
      <w:r w:rsidRPr="000A0EB3">
        <w:rPr>
          <w:rFonts w:eastAsia="Times New Roman" w:cs="Arial"/>
          <w:szCs w:val="24"/>
          <w:lang w:eastAsia="en-US"/>
        </w:rPr>
        <w:t>Изграждане на кейова стена от масивни бетонови блокове</w:t>
      </w:r>
      <w:r w:rsidRPr="00C675B4">
        <w:rPr>
          <w:rFonts w:eastAsia="Times New Roman" w:cs="Arial"/>
          <w:szCs w:val="24"/>
          <w:lang w:eastAsia="en-US"/>
        </w:rPr>
        <w:t>;</w:t>
      </w:r>
    </w:p>
    <w:p w14:paraId="100D6DC7" w14:textId="56509E4A" w:rsidR="00C675B4" w:rsidRPr="00C675B4" w:rsidRDefault="00C675B4" w:rsidP="00C675B4">
      <w:pPr>
        <w:shd w:val="clear" w:color="auto" w:fill="FFFFFF"/>
        <w:spacing w:after="0"/>
        <w:ind w:firstLine="720"/>
        <w:jc w:val="both"/>
        <w:rPr>
          <w:rFonts w:eastAsia="Times New Roman" w:cs="Arial"/>
          <w:szCs w:val="24"/>
          <w:lang w:eastAsia="en-US"/>
        </w:rPr>
      </w:pPr>
      <w:r w:rsidRPr="00C675B4">
        <w:rPr>
          <w:rFonts w:eastAsia="Times New Roman" w:cs="Arial"/>
          <w:szCs w:val="24"/>
          <w:lang w:eastAsia="en-US"/>
        </w:rPr>
        <w:t xml:space="preserve">Вариант 2 - </w:t>
      </w:r>
      <w:r w:rsidRPr="000A0EB3">
        <w:rPr>
          <w:rFonts w:eastAsia="Times New Roman" w:cs="Arial"/>
          <w:szCs w:val="24"/>
          <w:lang w:eastAsia="en-US"/>
        </w:rPr>
        <w:t>Изграждане на кесонна кейова стена</w:t>
      </w:r>
      <w:r w:rsidRPr="00C675B4">
        <w:rPr>
          <w:rFonts w:eastAsia="Times New Roman" w:cs="Arial"/>
          <w:szCs w:val="24"/>
          <w:lang w:eastAsia="en-US"/>
        </w:rPr>
        <w:t>;</w:t>
      </w:r>
    </w:p>
    <w:p w14:paraId="6E392F2D" w14:textId="41C164D6" w:rsidR="00C675B4" w:rsidRPr="00B0077E" w:rsidRDefault="00C675B4" w:rsidP="00C675B4">
      <w:pPr>
        <w:shd w:val="clear" w:color="auto" w:fill="FFFFFF"/>
        <w:spacing w:after="0"/>
        <w:ind w:firstLine="720"/>
        <w:jc w:val="both"/>
        <w:rPr>
          <w:rFonts w:ascii="Times New Roman" w:eastAsia="Times New Roman" w:hAnsi="Times New Roman" w:cs="Times New Roman"/>
          <w:szCs w:val="24"/>
          <w:lang w:eastAsia="en-US"/>
        </w:rPr>
      </w:pPr>
      <w:r w:rsidRPr="00C675B4">
        <w:rPr>
          <w:rFonts w:eastAsia="Times New Roman" w:cs="Arial"/>
          <w:szCs w:val="24"/>
          <w:lang w:eastAsia="en-US"/>
        </w:rPr>
        <w:t>Вариант 3 - Изграждане на комбинирана шпунтова кейова стена</w:t>
      </w:r>
    </w:p>
    <w:p w14:paraId="06C6C6F6" w14:textId="50DCCD41" w:rsidR="005235AF" w:rsidRPr="00326359" w:rsidRDefault="00262D31" w:rsidP="00326359">
      <w:pPr>
        <w:spacing w:before="120" w:after="120" w:line="24" w:lineRule="atLeast"/>
        <w:jc w:val="both"/>
        <w:rPr>
          <w:rFonts w:eastAsia="Times New Roman" w:cs="Arial"/>
          <w:szCs w:val="24"/>
          <w:lang w:eastAsia="en-US"/>
        </w:rPr>
      </w:pPr>
      <w:r w:rsidRPr="000A0EB3">
        <w:rPr>
          <w:rFonts w:eastAsia="Times New Roman" w:cs="Arial"/>
          <w:szCs w:val="24"/>
          <w:lang w:eastAsia="en-US"/>
        </w:rPr>
        <w:t xml:space="preserve">За тези варианти е изготвен МКА за избор на най-добра опция за </w:t>
      </w:r>
      <w:r w:rsidR="00AE7A37">
        <w:rPr>
          <w:rFonts w:eastAsia="Times New Roman" w:cs="Arial"/>
          <w:szCs w:val="24"/>
          <w:lang w:eastAsia="en-US"/>
        </w:rPr>
        <w:t>реконструкция</w:t>
      </w:r>
      <w:r w:rsidR="00933DE0">
        <w:rPr>
          <w:rFonts w:eastAsia="Times New Roman" w:cs="Arial"/>
          <w:szCs w:val="24"/>
          <w:lang w:eastAsia="en-US"/>
        </w:rPr>
        <w:t xml:space="preserve"> на </w:t>
      </w:r>
      <w:r w:rsidRPr="000A0EB3">
        <w:rPr>
          <w:rFonts w:eastAsia="Times New Roman" w:cs="Arial"/>
          <w:szCs w:val="24"/>
          <w:lang w:eastAsia="en-US"/>
        </w:rPr>
        <w:t>на кейова стена на Източния кей в пристанище Лом.</w:t>
      </w:r>
    </w:p>
    <w:p w14:paraId="12CB916E" w14:textId="2142CC72" w:rsidR="00F73F46" w:rsidRPr="00C675B4" w:rsidRDefault="00262D31" w:rsidP="00C675B4">
      <w:pPr>
        <w:pStyle w:val="Heading2"/>
        <w:numPr>
          <w:ilvl w:val="1"/>
          <w:numId w:val="3"/>
        </w:numPr>
        <w:ind w:left="1080" w:hanging="540"/>
        <w:rPr>
          <w:szCs w:val="24"/>
          <w:lang w:val="bg-BG"/>
        </w:rPr>
      </w:pPr>
      <w:bookmarkStart w:id="221" w:name="_Toc143694182"/>
      <w:r w:rsidRPr="00C675B4">
        <w:rPr>
          <w:szCs w:val="24"/>
          <w:lang w:val="bg-BG"/>
        </w:rPr>
        <w:t>Методология за прилагане на мултикритериален анализ</w:t>
      </w:r>
      <w:bookmarkEnd w:id="221"/>
    </w:p>
    <w:p w14:paraId="2696D612" w14:textId="77777777" w:rsidR="00262D31" w:rsidRDefault="00262D31" w:rsidP="000A0EB3">
      <w:pPr>
        <w:jc w:val="both"/>
      </w:pPr>
      <w:r>
        <w:t>Изборът на обективна алтернатива от разработените проектни варианти за следваща стъпка от развитието на инвестиционния процес е отговорен етап за всеки проект. Мултикритериалният анализ е официално препоръчания алгоритъм в Указания за изготвяне на Анализ разходи-ползи (АРП) за инвестиционни проекти, Регламент 2015/207.</w:t>
      </w:r>
      <w:r w:rsidR="000A0EB3">
        <w:t xml:space="preserve"> </w:t>
      </w:r>
      <w:r>
        <w:t>Мултикритериалният анализ (МKА) е инструмент от свързани алгоритми в единна система от различни критерии и тяхното относително тегло. За разлика от АРП, който е фокусиран върху точно определени индикатори на проектите, МKА е инструмент, който обхваща по-широка гама от фактори, която не може да бъде точно определена количествено на този етап от инвестиционното проектиране. Като инструмент МKА е особено полезен при взимане на решение за избор на алтернативи.</w:t>
      </w:r>
    </w:p>
    <w:p w14:paraId="039F315B" w14:textId="77777777" w:rsidR="00262D31" w:rsidRDefault="00262D31" w:rsidP="000A0EB3">
      <w:pPr>
        <w:jc w:val="both"/>
      </w:pPr>
      <w:r>
        <w:t>МKА е индивидуален за всеки проект, базиран на особеностите на съответния икономически сектор. В настоящия случай са спазени общите етапи на прилагането му, както следва:</w:t>
      </w:r>
    </w:p>
    <w:p w14:paraId="0D35281C" w14:textId="77777777" w:rsidR="00262D31" w:rsidRPr="00181D25" w:rsidRDefault="00262D31" w:rsidP="00BF37F2">
      <w:pPr>
        <w:pStyle w:val="ListParagraph"/>
        <w:numPr>
          <w:ilvl w:val="0"/>
          <w:numId w:val="29"/>
        </w:numPr>
        <w:jc w:val="both"/>
        <w:rPr>
          <w:rFonts w:cs="Arial"/>
        </w:rPr>
      </w:pPr>
      <w:r w:rsidRPr="000A0EB3">
        <w:rPr>
          <w:rFonts w:ascii="Arial" w:hAnsi="Arial" w:cs="Arial"/>
        </w:rPr>
        <w:t>Дефиниране на основните критерии, критерии и под-критерии с определяне на целите/резултатите за тяхното използване и индикаторите за измерването им;</w:t>
      </w:r>
    </w:p>
    <w:p w14:paraId="4B50688D" w14:textId="77777777" w:rsidR="00262D31" w:rsidRPr="00181D25" w:rsidRDefault="00262D31" w:rsidP="00BF37F2">
      <w:pPr>
        <w:pStyle w:val="ListParagraph"/>
        <w:numPr>
          <w:ilvl w:val="0"/>
          <w:numId w:val="29"/>
        </w:numPr>
        <w:jc w:val="both"/>
        <w:rPr>
          <w:rFonts w:cs="Arial"/>
        </w:rPr>
      </w:pPr>
      <w:r w:rsidRPr="000A0EB3">
        <w:rPr>
          <w:rFonts w:ascii="Arial" w:hAnsi="Arial" w:cs="Arial"/>
        </w:rPr>
        <w:t>Оценка за постигнатото ниво за всеки под-критерий, критерий и основен критерий на всеки вариант и мотиви на присъдените стойности за всеки индикатор;</w:t>
      </w:r>
    </w:p>
    <w:p w14:paraId="66C7D3C5" w14:textId="77777777" w:rsidR="00262D31" w:rsidRPr="00181D25" w:rsidRDefault="00262D31" w:rsidP="00BF37F2">
      <w:pPr>
        <w:pStyle w:val="ListParagraph"/>
        <w:numPr>
          <w:ilvl w:val="0"/>
          <w:numId w:val="29"/>
        </w:numPr>
        <w:jc w:val="both"/>
        <w:rPr>
          <w:rFonts w:cs="Arial"/>
        </w:rPr>
      </w:pPr>
      <w:r w:rsidRPr="000A0EB3">
        <w:rPr>
          <w:rFonts w:ascii="Arial" w:hAnsi="Arial" w:cs="Arial"/>
        </w:rPr>
        <w:t>Изводи за резултатите и избор на най-добър вариант на база синтезирани стойности от различни критерии.</w:t>
      </w:r>
    </w:p>
    <w:p w14:paraId="236CD510" w14:textId="77777777" w:rsidR="00535ED7" w:rsidRDefault="00535ED7" w:rsidP="00535ED7">
      <w:pPr>
        <w:jc w:val="both"/>
      </w:pPr>
      <w:r w:rsidRPr="009E3D61">
        <w:lastRenderedPageBreak/>
        <w:t>При дефинирането на основните критерии, критерии и под-критерии са взети под внимание насоките на JASPERS при изготвяне на сравнителен анализ на варианти за развитие на транспортна инфраструктура и постигане на съответствие с изискванията на Приложение III на Регламент 2015/207. Направена е оценка за всеки вариант на базата на следните основни критерии:</w:t>
      </w:r>
      <w:bookmarkStart w:id="222" w:name="_Hlk95402974"/>
    </w:p>
    <w:p w14:paraId="18E3ADDA" w14:textId="77777777" w:rsidR="00535ED7" w:rsidRPr="00535ED7" w:rsidRDefault="00535ED7" w:rsidP="00535ED7">
      <w:pPr>
        <w:jc w:val="both"/>
      </w:pPr>
    </w:p>
    <w:p w14:paraId="21368814"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Технически;</w:t>
      </w:r>
    </w:p>
    <w:p w14:paraId="440F22C2"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Финансово-икономически;</w:t>
      </w:r>
    </w:p>
    <w:p w14:paraId="13B54EDC"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Екологичен;</w:t>
      </w:r>
    </w:p>
    <w:p w14:paraId="2D9F145B" w14:textId="77777777" w:rsidR="00535ED7" w:rsidRPr="009E3D61" w:rsidRDefault="00535ED7" w:rsidP="00BF37F2">
      <w:pPr>
        <w:numPr>
          <w:ilvl w:val="0"/>
          <w:numId w:val="51"/>
        </w:numPr>
        <w:tabs>
          <w:tab w:val="left" w:pos="1440"/>
        </w:tabs>
        <w:spacing w:after="120" w:line="24" w:lineRule="atLeast"/>
        <w:ind w:left="0" w:firstLine="720"/>
        <w:contextualSpacing/>
        <w:jc w:val="both"/>
        <w:rPr>
          <w:rFonts w:eastAsia="Times New Roman"/>
          <w:lang w:eastAsia="zh-CN"/>
        </w:rPr>
      </w:pPr>
      <w:r w:rsidRPr="009E3D61">
        <w:rPr>
          <w:rFonts w:eastAsia="Times New Roman"/>
          <w:lang w:eastAsia="zh-CN"/>
        </w:rPr>
        <w:t>Социален.</w:t>
      </w:r>
    </w:p>
    <w:bookmarkEnd w:id="222"/>
    <w:p w14:paraId="4ADCB702" w14:textId="77777777" w:rsidR="00535ED7" w:rsidRPr="009E3D61" w:rsidRDefault="00535ED7" w:rsidP="00535ED7">
      <w:pPr>
        <w:spacing w:after="120" w:line="24" w:lineRule="atLeast"/>
        <w:contextualSpacing/>
        <w:rPr>
          <w:rFonts w:eastAsia="Times New Roman"/>
          <w:lang w:eastAsia="zh-CN"/>
        </w:rPr>
      </w:pPr>
    </w:p>
    <w:p w14:paraId="10659A4D" w14:textId="77777777" w:rsidR="00535ED7" w:rsidRPr="009E3D61" w:rsidRDefault="00535ED7" w:rsidP="00535ED7">
      <w:pPr>
        <w:spacing w:after="120" w:line="24" w:lineRule="atLeast"/>
      </w:pPr>
      <w:r w:rsidRPr="009E3D61">
        <w:t>Всеки от тези основни критерии обхваща съответни критерии и подкритерии, както следва:</w:t>
      </w:r>
    </w:p>
    <w:tbl>
      <w:tblPr>
        <w:tblW w:w="5000" w:type="pct"/>
        <w:tblLook w:val="04A0" w:firstRow="1" w:lastRow="0" w:firstColumn="1" w:lastColumn="0" w:noHBand="0" w:noVBand="1"/>
      </w:tblPr>
      <w:tblGrid>
        <w:gridCol w:w="2941"/>
        <w:gridCol w:w="3235"/>
        <w:gridCol w:w="3311"/>
      </w:tblGrid>
      <w:tr w:rsidR="00535ED7" w:rsidRPr="009E3D61" w14:paraId="60E7AA51" w14:textId="77777777" w:rsidTr="00535ED7">
        <w:trPr>
          <w:trHeight w:val="765"/>
        </w:trPr>
        <w:tc>
          <w:tcPr>
            <w:tcW w:w="155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5695554"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Основен критерий</w:t>
            </w:r>
          </w:p>
        </w:tc>
        <w:tc>
          <w:tcPr>
            <w:tcW w:w="17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FB47C4"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Критерий</w:t>
            </w:r>
          </w:p>
        </w:tc>
        <w:tc>
          <w:tcPr>
            <w:tcW w:w="174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FCF248" w14:textId="77777777" w:rsidR="00535ED7" w:rsidRPr="009E3D61" w:rsidRDefault="00535ED7" w:rsidP="00535ED7">
            <w:pPr>
              <w:spacing w:after="120" w:line="24" w:lineRule="atLeast"/>
              <w:jc w:val="center"/>
              <w:rPr>
                <w:rFonts w:eastAsia="Times New Roman"/>
                <w:b/>
                <w:bCs/>
              </w:rPr>
            </w:pPr>
            <w:r w:rsidRPr="009E3D61">
              <w:rPr>
                <w:rFonts w:eastAsia="Times New Roman"/>
                <w:b/>
                <w:bCs/>
              </w:rPr>
              <w:t>Подкритерий</w:t>
            </w:r>
          </w:p>
        </w:tc>
      </w:tr>
      <w:tr w:rsidR="00535ED7" w:rsidRPr="00535ED7" w14:paraId="48F4D6B4" w14:textId="77777777" w:rsidTr="00535ED7">
        <w:trPr>
          <w:trHeight w:val="105"/>
        </w:trPr>
        <w:tc>
          <w:tcPr>
            <w:tcW w:w="1550" w:type="pct"/>
            <w:tcBorders>
              <w:top w:val="nil"/>
              <w:left w:val="nil"/>
              <w:bottom w:val="nil"/>
              <w:right w:val="nil"/>
            </w:tcBorders>
            <w:shd w:val="clear" w:color="auto" w:fill="auto"/>
            <w:vAlign w:val="center"/>
            <w:hideMark/>
          </w:tcPr>
          <w:p w14:paraId="4FF3503B" w14:textId="77777777" w:rsidR="00535ED7" w:rsidRPr="00535ED7" w:rsidRDefault="00535ED7" w:rsidP="00535ED7">
            <w:pPr>
              <w:spacing w:after="0" w:line="240" w:lineRule="auto"/>
              <w:jc w:val="center"/>
              <w:rPr>
                <w:rFonts w:eastAsia="Times New Roman"/>
                <w:sz w:val="16"/>
                <w:szCs w:val="16"/>
              </w:rPr>
            </w:pPr>
          </w:p>
        </w:tc>
        <w:tc>
          <w:tcPr>
            <w:tcW w:w="1705" w:type="pct"/>
            <w:tcBorders>
              <w:top w:val="nil"/>
              <w:left w:val="nil"/>
              <w:bottom w:val="nil"/>
              <w:right w:val="nil"/>
            </w:tcBorders>
            <w:shd w:val="clear" w:color="auto" w:fill="auto"/>
            <w:vAlign w:val="center"/>
            <w:hideMark/>
          </w:tcPr>
          <w:p w14:paraId="4459D32E" w14:textId="77777777" w:rsidR="00535ED7" w:rsidRPr="00535ED7" w:rsidRDefault="00535ED7" w:rsidP="00535ED7">
            <w:pPr>
              <w:spacing w:after="0" w:line="240" w:lineRule="auto"/>
              <w:rPr>
                <w:rFonts w:eastAsia="Times New Roman"/>
                <w:sz w:val="16"/>
                <w:szCs w:val="16"/>
              </w:rPr>
            </w:pPr>
          </w:p>
        </w:tc>
        <w:tc>
          <w:tcPr>
            <w:tcW w:w="1745" w:type="pct"/>
            <w:tcBorders>
              <w:top w:val="nil"/>
              <w:left w:val="nil"/>
              <w:bottom w:val="nil"/>
              <w:right w:val="nil"/>
            </w:tcBorders>
            <w:shd w:val="clear" w:color="auto" w:fill="auto"/>
            <w:vAlign w:val="center"/>
            <w:hideMark/>
          </w:tcPr>
          <w:p w14:paraId="45076D31" w14:textId="77777777" w:rsidR="00535ED7" w:rsidRPr="00535ED7" w:rsidRDefault="00535ED7" w:rsidP="00535ED7">
            <w:pPr>
              <w:spacing w:after="0" w:line="240" w:lineRule="auto"/>
              <w:rPr>
                <w:rFonts w:eastAsia="Times New Roman"/>
                <w:sz w:val="16"/>
                <w:szCs w:val="16"/>
              </w:rPr>
            </w:pPr>
          </w:p>
        </w:tc>
      </w:tr>
      <w:tr w:rsidR="00535ED7" w:rsidRPr="009E3D61" w14:paraId="5F62ECBD" w14:textId="77777777" w:rsidTr="00535ED7">
        <w:trPr>
          <w:trHeight w:val="585"/>
        </w:trPr>
        <w:tc>
          <w:tcPr>
            <w:tcW w:w="1550" w:type="pct"/>
            <w:vMerge w:val="restart"/>
            <w:tcBorders>
              <w:top w:val="single" w:sz="8" w:space="0" w:color="auto"/>
              <w:left w:val="single" w:sz="8" w:space="0" w:color="auto"/>
              <w:right w:val="single" w:sz="8" w:space="0" w:color="auto"/>
            </w:tcBorders>
            <w:shd w:val="clear" w:color="000000" w:fill="C0C0C0"/>
            <w:vAlign w:val="center"/>
            <w:hideMark/>
          </w:tcPr>
          <w:p w14:paraId="73DD926D"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 Технически</w:t>
            </w:r>
          </w:p>
        </w:tc>
        <w:tc>
          <w:tcPr>
            <w:tcW w:w="1705" w:type="pct"/>
            <w:vMerge w:val="restart"/>
            <w:tcBorders>
              <w:top w:val="single" w:sz="8" w:space="0" w:color="auto"/>
              <w:left w:val="single" w:sz="8" w:space="0" w:color="auto"/>
              <w:right w:val="single" w:sz="8" w:space="0" w:color="auto"/>
            </w:tcBorders>
            <w:shd w:val="clear" w:color="000000" w:fill="C0C0C0"/>
            <w:vAlign w:val="center"/>
            <w:hideMark/>
          </w:tcPr>
          <w:p w14:paraId="1647540A"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1.1. Техническа осъществимост и дълготрайност</w:t>
            </w:r>
          </w:p>
        </w:tc>
        <w:tc>
          <w:tcPr>
            <w:tcW w:w="1745" w:type="pct"/>
            <w:tcBorders>
              <w:top w:val="single" w:sz="8" w:space="0" w:color="auto"/>
              <w:left w:val="nil"/>
              <w:bottom w:val="nil"/>
              <w:right w:val="single" w:sz="8" w:space="0" w:color="auto"/>
            </w:tcBorders>
            <w:shd w:val="clear" w:color="auto" w:fill="auto"/>
            <w:vAlign w:val="center"/>
            <w:hideMark/>
          </w:tcPr>
          <w:p w14:paraId="496FC199"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1.1.1. Използвана конструкция</w:t>
            </w:r>
          </w:p>
        </w:tc>
      </w:tr>
      <w:tr w:rsidR="00535ED7" w:rsidRPr="009E3D61" w14:paraId="0D35A0D5" w14:textId="77777777" w:rsidTr="00535ED7">
        <w:trPr>
          <w:trHeight w:val="622"/>
        </w:trPr>
        <w:tc>
          <w:tcPr>
            <w:tcW w:w="1550" w:type="pct"/>
            <w:vMerge/>
            <w:tcBorders>
              <w:left w:val="single" w:sz="8" w:space="0" w:color="auto"/>
              <w:right w:val="single" w:sz="8" w:space="0" w:color="auto"/>
            </w:tcBorders>
            <w:shd w:val="clear" w:color="000000" w:fill="C0C0C0"/>
            <w:vAlign w:val="center"/>
            <w:hideMark/>
          </w:tcPr>
          <w:p w14:paraId="7120E68C"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right w:val="single" w:sz="8" w:space="0" w:color="auto"/>
            </w:tcBorders>
            <w:shd w:val="clear" w:color="000000" w:fill="C0C0C0"/>
            <w:vAlign w:val="center"/>
            <w:hideMark/>
          </w:tcPr>
          <w:p w14:paraId="16398B8A"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hideMark/>
          </w:tcPr>
          <w:p w14:paraId="38AAD838"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1.1.2. Геотехнически условия</w:t>
            </w:r>
          </w:p>
        </w:tc>
      </w:tr>
      <w:tr w:rsidR="00535ED7" w:rsidRPr="009E3D61" w14:paraId="69CB2FFA" w14:textId="77777777" w:rsidTr="00535ED7">
        <w:trPr>
          <w:trHeight w:val="702"/>
        </w:trPr>
        <w:tc>
          <w:tcPr>
            <w:tcW w:w="1550" w:type="pct"/>
            <w:vMerge/>
            <w:tcBorders>
              <w:left w:val="single" w:sz="8" w:space="0" w:color="auto"/>
              <w:right w:val="single" w:sz="8" w:space="0" w:color="auto"/>
            </w:tcBorders>
            <w:shd w:val="clear" w:color="000000" w:fill="C0C0C0"/>
            <w:vAlign w:val="center"/>
          </w:tcPr>
          <w:p w14:paraId="5D67BF9A"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000000" w:fill="C0C0C0"/>
            <w:vAlign w:val="center"/>
          </w:tcPr>
          <w:p w14:paraId="702E67EF"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4" w:space="0" w:color="auto"/>
              <w:right w:val="single" w:sz="8" w:space="0" w:color="auto"/>
            </w:tcBorders>
            <w:shd w:val="clear" w:color="auto" w:fill="auto"/>
            <w:vAlign w:val="center"/>
          </w:tcPr>
          <w:p w14:paraId="3F5638BB"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1.1.3. Очакван експлоатационен период</w:t>
            </w:r>
          </w:p>
        </w:tc>
      </w:tr>
      <w:tr w:rsidR="00535ED7" w:rsidRPr="009E3D61" w14:paraId="7D1602F8" w14:textId="77777777" w:rsidTr="00535ED7">
        <w:trPr>
          <w:trHeight w:val="549"/>
        </w:trPr>
        <w:tc>
          <w:tcPr>
            <w:tcW w:w="1550" w:type="pct"/>
            <w:vMerge/>
            <w:tcBorders>
              <w:left w:val="single" w:sz="8" w:space="0" w:color="auto"/>
              <w:right w:val="single" w:sz="8" w:space="0" w:color="auto"/>
            </w:tcBorders>
            <w:shd w:val="clear" w:color="000000" w:fill="C0C0C0"/>
            <w:vAlign w:val="center"/>
            <w:hideMark/>
          </w:tcPr>
          <w:p w14:paraId="32FC860D"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C0C0C0"/>
            <w:vAlign w:val="center"/>
            <w:hideMark/>
          </w:tcPr>
          <w:p w14:paraId="1CAF80B5"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1.2. Изпълнение на строителните работи</w:t>
            </w:r>
          </w:p>
        </w:tc>
        <w:tc>
          <w:tcPr>
            <w:tcW w:w="1745" w:type="pct"/>
            <w:tcBorders>
              <w:top w:val="nil"/>
              <w:left w:val="nil"/>
              <w:bottom w:val="single" w:sz="4" w:space="0" w:color="auto"/>
              <w:right w:val="single" w:sz="8" w:space="0" w:color="auto"/>
            </w:tcBorders>
            <w:shd w:val="clear" w:color="auto" w:fill="auto"/>
            <w:vAlign w:val="center"/>
            <w:hideMark/>
          </w:tcPr>
          <w:p w14:paraId="13E96D62"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1.2.1. Използвана технология за изпълнение на строителните работи</w:t>
            </w:r>
          </w:p>
        </w:tc>
      </w:tr>
      <w:tr w:rsidR="00535ED7" w:rsidRPr="009E3D61" w14:paraId="428D60C1" w14:textId="77777777" w:rsidTr="00535ED7">
        <w:trPr>
          <w:trHeight w:val="612"/>
        </w:trPr>
        <w:tc>
          <w:tcPr>
            <w:tcW w:w="1550" w:type="pct"/>
            <w:vMerge/>
            <w:tcBorders>
              <w:left w:val="single" w:sz="8" w:space="0" w:color="auto"/>
              <w:bottom w:val="single" w:sz="8" w:space="0" w:color="000000"/>
              <w:right w:val="single" w:sz="8" w:space="0" w:color="auto"/>
            </w:tcBorders>
            <w:shd w:val="clear" w:color="000000" w:fill="C0C0C0"/>
            <w:vAlign w:val="center"/>
            <w:hideMark/>
          </w:tcPr>
          <w:p w14:paraId="507CD10A"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5F6C4AAB"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58795A63"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1.2.2. Темп на извършване на строителните работи</w:t>
            </w:r>
          </w:p>
        </w:tc>
      </w:tr>
      <w:tr w:rsidR="00535ED7" w:rsidRPr="00535ED7" w14:paraId="6C0F42DC" w14:textId="77777777" w:rsidTr="00535ED7">
        <w:trPr>
          <w:trHeight w:val="72"/>
        </w:trPr>
        <w:tc>
          <w:tcPr>
            <w:tcW w:w="1550" w:type="pct"/>
            <w:tcBorders>
              <w:top w:val="nil"/>
              <w:left w:val="nil"/>
              <w:bottom w:val="nil"/>
              <w:right w:val="nil"/>
            </w:tcBorders>
            <w:shd w:val="clear" w:color="auto" w:fill="auto"/>
            <w:vAlign w:val="center"/>
            <w:hideMark/>
          </w:tcPr>
          <w:p w14:paraId="44C5AF52" w14:textId="77777777" w:rsidR="00535ED7" w:rsidRPr="00535ED7" w:rsidRDefault="00535ED7" w:rsidP="00535ED7">
            <w:pPr>
              <w:spacing w:after="0" w:line="240" w:lineRule="auto"/>
              <w:rPr>
                <w:rFonts w:eastAsia="Times New Roman"/>
                <w:b/>
                <w:bCs/>
                <w:color w:val="FF0000"/>
                <w:sz w:val="16"/>
                <w:szCs w:val="16"/>
              </w:rPr>
            </w:pPr>
          </w:p>
        </w:tc>
        <w:tc>
          <w:tcPr>
            <w:tcW w:w="1705" w:type="pct"/>
            <w:tcBorders>
              <w:top w:val="nil"/>
              <w:left w:val="single" w:sz="4" w:space="0" w:color="auto"/>
              <w:bottom w:val="single" w:sz="8" w:space="0" w:color="auto"/>
              <w:right w:val="single" w:sz="4" w:space="0" w:color="auto"/>
            </w:tcBorders>
            <w:shd w:val="clear" w:color="auto" w:fill="auto"/>
            <w:vAlign w:val="center"/>
            <w:hideMark/>
          </w:tcPr>
          <w:p w14:paraId="6EE3A325" w14:textId="77777777" w:rsidR="00535ED7" w:rsidRPr="00535ED7" w:rsidRDefault="00535ED7" w:rsidP="00535ED7">
            <w:pPr>
              <w:spacing w:after="0" w:line="240" w:lineRule="auto"/>
              <w:rPr>
                <w:rFonts w:eastAsia="Times New Roman"/>
                <w:sz w:val="16"/>
                <w:szCs w:val="16"/>
              </w:rPr>
            </w:pPr>
            <w:r w:rsidRPr="00535ED7">
              <w:rPr>
                <w:rFonts w:eastAsia="Times New Roman"/>
                <w:sz w:val="16"/>
                <w:szCs w:val="16"/>
              </w:rPr>
              <w:t> </w:t>
            </w:r>
          </w:p>
        </w:tc>
        <w:tc>
          <w:tcPr>
            <w:tcW w:w="1745" w:type="pct"/>
            <w:tcBorders>
              <w:top w:val="nil"/>
              <w:left w:val="nil"/>
              <w:bottom w:val="nil"/>
              <w:right w:val="nil"/>
            </w:tcBorders>
            <w:shd w:val="clear" w:color="auto" w:fill="auto"/>
            <w:vAlign w:val="center"/>
            <w:hideMark/>
          </w:tcPr>
          <w:p w14:paraId="2DF6B1C9" w14:textId="77777777" w:rsidR="00535ED7" w:rsidRPr="00535ED7" w:rsidRDefault="00535ED7" w:rsidP="00535ED7">
            <w:pPr>
              <w:spacing w:after="0" w:line="240" w:lineRule="auto"/>
              <w:rPr>
                <w:rFonts w:eastAsia="Times New Roman"/>
                <w:sz w:val="16"/>
                <w:szCs w:val="16"/>
              </w:rPr>
            </w:pPr>
          </w:p>
        </w:tc>
      </w:tr>
      <w:tr w:rsidR="00535ED7" w:rsidRPr="009E3D61" w14:paraId="1AD30855" w14:textId="77777777" w:rsidTr="00535ED7">
        <w:trPr>
          <w:trHeight w:val="612"/>
        </w:trPr>
        <w:tc>
          <w:tcPr>
            <w:tcW w:w="1550" w:type="pct"/>
            <w:vMerge w:val="restart"/>
            <w:tcBorders>
              <w:top w:val="single" w:sz="8" w:space="0" w:color="auto"/>
              <w:left w:val="single" w:sz="8" w:space="0" w:color="auto"/>
              <w:bottom w:val="single" w:sz="8" w:space="0" w:color="000000"/>
              <w:right w:val="single" w:sz="8" w:space="0" w:color="auto"/>
            </w:tcBorders>
            <w:shd w:val="clear" w:color="000000" w:fill="99CCFF"/>
            <w:vAlign w:val="center"/>
            <w:hideMark/>
          </w:tcPr>
          <w:p w14:paraId="2084DFC5"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 Финансово-икономически</w:t>
            </w: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24894722"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2.1. Ефективност на разходите</w:t>
            </w:r>
          </w:p>
        </w:tc>
        <w:tc>
          <w:tcPr>
            <w:tcW w:w="1745" w:type="pct"/>
            <w:tcBorders>
              <w:top w:val="single" w:sz="8" w:space="0" w:color="auto"/>
              <w:left w:val="nil"/>
              <w:bottom w:val="single" w:sz="4" w:space="0" w:color="auto"/>
              <w:right w:val="single" w:sz="8" w:space="0" w:color="auto"/>
            </w:tcBorders>
            <w:shd w:val="clear" w:color="auto" w:fill="auto"/>
            <w:vAlign w:val="center"/>
            <w:hideMark/>
          </w:tcPr>
          <w:p w14:paraId="417AB08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 xml:space="preserve">2.1.1. Разходи на </w:t>
            </w:r>
            <w:r w:rsidRPr="007C4CBD">
              <w:rPr>
                <w:rFonts w:eastAsia="Times New Roman"/>
                <w:b/>
                <w:bCs/>
                <w:color w:val="FF0000"/>
              </w:rPr>
              <w:t>един тонкм</w:t>
            </w:r>
            <w:r w:rsidRPr="009E3D61">
              <w:rPr>
                <w:rFonts w:eastAsia="Times New Roman"/>
                <w:b/>
                <w:bCs/>
                <w:color w:val="FF0000"/>
              </w:rPr>
              <w:t xml:space="preserve"> </w:t>
            </w:r>
          </w:p>
        </w:tc>
      </w:tr>
      <w:tr w:rsidR="00535ED7" w:rsidRPr="009E3D61" w14:paraId="5BB8EC2E" w14:textId="77777777" w:rsidTr="00535ED7">
        <w:trPr>
          <w:trHeight w:val="576"/>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2CF35DD3"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0F63434B"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single" w:sz="8" w:space="0" w:color="auto"/>
              <w:right w:val="single" w:sz="8" w:space="0" w:color="auto"/>
            </w:tcBorders>
            <w:shd w:val="clear" w:color="auto" w:fill="auto"/>
            <w:vAlign w:val="center"/>
            <w:hideMark/>
          </w:tcPr>
          <w:p w14:paraId="6E194D5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2.1.2. ННС на общите разходи</w:t>
            </w:r>
          </w:p>
        </w:tc>
      </w:tr>
      <w:tr w:rsidR="00535ED7" w:rsidRPr="009E3D61" w14:paraId="4D6F2189" w14:textId="77777777" w:rsidTr="003E1E08">
        <w:trPr>
          <w:trHeight w:val="450"/>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60497800"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bottom w:val="single" w:sz="8" w:space="0" w:color="000000"/>
              <w:right w:val="single" w:sz="8" w:space="0" w:color="auto"/>
            </w:tcBorders>
            <w:shd w:val="clear" w:color="000000" w:fill="99CCFF"/>
            <w:vAlign w:val="center"/>
            <w:hideMark/>
          </w:tcPr>
          <w:p w14:paraId="7D8D894A"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2.2. Икономическа оценка</w:t>
            </w:r>
          </w:p>
        </w:tc>
        <w:tc>
          <w:tcPr>
            <w:tcW w:w="1745" w:type="pct"/>
            <w:tcBorders>
              <w:top w:val="nil"/>
              <w:left w:val="nil"/>
              <w:bottom w:val="single" w:sz="4" w:space="0" w:color="auto"/>
              <w:right w:val="single" w:sz="8" w:space="0" w:color="auto"/>
            </w:tcBorders>
            <w:shd w:val="clear" w:color="auto" w:fill="auto"/>
            <w:vAlign w:val="center"/>
            <w:hideMark/>
          </w:tcPr>
          <w:p w14:paraId="39D8CE4D"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2.2.1. Икономическа ННС</w:t>
            </w:r>
          </w:p>
        </w:tc>
      </w:tr>
      <w:tr w:rsidR="00535ED7" w:rsidRPr="009E3D61" w14:paraId="56D49DF4" w14:textId="77777777" w:rsidTr="00535ED7">
        <w:trPr>
          <w:trHeight w:val="43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B665C23"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60E97C9C" w14:textId="77777777" w:rsidR="00535ED7" w:rsidRPr="009E3D61" w:rsidRDefault="00535ED7" w:rsidP="00535ED7">
            <w:pPr>
              <w:spacing w:after="120" w:line="24" w:lineRule="atLeast"/>
              <w:rPr>
                <w:rFonts w:eastAsia="Times New Roman"/>
                <w:b/>
                <w:bCs/>
                <w:color w:val="333399"/>
              </w:rPr>
            </w:pPr>
          </w:p>
        </w:tc>
        <w:tc>
          <w:tcPr>
            <w:tcW w:w="1745" w:type="pct"/>
            <w:tcBorders>
              <w:top w:val="nil"/>
              <w:left w:val="nil"/>
              <w:bottom w:val="nil"/>
              <w:right w:val="single" w:sz="8" w:space="0" w:color="auto"/>
            </w:tcBorders>
            <w:shd w:val="clear" w:color="auto" w:fill="auto"/>
            <w:vAlign w:val="center"/>
            <w:hideMark/>
          </w:tcPr>
          <w:p w14:paraId="785E5AF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2.2.2. Икономическа ВНВ</w:t>
            </w:r>
          </w:p>
        </w:tc>
      </w:tr>
      <w:tr w:rsidR="00535ED7" w:rsidRPr="009E3D61" w14:paraId="70CF19F1" w14:textId="77777777" w:rsidTr="00535ED7">
        <w:trPr>
          <w:trHeight w:val="612"/>
        </w:trPr>
        <w:tc>
          <w:tcPr>
            <w:tcW w:w="1550" w:type="pct"/>
            <w:vMerge/>
            <w:tcBorders>
              <w:top w:val="single" w:sz="8" w:space="0" w:color="auto"/>
              <w:left w:val="single" w:sz="8" w:space="0" w:color="auto"/>
              <w:bottom w:val="single" w:sz="8" w:space="0" w:color="000000"/>
              <w:right w:val="single" w:sz="8" w:space="0" w:color="auto"/>
            </w:tcBorders>
            <w:vAlign w:val="center"/>
            <w:hideMark/>
          </w:tcPr>
          <w:p w14:paraId="35BC8CF5"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8" w:space="0" w:color="auto"/>
            </w:tcBorders>
            <w:vAlign w:val="center"/>
            <w:hideMark/>
          </w:tcPr>
          <w:p w14:paraId="1D785B63"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2D56AA46"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2.2.3. Коефициент ползи/разходи</w:t>
            </w:r>
          </w:p>
        </w:tc>
      </w:tr>
      <w:tr w:rsidR="00535ED7" w:rsidRPr="00535ED7" w14:paraId="79A0AF3D" w14:textId="77777777" w:rsidTr="00535ED7">
        <w:trPr>
          <w:trHeight w:val="105"/>
        </w:trPr>
        <w:tc>
          <w:tcPr>
            <w:tcW w:w="1550" w:type="pct"/>
            <w:tcBorders>
              <w:top w:val="nil"/>
              <w:left w:val="nil"/>
              <w:bottom w:val="nil"/>
              <w:right w:val="nil"/>
            </w:tcBorders>
            <w:shd w:val="clear" w:color="auto" w:fill="auto"/>
            <w:vAlign w:val="center"/>
            <w:hideMark/>
          </w:tcPr>
          <w:p w14:paraId="54231C93" w14:textId="77777777" w:rsidR="00535ED7" w:rsidRPr="00535ED7" w:rsidRDefault="00535ED7" w:rsidP="00535ED7">
            <w:pPr>
              <w:spacing w:after="0" w:line="240" w:lineRule="auto"/>
              <w:rPr>
                <w:rFonts w:eastAsia="Times New Roman"/>
                <w:sz w:val="16"/>
                <w:szCs w:val="16"/>
              </w:rPr>
            </w:pPr>
            <w:r w:rsidRPr="00535ED7">
              <w:rPr>
                <w:rFonts w:eastAsia="Times New Roman"/>
                <w:sz w:val="16"/>
                <w:szCs w:val="16"/>
              </w:rPr>
              <w:t> </w:t>
            </w:r>
          </w:p>
        </w:tc>
        <w:tc>
          <w:tcPr>
            <w:tcW w:w="1705" w:type="pct"/>
            <w:tcBorders>
              <w:top w:val="nil"/>
              <w:left w:val="nil"/>
              <w:bottom w:val="nil"/>
              <w:right w:val="nil"/>
            </w:tcBorders>
            <w:shd w:val="clear" w:color="auto" w:fill="auto"/>
            <w:vAlign w:val="center"/>
            <w:hideMark/>
          </w:tcPr>
          <w:p w14:paraId="620C0E24"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45" w:type="pct"/>
            <w:tcBorders>
              <w:top w:val="nil"/>
              <w:left w:val="nil"/>
              <w:bottom w:val="nil"/>
              <w:right w:val="nil"/>
            </w:tcBorders>
            <w:shd w:val="clear" w:color="auto" w:fill="auto"/>
            <w:vAlign w:val="center"/>
            <w:hideMark/>
          </w:tcPr>
          <w:p w14:paraId="038753A6" w14:textId="77777777" w:rsidR="00535ED7" w:rsidRPr="00535ED7" w:rsidRDefault="00535ED7" w:rsidP="00535ED7">
            <w:pPr>
              <w:spacing w:after="0" w:line="240" w:lineRule="auto"/>
              <w:rPr>
                <w:rFonts w:eastAsia="Times New Roman"/>
                <w:b/>
                <w:bCs/>
                <w:color w:val="FF0000"/>
                <w:sz w:val="16"/>
                <w:szCs w:val="16"/>
              </w:rPr>
            </w:pPr>
            <w:r w:rsidRPr="00535ED7">
              <w:rPr>
                <w:rFonts w:eastAsia="Times New Roman"/>
                <w:b/>
                <w:bCs/>
                <w:color w:val="FF0000"/>
                <w:sz w:val="16"/>
                <w:szCs w:val="16"/>
              </w:rPr>
              <w:t> </w:t>
            </w:r>
          </w:p>
        </w:tc>
      </w:tr>
      <w:tr w:rsidR="00535ED7" w:rsidRPr="009E3D61" w14:paraId="17F1B54E" w14:textId="77777777" w:rsidTr="00535ED7">
        <w:trPr>
          <w:trHeight w:val="657"/>
        </w:trPr>
        <w:tc>
          <w:tcPr>
            <w:tcW w:w="1550" w:type="pct"/>
            <w:vMerge w:val="restart"/>
            <w:tcBorders>
              <w:top w:val="single" w:sz="8" w:space="0" w:color="auto"/>
              <w:left w:val="single" w:sz="8" w:space="0" w:color="auto"/>
              <w:right w:val="single" w:sz="8" w:space="0" w:color="auto"/>
            </w:tcBorders>
            <w:shd w:val="clear" w:color="CC99FF" w:fill="CC99FF"/>
            <w:vAlign w:val="center"/>
            <w:hideMark/>
          </w:tcPr>
          <w:p w14:paraId="246FB03F"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 Екологичен</w:t>
            </w:r>
          </w:p>
        </w:tc>
        <w:tc>
          <w:tcPr>
            <w:tcW w:w="1705" w:type="pct"/>
            <w:vMerge w:val="restart"/>
            <w:tcBorders>
              <w:top w:val="single" w:sz="8" w:space="0" w:color="auto"/>
              <w:left w:val="single" w:sz="8" w:space="0" w:color="auto"/>
              <w:bottom w:val="single" w:sz="8" w:space="0" w:color="000000"/>
              <w:right w:val="single" w:sz="8" w:space="0" w:color="auto"/>
            </w:tcBorders>
            <w:shd w:val="clear" w:color="CC99FF" w:fill="CC99FF"/>
            <w:vAlign w:val="center"/>
            <w:hideMark/>
          </w:tcPr>
          <w:p w14:paraId="6BC928BE"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3.1. Въздействие върху биологичното разнообразие</w:t>
            </w:r>
          </w:p>
        </w:tc>
        <w:tc>
          <w:tcPr>
            <w:tcW w:w="1745" w:type="pct"/>
            <w:tcBorders>
              <w:top w:val="single" w:sz="8" w:space="0" w:color="auto"/>
              <w:left w:val="nil"/>
              <w:bottom w:val="nil"/>
              <w:right w:val="single" w:sz="8" w:space="0" w:color="auto"/>
            </w:tcBorders>
            <w:shd w:val="clear" w:color="auto" w:fill="auto"/>
            <w:vAlign w:val="center"/>
            <w:hideMark/>
          </w:tcPr>
          <w:p w14:paraId="1F2CE248"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3.1.1. Разстояние до обекти на NATURA 2000</w:t>
            </w:r>
          </w:p>
        </w:tc>
      </w:tr>
      <w:tr w:rsidR="00535ED7" w:rsidRPr="009E3D61" w14:paraId="16A06E15" w14:textId="77777777" w:rsidTr="00535ED7">
        <w:trPr>
          <w:trHeight w:val="612"/>
        </w:trPr>
        <w:tc>
          <w:tcPr>
            <w:tcW w:w="1550" w:type="pct"/>
            <w:vMerge/>
            <w:tcBorders>
              <w:left w:val="single" w:sz="8" w:space="0" w:color="auto"/>
              <w:right w:val="single" w:sz="8" w:space="0" w:color="auto"/>
            </w:tcBorders>
            <w:shd w:val="clear" w:color="CC99FF" w:fill="CC99FF"/>
            <w:vAlign w:val="center"/>
            <w:hideMark/>
          </w:tcPr>
          <w:p w14:paraId="2EC54050" w14:textId="77777777" w:rsidR="00535ED7" w:rsidRPr="009E3D61" w:rsidRDefault="00535ED7" w:rsidP="00535ED7">
            <w:pPr>
              <w:spacing w:after="120" w:line="24" w:lineRule="atLeast"/>
              <w:rPr>
                <w:rFonts w:eastAsia="Times New Roman"/>
                <w:b/>
                <w:bCs/>
                <w:color w:val="333399"/>
              </w:rPr>
            </w:pPr>
          </w:p>
        </w:tc>
        <w:tc>
          <w:tcPr>
            <w:tcW w:w="1705" w:type="pct"/>
            <w:vMerge/>
            <w:tcBorders>
              <w:top w:val="single" w:sz="8" w:space="0" w:color="auto"/>
              <w:left w:val="single" w:sz="8" w:space="0" w:color="auto"/>
              <w:bottom w:val="single" w:sz="8" w:space="0" w:color="000000"/>
              <w:right w:val="single" w:sz="8" w:space="0" w:color="auto"/>
            </w:tcBorders>
            <w:vAlign w:val="center"/>
            <w:hideMark/>
          </w:tcPr>
          <w:p w14:paraId="604101C5"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38EDD20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3.1.2. Засегнати обекти на NATURA 2000</w:t>
            </w:r>
          </w:p>
        </w:tc>
      </w:tr>
      <w:tr w:rsidR="00535ED7" w:rsidRPr="009E3D61" w14:paraId="59F1493F" w14:textId="77777777" w:rsidTr="00535ED7">
        <w:trPr>
          <w:trHeight w:val="612"/>
        </w:trPr>
        <w:tc>
          <w:tcPr>
            <w:tcW w:w="1550" w:type="pct"/>
            <w:vMerge/>
            <w:tcBorders>
              <w:left w:val="single" w:sz="8" w:space="0" w:color="auto"/>
              <w:right w:val="single" w:sz="8" w:space="0" w:color="auto"/>
            </w:tcBorders>
            <w:shd w:val="clear" w:color="CC99FF" w:fill="CC99FF"/>
            <w:vAlign w:val="center"/>
            <w:hideMark/>
          </w:tcPr>
          <w:p w14:paraId="23ABCCEF" w14:textId="77777777" w:rsidR="00535ED7" w:rsidRPr="009E3D61" w:rsidRDefault="00535ED7" w:rsidP="00535ED7">
            <w:pPr>
              <w:spacing w:after="120" w:line="24" w:lineRule="atLeast"/>
              <w:rPr>
                <w:rFonts w:eastAsia="Times New Roman"/>
                <w:b/>
                <w:bCs/>
                <w:color w:val="333399"/>
              </w:rPr>
            </w:pPr>
          </w:p>
        </w:tc>
        <w:tc>
          <w:tcPr>
            <w:tcW w:w="1705" w:type="pct"/>
            <w:vMerge w:val="restart"/>
            <w:tcBorders>
              <w:top w:val="nil"/>
              <w:left w:val="single" w:sz="8" w:space="0" w:color="auto"/>
              <w:right w:val="single" w:sz="8" w:space="0" w:color="auto"/>
            </w:tcBorders>
            <w:shd w:val="clear" w:color="CC99FF" w:fill="CC99FF"/>
            <w:vAlign w:val="center"/>
            <w:hideMark/>
          </w:tcPr>
          <w:p w14:paraId="10E1B43C"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3.2. Въздействие върху населението</w:t>
            </w:r>
          </w:p>
        </w:tc>
        <w:tc>
          <w:tcPr>
            <w:tcW w:w="1745" w:type="pct"/>
            <w:tcBorders>
              <w:top w:val="single" w:sz="4" w:space="0" w:color="auto"/>
              <w:left w:val="nil"/>
              <w:bottom w:val="nil"/>
              <w:right w:val="single" w:sz="8" w:space="0" w:color="auto"/>
            </w:tcBorders>
            <w:shd w:val="clear" w:color="auto" w:fill="auto"/>
            <w:vAlign w:val="center"/>
            <w:hideMark/>
          </w:tcPr>
          <w:p w14:paraId="3DCC193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 xml:space="preserve">3.2.1. Разстояние до </w:t>
            </w:r>
            <w:r w:rsidRPr="00535ED7">
              <w:rPr>
                <w:b/>
                <w:color w:val="FF0000"/>
              </w:rPr>
              <w:t>Санитарно-охранителна зона</w:t>
            </w:r>
            <w:r w:rsidRPr="00535ED7">
              <w:rPr>
                <w:rFonts w:eastAsia="Times New Roman"/>
                <w:b/>
                <w:bCs/>
                <w:color w:val="FF0000"/>
              </w:rPr>
              <w:t xml:space="preserve"> (СОЗ)</w:t>
            </w:r>
          </w:p>
        </w:tc>
      </w:tr>
      <w:tr w:rsidR="00535ED7" w:rsidRPr="009E3D61" w14:paraId="2BAAE8DA" w14:textId="77777777" w:rsidTr="003E1E08">
        <w:trPr>
          <w:trHeight w:val="361"/>
        </w:trPr>
        <w:tc>
          <w:tcPr>
            <w:tcW w:w="1550" w:type="pct"/>
            <w:vMerge/>
            <w:tcBorders>
              <w:left w:val="single" w:sz="8" w:space="0" w:color="auto"/>
              <w:right w:val="single" w:sz="8" w:space="0" w:color="auto"/>
            </w:tcBorders>
            <w:shd w:val="clear" w:color="CC99FF" w:fill="CC99FF"/>
            <w:vAlign w:val="center"/>
            <w:hideMark/>
          </w:tcPr>
          <w:p w14:paraId="1893DB0B" w14:textId="77777777" w:rsidR="00535ED7" w:rsidRPr="009E3D61" w:rsidRDefault="00535ED7" w:rsidP="00535ED7">
            <w:pPr>
              <w:spacing w:after="120" w:line="24" w:lineRule="atLeast"/>
              <w:rPr>
                <w:rFonts w:eastAsia="Times New Roman"/>
                <w:b/>
                <w:bCs/>
                <w:color w:val="333399"/>
              </w:rPr>
            </w:pPr>
          </w:p>
        </w:tc>
        <w:tc>
          <w:tcPr>
            <w:tcW w:w="1705" w:type="pct"/>
            <w:vMerge/>
            <w:tcBorders>
              <w:left w:val="single" w:sz="8" w:space="0" w:color="auto"/>
              <w:bottom w:val="single" w:sz="8" w:space="0" w:color="000000"/>
              <w:right w:val="single" w:sz="8" w:space="0" w:color="auto"/>
            </w:tcBorders>
            <w:shd w:val="clear" w:color="CC99FF" w:fill="CC99FF"/>
            <w:vAlign w:val="center"/>
            <w:hideMark/>
          </w:tcPr>
          <w:p w14:paraId="7B46F0B6"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nil"/>
              <w:right w:val="single" w:sz="8" w:space="0" w:color="auto"/>
            </w:tcBorders>
            <w:shd w:val="clear" w:color="auto" w:fill="auto"/>
            <w:vAlign w:val="center"/>
            <w:hideMark/>
          </w:tcPr>
          <w:p w14:paraId="6B8D6D67"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3.2.2. Засегнати СОЗ</w:t>
            </w:r>
          </w:p>
        </w:tc>
      </w:tr>
      <w:tr w:rsidR="00535ED7" w:rsidRPr="009E3D61" w14:paraId="6BB5ED41" w14:textId="77777777" w:rsidTr="00535ED7">
        <w:trPr>
          <w:trHeight w:val="702"/>
        </w:trPr>
        <w:tc>
          <w:tcPr>
            <w:tcW w:w="1550" w:type="pct"/>
            <w:vMerge/>
            <w:tcBorders>
              <w:left w:val="single" w:sz="8" w:space="0" w:color="auto"/>
              <w:bottom w:val="single" w:sz="8" w:space="0" w:color="000000"/>
              <w:right w:val="single" w:sz="8" w:space="0" w:color="auto"/>
            </w:tcBorders>
            <w:shd w:val="clear" w:color="CC99FF" w:fill="CC99FF"/>
            <w:vAlign w:val="center"/>
            <w:hideMark/>
          </w:tcPr>
          <w:p w14:paraId="56B3C457" w14:textId="77777777" w:rsidR="00535ED7" w:rsidRPr="009E3D61" w:rsidRDefault="00535ED7" w:rsidP="00535ED7">
            <w:pPr>
              <w:spacing w:after="120" w:line="24" w:lineRule="atLeast"/>
              <w:rPr>
                <w:rFonts w:eastAsia="Times New Roman"/>
                <w:b/>
                <w:bCs/>
                <w:color w:val="333399"/>
              </w:rPr>
            </w:pPr>
          </w:p>
        </w:tc>
        <w:tc>
          <w:tcPr>
            <w:tcW w:w="1705" w:type="pct"/>
            <w:tcBorders>
              <w:left w:val="single" w:sz="8" w:space="0" w:color="auto"/>
              <w:bottom w:val="single" w:sz="8" w:space="0" w:color="000000"/>
              <w:right w:val="single" w:sz="8" w:space="0" w:color="auto"/>
            </w:tcBorders>
            <w:shd w:val="clear" w:color="CC99FF" w:fill="CC99FF"/>
            <w:vAlign w:val="center"/>
            <w:hideMark/>
          </w:tcPr>
          <w:p w14:paraId="498032F1"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3.3. Други въздействия</w:t>
            </w: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562F329F"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3.3.1. Засегнати влажни зони или други екологични обекти</w:t>
            </w:r>
          </w:p>
        </w:tc>
      </w:tr>
      <w:tr w:rsidR="00535ED7" w:rsidRPr="00535ED7" w14:paraId="53A1D4F5" w14:textId="77777777" w:rsidTr="00535ED7">
        <w:trPr>
          <w:trHeight w:val="162"/>
        </w:trPr>
        <w:tc>
          <w:tcPr>
            <w:tcW w:w="1550" w:type="pct"/>
            <w:tcBorders>
              <w:top w:val="nil"/>
              <w:left w:val="nil"/>
              <w:bottom w:val="single" w:sz="8" w:space="0" w:color="auto"/>
              <w:right w:val="nil"/>
            </w:tcBorders>
            <w:shd w:val="clear" w:color="auto" w:fill="auto"/>
            <w:vAlign w:val="center"/>
            <w:hideMark/>
          </w:tcPr>
          <w:p w14:paraId="3D5BBB3E"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05" w:type="pct"/>
            <w:tcBorders>
              <w:top w:val="nil"/>
              <w:left w:val="nil"/>
              <w:bottom w:val="nil"/>
              <w:right w:val="nil"/>
            </w:tcBorders>
            <w:shd w:val="clear" w:color="auto" w:fill="auto"/>
            <w:vAlign w:val="center"/>
            <w:hideMark/>
          </w:tcPr>
          <w:p w14:paraId="032B1145" w14:textId="77777777" w:rsidR="00535ED7" w:rsidRPr="00535ED7" w:rsidRDefault="00535ED7" w:rsidP="00535ED7">
            <w:pPr>
              <w:spacing w:after="0" w:line="240" w:lineRule="auto"/>
              <w:rPr>
                <w:rFonts w:eastAsia="Times New Roman"/>
                <w:b/>
                <w:bCs/>
                <w:color w:val="333399"/>
                <w:sz w:val="16"/>
                <w:szCs w:val="16"/>
              </w:rPr>
            </w:pPr>
            <w:r w:rsidRPr="00535ED7">
              <w:rPr>
                <w:rFonts w:eastAsia="Times New Roman"/>
                <w:b/>
                <w:bCs/>
                <w:color w:val="333399"/>
                <w:sz w:val="16"/>
                <w:szCs w:val="16"/>
              </w:rPr>
              <w:t> </w:t>
            </w:r>
          </w:p>
        </w:tc>
        <w:tc>
          <w:tcPr>
            <w:tcW w:w="1745" w:type="pct"/>
            <w:tcBorders>
              <w:top w:val="nil"/>
              <w:left w:val="nil"/>
              <w:bottom w:val="single" w:sz="8" w:space="0" w:color="auto"/>
              <w:right w:val="nil"/>
            </w:tcBorders>
            <w:shd w:val="clear" w:color="auto" w:fill="auto"/>
            <w:vAlign w:val="center"/>
            <w:hideMark/>
          </w:tcPr>
          <w:p w14:paraId="26422C14" w14:textId="77777777" w:rsidR="00535ED7" w:rsidRPr="00535ED7" w:rsidRDefault="00535ED7" w:rsidP="00535ED7">
            <w:pPr>
              <w:spacing w:after="0" w:line="240" w:lineRule="auto"/>
              <w:rPr>
                <w:rFonts w:eastAsia="Times New Roman"/>
                <w:b/>
                <w:bCs/>
                <w:color w:val="FF0000"/>
                <w:sz w:val="16"/>
                <w:szCs w:val="16"/>
              </w:rPr>
            </w:pPr>
            <w:r w:rsidRPr="00535ED7">
              <w:rPr>
                <w:rFonts w:eastAsia="Times New Roman"/>
                <w:b/>
                <w:bCs/>
                <w:color w:val="FF0000"/>
                <w:sz w:val="16"/>
                <w:szCs w:val="16"/>
              </w:rPr>
              <w:t> </w:t>
            </w:r>
          </w:p>
        </w:tc>
      </w:tr>
      <w:tr w:rsidR="00535ED7" w:rsidRPr="009E3D61" w14:paraId="2453BD42" w14:textId="77777777" w:rsidTr="00535ED7">
        <w:trPr>
          <w:trHeight w:val="630"/>
        </w:trPr>
        <w:tc>
          <w:tcPr>
            <w:tcW w:w="1550" w:type="pct"/>
            <w:vMerge w:val="restart"/>
            <w:tcBorders>
              <w:top w:val="nil"/>
              <w:left w:val="single" w:sz="8" w:space="0" w:color="auto"/>
              <w:right w:val="single" w:sz="8" w:space="0" w:color="auto"/>
            </w:tcBorders>
            <w:shd w:val="clear" w:color="000000" w:fill="FFFF99"/>
            <w:vAlign w:val="center"/>
          </w:tcPr>
          <w:p w14:paraId="027395BF"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4. Социален</w:t>
            </w:r>
          </w:p>
        </w:tc>
        <w:tc>
          <w:tcPr>
            <w:tcW w:w="1705" w:type="pct"/>
            <w:tcBorders>
              <w:top w:val="single" w:sz="8" w:space="0" w:color="auto"/>
              <w:left w:val="single" w:sz="8" w:space="0" w:color="auto"/>
              <w:bottom w:val="single" w:sz="8" w:space="0" w:color="000000"/>
              <w:right w:val="single" w:sz="8" w:space="0" w:color="auto"/>
            </w:tcBorders>
            <w:shd w:val="clear" w:color="000000" w:fill="FFFF99"/>
            <w:vAlign w:val="center"/>
            <w:hideMark/>
          </w:tcPr>
          <w:p w14:paraId="27447297" w14:textId="77777777" w:rsidR="00535ED7" w:rsidRPr="009E3D61" w:rsidRDefault="00535ED7" w:rsidP="00535ED7">
            <w:pPr>
              <w:spacing w:after="120" w:line="24" w:lineRule="atLeast"/>
              <w:rPr>
                <w:rFonts w:eastAsia="Times New Roman"/>
                <w:b/>
                <w:bCs/>
                <w:color w:val="333399"/>
              </w:rPr>
            </w:pPr>
            <w:r w:rsidRPr="009E3D61">
              <w:rPr>
                <w:rFonts w:eastAsia="Times New Roman"/>
                <w:b/>
                <w:bCs/>
                <w:color w:val="333399"/>
              </w:rPr>
              <w:t xml:space="preserve">4.1. Общество </w:t>
            </w:r>
          </w:p>
        </w:tc>
        <w:tc>
          <w:tcPr>
            <w:tcW w:w="1745" w:type="pct"/>
            <w:tcBorders>
              <w:top w:val="nil"/>
              <w:left w:val="nil"/>
              <w:bottom w:val="single" w:sz="4" w:space="0" w:color="auto"/>
              <w:right w:val="single" w:sz="8" w:space="0" w:color="auto"/>
            </w:tcBorders>
            <w:shd w:val="clear" w:color="auto" w:fill="auto"/>
            <w:vAlign w:val="center"/>
            <w:hideMark/>
          </w:tcPr>
          <w:p w14:paraId="07ECD929"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4.1.1. Подобряване на качеството на живот в района на проекта</w:t>
            </w:r>
          </w:p>
        </w:tc>
      </w:tr>
      <w:tr w:rsidR="00535ED7" w:rsidRPr="009E3D61" w14:paraId="33F86C7C" w14:textId="77777777" w:rsidTr="00535ED7">
        <w:trPr>
          <w:trHeight w:val="675"/>
        </w:trPr>
        <w:tc>
          <w:tcPr>
            <w:tcW w:w="1550" w:type="pct"/>
            <w:vMerge/>
            <w:tcBorders>
              <w:left w:val="single" w:sz="8" w:space="0" w:color="auto"/>
              <w:right w:val="single" w:sz="8" w:space="0" w:color="auto"/>
            </w:tcBorders>
            <w:shd w:val="clear" w:color="000000" w:fill="FFFF99"/>
            <w:vAlign w:val="center"/>
          </w:tcPr>
          <w:p w14:paraId="3B904BC4" w14:textId="77777777" w:rsidR="00535ED7" w:rsidRPr="009E3D61" w:rsidRDefault="00535ED7" w:rsidP="00535ED7">
            <w:pPr>
              <w:spacing w:after="120" w:line="24" w:lineRule="atLeast"/>
              <w:rPr>
                <w:rFonts w:eastAsia="Times New Roman"/>
                <w:b/>
                <w:bCs/>
                <w:color w:val="333399"/>
                <w:highlight w:val="yellow"/>
              </w:rPr>
            </w:pPr>
          </w:p>
        </w:tc>
        <w:tc>
          <w:tcPr>
            <w:tcW w:w="1705" w:type="pct"/>
            <w:vMerge w:val="restart"/>
            <w:tcBorders>
              <w:top w:val="nil"/>
              <w:left w:val="single" w:sz="8" w:space="0" w:color="auto"/>
              <w:bottom w:val="single" w:sz="8" w:space="0" w:color="000000"/>
              <w:right w:val="single" w:sz="4" w:space="0" w:color="auto"/>
            </w:tcBorders>
            <w:shd w:val="clear" w:color="000000" w:fill="FFFF99"/>
            <w:vAlign w:val="center"/>
            <w:hideMark/>
          </w:tcPr>
          <w:p w14:paraId="29B78049" w14:textId="77777777" w:rsidR="00535ED7" w:rsidRPr="009E3D61" w:rsidRDefault="00535ED7" w:rsidP="00535ED7">
            <w:pPr>
              <w:spacing w:after="120" w:line="24" w:lineRule="atLeast"/>
              <w:ind w:right="-138"/>
              <w:rPr>
                <w:rFonts w:eastAsia="Times New Roman"/>
                <w:b/>
                <w:bCs/>
                <w:color w:val="333399"/>
              </w:rPr>
            </w:pPr>
            <w:r w:rsidRPr="009E3D61">
              <w:rPr>
                <w:rFonts w:eastAsia="Times New Roman"/>
                <w:b/>
                <w:bCs/>
                <w:color w:val="333399"/>
              </w:rPr>
              <w:t>4.2. Местна индустрия</w:t>
            </w:r>
          </w:p>
        </w:tc>
        <w:tc>
          <w:tcPr>
            <w:tcW w:w="1745" w:type="pct"/>
            <w:tcBorders>
              <w:top w:val="nil"/>
              <w:left w:val="nil"/>
              <w:bottom w:val="nil"/>
              <w:right w:val="single" w:sz="8" w:space="0" w:color="auto"/>
            </w:tcBorders>
            <w:shd w:val="clear" w:color="auto" w:fill="auto"/>
            <w:vAlign w:val="center"/>
            <w:hideMark/>
          </w:tcPr>
          <w:p w14:paraId="7FC14170"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4.2.1. Осигуряване на достъп до обекти на местната индустрия</w:t>
            </w:r>
          </w:p>
        </w:tc>
      </w:tr>
      <w:tr w:rsidR="00535ED7" w:rsidRPr="009E3D61" w14:paraId="58349283" w14:textId="77777777" w:rsidTr="00535ED7">
        <w:trPr>
          <w:trHeight w:val="727"/>
        </w:trPr>
        <w:tc>
          <w:tcPr>
            <w:tcW w:w="1550" w:type="pct"/>
            <w:vMerge/>
            <w:tcBorders>
              <w:left w:val="single" w:sz="8" w:space="0" w:color="auto"/>
              <w:bottom w:val="single" w:sz="8" w:space="0" w:color="000000"/>
              <w:right w:val="single" w:sz="8" w:space="0" w:color="auto"/>
            </w:tcBorders>
            <w:vAlign w:val="center"/>
            <w:hideMark/>
          </w:tcPr>
          <w:p w14:paraId="5C66A231" w14:textId="77777777" w:rsidR="00535ED7" w:rsidRPr="009E3D61" w:rsidRDefault="00535ED7" w:rsidP="00535ED7">
            <w:pPr>
              <w:spacing w:after="120" w:line="24" w:lineRule="atLeast"/>
              <w:rPr>
                <w:rFonts w:eastAsia="Times New Roman"/>
                <w:b/>
                <w:bCs/>
                <w:color w:val="333399"/>
              </w:rPr>
            </w:pPr>
          </w:p>
        </w:tc>
        <w:tc>
          <w:tcPr>
            <w:tcW w:w="1705" w:type="pct"/>
            <w:vMerge/>
            <w:tcBorders>
              <w:top w:val="nil"/>
              <w:left w:val="single" w:sz="8" w:space="0" w:color="auto"/>
              <w:bottom w:val="single" w:sz="8" w:space="0" w:color="000000"/>
              <w:right w:val="single" w:sz="4" w:space="0" w:color="auto"/>
            </w:tcBorders>
            <w:vAlign w:val="center"/>
            <w:hideMark/>
          </w:tcPr>
          <w:p w14:paraId="68692723" w14:textId="77777777" w:rsidR="00535ED7" w:rsidRPr="009E3D61" w:rsidRDefault="00535ED7" w:rsidP="00535ED7">
            <w:pPr>
              <w:spacing w:after="120" w:line="24" w:lineRule="atLeast"/>
              <w:rPr>
                <w:rFonts w:eastAsia="Times New Roman"/>
                <w:b/>
                <w:bCs/>
                <w:color w:val="333399"/>
              </w:rPr>
            </w:pPr>
          </w:p>
        </w:tc>
        <w:tc>
          <w:tcPr>
            <w:tcW w:w="1745" w:type="pct"/>
            <w:tcBorders>
              <w:top w:val="single" w:sz="4" w:space="0" w:color="auto"/>
              <w:left w:val="nil"/>
              <w:bottom w:val="single" w:sz="8" w:space="0" w:color="auto"/>
              <w:right w:val="single" w:sz="8" w:space="0" w:color="auto"/>
            </w:tcBorders>
            <w:shd w:val="clear" w:color="auto" w:fill="auto"/>
            <w:vAlign w:val="center"/>
            <w:hideMark/>
          </w:tcPr>
          <w:p w14:paraId="250F54CA" w14:textId="77777777" w:rsidR="00535ED7" w:rsidRPr="009E3D61" w:rsidRDefault="00535ED7" w:rsidP="00535ED7">
            <w:pPr>
              <w:spacing w:after="0" w:line="240" w:lineRule="auto"/>
              <w:rPr>
                <w:rFonts w:eastAsia="Times New Roman"/>
                <w:b/>
                <w:bCs/>
                <w:color w:val="FF0000"/>
              </w:rPr>
            </w:pPr>
            <w:r w:rsidRPr="009E3D61">
              <w:rPr>
                <w:rFonts w:eastAsia="Times New Roman"/>
                <w:b/>
                <w:bCs/>
                <w:color w:val="FF0000"/>
              </w:rPr>
              <w:t>4.2.2. Участие на местната индустрия по време на строителните работи</w:t>
            </w:r>
          </w:p>
        </w:tc>
      </w:tr>
    </w:tbl>
    <w:p w14:paraId="73E59037" w14:textId="77777777" w:rsidR="00535ED7" w:rsidRPr="009E3D61" w:rsidRDefault="00535ED7" w:rsidP="00535ED7">
      <w:pPr>
        <w:spacing w:after="120" w:line="24" w:lineRule="atLeast"/>
      </w:pPr>
    </w:p>
    <w:p w14:paraId="48DA8C02" w14:textId="77777777" w:rsidR="00535ED7" w:rsidRPr="009E3D61" w:rsidRDefault="00535ED7" w:rsidP="00535ED7">
      <w:pPr>
        <w:spacing w:after="120" w:line="24" w:lineRule="atLeast"/>
        <w:jc w:val="both"/>
        <w:rPr>
          <w:rFonts w:eastAsia="Times New Roman"/>
        </w:rPr>
      </w:pPr>
      <w:r w:rsidRPr="009E3D61">
        <w:rPr>
          <w:rFonts w:eastAsia="Times New Roman"/>
        </w:rPr>
        <w:t xml:space="preserve">Така структурирани основните </w:t>
      </w:r>
      <w:bookmarkStart w:id="223" w:name="_Hlk95403449"/>
      <w:r w:rsidRPr="009E3D61">
        <w:rPr>
          <w:rFonts w:eastAsia="Times New Roman"/>
        </w:rPr>
        <w:t xml:space="preserve">критерии изпълняват различни съвкупности от цели за определянето на крайната оценка на всеки един от изготвените варианти. </w:t>
      </w:r>
    </w:p>
    <w:p w14:paraId="033A16A7" w14:textId="77777777" w:rsidR="00535ED7" w:rsidRPr="009E3D61" w:rsidRDefault="00535ED7" w:rsidP="00535ED7">
      <w:pPr>
        <w:spacing w:after="120" w:line="24" w:lineRule="atLeast"/>
        <w:jc w:val="both"/>
        <w:rPr>
          <w:rFonts w:eastAsia="Times New Roman"/>
        </w:rPr>
      </w:pPr>
      <w:r w:rsidRPr="009E3D61">
        <w:rPr>
          <w:rFonts w:eastAsia="Times New Roman"/>
          <w:b/>
          <w:i/>
        </w:rPr>
        <w:t>Техническият основен критерий</w:t>
      </w:r>
      <w:r w:rsidRPr="009E3D61">
        <w:rPr>
          <w:rFonts w:eastAsia="Times New Roman"/>
        </w:rPr>
        <w:t xml:space="preserve"> има за цел да оцени степента на постигане на основните цели на проекта, както и различните възможни рискове за изграждането на всеки един от изготвените варианти, свързани с използваните конструкции, технологиите за изграждане, геотехническите условия, периода за експлоатация и др. </w:t>
      </w:r>
    </w:p>
    <w:p w14:paraId="6683A3B0" w14:textId="77777777" w:rsidR="00535ED7" w:rsidRPr="009E3D61" w:rsidRDefault="00535ED7" w:rsidP="00535ED7">
      <w:pPr>
        <w:spacing w:after="120" w:line="24" w:lineRule="atLeast"/>
        <w:jc w:val="both"/>
        <w:rPr>
          <w:rFonts w:eastAsia="Times New Roman"/>
        </w:rPr>
      </w:pPr>
      <w:r w:rsidRPr="009E3D61">
        <w:rPr>
          <w:rFonts w:eastAsia="Times New Roman"/>
          <w:b/>
          <w:i/>
        </w:rPr>
        <w:t>Финансо</w:t>
      </w:r>
      <w:r>
        <w:rPr>
          <w:rFonts w:eastAsia="Times New Roman"/>
          <w:b/>
          <w:i/>
        </w:rPr>
        <w:t>во-икономически</w:t>
      </w:r>
      <w:r w:rsidRPr="009E3D61">
        <w:rPr>
          <w:rFonts w:eastAsia="Times New Roman"/>
          <w:b/>
          <w:i/>
        </w:rPr>
        <w:t>ят основен критерий</w:t>
      </w:r>
      <w:r w:rsidRPr="009E3D61">
        <w:rPr>
          <w:rFonts w:eastAsia="Times New Roman"/>
        </w:rPr>
        <w:t xml:space="preserve"> има за цел да оцени икономическата жизнеспособност на проекта, чрез оценка на ефективността на инвестиционните разходи, заедно с разходите за експлоатация и поддръжка, както и икономическа оценка на максимално ефективното разходване на публичните средства, т.е. какви ползи би получило обществото срещу вложените инвестиционни разходи. </w:t>
      </w:r>
    </w:p>
    <w:p w14:paraId="632B786B" w14:textId="77777777" w:rsidR="00535ED7" w:rsidRPr="009E3D61" w:rsidRDefault="00535ED7" w:rsidP="00535ED7">
      <w:pPr>
        <w:spacing w:after="120" w:line="24" w:lineRule="atLeast"/>
        <w:jc w:val="both"/>
        <w:rPr>
          <w:rFonts w:eastAsia="Times New Roman"/>
        </w:rPr>
      </w:pPr>
      <w:r w:rsidRPr="009E3D61">
        <w:rPr>
          <w:rFonts w:eastAsia="Times New Roman"/>
          <w:b/>
          <w:i/>
        </w:rPr>
        <w:lastRenderedPageBreak/>
        <w:t>Екологичният основен критерий</w:t>
      </w:r>
      <w:r w:rsidRPr="009E3D61">
        <w:rPr>
          <w:rFonts w:eastAsia="Times New Roman"/>
        </w:rPr>
        <w:t xml:space="preserve"> има за цел да оцени въздействието върху човешкото здраве, обектите от Натура 2000 и въздействието върху други защитени зони и чувствителни обекти на околната среда, при изграждането на всеки един от изготвените варианти. </w:t>
      </w:r>
    </w:p>
    <w:p w14:paraId="15B79DC8" w14:textId="77777777" w:rsidR="00535ED7" w:rsidRPr="009E3D61" w:rsidRDefault="00535ED7" w:rsidP="00535ED7">
      <w:pPr>
        <w:spacing w:after="120" w:line="24" w:lineRule="atLeast"/>
        <w:jc w:val="both"/>
        <w:rPr>
          <w:rFonts w:eastAsia="Times New Roman"/>
        </w:rPr>
      </w:pPr>
      <w:r w:rsidRPr="009E3D61">
        <w:rPr>
          <w:rFonts w:eastAsia="Times New Roman"/>
          <w:b/>
          <w:i/>
        </w:rPr>
        <w:t>Социалният основен критерий</w:t>
      </w:r>
      <w:r w:rsidRPr="009E3D61">
        <w:rPr>
          <w:rFonts w:eastAsia="Times New Roman"/>
        </w:rPr>
        <w:t xml:space="preserve"> има за цел да оцени подобряването на условията за обществото и местната индустрия за всеки един от изготвените варианти. </w:t>
      </w:r>
    </w:p>
    <w:p w14:paraId="402CAD44" w14:textId="77777777" w:rsidR="00535ED7" w:rsidRPr="009E3D61" w:rsidRDefault="00535ED7" w:rsidP="00535ED7">
      <w:pPr>
        <w:spacing w:after="120" w:line="24" w:lineRule="atLeast"/>
        <w:rPr>
          <w:rFonts w:eastAsia="Times New Roman"/>
        </w:rPr>
      </w:pPr>
      <w:r w:rsidRPr="009E3D61">
        <w:rPr>
          <w:rFonts w:eastAsia="Times New Roman"/>
        </w:rPr>
        <w:t>При структурирането на различните под-критерии е съблюдавано:</w:t>
      </w:r>
    </w:p>
    <w:p w14:paraId="0CFFD89B"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xml:space="preserve">- да не се допусне наличието на под-критерии, които сравняват несъществени параметри на вариантите; </w:t>
      </w:r>
    </w:p>
    <w:p w14:paraId="4E25700D"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да не се допусне оценяване на един ефект или на части от него по повече от един под-критерий;</w:t>
      </w:r>
    </w:p>
    <w:p w14:paraId="0D486FFA"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 да се осигури независимост на всеки един от под-критериите - всеки от тях да бъде оценен, без да се влияе от оценката на другите под-критерии.</w:t>
      </w:r>
    </w:p>
    <w:bookmarkEnd w:id="223"/>
    <w:p w14:paraId="2EFC87B6" w14:textId="77777777" w:rsidR="00535ED7" w:rsidRPr="009E3D61" w:rsidRDefault="00535ED7" w:rsidP="00535ED7">
      <w:pPr>
        <w:spacing w:after="120" w:line="24" w:lineRule="atLeast"/>
        <w:contextualSpacing/>
        <w:rPr>
          <w:rFonts w:eastAsia="Times New Roman"/>
          <w:lang w:eastAsia="zh-CN"/>
        </w:rPr>
      </w:pPr>
    </w:p>
    <w:p w14:paraId="28EF2C4F" w14:textId="77777777" w:rsidR="00535ED7" w:rsidRPr="009E3D61" w:rsidRDefault="00535ED7" w:rsidP="00535ED7">
      <w:pPr>
        <w:spacing w:after="120" w:line="24" w:lineRule="atLeast"/>
        <w:contextualSpacing/>
        <w:rPr>
          <w:rFonts w:eastAsia="Times New Roman"/>
          <w:lang w:eastAsia="zh-CN"/>
        </w:rPr>
      </w:pPr>
      <w:r w:rsidRPr="009E3D61">
        <w:rPr>
          <w:rFonts w:eastAsia="Times New Roman"/>
          <w:lang w:eastAsia="zh-CN"/>
        </w:rPr>
        <w:t>На всеки под-критерий се дава оценка по едно от следните нива:</w:t>
      </w:r>
    </w:p>
    <w:p w14:paraId="7A838858" w14:textId="77777777" w:rsidR="00535ED7" w:rsidRPr="009E3D61" w:rsidRDefault="00535ED7" w:rsidP="00535ED7">
      <w:pPr>
        <w:spacing w:after="120" w:line="24" w:lineRule="atLeast"/>
        <w:contextualSpacing/>
        <w:rPr>
          <w:rFonts w:eastAsia="Times New Roman"/>
          <w:lang w:eastAsia="zh-C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2409"/>
      </w:tblGrid>
      <w:tr w:rsidR="00535ED7" w:rsidRPr="009E3D61" w14:paraId="0E50F83C" w14:textId="77777777" w:rsidTr="00535ED7">
        <w:trPr>
          <w:jc w:val="center"/>
        </w:trPr>
        <w:tc>
          <w:tcPr>
            <w:tcW w:w="1134" w:type="dxa"/>
            <w:shd w:val="clear" w:color="auto" w:fill="00B050"/>
            <w:vAlign w:val="center"/>
          </w:tcPr>
          <w:p w14:paraId="23129A45"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1</w:t>
            </w:r>
          </w:p>
        </w:tc>
        <w:tc>
          <w:tcPr>
            <w:tcW w:w="2409" w:type="dxa"/>
            <w:shd w:val="clear" w:color="auto" w:fill="00B050"/>
            <w:vAlign w:val="center"/>
          </w:tcPr>
          <w:p w14:paraId="1BB51E1D"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благоприятно</w:t>
            </w:r>
          </w:p>
        </w:tc>
      </w:tr>
      <w:tr w:rsidR="00535ED7" w:rsidRPr="009E3D61" w14:paraId="090B4E7E" w14:textId="77777777" w:rsidTr="00535ED7">
        <w:trPr>
          <w:jc w:val="center"/>
        </w:trPr>
        <w:tc>
          <w:tcPr>
            <w:tcW w:w="1134" w:type="dxa"/>
            <w:shd w:val="clear" w:color="auto" w:fill="FFFF00"/>
            <w:vAlign w:val="center"/>
          </w:tcPr>
          <w:p w14:paraId="534FC407"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2</w:t>
            </w:r>
          </w:p>
        </w:tc>
        <w:tc>
          <w:tcPr>
            <w:tcW w:w="2409" w:type="dxa"/>
            <w:shd w:val="clear" w:color="auto" w:fill="FFFF00"/>
            <w:vAlign w:val="center"/>
          </w:tcPr>
          <w:p w14:paraId="36201D28"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средно</w:t>
            </w:r>
          </w:p>
        </w:tc>
      </w:tr>
      <w:tr w:rsidR="00535ED7" w:rsidRPr="009E3D61" w14:paraId="5DA6675B" w14:textId="77777777" w:rsidTr="00535ED7">
        <w:trPr>
          <w:jc w:val="center"/>
        </w:trPr>
        <w:tc>
          <w:tcPr>
            <w:tcW w:w="1134" w:type="dxa"/>
            <w:shd w:val="clear" w:color="auto" w:fill="FF0000"/>
            <w:vAlign w:val="center"/>
          </w:tcPr>
          <w:p w14:paraId="11CEEBC7"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3</w:t>
            </w:r>
          </w:p>
        </w:tc>
        <w:tc>
          <w:tcPr>
            <w:tcW w:w="2409" w:type="dxa"/>
            <w:shd w:val="clear" w:color="auto" w:fill="FF0000"/>
            <w:vAlign w:val="center"/>
          </w:tcPr>
          <w:p w14:paraId="4A37E704"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критично</w:t>
            </w:r>
          </w:p>
        </w:tc>
      </w:tr>
      <w:tr w:rsidR="00535ED7" w:rsidRPr="009E3D61" w14:paraId="6EFA9399" w14:textId="77777777" w:rsidTr="00535ED7">
        <w:trPr>
          <w:jc w:val="center"/>
        </w:trPr>
        <w:tc>
          <w:tcPr>
            <w:tcW w:w="1134" w:type="dxa"/>
            <w:vAlign w:val="center"/>
          </w:tcPr>
          <w:p w14:paraId="53D80545" w14:textId="77777777" w:rsidR="00535ED7" w:rsidRPr="009E3D61" w:rsidRDefault="00535ED7" w:rsidP="00535ED7">
            <w:pPr>
              <w:spacing w:after="120" w:line="24" w:lineRule="atLeast"/>
              <w:ind w:firstLine="46"/>
              <w:contextualSpacing/>
              <w:jc w:val="center"/>
              <w:rPr>
                <w:rFonts w:eastAsia="SimSun"/>
                <w:lang w:eastAsia="zh-CN"/>
              </w:rPr>
            </w:pPr>
            <w:r w:rsidRPr="009E3D61">
              <w:rPr>
                <w:rFonts w:eastAsia="SimSun"/>
                <w:lang w:eastAsia="zh-CN"/>
              </w:rPr>
              <w:t>nr</w:t>
            </w:r>
          </w:p>
        </w:tc>
        <w:tc>
          <w:tcPr>
            <w:tcW w:w="2409" w:type="dxa"/>
            <w:vAlign w:val="center"/>
          </w:tcPr>
          <w:p w14:paraId="214F0188" w14:textId="77777777" w:rsidR="00535ED7" w:rsidRPr="009E3D61" w:rsidRDefault="00535ED7" w:rsidP="00535ED7">
            <w:pPr>
              <w:spacing w:after="120" w:line="24" w:lineRule="atLeast"/>
              <w:contextualSpacing/>
              <w:jc w:val="center"/>
              <w:rPr>
                <w:rFonts w:eastAsia="SimSun"/>
                <w:lang w:eastAsia="zh-CN"/>
              </w:rPr>
            </w:pPr>
            <w:r w:rsidRPr="009E3D61">
              <w:rPr>
                <w:rFonts w:eastAsia="SimSun"/>
                <w:lang w:eastAsia="zh-CN"/>
              </w:rPr>
              <w:t>неприложимо</w:t>
            </w:r>
          </w:p>
        </w:tc>
      </w:tr>
    </w:tbl>
    <w:p w14:paraId="1DFD4294" w14:textId="77777777" w:rsidR="00535ED7" w:rsidRPr="009E3D61" w:rsidRDefault="00535ED7" w:rsidP="00535ED7">
      <w:pPr>
        <w:spacing w:after="120" w:line="24" w:lineRule="atLeast"/>
        <w:contextualSpacing/>
        <w:rPr>
          <w:rFonts w:eastAsia="Times New Roman"/>
          <w:lang w:eastAsia="zh-CN"/>
        </w:rPr>
      </w:pPr>
    </w:p>
    <w:p w14:paraId="17EFF41F"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Допълнително с оглед постигането на максимална обективност при извършване на оценката, там където не е описано друго, са приложени следните относителни тежести по основни критерии, критерии и под-критерии:</w:t>
      </w:r>
    </w:p>
    <w:p w14:paraId="6B750042" w14:textId="77777777" w:rsidR="00535ED7" w:rsidRPr="009E3D61" w:rsidRDefault="00535ED7" w:rsidP="00535ED7">
      <w:pPr>
        <w:spacing w:after="120" w:line="24" w:lineRule="atLeast"/>
        <w:contextualSpacing/>
        <w:jc w:val="both"/>
        <w:rPr>
          <w:rFonts w:eastAsia="Times New Roman"/>
          <w:i/>
          <w:lang w:eastAsia="zh-CN"/>
        </w:rPr>
      </w:pPr>
    </w:p>
    <w:p w14:paraId="0297CA42" w14:textId="77777777" w:rsidR="00535ED7" w:rsidRPr="009E3D61" w:rsidRDefault="00535ED7" w:rsidP="00535ED7">
      <w:pPr>
        <w:spacing w:after="120" w:line="24" w:lineRule="atLeast"/>
        <w:contextualSpacing/>
        <w:jc w:val="both"/>
        <w:rPr>
          <w:rFonts w:eastAsia="Times New Roman"/>
          <w:i/>
          <w:u w:val="single"/>
          <w:lang w:eastAsia="zh-CN"/>
        </w:rPr>
      </w:pPr>
      <w:r w:rsidRPr="009E3D61">
        <w:rPr>
          <w:rFonts w:eastAsia="Times New Roman"/>
          <w:i/>
          <w:u w:val="single"/>
          <w:lang w:eastAsia="zh-CN"/>
        </w:rPr>
        <w:t xml:space="preserve">Относителни тежести на под-критериите за получаване на крайна оценка за съответния критерий </w:t>
      </w:r>
    </w:p>
    <w:p w14:paraId="1436F735"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1BB66CB2" w14:textId="77777777" w:rsidR="00535ED7" w:rsidRPr="009E3D61" w:rsidRDefault="00535ED7" w:rsidP="00535ED7">
      <w:pPr>
        <w:spacing w:after="120" w:line="24" w:lineRule="atLeast"/>
        <w:contextualSpacing/>
        <w:jc w:val="both"/>
        <w:rPr>
          <w:rFonts w:eastAsia="Times New Roman"/>
          <w:i/>
          <w:u w:val="single"/>
          <w:lang w:eastAsia="zh-CN"/>
        </w:rPr>
      </w:pPr>
    </w:p>
    <w:p w14:paraId="4074BB3C" w14:textId="77777777" w:rsidR="00535ED7" w:rsidRPr="009E3D61" w:rsidRDefault="00535ED7" w:rsidP="00535ED7">
      <w:pPr>
        <w:spacing w:after="120" w:line="24" w:lineRule="atLeast"/>
        <w:contextualSpacing/>
        <w:jc w:val="both"/>
        <w:rPr>
          <w:rFonts w:eastAsia="Times New Roman"/>
          <w:i/>
          <w:u w:val="single"/>
          <w:lang w:eastAsia="zh-CN"/>
        </w:rPr>
      </w:pPr>
      <w:r w:rsidRPr="009E3D61">
        <w:rPr>
          <w:rFonts w:eastAsia="Times New Roman"/>
          <w:i/>
          <w:u w:val="single"/>
          <w:lang w:eastAsia="zh-CN"/>
        </w:rPr>
        <w:t xml:space="preserve">Относителни тежести на критериите за получаване на крайна оценка за съответния основен критерий </w:t>
      </w:r>
    </w:p>
    <w:p w14:paraId="593FCD14"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Оценката на съответния критерий се получава като средноаритметична оценка на оценките на включените в него под-критерии.</w:t>
      </w:r>
    </w:p>
    <w:p w14:paraId="7FAB61C3"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При избора на относителна тежест на някои от критериите са използвани следните аргументи:</w:t>
      </w:r>
    </w:p>
    <w:p w14:paraId="6CD26C73" w14:textId="77777777" w:rsidR="00535ED7" w:rsidRPr="009E3D61" w:rsidRDefault="00535ED7" w:rsidP="00535ED7">
      <w:pPr>
        <w:spacing w:after="120" w:line="24" w:lineRule="atLeast"/>
        <w:contextualSpacing/>
        <w:jc w:val="both"/>
        <w:rPr>
          <w:rFonts w:eastAsia="Times New Roman"/>
          <w:b/>
          <w:lang w:eastAsia="zh-CN"/>
        </w:rPr>
      </w:pPr>
      <w:r w:rsidRPr="009E3D61">
        <w:rPr>
          <w:rFonts w:eastAsia="Times New Roman"/>
          <w:b/>
          <w:lang w:eastAsia="zh-CN"/>
        </w:rPr>
        <w:t xml:space="preserve">Основен критерий „Технически“ </w:t>
      </w:r>
    </w:p>
    <w:p w14:paraId="5F97664C"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t>Критерий Техническа осъществимост и дълготрайност</w:t>
      </w:r>
      <w:r w:rsidRPr="009E3D61">
        <w:rPr>
          <w:rFonts w:eastAsia="Times New Roman"/>
          <w:lang w:eastAsia="zh-CN"/>
        </w:rPr>
        <w:t>, получава относителна тежест от 75%, защото техническата осъществимост позволява съобразяване на стратегическия подход за изпълнение на строителните работи, както и в бъдеще за експлоатация и поддръжка и най-вече за различна степен на икономически живот на изградените активи.</w:t>
      </w:r>
    </w:p>
    <w:p w14:paraId="4E3C4873"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lastRenderedPageBreak/>
        <w:t>Критерий Изпълнение на строителните работи</w:t>
      </w:r>
      <w:r w:rsidRPr="009E3D61">
        <w:rPr>
          <w:rFonts w:eastAsia="Times New Roman"/>
          <w:lang w:eastAsia="zh-CN"/>
        </w:rPr>
        <w:t xml:space="preserve"> получава относителна тежест от 25%, защото извършва оценка само на рисковете по време на изпълнение на строителните работи.</w:t>
      </w:r>
    </w:p>
    <w:p w14:paraId="79B4519E" w14:textId="77777777" w:rsidR="00535ED7" w:rsidRPr="009E3D61" w:rsidRDefault="00535ED7" w:rsidP="00535ED7">
      <w:pPr>
        <w:spacing w:after="120" w:line="24" w:lineRule="atLeast"/>
        <w:contextualSpacing/>
        <w:jc w:val="both"/>
        <w:rPr>
          <w:rFonts w:eastAsia="Times New Roman"/>
          <w:b/>
          <w:lang w:eastAsia="zh-CN"/>
        </w:rPr>
      </w:pPr>
      <w:r w:rsidRPr="009E3D61">
        <w:rPr>
          <w:rFonts w:eastAsia="Times New Roman"/>
          <w:b/>
          <w:lang w:eastAsia="zh-CN"/>
        </w:rPr>
        <w:t xml:space="preserve">Основен критерий „Финансово-икономически“ </w:t>
      </w:r>
    </w:p>
    <w:p w14:paraId="15AC258B"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i/>
          <w:lang w:eastAsia="zh-CN"/>
        </w:rPr>
        <w:t>Първият критерий за ефективност на разходите</w:t>
      </w:r>
      <w:r w:rsidRPr="009E3D61">
        <w:rPr>
          <w:rFonts w:eastAsia="Times New Roman"/>
          <w:lang w:eastAsia="zh-CN"/>
        </w:rPr>
        <w:t xml:space="preserve"> ни показва съотношението на всички разходи, капиталови и такива за експлоатация и поддръжка за единица извършена работа или тяхната нетна настояща стойност към момента на изготвяне на анализите. Тъй като за обществото е по-важно да се влагат по-малко публични средства за единица извършена работа, на под-критерий Разходи за 1 </w:t>
      </w:r>
      <w:r>
        <w:rPr>
          <w:rFonts w:eastAsia="Times New Roman"/>
          <w:lang w:eastAsia="zh-CN"/>
        </w:rPr>
        <w:t>тон</w:t>
      </w:r>
      <w:r w:rsidRPr="009E3D61">
        <w:rPr>
          <w:rFonts w:eastAsia="Times New Roman"/>
          <w:lang w:eastAsia="zh-CN"/>
        </w:rPr>
        <w:t xml:space="preserve"> е дадена относителна тежест от 75%, а на под-критерий ННС на общите разходи - 25%. Общата относителна тежест на този критерий при оценка на основния критерий Финансово-Икономически е 30%. </w:t>
      </w:r>
    </w:p>
    <w:p w14:paraId="082904D0" w14:textId="77777777" w:rsidR="00535ED7" w:rsidRPr="007C4CBD" w:rsidRDefault="00535ED7" w:rsidP="00535ED7">
      <w:pPr>
        <w:spacing w:after="120" w:line="24" w:lineRule="atLeast"/>
        <w:contextualSpacing/>
        <w:jc w:val="both"/>
        <w:rPr>
          <w:rFonts w:eastAsia="Times New Roman"/>
          <w:lang w:eastAsia="zh-CN"/>
        </w:rPr>
      </w:pPr>
      <w:r w:rsidRPr="009E3D61">
        <w:rPr>
          <w:rFonts w:eastAsia="Times New Roman"/>
          <w:i/>
          <w:lang w:eastAsia="zh-CN"/>
        </w:rPr>
        <w:t>Критерият Икономическа оценка</w:t>
      </w:r>
      <w:r w:rsidRPr="009E3D61">
        <w:rPr>
          <w:rFonts w:eastAsia="Times New Roman"/>
          <w:lang w:eastAsia="zh-CN"/>
        </w:rPr>
        <w:t xml:space="preserve"> дава обективна информация за икономическата ефективност на даден вариант, определена </w:t>
      </w:r>
      <w:r w:rsidRPr="007C4CBD">
        <w:rPr>
          <w:rFonts w:eastAsia="Times New Roman"/>
          <w:lang w:eastAsia="zh-CN"/>
        </w:rPr>
        <w:t>чрез група от индикатори.</w:t>
      </w:r>
    </w:p>
    <w:p w14:paraId="28AA65B2" w14:textId="77777777" w:rsidR="00535ED7" w:rsidRPr="007C4CBD" w:rsidRDefault="00535ED7" w:rsidP="00535ED7">
      <w:pPr>
        <w:spacing w:after="120" w:line="24" w:lineRule="atLeast"/>
        <w:contextualSpacing/>
        <w:jc w:val="both"/>
        <w:rPr>
          <w:rFonts w:eastAsia="Times New Roman"/>
          <w:lang w:eastAsia="zh-CN"/>
        </w:rPr>
      </w:pPr>
      <w:r w:rsidRPr="007C4CBD">
        <w:rPr>
          <w:rFonts w:eastAsia="Times New Roman"/>
          <w:lang w:eastAsia="zh-CN"/>
        </w:rPr>
        <w:t xml:space="preserve">Навсякъде в икономическата литература </w:t>
      </w:r>
      <w:r w:rsidRPr="00BB7138">
        <w:t>Икономическа нетна настояща стойност</w:t>
      </w:r>
      <w:r w:rsidRPr="007C4CBD">
        <w:rPr>
          <w:rFonts w:eastAsia="Times New Roman"/>
          <w:lang w:eastAsia="zh-CN"/>
        </w:rPr>
        <w:t xml:space="preserve"> </w:t>
      </w:r>
      <w:r>
        <w:rPr>
          <w:rFonts w:eastAsia="Times New Roman"/>
          <w:lang w:eastAsia="zh-CN"/>
        </w:rPr>
        <w:t>(</w:t>
      </w:r>
      <w:r w:rsidRPr="007C4CBD">
        <w:rPr>
          <w:rFonts w:eastAsia="Times New Roman"/>
          <w:lang w:eastAsia="zh-CN"/>
        </w:rPr>
        <w:t>ИННС</w:t>
      </w:r>
      <w:r>
        <w:rPr>
          <w:rFonts w:eastAsia="Times New Roman"/>
          <w:lang w:eastAsia="zh-CN"/>
        </w:rPr>
        <w:t>)</w:t>
      </w:r>
      <w:r w:rsidRPr="007C4CBD">
        <w:rPr>
          <w:rFonts w:eastAsia="Times New Roman"/>
          <w:lang w:eastAsia="zh-CN"/>
        </w:rPr>
        <w:t xml:space="preserve"> на дадена инвестиция се смята за водещ индикатор при взимане на решение, защото показва, дали вложените средства за изграждането и експлоатацията на обекта ще генерира повече ползи за определен период от време, в сравнение с направените разходи. Затова на този под-критерий е присъдена относителна тежест 50%.</w:t>
      </w:r>
    </w:p>
    <w:p w14:paraId="2C0C381B" w14:textId="77777777" w:rsidR="00535ED7" w:rsidRPr="009E3D61" w:rsidRDefault="00535ED7" w:rsidP="00535ED7">
      <w:pPr>
        <w:spacing w:after="120" w:line="24" w:lineRule="atLeast"/>
        <w:contextualSpacing/>
        <w:jc w:val="both"/>
        <w:rPr>
          <w:rFonts w:eastAsia="Times New Roman"/>
          <w:lang w:eastAsia="zh-CN"/>
        </w:rPr>
      </w:pPr>
      <w:r w:rsidRPr="007C4CBD">
        <w:rPr>
          <w:rFonts w:eastAsia="Times New Roman"/>
          <w:lang w:eastAsia="zh-CN"/>
        </w:rPr>
        <w:t xml:space="preserve">Макар да има пряка зависимост между индикаторите ИННС и </w:t>
      </w:r>
      <w:r w:rsidRPr="00890A59">
        <w:t xml:space="preserve">Икономическа вътрешна норма на възвръщаемост </w:t>
      </w:r>
      <w:r>
        <w:t>(</w:t>
      </w:r>
      <w:r w:rsidRPr="007C4CBD">
        <w:rPr>
          <w:rFonts w:eastAsia="Times New Roman"/>
          <w:lang w:eastAsia="zh-CN"/>
        </w:rPr>
        <w:t>ИВНВ</w:t>
      </w:r>
      <w:r>
        <w:rPr>
          <w:rFonts w:eastAsia="Times New Roman"/>
          <w:lang w:eastAsia="zh-CN"/>
        </w:rPr>
        <w:t>)</w:t>
      </w:r>
      <w:r w:rsidRPr="007C4CBD">
        <w:rPr>
          <w:rFonts w:eastAsia="Times New Roman"/>
          <w:lang w:eastAsia="zh-CN"/>
        </w:rPr>
        <w:t>, понякога</w:t>
      </w:r>
      <w:r w:rsidRPr="009E3D61">
        <w:rPr>
          <w:rFonts w:eastAsia="Times New Roman"/>
          <w:lang w:eastAsia="zh-CN"/>
        </w:rPr>
        <w:t xml:space="preserve"> е възможно ИВНВ да не достигне препоръчваните стойности, а именно да е &gt; от използваната дисконтова норма. Колкото по-голям е размера на дисконтовата норма (слабо развита икономика, политическа нестабилност, рисков сектор на икономиката и др.), толкова по вероятно е да няма пълна зависимост между двата индикатора и въпреки това ИВНВ остава важен индикатор при взимане на решение за избор на вариант и затова на под-критерий ИВНВ се присъжда относителна тежест от 40%.</w:t>
      </w:r>
    </w:p>
    <w:p w14:paraId="6BD12080" w14:textId="77777777" w:rsidR="00535ED7" w:rsidRPr="009E3D61" w:rsidRDefault="00535ED7" w:rsidP="00535ED7">
      <w:pPr>
        <w:spacing w:after="120" w:line="24" w:lineRule="atLeast"/>
        <w:contextualSpacing/>
        <w:jc w:val="both"/>
        <w:rPr>
          <w:rFonts w:eastAsia="Times New Roman"/>
          <w:lang w:eastAsia="zh-CN"/>
        </w:rPr>
      </w:pPr>
      <w:r w:rsidRPr="009E3D61">
        <w:rPr>
          <w:rFonts w:eastAsia="Times New Roman"/>
          <w:lang w:eastAsia="zh-CN"/>
        </w:rPr>
        <w:t>Коефициентът ползи/разходи е често използван за допълващ индикатор, когато не може да бъде обективно определена ННС. Той дава информация дали съвкупните ползи превишават общите разходи в просто съотношение като делимо. Отново е свързан с предишните два индикатора, но за разлика от тях не е лимитиращо условие за финансиране със средства от ЕС и затова на него му се дава относително тегло от 10%. Общата относителна тежест на този критерий при оценка на основния критерий Финансово-Икономически е 70%.</w:t>
      </w:r>
    </w:p>
    <w:p w14:paraId="50D8AD49" w14:textId="77777777" w:rsidR="00535ED7" w:rsidRPr="009E3D61" w:rsidRDefault="00535ED7" w:rsidP="00535ED7">
      <w:pPr>
        <w:spacing w:after="120" w:line="24" w:lineRule="atLeast"/>
        <w:contextualSpacing/>
        <w:rPr>
          <w:rFonts w:eastAsia="Times New Roman"/>
          <w:lang w:eastAsia="zh-CN"/>
        </w:rPr>
      </w:pPr>
    </w:p>
    <w:p w14:paraId="237C9AD2" w14:textId="77777777" w:rsidR="00535ED7" w:rsidRPr="009E3D61" w:rsidRDefault="00535ED7" w:rsidP="00535ED7">
      <w:pPr>
        <w:spacing w:after="120" w:line="24" w:lineRule="atLeast"/>
        <w:contextualSpacing/>
        <w:rPr>
          <w:rFonts w:eastAsia="Times New Roman"/>
          <w:i/>
          <w:u w:val="single"/>
          <w:lang w:eastAsia="zh-CN"/>
        </w:rPr>
      </w:pPr>
      <w:r w:rsidRPr="009E3D61">
        <w:rPr>
          <w:rFonts w:eastAsia="Times New Roman"/>
          <w:i/>
          <w:u w:val="single"/>
          <w:lang w:eastAsia="zh-CN"/>
        </w:rPr>
        <w:t>Относителни тежести на основните критерии</w:t>
      </w:r>
    </w:p>
    <w:p w14:paraId="7E4C20D5" w14:textId="77777777" w:rsidR="00535ED7" w:rsidRPr="00535ED7" w:rsidRDefault="00535ED7" w:rsidP="00535ED7">
      <w:pPr>
        <w:pStyle w:val="ListParagraph"/>
        <w:spacing w:after="120" w:line="24" w:lineRule="atLeast"/>
        <w:ind w:left="0"/>
        <w:jc w:val="both"/>
        <w:rPr>
          <w:rFonts w:ascii="Arial" w:hAnsi="Arial" w:cs="Arial"/>
        </w:rPr>
      </w:pPr>
      <w:bookmarkStart w:id="224" w:name="_Hlk95403554"/>
      <w:r w:rsidRPr="00535ED7">
        <w:rPr>
          <w:rFonts w:ascii="Arial" w:hAnsi="Arial" w:cs="Arial"/>
        </w:rPr>
        <w:t>Оценката на съответния вариант се получава след прилагане на относителни тежести на основните критерии, препоръчани от JASPERS, както следва:</w:t>
      </w:r>
    </w:p>
    <w:p w14:paraId="49949493"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 xml:space="preserve">Технически </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- 35%;</w:t>
      </w:r>
    </w:p>
    <w:p w14:paraId="6414955B"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 xml:space="preserve">Финансово-икономически </w:t>
      </w:r>
      <w:r w:rsidRPr="00535ED7">
        <w:rPr>
          <w:rFonts w:eastAsia="Times New Roman" w:cs="Arial"/>
          <w:lang w:eastAsia="zh-CN"/>
        </w:rPr>
        <w:tab/>
        <w:t>- 30%;</w:t>
      </w:r>
    </w:p>
    <w:p w14:paraId="04B2A89E"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t>Екологичен</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- 30%;</w:t>
      </w:r>
    </w:p>
    <w:p w14:paraId="54FB5FBB" w14:textId="77777777" w:rsidR="00535ED7" w:rsidRPr="00535ED7" w:rsidRDefault="00535ED7" w:rsidP="00BF37F2">
      <w:pPr>
        <w:numPr>
          <w:ilvl w:val="0"/>
          <w:numId w:val="51"/>
        </w:numPr>
        <w:tabs>
          <w:tab w:val="left" w:pos="1890"/>
        </w:tabs>
        <w:spacing w:after="120" w:line="24" w:lineRule="atLeast"/>
        <w:ind w:left="0" w:firstLine="720"/>
        <w:contextualSpacing/>
        <w:jc w:val="both"/>
        <w:rPr>
          <w:rFonts w:eastAsia="Times New Roman" w:cs="Arial"/>
          <w:lang w:eastAsia="zh-CN"/>
        </w:rPr>
      </w:pPr>
      <w:r w:rsidRPr="00535ED7">
        <w:rPr>
          <w:rFonts w:eastAsia="Times New Roman" w:cs="Arial"/>
          <w:lang w:eastAsia="zh-CN"/>
        </w:rPr>
        <w:lastRenderedPageBreak/>
        <w:t>Социален</w:t>
      </w:r>
      <w:r w:rsidRPr="00535ED7">
        <w:rPr>
          <w:rFonts w:eastAsia="Times New Roman" w:cs="Arial"/>
          <w:lang w:eastAsia="zh-CN"/>
        </w:rPr>
        <w:tab/>
      </w:r>
      <w:r w:rsidRPr="00535ED7">
        <w:rPr>
          <w:rFonts w:eastAsia="Times New Roman" w:cs="Arial"/>
          <w:lang w:eastAsia="zh-CN"/>
        </w:rPr>
        <w:tab/>
      </w:r>
      <w:r w:rsidRPr="00535ED7">
        <w:rPr>
          <w:rFonts w:eastAsia="Times New Roman" w:cs="Arial"/>
          <w:lang w:eastAsia="zh-CN"/>
        </w:rPr>
        <w:tab/>
        <w:t>-   5%.</w:t>
      </w:r>
    </w:p>
    <w:bookmarkEnd w:id="224"/>
    <w:p w14:paraId="4A947AD3" w14:textId="77777777" w:rsidR="00535ED7" w:rsidRPr="00535ED7" w:rsidRDefault="00535ED7" w:rsidP="00535ED7">
      <w:pPr>
        <w:spacing w:after="120" w:line="24" w:lineRule="atLeast"/>
        <w:contextualSpacing/>
        <w:jc w:val="both"/>
        <w:rPr>
          <w:rFonts w:eastAsia="Times New Roman" w:cs="Arial"/>
          <w:lang w:eastAsia="zh-CN"/>
        </w:rPr>
      </w:pPr>
    </w:p>
    <w:p w14:paraId="5D8CB7D4" w14:textId="3D38CE17" w:rsidR="00535ED7" w:rsidRDefault="00535ED7" w:rsidP="00535ED7">
      <w:pPr>
        <w:spacing w:before="60" w:after="60"/>
        <w:jc w:val="both"/>
        <w:rPr>
          <w:rFonts w:cs="Arial"/>
          <w:bCs/>
          <w:lang w:eastAsia="en-GB"/>
        </w:rPr>
      </w:pPr>
      <w:r w:rsidRPr="009E3D61">
        <w:rPr>
          <w:rFonts w:eastAsia="Times New Roman"/>
          <w:lang w:eastAsia="zh-CN"/>
        </w:rPr>
        <w:t>Конкретните оценки за съответните подкритерии, включващи описание на целта, индикатора за постигане, методиката за определянето на съответните стойности, резултати от оценката и схемата за определяне на нивото на постигане на целта, както и обобщените резултати от оценките на съответните критерии и основни критерии за всеки от разработените варианти са показани по-долу в настоящия раздел.</w:t>
      </w:r>
    </w:p>
    <w:p w14:paraId="1B1411A6" w14:textId="77777777" w:rsidR="00C72D20" w:rsidRPr="00C72D20" w:rsidRDefault="00C72D20" w:rsidP="00C72D20">
      <w:pPr>
        <w:spacing w:before="60" w:after="60"/>
        <w:jc w:val="both"/>
        <w:rPr>
          <w:rFonts w:cs="Arial"/>
          <w:bCs/>
          <w:lang w:eastAsia="en-GB"/>
        </w:rPr>
      </w:pPr>
      <w:r w:rsidRPr="00C72D20">
        <w:rPr>
          <w:rFonts w:cs="Arial"/>
          <w:bCs/>
          <w:lang w:eastAsia="en-GB"/>
        </w:rPr>
        <w:t>На подробно изследване за избор на подходяща алтернатива са подложени следните варианти, определени в SWOT анализа:</w:t>
      </w:r>
    </w:p>
    <w:p w14:paraId="6BF5C20D"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1 - Изграждане на кейова стена от масивни бетонови блокове;</w:t>
      </w:r>
    </w:p>
    <w:p w14:paraId="4E226821"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2 - Изграждане на кесонна кейова стена;</w:t>
      </w:r>
    </w:p>
    <w:p w14:paraId="19019A20" w14:textId="77777777" w:rsidR="00C72D20" w:rsidRPr="00C72D20" w:rsidRDefault="00C72D20" w:rsidP="00535ED7">
      <w:pPr>
        <w:spacing w:before="60" w:after="60"/>
        <w:ind w:firstLine="360"/>
        <w:jc w:val="both"/>
        <w:rPr>
          <w:rFonts w:cs="Arial"/>
          <w:bCs/>
          <w:lang w:eastAsia="en-GB"/>
        </w:rPr>
      </w:pPr>
      <w:r w:rsidRPr="00C72D20">
        <w:rPr>
          <w:rFonts w:cs="Arial"/>
          <w:bCs/>
          <w:lang w:eastAsia="en-GB"/>
        </w:rPr>
        <w:t>•</w:t>
      </w:r>
      <w:r w:rsidRPr="00C72D20">
        <w:rPr>
          <w:rFonts w:cs="Arial"/>
          <w:bCs/>
          <w:lang w:eastAsia="en-GB"/>
        </w:rPr>
        <w:tab/>
        <w:t>Вариант 3 - Изграждане на комбинирана шпунтова кейова стена.</w:t>
      </w:r>
    </w:p>
    <w:p w14:paraId="6D8272D2" w14:textId="77777777" w:rsidR="00EA5DA6" w:rsidRDefault="00C72D20" w:rsidP="00C72D20">
      <w:pPr>
        <w:spacing w:before="60" w:after="60"/>
        <w:jc w:val="both"/>
        <w:rPr>
          <w:rFonts w:cs="Arial"/>
          <w:bCs/>
          <w:lang w:eastAsia="en-GB"/>
        </w:rPr>
      </w:pPr>
      <w:r w:rsidRPr="00C72D20">
        <w:rPr>
          <w:rFonts w:cs="Arial"/>
          <w:bCs/>
          <w:lang w:eastAsia="en-GB"/>
        </w:rPr>
        <w:t>След прилагане на гореописаната методология за извършване на Мултикритериален анализ при сравнението на разработените варианти за изпълнение на дейностите по проекта са получени следните оценки по варианти:</w:t>
      </w:r>
    </w:p>
    <w:p w14:paraId="6B790FD9" w14:textId="77777777" w:rsidR="00C72D20" w:rsidRPr="00765764" w:rsidRDefault="00C36518" w:rsidP="00C72D20">
      <w:pPr>
        <w:tabs>
          <w:tab w:val="left" w:pos="1418"/>
        </w:tabs>
        <w:spacing w:before="60" w:after="60"/>
        <w:jc w:val="both"/>
        <w:rPr>
          <w:rFonts w:cs="Arial"/>
          <w:i/>
          <w:sz w:val="22"/>
        </w:rPr>
      </w:pPr>
      <w:bookmarkStart w:id="225" w:name="_Toc17409905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10</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Оценки по критерии за всеки от вариантите</w:t>
      </w:r>
      <w:bookmarkEnd w:id="225"/>
    </w:p>
    <w:p w14:paraId="1E61D5A5" w14:textId="77777777" w:rsidR="00C72D20" w:rsidRDefault="00C72D20" w:rsidP="003E1E08">
      <w:pPr>
        <w:spacing w:before="60" w:after="60"/>
        <w:jc w:val="center"/>
        <w:rPr>
          <w:rFonts w:cs="Arial"/>
          <w:bCs/>
          <w:lang w:eastAsia="en-GB"/>
        </w:rPr>
      </w:pPr>
      <w:r w:rsidRPr="00C72D20">
        <w:rPr>
          <w:rFonts w:ascii="Times New Roman" w:eastAsia="Times New Roman" w:hAnsi="Times New Roman" w:cs="Times New Roman"/>
          <w:noProof/>
          <w:szCs w:val="24"/>
          <w:lang w:val="en-US" w:eastAsia="en-US"/>
        </w:rPr>
        <w:drawing>
          <wp:inline distT="0" distB="0" distL="0" distR="0" wp14:anchorId="30379827" wp14:editId="7D162727">
            <wp:extent cx="5784112" cy="2813942"/>
            <wp:effectExtent l="0" t="0" r="7620"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28857" cy="2835710"/>
                    </a:xfrm>
                    <a:prstGeom prst="rect">
                      <a:avLst/>
                    </a:prstGeom>
                    <a:noFill/>
                    <a:ln>
                      <a:noFill/>
                    </a:ln>
                  </pic:spPr>
                </pic:pic>
              </a:graphicData>
            </a:graphic>
          </wp:inline>
        </w:drawing>
      </w:r>
    </w:p>
    <w:p w14:paraId="2A4DDE4E" w14:textId="77777777" w:rsidR="00C72D20" w:rsidRDefault="00C72D20" w:rsidP="00326359">
      <w:pPr>
        <w:spacing w:after="120" w:line="24" w:lineRule="atLeast"/>
        <w:jc w:val="both"/>
        <w:rPr>
          <w:rFonts w:eastAsia="Times New Roman" w:cs="Arial"/>
          <w:szCs w:val="24"/>
          <w:lang w:eastAsia="en-US"/>
        </w:rPr>
      </w:pPr>
      <w:r w:rsidRPr="00326359">
        <w:rPr>
          <w:rFonts w:eastAsia="Times New Roman" w:cs="Arial"/>
          <w:szCs w:val="24"/>
          <w:lang w:eastAsia="en-US"/>
        </w:rPr>
        <w:t>След прилагане на описания по-горе подход за получаване на крайна оценка за съответния вариант са получени следните окончателни резултати:</w:t>
      </w:r>
    </w:p>
    <w:p w14:paraId="69754EB4" w14:textId="77777777" w:rsidR="00C72D20" w:rsidRPr="00765764" w:rsidRDefault="00C36518" w:rsidP="00C72D20">
      <w:pPr>
        <w:tabs>
          <w:tab w:val="left" w:pos="1418"/>
        </w:tabs>
        <w:spacing w:before="60" w:after="60"/>
        <w:jc w:val="both"/>
        <w:rPr>
          <w:rFonts w:cs="Arial"/>
          <w:i/>
          <w:sz w:val="22"/>
        </w:rPr>
      </w:pPr>
      <w:bookmarkStart w:id="226" w:name="_Toc174099056"/>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11</w:t>
      </w:r>
      <w:r w:rsidRPr="002E1E19">
        <w:rPr>
          <w:rFonts w:cs="Arial"/>
          <w:b/>
          <w:bCs/>
          <w:i/>
          <w:iCs/>
          <w:sz w:val="22"/>
        </w:rPr>
        <w:fldChar w:fldCharType="end"/>
      </w:r>
      <w:r>
        <w:rPr>
          <w:rFonts w:cs="Arial"/>
          <w:b/>
          <w:bCs/>
          <w:i/>
          <w:iCs/>
          <w:sz w:val="22"/>
        </w:rPr>
        <w:t xml:space="preserve">  </w:t>
      </w:r>
      <w:r w:rsidR="00C72D20">
        <w:rPr>
          <w:rFonts w:eastAsia="Calibri" w:cs="Arial"/>
          <w:i/>
          <w:color w:val="000000"/>
          <w:sz w:val="22"/>
          <w:lang w:eastAsia="en-US"/>
        </w:rPr>
        <w:t>Обобщени резултати за избор на вариант</w:t>
      </w:r>
      <w:bookmarkEnd w:id="226"/>
    </w:p>
    <w:p w14:paraId="545946AD" w14:textId="77777777" w:rsidR="00C72D20" w:rsidRPr="00C72D20" w:rsidRDefault="00C72D20" w:rsidP="003E1E08">
      <w:pPr>
        <w:spacing w:after="120" w:line="24" w:lineRule="atLeast"/>
        <w:ind w:firstLine="142"/>
        <w:jc w:val="center"/>
        <w:rPr>
          <w:rFonts w:ascii="Times New Roman" w:eastAsia="Times New Roman" w:hAnsi="Times New Roman" w:cs="Times New Roman"/>
          <w:szCs w:val="24"/>
          <w:lang w:eastAsia="en-US"/>
        </w:rPr>
      </w:pPr>
      <w:r w:rsidRPr="00C72D20">
        <w:rPr>
          <w:rFonts w:ascii="Times New Roman" w:eastAsia="Times New Roman" w:hAnsi="Times New Roman" w:cs="Times New Roman"/>
          <w:noProof/>
          <w:szCs w:val="24"/>
          <w:lang w:val="en-US" w:eastAsia="en-US"/>
        </w:rPr>
        <w:lastRenderedPageBreak/>
        <w:drawing>
          <wp:inline distT="0" distB="0" distL="0" distR="0" wp14:anchorId="058F86FF" wp14:editId="25493BDE">
            <wp:extent cx="5135135" cy="2052084"/>
            <wp:effectExtent l="0" t="0" r="8890" b="571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93184" cy="2075282"/>
                    </a:xfrm>
                    <a:prstGeom prst="rect">
                      <a:avLst/>
                    </a:prstGeom>
                    <a:noFill/>
                    <a:ln>
                      <a:noFill/>
                    </a:ln>
                  </pic:spPr>
                </pic:pic>
              </a:graphicData>
            </a:graphic>
          </wp:inline>
        </w:drawing>
      </w:r>
    </w:p>
    <w:p w14:paraId="7FF93B47" w14:textId="77777777" w:rsidR="00C72D20" w:rsidRPr="00C72D20" w:rsidRDefault="00C72D20" w:rsidP="00C72D20">
      <w:pPr>
        <w:spacing w:after="120" w:line="24" w:lineRule="atLeast"/>
        <w:ind w:firstLine="720"/>
        <w:jc w:val="both"/>
        <w:rPr>
          <w:rFonts w:ascii="Times New Roman" w:eastAsia="Times New Roman" w:hAnsi="Times New Roman" w:cs="Times New Roman"/>
          <w:szCs w:val="24"/>
          <w:lang w:eastAsia="en-US"/>
        </w:rPr>
      </w:pPr>
    </w:p>
    <w:p w14:paraId="17640A3B" w14:textId="77777777" w:rsidR="00C72D20" w:rsidRPr="00326359" w:rsidRDefault="00C72D20" w:rsidP="00326359">
      <w:pPr>
        <w:spacing w:after="120" w:line="24" w:lineRule="atLeast"/>
        <w:jc w:val="both"/>
        <w:rPr>
          <w:rFonts w:eastAsia="Times New Roman" w:cs="Arial"/>
          <w:szCs w:val="24"/>
          <w:lang w:eastAsia="en-US"/>
        </w:rPr>
      </w:pPr>
      <w:bookmarkStart w:id="227" w:name="_Hlk95404002"/>
      <w:r w:rsidRPr="00326359">
        <w:rPr>
          <w:rFonts w:eastAsia="Times New Roman" w:cs="Arial"/>
          <w:szCs w:val="24"/>
          <w:lang w:eastAsia="en-US"/>
        </w:rPr>
        <w:t>В резултат на извършената оценка, чрез прилагане на Мултикритериален анализ (МКА), обобщените резултати показват, че с най-добри такива е Вариант 3.</w:t>
      </w:r>
    </w:p>
    <w:bookmarkEnd w:id="227"/>
    <w:p w14:paraId="73E94196" w14:textId="77777777" w:rsidR="00C72D20" w:rsidRPr="00326359" w:rsidRDefault="00C72D20" w:rsidP="00326359">
      <w:pPr>
        <w:spacing w:after="120" w:line="24" w:lineRule="atLeast"/>
        <w:jc w:val="both"/>
        <w:rPr>
          <w:rFonts w:eastAsia="Times New Roman" w:cs="Arial"/>
          <w:szCs w:val="24"/>
          <w:lang w:eastAsia="en-US"/>
        </w:rPr>
      </w:pPr>
      <w:r w:rsidRPr="00326359">
        <w:rPr>
          <w:rFonts w:eastAsia="Times New Roman" w:cs="Arial"/>
          <w:szCs w:val="24"/>
          <w:lang w:eastAsia="en-US"/>
        </w:rPr>
        <w:t>Независимо, че получава най-добра окончателна оценка Вариант 3 притежава и други основни предимства за финансиране със средства от ЕС, както следва:</w:t>
      </w:r>
    </w:p>
    <w:p w14:paraId="5686149F" w14:textId="77777777" w:rsidR="00C72D20" w:rsidRPr="00326359" w:rsidRDefault="00C72D20" w:rsidP="00BF37F2">
      <w:pPr>
        <w:numPr>
          <w:ilvl w:val="0"/>
          <w:numId w:val="30"/>
        </w:numPr>
        <w:spacing w:after="120" w:line="24" w:lineRule="atLeast"/>
        <w:ind w:left="1440" w:hanging="720"/>
        <w:jc w:val="both"/>
        <w:rPr>
          <w:rFonts w:eastAsia="Times New Roman" w:cs="Arial"/>
          <w:szCs w:val="24"/>
          <w:lang w:eastAsia="en-US"/>
        </w:rPr>
      </w:pPr>
      <w:r w:rsidRPr="00326359">
        <w:rPr>
          <w:rFonts w:eastAsia="Times New Roman" w:cs="Arial"/>
          <w:szCs w:val="24"/>
          <w:lang w:eastAsia="en-US"/>
        </w:rPr>
        <w:t xml:space="preserve">Най-висока положителна стойност на </w:t>
      </w:r>
      <w:r w:rsidRPr="00326359">
        <w:rPr>
          <w:rFonts w:eastAsia="Times New Roman" w:cs="Arial"/>
          <w:color w:val="000000"/>
          <w:szCs w:val="24"/>
          <w:lang w:eastAsia="en-US"/>
        </w:rPr>
        <w:t>икономическа нетна настояща стойност;</w:t>
      </w:r>
    </w:p>
    <w:p w14:paraId="70D1FEC9" w14:textId="77777777" w:rsidR="00C72D20" w:rsidRPr="00326359" w:rsidRDefault="00C72D20" w:rsidP="00BF37F2">
      <w:pPr>
        <w:numPr>
          <w:ilvl w:val="0"/>
          <w:numId w:val="30"/>
        </w:numPr>
        <w:spacing w:after="120" w:line="24" w:lineRule="atLeast"/>
        <w:ind w:left="0" w:firstLine="720"/>
        <w:jc w:val="both"/>
        <w:rPr>
          <w:rFonts w:eastAsia="Times New Roman" w:cs="Arial"/>
          <w:szCs w:val="24"/>
          <w:lang w:eastAsia="en-US"/>
        </w:rPr>
      </w:pPr>
      <w:r w:rsidRPr="00326359">
        <w:rPr>
          <w:rFonts w:eastAsia="Times New Roman" w:cs="Arial"/>
          <w:szCs w:val="24"/>
          <w:lang w:eastAsia="en-US"/>
        </w:rPr>
        <w:t>Най-висока</w:t>
      </w:r>
      <w:r w:rsidRPr="00326359">
        <w:rPr>
          <w:rFonts w:eastAsia="Times New Roman" w:cs="Arial"/>
          <w:color w:val="000000"/>
          <w:szCs w:val="24"/>
          <w:lang w:eastAsia="en-US"/>
        </w:rPr>
        <w:t xml:space="preserve"> икономическа вътрешна норма на възвръщаемост над 5%;</w:t>
      </w:r>
    </w:p>
    <w:p w14:paraId="43285BDB" w14:textId="77777777" w:rsidR="00C72D20" w:rsidRPr="00326359" w:rsidRDefault="00C72D20" w:rsidP="00BF37F2">
      <w:pPr>
        <w:numPr>
          <w:ilvl w:val="0"/>
          <w:numId w:val="30"/>
        </w:numPr>
        <w:spacing w:after="120" w:line="24" w:lineRule="atLeast"/>
        <w:ind w:left="0" w:firstLine="720"/>
        <w:jc w:val="both"/>
        <w:rPr>
          <w:rFonts w:eastAsia="Times New Roman" w:cs="Arial"/>
          <w:szCs w:val="24"/>
          <w:lang w:eastAsia="en-US"/>
        </w:rPr>
      </w:pPr>
      <w:r w:rsidRPr="00326359">
        <w:rPr>
          <w:rFonts w:eastAsia="Times New Roman" w:cs="Arial"/>
          <w:szCs w:val="24"/>
          <w:lang w:eastAsia="en-US"/>
        </w:rPr>
        <w:t xml:space="preserve">Най-висока стойност на </w:t>
      </w:r>
      <w:r w:rsidRPr="00326359">
        <w:rPr>
          <w:rFonts w:eastAsia="Times New Roman" w:cs="Arial"/>
          <w:color w:val="000000"/>
          <w:szCs w:val="24"/>
          <w:lang w:eastAsia="en-US"/>
        </w:rPr>
        <w:t>коефициент ползи/разходи &gt; 1.0.</w:t>
      </w:r>
    </w:p>
    <w:p w14:paraId="7E58BDB1" w14:textId="77777777" w:rsidR="00C72D20" w:rsidRPr="00326359" w:rsidRDefault="00C72D20" w:rsidP="00326359">
      <w:pPr>
        <w:spacing w:after="120" w:line="24" w:lineRule="atLeast"/>
        <w:jc w:val="both"/>
        <w:rPr>
          <w:rFonts w:eastAsia="Calibri" w:cs="Arial"/>
          <w:szCs w:val="24"/>
          <w:lang w:eastAsia="en-US"/>
        </w:rPr>
      </w:pPr>
      <w:r w:rsidRPr="00326359">
        <w:rPr>
          <w:rFonts w:eastAsia="Calibri" w:cs="Arial"/>
          <w:szCs w:val="24"/>
          <w:lang w:eastAsia="en-US"/>
        </w:rPr>
        <w:t>Поради гореизброените предимства и получената най-добра окончателна оценка от Мултикритериалния анализ Вариант 3 се избира за предпочитан вариант за разработване във фаза техническо проектиране</w:t>
      </w:r>
      <w:r w:rsidR="004C636F" w:rsidRPr="009963CE">
        <w:rPr>
          <w:rFonts w:eastAsia="Calibri" w:cs="Arial"/>
          <w:szCs w:val="24"/>
          <w:lang w:eastAsia="en-US"/>
        </w:rPr>
        <w:t xml:space="preserve"> </w:t>
      </w:r>
      <w:r w:rsidR="004C636F">
        <w:rPr>
          <w:rFonts w:eastAsia="Calibri" w:cs="Arial"/>
          <w:szCs w:val="24"/>
          <w:lang w:eastAsia="en-US"/>
        </w:rPr>
        <w:t>и за изготване на АРП</w:t>
      </w:r>
      <w:r w:rsidRPr="00326359">
        <w:rPr>
          <w:rFonts w:eastAsia="Calibri" w:cs="Arial"/>
          <w:szCs w:val="24"/>
          <w:lang w:eastAsia="en-US"/>
        </w:rPr>
        <w:t>.</w:t>
      </w:r>
    </w:p>
    <w:p w14:paraId="2D72270A"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F50684D"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ABE1842"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9B55DFE"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0DE38DBA" w14:textId="77777777" w:rsid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6DC0D1BD" w14:textId="77777777" w:rsidR="00C72D20" w:rsidRPr="00C72D20" w:rsidRDefault="00C72D20" w:rsidP="00C72D20">
      <w:pPr>
        <w:spacing w:after="120" w:line="24" w:lineRule="atLeast"/>
        <w:ind w:firstLine="142"/>
        <w:jc w:val="both"/>
        <w:rPr>
          <w:rFonts w:ascii="Times New Roman" w:eastAsia="Times New Roman" w:hAnsi="Times New Roman" w:cs="Times New Roman"/>
          <w:szCs w:val="24"/>
          <w:lang w:eastAsia="en-US"/>
        </w:rPr>
      </w:pPr>
    </w:p>
    <w:p w14:paraId="193B3035" w14:textId="77777777" w:rsidR="00C72D20" w:rsidRPr="002E1E19" w:rsidRDefault="00C72D20" w:rsidP="00C72D20">
      <w:pPr>
        <w:spacing w:before="60" w:after="60"/>
        <w:jc w:val="both"/>
        <w:rPr>
          <w:rFonts w:cs="Arial"/>
          <w:bCs/>
          <w:lang w:eastAsia="en-GB"/>
        </w:rPr>
        <w:sectPr w:rsidR="00C72D20" w:rsidRPr="002E1E19" w:rsidSect="007D7BB8">
          <w:headerReference w:type="default" r:id="rId26"/>
          <w:footerReference w:type="default" r:id="rId27"/>
          <w:pgSz w:w="11907" w:h="16839" w:code="9"/>
          <w:pgMar w:top="1276" w:right="1134" w:bottom="1134" w:left="1276" w:header="425" w:footer="510" w:gutter="0"/>
          <w:cols w:space="708"/>
          <w:docGrid w:linePitch="360"/>
        </w:sectPr>
      </w:pPr>
    </w:p>
    <w:p w14:paraId="0EB50E24" w14:textId="77777777" w:rsidR="00547D8F" w:rsidRPr="007768D5" w:rsidRDefault="00547D8F" w:rsidP="003E1E08">
      <w:pPr>
        <w:pStyle w:val="Heading1"/>
        <w:numPr>
          <w:ilvl w:val="0"/>
          <w:numId w:val="3"/>
        </w:numPr>
        <w:ind w:left="360" w:hanging="360"/>
        <w:jc w:val="both"/>
        <w:rPr>
          <w:lang w:val="bg-BG"/>
        </w:rPr>
      </w:pPr>
      <w:bookmarkStart w:id="228" w:name="_Toc143694183"/>
      <w:r w:rsidRPr="007768D5">
        <w:rPr>
          <w:lang w:val="bg-BG"/>
        </w:rPr>
        <w:lastRenderedPageBreak/>
        <w:t>ФИНАНСОВ АНАЛИЗ</w:t>
      </w:r>
      <w:bookmarkEnd w:id="228"/>
    </w:p>
    <w:p w14:paraId="52EC26FC" w14:textId="77777777" w:rsidR="007768D5" w:rsidRPr="003E1E08" w:rsidRDefault="007768D5" w:rsidP="003E1E08">
      <w:pPr>
        <w:pStyle w:val="Heading2"/>
        <w:numPr>
          <w:ilvl w:val="1"/>
          <w:numId w:val="3"/>
        </w:numPr>
        <w:ind w:left="1080" w:hanging="540"/>
        <w:rPr>
          <w:szCs w:val="24"/>
          <w:lang w:val="bg-BG"/>
        </w:rPr>
      </w:pPr>
      <w:bookmarkStart w:id="229" w:name="_Toc23939347"/>
      <w:bookmarkStart w:id="230" w:name="_Toc24052004"/>
      <w:bookmarkStart w:id="231" w:name="_Toc24052056"/>
      <w:bookmarkStart w:id="232" w:name="_Toc24052128"/>
      <w:bookmarkStart w:id="233" w:name="_Toc24052181"/>
      <w:bookmarkStart w:id="234" w:name="_Toc24052235"/>
      <w:bookmarkStart w:id="235" w:name="_Toc24052289"/>
      <w:bookmarkStart w:id="236" w:name="_Toc25322720"/>
      <w:bookmarkStart w:id="237" w:name="_Toc25322794"/>
      <w:bookmarkStart w:id="238" w:name="_Toc25322868"/>
      <w:bookmarkStart w:id="239" w:name="_Toc25322939"/>
      <w:bookmarkStart w:id="240" w:name="_Toc25672139"/>
      <w:bookmarkStart w:id="241" w:name="_Toc26890009"/>
      <w:bookmarkStart w:id="242" w:name="_Toc26890110"/>
      <w:bookmarkStart w:id="243" w:name="_Toc26890345"/>
      <w:bookmarkStart w:id="244" w:name="_Toc26891605"/>
      <w:bookmarkStart w:id="245" w:name="_Toc27054056"/>
      <w:bookmarkStart w:id="246" w:name="_Toc27054261"/>
      <w:bookmarkStart w:id="247" w:name="_Toc27055579"/>
      <w:bookmarkStart w:id="248" w:name="_Toc27055684"/>
      <w:bookmarkStart w:id="249" w:name="_Toc27055785"/>
      <w:bookmarkStart w:id="250" w:name="_Toc27069031"/>
      <w:bookmarkStart w:id="251" w:name="_Toc27306807"/>
      <w:bookmarkStart w:id="252" w:name="_Toc27306930"/>
      <w:bookmarkStart w:id="253" w:name="_Toc27307038"/>
      <w:bookmarkStart w:id="254" w:name="_Toc27307143"/>
      <w:bookmarkStart w:id="255" w:name="_Toc27307247"/>
      <w:bookmarkStart w:id="256" w:name="_Toc27320029"/>
      <w:bookmarkStart w:id="257" w:name="_Toc27320408"/>
      <w:bookmarkStart w:id="258" w:name="_Toc30426157"/>
      <w:bookmarkStart w:id="259" w:name="_Toc49162852"/>
      <w:bookmarkStart w:id="260" w:name="_Toc49182457"/>
      <w:bookmarkStart w:id="261" w:name="_Toc49183090"/>
      <w:bookmarkStart w:id="262" w:name="_Toc56283097"/>
      <w:bookmarkStart w:id="263" w:name="_Toc56283293"/>
      <w:bookmarkStart w:id="264" w:name="_Toc56333098"/>
      <w:bookmarkStart w:id="265" w:name="_Toc56333385"/>
      <w:bookmarkStart w:id="266" w:name="_Toc56333449"/>
      <w:bookmarkStart w:id="267" w:name="_Toc27069033"/>
      <w:bookmarkStart w:id="268" w:name="_Toc143694184"/>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r w:rsidRPr="003E1E08">
        <w:rPr>
          <w:szCs w:val="24"/>
          <w:lang w:val="bg-BG"/>
        </w:rPr>
        <w:t>Методология за определяне на финансовите индикатори</w:t>
      </w:r>
      <w:bookmarkEnd w:id="268"/>
    </w:p>
    <w:p w14:paraId="48A07C52" w14:textId="1D76DD2A" w:rsidR="007768D5" w:rsidRPr="004714ED" w:rsidRDefault="007768D5" w:rsidP="007768D5">
      <w:pPr>
        <w:jc w:val="both"/>
        <w:rPr>
          <w:rFonts w:cs="Arial"/>
          <w:i/>
        </w:rPr>
      </w:pPr>
      <w:r w:rsidRPr="00E87E58">
        <w:rPr>
          <w:rFonts w:cs="Arial"/>
        </w:rPr>
        <w:t>За изготвянето на Финансовите анализи през Програмен период 2021-2027</w:t>
      </w:r>
      <w:r>
        <w:rPr>
          <w:rFonts w:cs="Arial"/>
        </w:rPr>
        <w:t xml:space="preserve"> г. остава основен</w:t>
      </w:r>
      <w:r w:rsidRPr="00E87E58">
        <w:rPr>
          <w:rFonts w:cs="Arial"/>
        </w:rPr>
        <w:t xml:space="preserve"> ръководен документ </w:t>
      </w:r>
      <w:r w:rsidRPr="004714ED">
        <w:rPr>
          <w:rFonts w:cs="Arial"/>
          <w:i/>
        </w:rPr>
        <w:t>Guide to Cost-Benefit Analysis (CBA) of Investment projects. Economic appraisal tool for Cohesion Policy 2014-2020, EC, Directorate-General for Regional and Urban policy, December 2014</w:t>
      </w:r>
      <w:r w:rsidR="00F84DC0">
        <w:rPr>
          <w:rFonts w:cs="Arial"/>
          <w:i/>
        </w:rPr>
        <w:t>.</w:t>
      </w:r>
    </w:p>
    <w:p w14:paraId="4FCE2969" w14:textId="77777777" w:rsidR="007768D5" w:rsidRDefault="007768D5" w:rsidP="007768D5">
      <w:pPr>
        <w:jc w:val="both"/>
        <w:rPr>
          <w:rFonts w:cs="Arial"/>
        </w:rPr>
      </w:pPr>
      <w:r>
        <w:rPr>
          <w:rFonts w:cs="Arial"/>
        </w:rPr>
        <w:t xml:space="preserve">Новите моменти са изложени в </w:t>
      </w:r>
      <w:r w:rsidRPr="004714ED">
        <w:rPr>
          <w:rFonts w:cs="Arial"/>
          <w:i/>
        </w:rPr>
        <w:t>DG REGIO CBA Economic Appraisal Vademecum (EAV)2021</w:t>
      </w:r>
      <w:r>
        <w:rPr>
          <w:rStyle w:val="FootnoteReference"/>
        </w:rPr>
        <w:footnoteReference w:id="16"/>
      </w:r>
      <w:r>
        <w:rPr>
          <w:rFonts w:cs="Arial"/>
        </w:rPr>
        <w:t>, който допълва и актуализира някои основни моменти</w:t>
      </w:r>
      <w:r w:rsidRPr="00E87E58">
        <w:rPr>
          <w:rFonts w:cs="Arial"/>
        </w:rPr>
        <w:t>,</w:t>
      </w:r>
      <w:r>
        <w:rPr>
          <w:rFonts w:cs="Arial"/>
        </w:rPr>
        <w:t xml:space="preserve"> на база анализ от програмен период 2014-2020 г. </w:t>
      </w:r>
    </w:p>
    <w:p w14:paraId="33176FE5" w14:textId="77777777" w:rsidR="007768D5" w:rsidRDefault="007768D5" w:rsidP="007768D5">
      <w:pPr>
        <w:jc w:val="both"/>
        <w:rPr>
          <w:rFonts w:cs="Arial"/>
        </w:rPr>
      </w:pPr>
      <w:r>
        <w:rPr>
          <w:rFonts w:cs="Arial"/>
        </w:rPr>
        <w:t xml:space="preserve">В случая от препоръките във </w:t>
      </w:r>
      <w:r w:rsidRPr="00E87E58">
        <w:rPr>
          <w:rFonts w:cs="Arial"/>
        </w:rPr>
        <w:t>Vademecum</w:t>
      </w:r>
      <w:r>
        <w:rPr>
          <w:rFonts w:cs="Arial"/>
        </w:rPr>
        <w:t xml:space="preserve"> са използвани следните:</w:t>
      </w:r>
    </w:p>
    <w:p w14:paraId="252C7A5C" w14:textId="5CD5DC30" w:rsidR="007768D5" w:rsidRPr="0025050B" w:rsidRDefault="002E7266" w:rsidP="00AA673B">
      <w:pPr>
        <w:pStyle w:val="ListParagraph"/>
        <w:numPr>
          <w:ilvl w:val="0"/>
          <w:numId w:val="23"/>
        </w:numPr>
        <w:spacing w:before="0" w:after="160" w:line="259" w:lineRule="auto"/>
        <w:jc w:val="both"/>
        <w:rPr>
          <w:rFonts w:ascii="Arial" w:hAnsi="Arial" w:cs="Arial"/>
        </w:rPr>
      </w:pPr>
      <w:r w:rsidRPr="00694D21">
        <w:rPr>
          <w:rFonts w:ascii="Arial" w:hAnsi="Arial" w:cs="Arial"/>
        </w:rPr>
        <w:t>Основните принципи, залегнали Регламент (ЕС, Евратом) 2024/2509 на Европейския парламент и на Съвета от 23 септември 2024 година за финансовите правила, приложими за общия бюджет на Съюза</w:t>
      </w:r>
      <w:r w:rsidR="007768D5">
        <w:rPr>
          <w:rFonts w:ascii="Arial" w:hAnsi="Arial" w:cs="Arial"/>
        </w:rPr>
        <w:t>;</w:t>
      </w:r>
    </w:p>
    <w:p w14:paraId="365EF0EA" w14:textId="740F4EEC"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Референтния</w:t>
      </w:r>
      <w:r w:rsidR="00F84DC0">
        <w:rPr>
          <w:rFonts w:ascii="Arial" w:hAnsi="Arial" w:cs="Arial"/>
        </w:rPr>
        <w:t>т</w:t>
      </w:r>
      <w:r>
        <w:rPr>
          <w:rFonts w:ascii="Arial" w:hAnsi="Arial" w:cs="Arial"/>
        </w:rPr>
        <w:t xml:space="preserve"> период за морски транспорт е с препоръка от 25 години;</w:t>
      </w:r>
    </w:p>
    <w:p w14:paraId="734D2483" w14:textId="32E9257A"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Прилагане на Пълен АРП, чрез модела, предоставен към </w:t>
      </w:r>
      <w:r w:rsidRPr="004714ED">
        <w:rPr>
          <w:rFonts w:ascii="Arial" w:hAnsi="Arial" w:cs="Arial"/>
          <w:i/>
        </w:rPr>
        <w:t>Vademecum</w:t>
      </w:r>
      <w:r>
        <w:rPr>
          <w:rFonts w:ascii="Arial" w:hAnsi="Arial" w:cs="Arial"/>
        </w:rPr>
        <w:t xml:space="preserve"> за проекти над 10 млн. евро или </w:t>
      </w:r>
      <w:r w:rsidR="00F84DC0">
        <w:rPr>
          <w:rFonts w:ascii="Arial" w:hAnsi="Arial" w:cs="Arial"/>
        </w:rPr>
        <w:t xml:space="preserve">които </w:t>
      </w:r>
      <w:r>
        <w:rPr>
          <w:rFonts w:ascii="Arial" w:hAnsi="Arial" w:cs="Arial"/>
        </w:rPr>
        <w:t>отговарят на определението за „стратегически проект</w:t>
      </w:r>
      <w:r w:rsidR="00F84DC0">
        <w:rPr>
          <w:rFonts w:ascii="Arial" w:hAnsi="Arial" w:cs="Arial"/>
        </w:rPr>
        <w:t>и“. В случая проекта отговаря на</w:t>
      </w:r>
      <w:r>
        <w:rPr>
          <w:rFonts w:ascii="Arial" w:hAnsi="Arial" w:cs="Arial"/>
        </w:rPr>
        <w:t xml:space="preserve"> условието за обща инвестиционна стойност &gt; 10 млн. евро;  </w:t>
      </w:r>
    </w:p>
    <w:p w14:paraId="717E97D1" w14:textId="77777777"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Няма препоръчана Финансова дисконтова норма, затова е запазена предишната препоръка в </w:t>
      </w:r>
      <w:r w:rsidRPr="004714ED">
        <w:rPr>
          <w:rFonts w:ascii="Arial" w:hAnsi="Arial" w:cs="Arial"/>
          <w:i/>
        </w:rPr>
        <w:t>Guide to Cost-Benefit Analysis (CBA) of Investment projects</w:t>
      </w:r>
      <w:r>
        <w:rPr>
          <w:rFonts w:ascii="Arial" w:hAnsi="Arial" w:cs="Arial"/>
        </w:rPr>
        <w:t xml:space="preserve"> за 4% и защото няма изготвено Национално или секторно проучване, което да обоснове използването на друга Финансова дисконтова норма;</w:t>
      </w:r>
    </w:p>
    <w:p w14:paraId="2093323A" w14:textId="77777777" w:rsidR="007768D5" w:rsidRDefault="007768D5" w:rsidP="00AA673B">
      <w:pPr>
        <w:pStyle w:val="ListParagraph"/>
        <w:numPr>
          <w:ilvl w:val="0"/>
          <w:numId w:val="23"/>
        </w:numPr>
        <w:spacing w:before="0" w:after="160" w:line="259" w:lineRule="auto"/>
        <w:jc w:val="both"/>
        <w:rPr>
          <w:rFonts w:ascii="Arial" w:hAnsi="Arial" w:cs="Arial"/>
        </w:rPr>
      </w:pPr>
      <w:r>
        <w:rPr>
          <w:rFonts w:ascii="Arial" w:hAnsi="Arial" w:cs="Arial"/>
        </w:rPr>
        <w:t xml:space="preserve">Финансовият дефицит се определя по опростената формула за ФННС/Обща стойност на инвестициите, използвана в модела на </w:t>
      </w:r>
      <w:r w:rsidRPr="004714ED">
        <w:rPr>
          <w:rFonts w:ascii="Arial" w:hAnsi="Arial" w:cs="Arial"/>
          <w:i/>
        </w:rPr>
        <w:t>Vademecum</w:t>
      </w:r>
      <w:r>
        <w:rPr>
          <w:rFonts w:ascii="Arial" w:hAnsi="Arial" w:cs="Arial"/>
          <w:i/>
        </w:rPr>
        <w:t>.</w:t>
      </w:r>
    </w:p>
    <w:p w14:paraId="67B01CAF" w14:textId="77777777" w:rsidR="003C3025" w:rsidRPr="003C3025" w:rsidRDefault="007768D5" w:rsidP="00BF37F2">
      <w:pPr>
        <w:pStyle w:val="ListParagraph"/>
        <w:numPr>
          <w:ilvl w:val="0"/>
          <w:numId w:val="32"/>
        </w:numPr>
        <w:suppressAutoHyphens/>
        <w:spacing w:after="60"/>
        <w:jc w:val="both"/>
        <w:rPr>
          <w:rFonts w:cs="Arial"/>
          <w:szCs w:val="24"/>
          <w:lang w:eastAsia="ar-SA"/>
        </w:rPr>
      </w:pPr>
      <w:r w:rsidRPr="006700E8">
        <w:rPr>
          <w:rFonts w:ascii="Arial" w:hAnsi="Arial" w:cs="Arial"/>
        </w:rPr>
        <w:t xml:space="preserve">Остатъчната стойност се определя по метода на амортизационната стойност, а не по </w:t>
      </w:r>
      <w:r w:rsidRPr="006700E8">
        <w:rPr>
          <w:rFonts w:ascii="Arial" w:eastAsia="Calibri" w:hAnsi="Arial" w:cs="Arial"/>
        </w:rPr>
        <w:t xml:space="preserve">Методът на нетната настояща стойност на паричните потоци в оставащите години от жизнения цикъл на проекта, както беше за периода 2014-2020 г., препоръчан като подход във </w:t>
      </w:r>
      <w:r w:rsidRPr="006700E8">
        <w:rPr>
          <w:rFonts w:ascii="Arial" w:hAnsi="Arial" w:cs="Arial"/>
          <w:i/>
        </w:rPr>
        <w:t>Vademecum</w:t>
      </w:r>
      <w:r w:rsidR="003C3025">
        <w:rPr>
          <w:rFonts w:ascii="Arial" w:hAnsi="Arial" w:cs="Arial"/>
          <w:i/>
        </w:rPr>
        <w:t>;</w:t>
      </w:r>
    </w:p>
    <w:p w14:paraId="2278CC50" w14:textId="77777777" w:rsidR="003C3025" w:rsidRPr="003C3025" w:rsidRDefault="003C3025" w:rsidP="00BF37F2">
      <w:pPr>
        <w:pStyle w:val="ListParagraph"/>
        <w:numPr>
          <w:ilvl w:val="0"/>
          <w:numId w:val="34"/>
        </w:numPr>
        <w:suppressAutoHyphens/>
        <w:spacing w:after="60"/>
        <w:ind w:left="720"/>
        <w:jc w:val="both"/>
        <w:rPr>
          <w:rFonts w:ascii="Arial" w:hAnsi="Arial" w:cs="Arial"/>
          <w:szCs w:val="24"/>
        </w:rPr>
      </w:pPr>
      <w:r w:rsidRPr="003C3025">
        <w:rPr>
          <w:rFonts w:ascii="Arial" w:hAnsi="Arial" w:cs="Arial"/>
        </w:rPr>
        <w:t>При изготвянето на Финансовия</w:t>
      </w:r>
      <w:r w:rsidRPr="009963CE">
        <w:rPr>
          <w:rFonts w:ascii="Arial" w:hAnsi="Arial" w:cs="Arial"/>
        </w:rPr>
        <w:t xml:space="preserve"> </w:t>
      </w:r>
      <w:r w:rsidRPr="003C3025">
        <w:rPr>
          <w:rFonts w:ascii="Arial" w:hAnsi="Arial" w:cs="Arial"/>
        </w:rPr>
        <w:t>анализ е използван Инкрементален подход, в</w:t>
      </w:r>
      <w:r w:rsidRPr="003C3025">
        <w:rPr>
          <w:rFonts w:ascii="Arial" w:hAnsi="Arial" w:cs="Arial"/>
          <w:szCs w:val="24"/>
        </w:rPr>
        <w:t xml:space="preserve"> съответствие с разпоредбите на Делегиран Регламент 480/2014 на ЕК, Раздел III Метод за изчисляване на дисконтираните нетни приходи от операции, които генерират нетни приходи, Член 15 Метод за изчисляване на дисконтираните нетни приходи и Член 61, параграф 3, седма алинея от Регламент на ЕС и </w:t>
      </w:r>
      <w:r w:rsidRPr="003C3025">
        <w:rPr>
          <w:rFonts w:ascii="Arial" w:hAnsi="Arial" w:cs="Arial"/>
          <w:szCs w:val="24"/>
        </w:rPr>
        <w:lastRenderedPageBreak/>
        <w:t>Парламента № 1303/2013). За неговото прилагане, през декември 2014 г., ЕК издава Указания за изготвяне на АРП за инвестиционни проекти. В раздел 2.7.2. Методология за изготвяне на Финансовия анализ в АРП изрично е казано:</w:t>
      </w:r>
    </w:p>
    <w:p w14:paraId="0F42E99D" w14:textId="77777777" w:rsidR="003C3025" w:rsidRPr="003C3025" w:rsidRDefault="003C3025" w:rsidP="00BF37F2">
      <w:pPr>
        <w:pStyle w:val="ListParagraph"/>
        <w:numPr>
          <w:ilvl w:val="0"/>
          <w:numId w:val="33"/>
        </w:numPr>
        <w:suppressAutoHyphens/>
        <w:spacing w:after="60"/>
        <w:jc w:val="both"/>
        <w:rPr>
          <w:rFonts w:ascii="Arial" w:hAnsi="Arial" w:cs="Arial"/>
          <w:i/>
          <w:szCs w:val="24"/>
        </w:rPr>
      </w:pPr>
      <w:r w:rsidRPr="003C3025">
        <w:rPr>
          <w:rFonts w:ascii="Arial" w:hAnsi="Arial" w:cs="Arial"/>
          <w:i/>
          <w:szCs w:val="24"/>
        </w:rPr>
        <w:t>Анализът трябва да се извърши без ДДС, както върху покупката (себестойност), така и върху продажбите (приходи), ако това може да бъде възстановено от организатора на проекта. Напротив, когато ДДС не подлежи на възстановяване, той трябва да бъде включен.</w:t>
      </w:r>
    </w:p>
    <w:p w14:paraId="1508E9A1" w14:textId="77777777" w:rsidR="003C3025" w:rsidRPr="003C3025" w:rsidRDefault="003C3025" w:rsidP="00BF37F2">
      <w:pPr>
        <w:pStyle w:val="ListParagraph"/>
        <w:numPr>
          <w:ilvl w:val="0"/>
          <w:numId w:val="33"/>
        </w:numPr>
        <w:suppressAutoHyphens/>
        <w:spacing w:after="60"/>
        <w:jc w:val="both"/>
        <w:rPr>
          <w:rFonts w:ascii="Arial" w:hAnsi="Arial" w:cs="Arial"/>
          <w:i/>
          <w:szCs w:val="24"/>
        </w:rPr>
      </w:pPr>
      <w:r w:rsidRPr="003C3025">
        <w:rPr>
          <w:rFonts w:ascii="Arial" w:hAnsi="Arial" w:cs="Arial"/>
          <w:i/>
          <w:szCs w:val="24"/>
        </w:rPr>
        <w:t>Преките данъци (върху капитал, доход или други) се вземат предвид само за проверка на финансовата устойчивост, а не за изчисляване на финансовата рентабилност, която се изчислява преди такива данъчни приспадания. Обосновката е да се избегнат сложността и променливостта на правилата за данък върху капиталовия доход във времето и страните</w:t>
      </w:r>
    </w:p>
    <w:p w14:paraId="49FA93F1" w14:textId="47209E3D" w:rsidR="007768D5" w:rsidRPr="00D566C2" w:rsidRDefault="003C3025" w:rsidP="003C3025">
      <w:pPr>
        <w:suppressAutoHyphens/>
        <w:spacing w:after="60"/>
        <w:jc w:val="both"/>
        <w:rPr>
          <w:rFonts w:cs="Arial"/>
          <w:szCs w:val="24"/>
          <w:lang w:eastAsia="ar-SA"/>
        </w:rPr>
      </w:pPr>
      <w:r w:rsidRPr="003C3025">
        <w:rPr>
          <w:rFonts w:cs="Arial"/>
          <w:szCs w:val="24"/>
        </w:rPr>
        <w:t>Тези условия и принципи са заложени при изготвянето на настоящия Финансов анализ</w:t>
      </w:r>
      <w:r w:rsidR="00F33975">
        <w:rPr>
          <w:rFonts w:cs="Arial"/>
          <w:i/>
        </w:rPr>
        <w:t xml:space="preserve">, </w:t>
      </w:r>
      <w:r w:rsidR="00F33975" w:rsidRPr="00680473">
        <w:rPr>
          <w:rFonts w:cs="Arial"/>
        </w:rPr>
        <w:t>както</w:t>
      </w:r>
      <w:r w:rsidR="00F33975">
        <w:rPr>
          <w:rFonts w:cs="Arial"/>
          <w:i/>
        </w:rPr>
        <w:t xml:space="preserve"> </w:t>
      </w:r>
      <w:r w:rsidR="00F33975">
        <w:rPr>
          <w:rFonts w:cs="Arial"/>
        </w:rPr>
        <w:t>и Насоките на УО на ПТС и Приложение 4 към тях Методология за извършване на Анализ разходи ползи.</w:t>
      </w:r>
    </w:p>
    <w:p w14:paraId="010D9CED" w14:textId="77777777" w:rsidR="00F42E46" w:rsidRPr="00472802" w:rsidRDefault="00F42E46" w:rsidP="00472802">
      <w:pPr>
        <w:pStyle w:val="Heading2"/>
        <w:numPr>
          <w:ilvl w:val="1"/>
          <w:numId w:val="3"/>
        </w:numPr>
        <w:ind w:left="1080" w:hanging="540"/>
        <w:rPr>
          <w:szCs w:val="24"/>
          <w:lang w:val="bg-BG"/>
        </w:rPr>
      </w:pPr>
      <w:bookmarkStart w:id="269" w:name="_Toc143694185"/>
      <w:r w:rsidRPr="00472802">
        <w:rPr>
          <w:szCs w:val="24"/>
          <w:lang w:val="bg-BG"/>
        </w:rPr>
        <w:t>Основни допускани</w:t>
      </w:r>
      <w:r w:rsidR="007768D5" w:rsidRPr="007768D5">
        <w:rPr>
          <w:szCs w:val="24"/>
          <w:lang w:val="bg-BG"/>
        </w:rPr>
        <w:t>я за финансови</w:t>
      </w:r>
      <w:r w:rsidRPr="00472802">
        <w:rPr>
          <w:szCs w:val="24"/>
          <w:lang w:val="bg-BG"/>
        </w:rPr>
        <w:t>я</w:t>
      </w:r>
      <w:r w:rsidR="007768D5" w:rsidRPr="007768D5">
        <w:rPr>
          <w:szCs w:val="24"/>
          <w:lang w:val="bg-BG"/>
        </w:rPr>
        <w:t xml:space="preserve"> анализ</w:t>
      </w:r>
      <w:bookmarkEnd w:id="269"/>
    </w:p>
    <w:p w14:paraId="0249F2F0"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Преди да се направят основните допускания, са дефинирани двата сценария за прилагането на инкременталния подход, както следва:</w:t>
      </w:r>
    </w:p>
    <w:p w14:paraId="69F99590"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 xml:space="preserve">Сценарият Без проект (БП), </w:t>
      </w:r>
      <w:r w:rsidRPr="00B27F95">
        <w:rPr>
          <w:rFonts w:eastAsia="Times New Roman" w:cs="Arial"/>
          <w:bCs/>
          <w:lang w:eastAsia="ar-SA"/>
        </w:rPr>
        <w:t>който м</w:t>
      </w:r>
      <w:r w:rsidRPr="00B27F95">
        <w:rPr>
          <w:rFonts w:eastAsia="Times New Roman" w:cs="Arial"/>
          <w:lang w:eastAsia="ar-SA"/>
        </w:rPr>
        <w:t xml:space="preserve">оже да бъде дефиниран и като Do </w:t>
      </w:r>
      <w:r>
        <w:rPr>
          <w:rFonts w:eastAsia="Times New Roman" w:cs="Arial"/>
          <w:lang w:eastAsia="ar-SA"/>
        </w:rPr>
        <w:t>Nothing  (DN</w:t>
      </w:r>
      <w:r w:rsidRPr="00B27F95">
        <w:rPr>
          <w:rFonts w:eastAsia="Times New Roman" w:cs="Arial"/>
          <w:lang w:eastAsia="ar-SA"/>
        </w:rPr>
        <w:t xml:space="preserve">), поради </w:t>
      </w:r>
      <w:r>
        <w:rPr>
          <w:rFonts w:eastAsia="Times New Roman" w:cs="Arial"/>
          <w:lang w:eastAsia="ar-SA"/>
        </w:rPr>
        <w:t xml:space="preserve">невъзможност </w:t>
      </w:r>
      <w:r w:rsidRPr="00B27F95">
        <w:rPr>
          <w:rFonts w:eastAsia="Times New Roman" w:cs="Arial"/>
          <w:lang w:eastAsia="ar-SA"/>
        </w:rPr>
        <w:t>да бъдат направени</w:t>
      </w:r>
      <w:r>
        <w:rPr>
          <w:rFonts w:eastAsia="Times New Roman" w:cs="Arial"/>
          <w:lang w:eastAsia="ar-SA"/>
        </w:rPr>
        <w:t xml:space="preserve"> междинни/ремонтни</w:t>
      </w:r>
      <w:r w:rsidRPr="00B27F95">
        <w:rPr>
          <w:rFonts w:eastAsia="Times New Roman" w:cs="Arial"/>
          <w:lang w:eastAsia="ar-SA"/>
        </w:rPr>
        <w:t xml:space="preserve"> инвестиции за да се приведе инфраструктурата в съотв</w:t>
      </w:r>
      <w:r>
        <w:rPr>
          <w:rFonts w:eastAsia="Times New Roman" w:cs="Arial"/>
          <w:lang w:eastAsia="ar-SA"/>
        </w:rPr>
        <w:t>етствие с нормативни изисквания и безопасност на експлоатацията на кея</w:t>
      </w:r>
      <w:r w:rsidRPr="00B27F95">
        <w:rPr>
          <w:rFonts w:eastAsia="Times New Roman" w:cs="Arial"/>
          <w:lang w:eastAsia="ar-SA"/>
        </w:rPr>
        <w:t xml:space="preserve">. </w:t>
      </w:r>
    </w:p>
    <w:p w14:paraId="26EB9961" w14:textId="776FF933"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 xml:space="preserve">При този сценарий </w:t>
      </w:r>
      <w:r>
        <w:rPr>
          <w:rFonts w:eastAsia="Times New Roman" w:cs="Arial"/>
          <w:lang w:eastAsia="ar-SA"/>
        </w:rPr>
        <w:t>п</w:t>
      </w:r>
      <w:r w:rsidRPr="00B27F95">
        <w:rPr>
          <w:rFonts w:eastAsia="Times New Roman" w:cs="Arial"/>
          <w:lang w:eastAsia="ar-SA"/>
        </w:rPr>
        <w:t xml:space="preserve">риходите няма да се променят, защото </w:t>
      </w:r>
      <w:r w:rsidR="00AE7A37">
        <w:rPr>
          <w:rFonts w:eastAsia="Times New Roman" w:cs="Arial"/>
          <w:lang w:eastAsia="ar-SA"/>
        </w:rPr>
        <w:t xml:space="preserve">техническите </w:t>
      </w:r>
      <w:r w:rsidRPr="00B27F95">
        <w:rPr>
          <w:rFonts w:eastAsia="Times New Roman" w:cs="Arial"/>
          <w:lang w:eastAsia="ar-SA"/>
        </w:rPr>
        <w:t xml:space="preserve">условия </w:t>
      </w:r>
      <w:r w:rsidR="00AE7A37">
        <w:rPr>
          <w:rFonts w:eastAsia="Times New Roman" w:cs="Arial"/>
          <w:lang w:eastAsia="ar-SA"/>
        </w:rPr>
        <w:t xml:space="preserve">и параметрите на инфраструктурата </w:t>
      </w:r>
      <w:r w:rsidRPr="00B27F95">
        <w:rPr>
          <w:rFonts w:eastAsia="Times New Roman" w:cs="Arial"/>
          <w:lang w:eastAsia="ar-SA"/>
        </w:rPr>
        <w:t xml:space="preserve">за потребителите на </w:t>
      </w:r>
      <w:r>
        <w:rPr>
          <w:rFonts w:eastAsia="Times New Roman" w:cs="Arial"/>
          <w:lang w:eastAsia="ar-SA"/>
        </w:rPr>
        <w:t>кейовите места в пристанище Лом - Източен кей</w:t>
      </w:r>
      <w:r w:rsidR="00E83928">
        <w:rPr>
          <w:rFonts w:eastAsia="Times New Roman" w:cs="Arial"/>
          <w:lang w:eastAsia="ar-SA"/>
        </w:rPr>
        <w:t>,</w:t>
      </w:r>
      <w:r>
        <w:rPr>
          <w:rFonts w:eastAsia="Times New Roman" w:cs="Arial"/>
          <w:lang w:eastAsia="ar-SA"/>
        </w:rPr>
        <w:t xml:space="preserve"> </w:t>
      </w:r>
      <w:r w:rsidRPr="00B27F95">
        <w:rPr>
          <w:rFonts w:eastAsia="Times New Roman" w:cs="Arial"/>
          <w:lang w:eastAsia="ar-SA"/>
        </w:rPr>
        <w:t>няма да бъдат променени и нови потребители няма с какво да бъдат привлечени. В същото време разходите за поддържане и разходи</w:t>
      </w:r>
      <w:r>
        <w:rPr>
          <w:rFonts w:eastAsia="Times New Roman" w:cs="Arial"/>
          <w:lang w:eastAsia="ar-SA"/>
        </w:rPr>
        <w:t>те</w:t>
      </w:r>
      <w:r w:rsidRPr="00B27F95">
        <w:rPr>
          <w:rFonts w:eastAsia="Times New Roman" w:cs="Arial"/>
          <w:lang w:eastAsia="ar-SA"/>
        </w:rPr>
        <w:t xml:space="preserve"> за експлоатация ще останат непроменени</w:t>
      </w:r>
      <w:r>
        <w:rPr>
          <w:rFonts w:eastAsia="Times New Roman" w:cs="Arial"/>
          <w:lang w:eastAsia="ar-SA"/>
        </w:rPr>
        <w:t xml:space="preserve"> за периода на прогнозата в постоянни цени</w:t>
      </w:r>
      <w:r w:rsidRPr="00B27F95">
        <w:rPr>
          <w:rFonts w:eastAsia="Times New Roman" w:cs="Arial"/>
          <w:lang w:eastAsia="ar-SA"/>
        </w:rPr>
        <w:t>.</w:t>
      </w:r>
    </w:p>
    <w:p w14:paraId="3767E439" w14:textId="1DB80FEB" w:rsidR="007768D5" w:rsidRPr="007768D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Сценарият С проект (СП)</w:t>
      </w:r>
      <w:r>
        <w:rPr>
          <w:rFonts w:eastAsia="Times New Roman" w:cs="Arial"/>
          <w:lang w:eastAsia="ar-SA"/>
        </w:rPr>
        <w:t xml:space="preserve"> е бази</w:t>
      </w:r>
      <w:r w:rsidR="006700E8">
        <w:rPr>
          <w:rFonts w:eastAsia="Times New Roman" w:cs="Arial"/>
          <w:lang w:eastAsia="ar-SA"/>
        </w:rPr>
        <w:t>ран на избрания</w:t>
      </w:r>
      <w:r>
        <w:rPr>
          <w:rFonts w:eastAsia="Times New Roman" w:cs="Arial"/>
          <w:lang w:eastAsia="ar-SA"/>
        </w:rPr>
        <w:t xml:space="preserve"> вариант в Предпроектното проучване за </w:t>
      </w:r>
      <w:r w:rsidR="000B77F4">
        <w:rPr>
          <w:rFonts w:eastAsia="Times New Roman" w:cs="Arial"/>
          <w:lang w:eastAsia="ar-SA"/>
        </w:rPr>
        <w:t xml:space="preserve">реконструкция на източния кей и </w:t>
      </w:r>
      <w:r>
        <w:rPr>
          <w:rFonts w:eastAsia="Times New Roman" w:cs="Arial"/>
          <w:lang w:eastAsia="ar-SA"/>
        </w:rPr>
        <w:t>изг</w:t>
      </w:r>
      <w:r w:rsidR="000B77F4">
        <w:rPr>
          <w:rFonts w:eastAsia="Times New Roman" w:cs="Arial"/>
          <w:lang w:eastAsia="ar-SA"/>
        </w:rPr>
        <w:t>р</w:t>
      </w:r>
      <w:r>
        <w:rPr>
          <w:rFonts w:eastAsia="Times New Roman" w:cs="Arial"/>
          <w:lang w:eastAsia="ar-SA"/>
        </w:rPr>
        <w:t xml:space="preserve">аждане на </w:t>
      </w:r>
      <w:r w:rsidRPr="00216DD0">
        <w:rPr>
          <w:rFonts w:eastAsia="Times New Roman" w:cs="Arial"/>
          <w:lang w:eastAsia="ar-SA"/>
        </w:rPr>
        <w:t>комбинираната шпунтова стена.</w:t>
      </w:r>
      <w:r>
        <w:rPr>
          <w:rFonts w:eastAsia="Times New Roman" w:cs="Arial"/>
          <w:lang w:eastAsia="ar-SA"/>
        </w:rPr>
        <w:t xml:space="preserve"> </w:t>
      </w:r>
      <w:r w:rsidRPr="00B27F95">
        <w:rPr>
          <w:rFonts w:eastAsia="Calibri" w:cs="Arial"/>
        </w:rPr>
        <w:t>Разходите за експлоатация и поддържане (ЕиП) са определени съгласно историческите данни</w:t>
      </w:r>
      <w:r>
        <w:rPr>
          <w:rFonts w:eastAsia="Calibri" w:cs="Arial"/>
        </w:rPr>
        <w:t xml:space="preserve"> от ДППИ и разчетите за допълнителните разходи за поддръжка, определени в Предпроектното проучване.</w:t>
      </w:r>
    </w:p>
    <w:p w14:paraId="27AB2B36" w14:textId="4D4FBEEC"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lastRenderedPageBreak/>
        <w:t>Базова година за разчет</w:t>
      </w:r>
      <w:r>
        <w:rPr>
          <w:rFonts w:eastAsia="Times New Roman" w:cs="Arial"/>
          <w:b/>
          <w:lang w:eastAsia="ar-SA"/>
        </w:rPr>
        <w:t>ите при финансовия анализ е 202</w:t>
      </w:r>
      <w:r w:rsidR="00E9326D">
        <w:rPr>
          <w:rFonts w:eastAsia="Times New Roman" w:cs="Arial"/>
          <w:b/>
          <w:lang w:eastAsia="ar-SA"/>
        </w:rPr>
        <w:t>3</w:t>
      </w:r>
      <w:r w:rsidRPr="00B27F95">
        <w:rPr>
          <w:rFonts w:eastAsia="Times New Roman" w:cs="Arial"/>
          <w:b/>
          <w:lang w:eastAsia="ar-SA"/>
        </w:rPr>
        <w:t xml:space="preserve"> г.</w:t>
      </w:r>
      <w:r w:rsidRPr="00B27F95">
        <w:rPr>
          <w:rFonts w:eastAsia="Times New Roman" w:cs="Arial"/>
          <w:lang w:eastAsia="ar-SA"/>
        </w:rPr>
        <w:t xml:space="preserve">, като всички пазарни цени са </w:t>
      </w:r>
      <w:r>
        <w:rPr>
          <w:rFonts w:eastAsia="Times New Roman" w:cs="Arial"/>
          <w:lang w:eastAsia="ar-SA"/>
        </w:rPr>
        <w:t xml:space="preserve">актуализирани </w:t>
      </w:r>
      <w:r w:rsidRPr="00B27F95">
        <w:rPr>
          <w:rFonts w:eastAsia="Times New Roman" w:cs="Arial"/>
          <w:lang w:eastAsia="ar-SA"/>
        </w:rPr>
        <w:t>към тази година</w:t>
      </w:r>
      <w:r>
        <w:rPr>
          <w:rFonts w:eastAsia="Times New Roman" w:cs="Arial"/>
          <w:lang w:eastAsia="ar-SA"/>
        </w:rPr>
        <w:t xml:space="preserve"> в Предпроектното проучване</w:t>
      </w:r>
      <w:r w:rsidRPr="00B27F95">
        <w:rPr>
          <w:rFonts w:eastAsia="Times New Roman" w:cs="Arial"/>
          <w:lang w:eastAsia="ar-SA"/>
        </w:rPr>
        <w:t>, а п</w:t>
      </w:r>
      <w:r>
        <w:rPr>
          <w:rFonts w:eastAsia="Times New Roman" w:cs="Arial"/>
          <w:lang w:eastAsia="ar-SA"/>
        </w:rPr>
        <w:t>ърва година на прогнозата е 202</w:t>
      </w:r>
      <w:r w:rsidR="00E9326D">
        <w:rPr>
          <w:rFonts w:eastAsia="Times New Roman" w:cs="Arial"/>
          <w:lang w:eastAsia="ar-SA"/>
        </w:rPr>
        <w:t>4</w:t>
      </w:r>
      <w:r w:rsidRPr="00B27F95">
        <w:rPr>
          <w:rFonts w:eastAsia="Times New Roman" w:cs="Arial"/>
          <w:lang w:eastAsia="ar-SA"/>
        </w:rPr>
        <w:t xml:space="preserve"> г.</w:t>
      </w:r>
    </w:p>
    <w:p w14:paraId="6CA57B8C" w14:textId="1DF0CBB4"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b/>
          <w:lang w:eastAsia="ar-SA"/>
        </w:rPr>
        <w:t>Прогнозният период</w:t>
      </w:r>
      <w:r w:rsidRPr="00B27F95">
        <w:rPr>
          <w:rFonts w:eastAsia="Times New Roman" w:cs="Arial"/>
          <w:b/>
          <w:vertAlign w:val="superscript"/>
          <w:lang w:eastAsia="ar-SA"/>
        </w:rPr>
        <w:footnoteReference w:id="17"/>
      </w:r>
      <w:r w:rsidRPr="00B27F95">
        <w:rPr>
          <w:rFonts w:eastAsia="Times New Roman" w:cs="Arial"/>
          <w:b/>
          <w:lang w:eastAsia="ar-SA"/>
        </w:rPr>
        <w:t xml:space="preserve"> е определен </w:t>
      </w:r>
      <w:r>
        <w:rPr>
          <w:rFonts w:eastAsia="Times New Roman" w:cs="Arial"/>
          <w:b/>
          <w:lang w:eastAsia="ar-SA"/>
        </w:rPr>
        <w:t>на 25</w:t>
      </w:r>
      <w:r w:rsidRPr="00B27F95">
        <w:rPr>
          <w:rFonts w:eastAsia="Times New Roman" w:cs="Arial"/>
          <w:b/>
          <w:lang w:eastAsia="ar-SA"/>
        </w:rPr>
        <w:t xml:space="preserve"> г.,</w:t>
      </w:r>
      <w:r w:rsidRPr="00B27F95">
        <w:rPr>
          <w:rFonts w:eastAsia="Times New Roman" w:cs="Arial"/>
          <w:lang w:eastAsia="ar-SA"/>
        </w:rPr>
        <w:t xml:space="preserve"> за сектор </w:t>
      </w:r>
      <w:r>
        <w:rPr>
          <w:rFonts w:eastAsia="Times New Roman" w:cs="Arial"/>
          <w:lang w:eastAsia="ar-SA"/>
        </w:rPr>
        <w:t>воден транспорт. Съгласно предложената</w:t>
      </w:r>
      <w:r w:rsidRPr="00B27F95">
        <w:rPr>
          <w:rFonts w:eastAsia="Times New Roman" w:cs="Arial"/>
          <w:lang w:eastAsia="ar-SA"/>
        </w:rPr>
        <w:t xml:space="preserve">  програма за реализация на проекта, </w:t>
      </w:r>
      <w:r>
        <w:rPr>
          <w:rFonts w:eastAsia="Times New Roman" w:cs="Arial"/>
          <w:lang w:eastAsia="ar-SA"/>
        </w:rPr>
        <w:t>в Предпроектното проучване</w:t>
      </w:r>
      <w:r w:rsidRPr="00B27F95">
        <w:rPr>
          <w:rFonts w:eastAsia="Times New Roman" w:cs="Arial"/>
          <w:lang w:eastAsia="ar-SA"/>
        </w:rPr>
        <w:t xml:space="preserve">, </w:t>
      </w:r>
      <w:r>
        <w:rPr>
          <w:rFonts w:eastAsia="Times New Roman" w:cs="Arial"/>
          <w:lang w:eastAsia="ar-SA"/>
        </w:rPr>
        <w:t>за изграждането на трите фази са необходими 25 месеца, като към тях са добавени 11 месеца за неподходящи за строителство атмосферни условия и административни процедури</w:t>
      </w:r>
      <w:r w:rsidRPr="00B27F95">
        <w:rPr>
          <w:rFonts w:eastAsia="Times New Roman" w:cs="Arial"/>
          <w:lang w:eastAsia="ar-SA"/>
        </w:rPr>
        <w:t xml:space="preserve">, </w:t>
      </w:r>
      <w:r w:rsidR="00CE7B79">
        <w:rPr>
          <w:rFonts w:eastAsia="Times New Roman" w:cs="Arial"/>
          <w:lang w:eastAsia="ar-SA"/>
        </w:rPr>
        <w:t xml:space="preserve">около </w:t>
      </w:r>
      <w:r w:rsidR="00E2726F">
        <w:rPr>
          <w:rFonts w:eastAsia="Times New Roman" w:cs="Arial"/>
          <w:lang w:eastAsia="ar-SA"/>
        </w:rPr>
        <w:t>6</w:t>
      </w:r>
      <w:r>
        <w:rPr>
          <w:rFonts w:eastAsia="Times New Roman" w:cs="Arial"/>
          <w:lang w:eastAsia="ar-SA"/>
        </w:rPr>
        <w:t xml:space="preserve"> месеца за одобрение на ФК и процедура за избор на Изпълнител и </w:t>
      </w:r>
      <w:r w:rsidRPr="00B27F95">
        <w:rPr>
          <w:rFonts w:eastAsia="Times New Roman" w:cs="Arial"/>
          <w:lang w:eastAsia="ar-SA"/>
        </w:rPr>
        <w:t>затова експлоатационния период е 202</w:t>
      </w:r>
      <w:r w:rsidR="00E9326D">
        <w:rPr>
          <w:rFonts w:eastAsia="Times New Roman" w:cs="Arial"/>
          <w:lang w:eastAsia="ar-SA"/>
        </w:rPr>
        <w:t>8</w:t>
      </w:r>
      <w:r w:rsidRPr="00B27F95">
        <w:rPr>
          <w:rFonts w:eastAsia="Times New Roman" w:cs="Arial"/>
          <w:lang w:eastAsia="ar-SA"/>
        </w:rPr>
        <w:t xml:space="preserve"> - </w:t>
      </w:r>
      <w:r>
        <w:rPr>
          <w:rFonts w:eastAsia="Times New Roman" w:cs="Arial"/>
          <w:lang w:eastAsia="ar-SA"/>
        </w:rPr>
        <w:t>204</w:t>
      </w:r>
      <w:r w:rsidR="00E9326D">
        <w:rPr>
          <w:rFonts w:eastAsia="Times New Roman" w:cs="Arial"/>
          <w:lang w:eastAsia="ar-SA"/>
        </w:rPr>
        <w:t>8</w:t>
      </w:r>
      <w:r w:rsidRPr="00B27F95">
        <w:rPr>
          <w:rFonts w:eastAsia="Times New Roman" w:cs="Arial"/>
          <w:lang w:eastAsia="ar-SA"/>
        </w:rPr>
        <w:t xml:space="preserve"> г.</w:t>
      </w:r>
    </w:p>
    <w:p w14:paraId="2381AE42" w14:textId="77777777" w:rsidR="007768D5" w:rsidRPr="00B27F95" w:rsidRDefault="007768D5" w:rsidP="007768D5">
      <w:pPr>
        <w:suppressAutoHyphens/>
        <w:spacing w:before="60" w:after="60"/>
        <w:jc w:val="both"/>
        <w:rPr>
          <w:rFonts w:eastAsia="Times New Roman" w:cs="Arial"/>
          <w:lang w:eastAsia="ar-SA"/>
        </w:rPr>
      </w:pPr>
      <w:r w:rsidRPr="00B27F95">
        <w:rPr>
          <w:rFonts w:eastAsia="Times New Roman" w:cs="Arial"/>
          <w:lang w:eastAsia="ar-SA"/>
        </w:rPr>
        <w:t xml:space="preserve">За финансовия анализ е приложена </w:t>
      </w:r>
      <w:r w:rsidRPr="00B27F95">
        <w:rPr>
          <w:rFonts w:eastAsia="Times New Roman" w:cs="Arial"/>
          <w:b/>
          <w:lang w:eastAsia="ar-SA"/>
        </w:rPr>
        <w:t>дисконтова норма 4%</w:t>
      </w:r>
      <w:r w:rsidRPr="00B27F95">
        <w:rPr>
          <w:rFonts w:eastAsia="Times New Roman" w:cs="Arial"/>
          <w:bCs/>
          <w:vertAlign w:val="superscript"/>
          <w:lang w:eastAsia="ar-SA"/>
        </w:rPr>
        <w:footnoteReference w:id="18"/>
      </w:r>
      <w:r w:rsidRPr="00B27F95">
        <w:rPr>
          <w:rFonts w:eastAsia="Times New Roman" w:cs="Arial"/>
          <w:lang w:eastAsia="ar-SA"/>
        </w:rPr>
        <w:t xml:space="preserve"> в съответствие с указанията на </w:t>
      </w:r>
      <w:r w:rsidRPr="00B27F95">
        <w:rPr>
          <w:rFonts w:eastAsia="Times New Roman" w:cs="Arial"/>
          <w:lang w:val="en-GB" w:eastAsia="ar-SA"/>
        </w:rPr>
        <w:t>Guide</w:t>
      </w:r>
      <w:r w:rsidRPr="00B27F95">
        <w:rPr>
          <w:rFonts w:eastAsia="Times New Roman" w:cs="Arial"/>
          <w:lang w:eastAsia="ar-SA"/>
        </w:rPr>
        <w:t xml:space="preserve"> </w:t>
      </w:r>
      <w:r w:rsidRPr="00B27F95">
        <w:rPr>
          <w:rFonts w:eastAsia="Times New Roman" w:cs="Arial"/>
          <w:lang w:val="en-GB" w:eastAsia="ar-SA"/>
        </w:rPr>
        <w:t>to</w:t>
      </w:r>
      <w:r w:rsidRPr="00B27F95">
        <w:rPr>
          <w:rFonts w:eastAsia="Times New Roman" w:cs="Arial"/>
          <w:lang w:eastAsia="ar-SA"/>
        </w:rPr>
        <w:t xml:space="preserve"> </w:t>
      </w:r>
      <w:r w:rsidRPr="00B27F95">
        <w:rPr>
          <w:rFonts w:eastAsia="Times New Roman" w:cs="Arial"/>
          <w:lang w:val="en-GB" w:eastAsia="ar-SA"/>
        </w:rPr>
        <w:t>CBA</w:t>
      </w:r>
      <w:r w:rsidRPr="00B27F95">
        <w:rPr>
          <w:rFonts w:eastAsia="Times New Roman" w:cs="Arial"/>
          <w:lang w:eastAsia="ar-SA"/>
        </w:rPr>
        <w:t xml:space="preserve"> </w:t>
      </w:r>
      <w:r w:rsidRPr="00B27F95">
        <w:rPr>
          <w:rFonts w:eastAsia="Times New Roman" w:cs="Arial"/>
          <w:lang w:val="en-GB" w:eastAsia="ar-SA"/>
        </w:rPr>
        <w:t>of</w:t>
      </w:r>
      <w:r w:rsidRPr="00B27F95">
        <w:rPr>
          <w:rFonts w:eastAsia="Times New Roman" w:cs="Arial"/>
          <w:lang w:eastAsia="ar-SA"/>
        </w:rPr>
        <w:t xml:space="preserve"> </w:t>
      </w:r>
      <w:r w:rsidRPr="00B27F95">
        <w:rPr>
          <w:rFonts w:eastAsia="Times New Roman" w:cs="Arial"/>
          <w:lang w:val="en-GB" w:eastAsia="ar-SA"/>
        </w:rPr>
        <w:t>Investments</w:t>
      </w:r>
      <w:r w:rsidRPr="00B27F95">
        <w:rPr>
          <w:rFonts w:eastAsia="Times New Roman" w:cs="Arial"/>
          <w:lang w:eastAsia="ar-SA"/>
        </w:rPr>
        <w:t xml:space="preserve"> </w:t>
      </w:r>
      <w:r w:rsidRPr="00B27F95">
        <w:rPr>
          <w:rFonts w:eastAsia="Times New Roman" w:cs="Arial"/>
          <w:lang w:val="en-GB" w:eastAsia="ar-SA"/>
        </w:rPr>
        <w:t>project</w:t>
      </w:r>
      <w:r w:rsidRPr="00B27F95">
        <w:rPr>
          <w:rFonts w:eastAsia="Times New Roman" w:cs="Arial"/>
          <w:lang w:eastAsia="ar-SA"/>
        </w:rPr>
        <w:t xml:space="preserve">, </w:t>
      </w:r>
      <w:r w:rsidRPr="00B27F95">
        <w:rPr>
          <w:rFonts w:eastAsia="Times New Roman" w:cs="Arial"/>
          <w:lang w:val="en-GB" w:eastAsia="ar-SA"/>
        </w:rPr>
        <w:t>Economic</w:t>
      </w:r>
      <w:r w:rsidRPr="00B27F95">
        <w:rPr>
          <w:rFonts w:eastAsia="Times New Roman" w:cs="Arial"/>
          <w:lang w:eastAsia="ar-SA"/>
        </w:rPr>
        <w:t xml:space="preserve"> </w:t>
      </w:r>
      <w:r w:rsidRPr="00B27F95">
        <w:rPr>
          <w:rFonts w:eastAsia="Times New Roman" w:cs="Arial"/>
          <w:lang w:val="en-GB" w:eastAsia="ar-SA"/>
        </w:rPr>
        <w:t>appraisal</w:t>
      </w:r>
      <w:r w:rsidRPr="00B27F95">
        <w:rPr>
          <w:rFonts w:eastAsia="Times New Roman" w:cs="Arial"/>
          <w:lang w:eastAsia="ar-SA"/>
        </w:rPr>
        <w:t xml:space="preserve"> </w:t>
      </w:r>
      <w:r w:rsidRPr="00B27F95">
        <w:rPr>
          <w:rFonts w:eastAsia="Times New Roman" w:cs="Arial"/>
          <w:lang w:val="en-GB" w:eastAsia="ar-SA"/>
        </w:rPr>
        <w:t>tool</w:t>
      </w:r>
      <w:r w:rsidRPr="00B27F95">
        <w:rPr>
          <w:rFonts w:eastAsia="Times New Roman" w:cs="Arial"/>
          <w:lang w:eastAsia="ar-SA"/>
        </w:rPr>
        <w:t xml:space="preserve"> </w:t>
      </w:r>
      <w:r w:rsidRPr="00B27F95">
        <w:rPr>
          <w:rFonts w:eastAsia="Times New Roman" w:cs="Arial"/>
          <w:lang w:val="en-GB" w:eastAsia="ar-SA"/>
        </w:rPr>
        <w:t>for</w:t>
      </w:r>
      <w:r w:rsidRPr="00B27F95">
        <w:rPr>
          <w:rFonts w:eastAsia="Times New Roman" w:cs="Arial"/>
          <w:lang w:eastAsia="ar-SA"/>
        </w:rPr>
        <w:t xml:space="preserve"> </w:t>
      </w:r>
      <w:r w:rsidRPr="00B27F95">
        <w:rPr>
          <w:rFonts w:eastAsia="Times New Roman" w:cs="Arial"/>
          <w:lang w:val="en-GB" w:eastAsia="ar-SA"/>
        </w:rPr>
        <w:t>Cohesion</w:t>
      </w:r>
      <w:r w:rsidRPr="00B27F95">
        <w:rPr>
          <w:rFonts w:eastAsia="Times New Roman" w:cs="Arial"/>
          <w:lang w:eastAsia="ar-SA"/>
        </w:rPr>
        <w:t xml:space="preserve"> </w:t>
      </w:r>
      <w:r w:rsidRPr="00B27F95">
        <w:rPr>
          <w:rFonts w:eastAsia="Times New Roman" w:cs="Arial"/>
          <w:lang w:val="en-GB" w:eastAsia="ar-SA"/>
        </w:rPr>
        <w:t>Policy</w:t>
      </w:r>
      <w:r w:rsidRPr="00B27F95">
        <w:rPr>
          <w:rFonts w:eastAsia="Times New Roman" w:cs="Arial"/>
          <w:lang w:eastAsia="ar-SA"/>
        </w:rPr>
        <w:t xml:space="preserve"> 2014-2020, </w:t>
      </w:r>
      <w:r w:rsidRPr="00B27F95">
        <w:rPr>
          <w:rFonts w:eastAsia="Times New Roman" w:cs="Arial"/>
          <w:lang w:val="en-GB" w:eastAsia="ar-SA"/>
        </w:rPr>
        <w:t>December</w:t>
      </w:r>
      <w:r w:rsidRPr="00B27F95">
        <w:rPr>
          <w:rFonts w:eastAsia="Times New Roman" w:cs="Arial"/>
          <w:lang w:eastAsia="ar-SA"/>
        </w:rPr>
        <w:t xml:space="preserve"> 2014, </w:t>
      </w:r>
      <w:r w:rsidRPr="00B27F95">
        <w:rPr>
          <w:rFonts w:eastAsia="Times New Roman" w:cs="Arial"/>
          <w:lang w:val="en-GB" w:eastAsia="ar-SA"/>
        </w:rPr>
        <w:t>Annex</w:t>
      </w:r>
      <w:r w:rsidRPr="00B27F95">
        <w:rPr>
          <w:rFonts w:eastAsia="Times New Roman" w:cs="Arial"/>
          <w:lang w:eastAsia="ar-SA"/>
        </w:rPr>
        <w:t xml:space="preserve"> </w:t>
      </w:r>
      <w:r w:rsidRPr="00B27F95">
        <w:rPr>
          <w:rFonts w:eastAsia="Times New Roman" w:cs="Arial"/>
          <w:lang w:val="en-GB" w:eastAsia="ar-SA"/>
        </w:rPr>
        <w:t>I</w:t>
      </w:r>
      <w:r w:rsidRPr="00B27F95">
        <w:rPr>
          <w:rFonts w:eastAsia="Times New Roman" w:cs="Arial"/>
          <w:lang w:eastAsia="ar-SA"/>
        </w:rPr>
        <w:t xml:space="preserve">. </w:t>
      </w:r>
      <w:r w:rsidRPr="00B27F95">
        <w:rPr>
          <w:rFonts w:eastAsia="Times New Roman" w:cs="Arial"/>
          <w:lang w:val="en-GB" w:eastAsia="ar-SA"/>
        </w:rPr>
        <w:t>The</w:t>
      </w:r>
      <w:r w:rsidRPr="00B27F95">
        <w:rPr>
          <w:rFonts w:eastAsia="Times New Roman" w:cs="Arial"/>
          <w:lang w:eastAsia="ar-SA"/>
        </w:rPr>
        <w:t xml:space="preserve"> </w:t>
      </w:r>
      <w:r w:rsidRPr="00B27F95">
        <w:rPr>
          <w:rFonts w:eastAsia="Times New Roman" w:cs="Arial"/>
          <w:lang w:val="en-GB" w:eastAsia="ar-SA"/>
        </w:rPr>
        <w:t>Financial</w:t>
      </w:r>
      <w:r w:rsidRPr="00B27F95">
        <w:rPr>
          <w:rFonts w:eastAsia="Times New Roman" w:cs="Arial"/>
          <w:lang w:eastAsia="ar-SA"/>
        </w:rPr>
        <w:t xml:space="preserve"> </w:t>
      </w:r>
      <w:r w:rsidRPr="00B27F95">
        <w:rPr>
          <w:rFonts w:eastAsia="Times New Roman" w:cs="Arial"/>
          <w:lang w:val="en-GB" w:eastAsia="ar-SA"/>
        </w:rPr>
        <w:t>discount</w:t>
      </w:r>
      <w:r w:rsidRPr="00B27F95">
        <w:rPr>
          <w:rFonts w:eastAsia="Times New Roman" w:cs="Arial"/>
          <w:lang w:eastAsia="ar-SA"/>
        </w:rPr>
        <w:t xml:space="preserve"> </w:t>
      </w:r>
      <w:r w:rsidRPr="00B27F95">
        <w:rPr>
          <w:rFonts w:eastAsia="Times New Roman" w:cs="Arial"/>
          <w:lang w:val="en-GB" w:eastAsia="ar-SA"/>
        </w:rPr>
        <w:t>rate</w:t>
      </w:r>
      <w:r w:rsidRPr="00B27F95">
        <w:rPr>
          <w:rFonts w:eastAsia="Times New Roman" w:cs="Arial"/>
          <w:lang w:eastAsia="ar-SA"/>
        </w:rPr>
        <w:t>. В изчисленията за финансовия анализ са използвани постоянни цени.</w:t>
      </w:r>
    </w:p>
    <w:p w14:paraId="4106F251" w14:textId="77777777" w:rsidR="007768D5" w:rsidRPr="007768D5" w:rsidRDefault="007768D5" w:rsidP="007768D5">
      <w:pPr>
        <w:suppressAutoHyphens/>
        <w:spacing w:before="60" w:after="60"/>
        <w:jc w:val="both"/>
        <w:rPr>
          <w:rFonts w:eastAsia="Times New Roman" w:cs="Arial"/>
          <w:szCs w:val="24"/>
          <w:lang w:eastAsia="ar-SA"/>
        </w:rPr>
      </w:pPr>
      <w:r w:rsidRPr="00B27F95">
        <w:rPr>
          <w:rFonts w:eastAsia="Times New Roman" w:cs="Arial"/>
          <w:lang w:eastAsia="ar-SA"/>
        </w:rPr>
        <w:t>В</w:t>
      </w:r>
      <w:r>
        <w:rPr>
          <w:rFonts w:eastAsia="Times New Roman" w:cs="Arial"/>
          <w:lang w:eastAsia="ar-SA"/>
        </w:rPr>
        <w:t xml:space="preserve">сички цени са представени в  лева, а където са в евро, </w:t>
      </w:r>
      <w:r w:rsidRPr="00B27F95">
        <w:rPr>
          <w:rFonts w:eastAsia="Times New Roman" w:cs="Arial"/>
          <w:lang w:eastAsia="ar-SA"/>
        </w:rPr>
        <w:t xml:space="preserve"> фиксираният </w:t>
      </w:r>
      <w:r w:rsidRPr="00B27F95">
        <w:rPr>
          <w:rFonts w:eastAsia="Times New Roman" w:cs="Arial"/>
          <w:b/>
          <w:lang w:eastAsia="ar-SA"/>
        </w:rPr>
        <w:t>обменен курс евро/ лев</w:t>
      </w:r>
      <w:r w:rsidRPr="00B27F95">
        <w:rPr>
          <w:rFonts w:eastAsia="Times New Roman" w:cs="Arial"/>
          <w:lang w:eastAsia="ar-SA"/>
        </w:rPr>
        <w:t xml:space="preserve"> е 1:1.95583.</w:t>
      </w:r>
    </w:p>
    <w:p w14:paraId="428AED2F" w14:textId="77777777" w:rsidR="00F42E46" w:rsidRPr="00472802" w:rsidRDefault="00F42E46" w:rsidP="00472802">
      <w:pPr>
        <w:pStyle w:val="Heading2"/>
        <w:numPr>
          <w:ilvl w:val="1"/>
          <w:numId w:val="3"/>
        </w:numPr>
        <w:ind w:left="1080" w:hanging="540"/>
        <w:rPr>
          <w:szCs w:val="24"/>
          <w:lang w:val="bg-BG"/>
        </w:rPr>
      </w:pPr>
      <w:bookmarkStart w:id="270" w:name="_Toc27069035"/>
      <w:bookmarkStart w:id="271" w:name="_Toc27069036"/>
      <w:bookmarkStart w:id="272" w:name="_Toc434229761"/>
      <w:bookmarkStart w:id="273" w:name="_Toc143694186"/>
      <w:bookmarkEnd w:id="270"/>
      <w:bookmarkEnd w:id="271"/>
      <w:r w:rsidRPr="00472802">
        <w:rPr>
          <w:szCs w:val="24"/>
          <w:lang w:val="bg-BG"/>
        </w:rPr>
        <w:t>Инвестиционни разходи и програма за изпълнение</w:t>
      </w:r>
      <w:bookmarkEnd w:id="272"/>
      <w:bookmarkEnd w:id="273"/>
      <w:r w:rsidRPr="00472802">
        <w:rPr>
          <w:szCs w:val="24"/>
          <w:lang w:val="bg-BG"/>
        </w:rPr>
        <w:t xml:space="preserve"> </w:t>
      </w:r>
    </w:p>
    <w:p w14:paraId="66BA0328" w14:textId="77777777" w:rsidR="00F32C9D" w:rsidRPr="00B27F95" w:rsidRDefault="00F32C9D" w:rsidP="00F32C9D">
      <w:pPr>
        <w:suppressAutoHyphens/>
        <w:spacing w:before="60" w:after="60"/>
        <w:jc w:val="both"/>
        <w:rPr>
          <w:rFonts w:eastAsia="Times New Roman" w:cs="Arial"/>
          <w:lang w:eastAsia="ar-SA"/>
        </w:rPr>
      </w:pPr>
      <w:r w:rsidRPr="00B27F95">
        <w:rPr>
          <w:rFonts w:eastAsia="Times New Roman" w:cs="Arial"/>
          <w:lang w:eastAsia="ar-SA"/>
        </w:rPr>
        <w:t>При определяне на пълните инвестиционни разходи са направени следните допускания:</w:t>
      </w:r>
    </w:p>
    <w:p w14:paraId="2124213F" w14:textId="098A9ED4" w:rsidR="00322DED" w:rsidRPr="00A81B8F" w:rsidRDefault="00322DED" w:rsidP="00A81B8F">
      <w:pPr>
        <w:pStyle w:val="ListParagraph"/>
        <w:numPr>
          <w:ilvl w:val="0"/>
          <w:numId w:val="53"/>
        </w:numPr>
        <w:jc w:val="both"/>
        <w:rPr>
          <w:rFonts w:ascii="Arial" w:hAnsi="Arial" w:cs="Arial"/>
          <w:lang w:eastAsia="ar-SA"/>
        </w:rPr>
      </w:pPr>
      <w:r w:rsidRPr="00A81B8F">
        <w:rPr>
          <w:rFonts w:ascii="Arial" w:hAnsi="Arial" w:cs="Arial"/>
          <w:lang w:eastAsia="ar-SA"/>
        </w:rPr>
        <w:t>В разходите за планиране и проектиране влизат разходите за подготовка на проектното предложение</w:t>
      </w:r>
      <w:r w:rsidR="004902C5" w:rsidRPr="009963CE">
        <w:rPr>
          <w:rFonts w:ascii="Arial" w:hAnsi="Arial" w:cs="Arial"/>
          <w:lang w:eastAsia="ar-SA"/>
        </w:rPr>
        <w:t xml:space="preserve"> </w:t>
      </w:r>
      <w:r w:rsidRPr="00A81B8F">
        <w:rPr>
          <w:rFonts w:ascii="Arial" w:hAnsi="Arial" w:cs="Arial"/>
          <w:lang w:eastAsia="ar-SA"/>
        </w:rPr>
        <w:t>- изготвяне на ПИП, анализ на ДП, изготвяне на АРП, ФК и др., изпълнени по проект „Осигуряване на техническа помощ за подготовка на проекти за следващия програмен период, 2021-2027 г.</w:t>
      </w:r>
      <w:r w:rsidR="004902C5" w:rsidRPr="009963CE">
        <w:rPr>
          <w:rFonts w:ascii="Arial" w:hAnsi="Arial" w:cs="Arial"/>
          <w:lang w:eastAsia="ar-SA"/>
        </w:rPr>
        <w:t>;</w:t>
      </w:r>
    </w:p>
    <w:p w14:paraId="091802A1" w14:textId="4CBE207C"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За </w:t>
      </w:r>
      <w:r>
        <w:rPr>
          <w:rFonts w:eastAsia="Times New Roman" w:cs="Arial"/>
          <w:lang w:eastAsia="ar-SA"/>
        </w:rPr>
        <w:t xml:space="preserve">СМР </w:t>
      </w:r>
      <w:r w:rsidRPr="00B27F95">
        <w:rPr>
          <w:rFonts w:eastAsia="Times New Roman" w:cs="Arial"/>
          <w:lang w:eastAsia="ar-SA"/>
        </w:rPr>
        <w:t xml:space="preserve">са използвани стойностите, определени в </w:t>
      </w:r>
      <w:r>
        <w:rPr>
          <w:rFonts w:eastAsia="Times New Roman" w:cs="Arial"/>
          <w:lang w:eastAsia="ar-SA"/>
        </w:rPr>
        <w:t>Предпроектното проучване</w:t>
      </w:r>
      <w:r w:rsidR="00E9326D">
        <w:rPr>
          <w:rFonts w:eastAsia="Times New Roman" w:cs="Arial"/>
          <w:lang w:eastAsia="ar-SA"/>
        </w:rPr>
        <w:t>, като към тях е добавена актуализация</w:t>
      </w:r>
      <w:r w:rsidR="00E2726F">
        <w:rPr>
          <w:rFonts w:eastAsia="Times New Roman" w:cs="Arial"/>
          <w:lang w:eastAsia="ar-SA"/>
        </w:rPr>
        <w:t xml:space="preserve"> на цените</w:t>
      </w:r>
      <w:r w:rsidR="00E9326D">
        <w:rPr>
          <w:rFonts w:eastAsia="Times New Roman" w:cs="Arial"/>
          <w:lang w:eastAsia="ar-SA"/>
        </w:rPr>
        <w:t xml:space="preserve">, определена на база отчетената инфлация за периода и прогнозираната </w:t>
      </w:r>
      <w:r w:rsidR="004902C5">
        <w:rPr>
          <w:rFonts w:eastAsia="Times New Roman" w:cs="Arial"/>
          <w:lang w:eastAsia="ar-SA"/>
        </w:rPr>
        <w:t>за периода на изпълнение на СМР</w:t>
      </w:r>
      <w:r>
        <w:rPr>
          <w:rFonts w:eastAsia="Times New Roman" w:cs="Arial"/>
          <w:lang w:eastAsia="ar-SA"/>
        </w:rPr>
        <w:t>;</w:t>
      </w:r>
    </w:p>
    <w:p w14:paraId="79299FF2" w14:textId="1734CD9B"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Непредвидените разходи са </w:t>
      </w:r>
      <w:r>
        <w:rPr>
          <w:rFonts w:eastAsia="Times New Roman" w:cs="Arial"/>
          <w:lang w:eastAsia="ar-SA"/>
        </w:rPr>
        <w:t xml:space="preserve">10% от стойността </w:t>
      </w:r>
      <w:r w:rsidRPr="00B27F95">
        <w:rPr>
          <w:rFonts w:eastAsia="Times New Roman" w:cs="Arial"/>
          <w:lang w:eastAsia="ar-SA"/>
        </w:rPr>
        <w:t xml:space="preserve">на определените </w:t>
      </w:r>
      <w:r>
        <w:rPr>
          <w:rFonts w:eastAsia="Times New Roman" w:cs="Arial"/>
          <w:lang w:eastAsia="ar-SA"/>
        </w:rPr>
        <w:t>разходи за СМР</w:t>
      </w:r>
      <w:r w:rsidR="00E9326D">
        <w:rPr>
          <w:rFonts w:eastAsia="Times New Roman" w:cs="Arial"/>
          <w:lang w:eastAsia="ar-SA"/>
        </w:rPr>
        <w:t xml:space="preserve"> </w:t>
      </w:r>
      <w:bookmarkStart w:id="274" w:name="_Hlk173754686"/>
      <w:r w:rsidR="00E9326D" w:rsidRPr="00E9326D">
        <w:rPr>
          <w:rFonts w:eastAsia="Times New Roman" w:cs="Arial"/>
          <w:lang w:eastAsia="ar-SA"/>
        </w:rPr>
        <w:t>в Предпроектното проучване</w:t>
      </w:r>
      <w:bookmarkEnd w:id="274"/>
      <w:r w:rsidR="00E9326D">
        <w:rPr>
          <w:rFonts w:eastAsia="Times New Roman" w:cs="Arial"/>
          <w:lang w:eastAsia="ar-SA"/>
        </w:rPr>
        <w:t>, без актуализацията за периода на строителството</w:t>
      </w:r>
      <w:r>
        <w:rPr>
          <w:rFonts w:eastAsia="Times New Roman" w:cs="Arial"/>
          <w:lang w:eastAsia="ar-SA"/>
        </w:rPr>
        <w:t xml:space="preserve">; </w:t>
      </w:r>
    </w:p>
    <w:p w14:paraId="4CE9EF5D" w14:textId="34F118B4" w:rsidR="00F32C9D" w:rsidRPr="00B27F95"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 xml:space="preserve">Разходите за строителен </w:t>
      </w:r>
      <w:r>
        <w:rPr>
          <w:rFonts w:eastAsia="Times New Roman" w:cs="Arial"/>
          <w:lang w:eastAsia="ar-SA"/>
        </w:rPr>
        <w:t xml:space="preserve">и авторски </w:t>
      </w:r>
      <w:r w:rsidRPr="00B27F95">
        <w:rPr>
          <w:rFonts w:eastAsia="Times New Roman" w:cs="Arial"/>
          <w:lang w:eastAsia="ar-SA"/>
        </w:rPr>
        <w:t xml:space="preserve">надзор са </w:t>
      </w:r>
      <w:r>
        <w:rPr>
          <w:rFonts w:eastAsia="Times New Roman" w:cs="Arial"/>
          <w:lang w:eastAsia="ar-SA"/>
        </w:rPr>
        <w:t>определени на 3% от стойността на СМР</w:t>
      </w:r>
      <w:r w:rsidR="00E9326D">
        <w:rPr>
          <w:rFonts w:eastAsia="Times New Roman" w:cs="Arial"/>
          <w:lang w:eastAsia="ar-SA"/>
        </w:rPr>
        <w:t xml:space="preserve">, </w:t>
      </w:r>
      <w:r w:rsidR="00E9326D" w:rsidRPr="00E9326D">
        <w:rPr>
          <w:rFonts w:eastAsia="Times New Roman" w:cs="Arial"/>
          <w:lang w:eastAsia="ar-SA"/>
        </w:rPr>
        <w:t>определени  в Предпроектното проучване</w:t>
      </w:r>
      <w:r>
        <w:rPr>
          <w:rFonts w:eastAsia="Times New Roman" w:cs="Arial"/>
          <w:lang w:eastAsia="ar-SA"/>
        </w:rPr>
        <w:t>, базирайки се на данни за средна стойност за сектор Транспорт;</w:t>
      </w:r>
    </w:p>
    <w:p w14:paraId="4590A4B7" w14:textId="47017242" w:rsidR="00F32C9D" w:rsidRDefault="00F32C9D" w:rsidP="00AA673B">
      <w:pPr>
        <w:numPr>
          <w:ilvl w:val="0"/>
          <w:numId w:val="17"/>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lastRenderedPageBreak/>
        <w:t>Разходите за техническа помощ включват управление на проекта, изготвяне на тръжни документи, технически и правни експертизи и други нужди и са определени</w:t>
      </w:r>
      <w:r w:rsidR="006A4198" w:rsidRPr="009963CE">
        <w:rPr>
          <w:rFonts w:eastAsia="Times New Roman" w:cs="Arial"/>
          <w:lang w:eastAsia="ar-SA"/>
        </w:rPr>
        <w:t xml:space="preserve"> </w:t>
      </w:r>
      <w:r w:rsidR="00F84DC0">
        <w:rPr>
          <w:rFonts w:eastAsia="Times New Roman" w:cs="Arial"/>
          <w:lang w:eastAsia="ar-SA"/>
        </w:rPr>
        <w:t>съг</w:t>
      </w:r>
      <w:r w:rsidR="006A4198">
        <w:rPr>
          <w:rFonts w:eastAsia="Times New Roman" w:cs="Arial"/>
          <w:lang w:eastAsia="ar-SA"/>
        </w:rPr>
        <w:t>ласно разчетите в Бюджета на ЗУИП</w:t>
      </w:r>
      <w:r>
        <w:rPr>
          <w:rFonts w:eastAsia="Times New Roman" w:cs="Arial"/>
          <w:lang w:eastAsia="ar-SA"/>
        </w:rPr>
        <w:t>;</w:t>
      </w:r>
    </w:p>
    <w:p w14:paraId="590BE9D4" w14:textId="577C03C8" w:rsidR="00F32C9D" w:rsidRDefault="00F32C9D" w:rsidP="00A81B8F">
      <w:pPr>
        <w:pStyle w:val="ListParagraph"/>
        <w:numPr>
          <w:ilvl w:val="0"/>
          <w:numId w:val="54"/>
        </w:numPr>
        <w:spacing w:before="0" w:after="160" w:line="259" w:lineRule="auto"/>
        <w:jc w:val="both"/>
        <w:rPr>
          <w:rFonts w:ascii="Arial" w:hAnsi="Arial" w:cs="Arial"/>
          <w:lang w:eastAsia="ar-SA"/>
        </w:rPr>
      </w:pPr>
      <w:r w:rsidRPr="002D5219">
        <w:rPr>
          <w:rFonts w:ascii="Arial" w:hAnsi="Arial" w:cs="Arial"/>
          <w:lang w:eastAsia="ar-SA"/>
        </w:rPr>
        <w:t>Разходите за публичност на проекта са определени на 0,2% от стойността на СМР</w:t>
      </w:r>
      <w:r w:rsidR="00E9326D">
        <w:rPr>
          <w:rFonts w:ascii="Arial" w:hAnsi="Arial" w:cs="Arial"/>
          <w:lang w:eastAsia="ar-SA"/>
        </w:rPr>
        <w:t xml:space="preserve">, </w:t>
      </w:r>
      <w:r w:rsidR="002D2161">
        <w:rPr>
          <w:rFonts w:ascii="Arial" w:hAnsi="Arial" w:cs="Arial"/>
          <w:lang w:eastAsia="ar-SA"/>
        </w:rPr>
        <w:t>определени</w:t>
      </w:r>
      <w:r w:rsidR="00E9326D" w:rsidRPr="00E9326D">
        <w:rPr>
          <w:rFonts w:ascii="Arial" w:hAnsi="Arial" w:cs="Arial"/>
          <w:lang w:eastAsia="ar-SA"/>
        </w:rPr>
        <w:t xml:space="preserve"> в Предпроектното проучване</w:t>
      </w:r>
      <w:r w:rsidR="004902C5">
        <w:rPr>
          <w:rFonts w:ascii="Arial" w:hAnsi="Arial" w:cs="Arial"/>
          <w:lang w:eastAsia="ar-SA"/>
        </w:rPr>
        <w:t>.</w:t>
      </w:r>
    </w:p>
    <w:p w14:paraId="33A8E399" w14:textId="77777777" w:rsidR="00A81B8F" w:rsidRDefault="00F32C9D" w:rsidP="00A81B8F">
      <w:pPr>
        <w:suppressAutoHyphens/>
        <w:spacing w:before="60" w:after="120"/>
        <w:jc w:val="both"/>
        <w:rPr>
          <w:rFonts w:eastAsia="Times New Roman" w:cs="Arial"/>
          <w:lang w:eastAsia="ar-SA"/>
        </w:rPr>
      </w:pPr>
      <w:r w:rsidRPr="00B27F95">
        <w:rPr>
          <w:rFonts w:eastAsia="Times New Roman" w:cs="Arial"/>
          <w:lang w:eastAsia="ar-SA"/>
        </w:rPr>
        <w:t>Резултатите за пълните инвестиционни разходи са показани в следващата таблица, като са разделени по компонентите, необходими за изготвянето на Формуляра за кандидатстване по проекта.</w:t>
      </w:r>
    </w:p>
    <w:p w14:paraId="1726AF07" w14:textId="713022B2" w:rsidR="00F32C9D" w:rsidRPr="00765764" w:rsidRDefault="00C36518" w:rsidP="00A81B8F">
      <w:pPr>
        <w:suppressAutoHyphens/>
        <w:spacing w:before="60" w:after="60"/>
        <w:jc w:val="both"/>
        <w:rPr>
          <w:rFonts w:cs="Arial"/>
          <w:i/>
          <w:sz w:val="22"/>
        </w:rPr>
      </w:pPr>
      <w:bookmarkStart w:id="275" w:name="_Toc17409905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12</w:t>
      </w:r>
      <w:r w:rsidRPr="002E1E19">
        <w:rPr>
          <w:rFonts w:cs="Arial"/>
          <w:b/>
          <w:bCs/>
          <w:i/>
          <w:iCs/>
          <w:sz w:val="22"/>
        </w:rPr>
        <w:fldChar w:fldCharType="end"/>
      </w:r>
      <w:r>
        <w:rPr>
          <w:rFonts w:cs="Arial"/>
          <w:b/>
          <w:bCs/>
          <w:i/>
          <w:iCs/>
          <w:sz w:val="22"/>
        </w:rPr>
        <w:t xml:space="preserve">  </w:t>
      </w:r>
      <w:r w:rsidR="00F32C9D" w:rsidRPr="00F32C9D">
        <w:rPr>
          <w:rFonts w:eastAsia="Calibri" w:cs="Arial"/>
          <w:i/>
          <w:color w:val="000000"/>
          <w:sz w:val="22"/>
          <w:lang w:eastAsia="en-US"/>
        </w:rPr>
        <w:t>Инвестиционни разходи в лева</w:t>
      </w:r>
      <w:bookmarkEnd w:id="275"/>
      <w:r w:rsidR="00F32C9D" w:rsidRPr="00765764">
        <w:rPr>
          <w:i/>
        </w:rPr>
        <w:t xml:space="preserve"> </w:t>
      </w:r>
    </w:p>
    <w:tbl>
      <w:tblPr>
        <w:tblStyle w:val="LightList-Accent111"/>
        <w:tblW w:w="4933" w:type="pct"/>
        <w:tblLook w:val="04A0" w:firstRow="1" w:lastRow="0" w:firstColumn="1" w:lastColumn="0" w:noHBand="0" w:noVBand="1"/>
      </w:tblPr>
      <w:tblGrid>
        <w:gridCol w:w="3861"/>
        <w:gridCol w:w="1799"/>
        <w:gridCol w:w="1889"/>
        <w:gridCol w:w="1801"/>
      </w:tblGrid>
      <w:tr w:rsidR="00F32C9D" w:rsidRPr="00F32C9D" w14:paraId="1248F521" w14:textId="77777777" w:rsidTr="0039530D">
        <w:trPr>
          <w:cnfStyle w:val="100000000000" w:firstRow="1" w:lastRow="0" w:firstColumn="0" w:lastColumn="0" w:oddVBand="0" w:evenVBand="0" w:oddHBand="0" w:evenHBand="0" w:firstRowFirstColumn="0" w:firstRowLastColumn="0" w:lastRowFirstColumn="0" w:lastRowLastColumn="0"/>
          <w:trHeight w:val="515"/>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215648D" w14:textId="77777777" w:rsidR="00F32C9D" w:rsidRPr="00F32C9D" w:rsidRDefault="00F32C9D" w:rsidP="00870376">
            <w:pPr>
              <w:jc w:val="center"/>
              <w:rPr>
                <w:rFonts w:cs="Arial"/>
                <w:b w:val="0"/>
                <w:bCs w:val="0"/>
                <w:szCs w:val="24"/>
              </w:rPr>
            </w:pPr>
            <w:r w:rsidRPr="00F32C9D">
              <w:rPr>
                <w:rFonts w:cs="Arial"/>
                <w:szCs w:val="24"/>
              </w:rPr>
              <w:t>Наименование</w:t>
            </w:r>
          </w:p>
        </w:tc>
        <w:tc>
          <w:tcPr>
            <w:tcW w:w="962" w:type="pct"/>
            <w:vAlign w:val="center"/>
            <w:hideMark/>
          </w:tcPr>
          <w:p w14:paraId="49BF5A3A"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Общо</w:t>
            </w:r>
          </w:p>
        </w:tc>
        <w:tc>
          <w:tcPr>
            <w:tcW w:w="1010" w:type="pct"/>
            <w:vAlign w:val="center"/>
            <w:hideMark/>
          </w:tcPr>
          <w:p w14:paraId="4CF53737"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Недопустими</w:t>
            </w:r>
          </w:p>
        </w:tc>
        <w:tc>
          <w:tcPr>
            <w:tcW w:w="963" w:type="pct"/>
            <w:vAlign w:val="center"/>
            <w:hideMark/>
          </w:tcPr>
          <w:p w14:paraId="76541224" w14:textId="77777777" w:rsidR="00F32C9D" w:rsidRPr="00F32C9D" w:rsidRDefault="00F32C9D" w:rsidP="00870376">
            <w:pPr>
              <w:jc w:val="center"/>
              <w:cnfStyle w:val="100000000000" w:firstRow="1" w:lastRow="0" w:firstColumn="0" w:lastColumn="0" w:oddVBand="0" w:evenVBand="0" w:oddHBand="0" w:evenHBand="0" w:firstRowFirstColumn="0" w:firstRowLastColumn="0" w:lastRowFirstColumn="0" w:lastRowLastColumn="0"/>
              <w:rPr>
                <w:rFonts w:cs="Arial"/>
                <w:b w:val="0"/>
                <w:bCs w:val="0"/>
                <w:szCs w:val="24"/>
              </w:rPr>
            </w:pPr>
            <w:r w:rsidRPr="00F32C9D">
              <w:rPr>
                <w:rFonts w:cs="Arial"/>
                <w:szCs w:val="24"/>
              </w:rPr>
              <w:t>Допустими</w:t>
            </w:r>
          </w:p>
        </w:tc>
      </w:tr>
      <w:tr w:rsidR="0039530D" w:rsidRPr="00F32C9D" w14:paraId="5B5394BB"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13F0A4D2" w14:textId="77777777" w:rsidR="0039530D" w:rsidRPr="00F32C9D" w:rsidRDefault="0039530D" w:rsidP="0039530D">
            <w:pPr>
              <w:spacing w:after="0" w:line="240" w:lineRule="auto"/>
              <w:rPr>
                <w:rFonts w:cs="Arial"/>
                <w:szCs w:val="24"/>
              </w:rPr>
            </w:pPr>
            <w:r w:rsidRPr="00F32C9D">
              <w:rPr>
                <w:rFonts w:cs="Arial"/>
                <w:szCs w:val="24"/>
              </w:rPr>
              <w:t>Планиране и проектиране</w:t>
            </w:r>
          </w:p>
        </w:tc>
        <w:tc>
          <w:tcPr>
            <w:tcW w:w="962" w:type="pct"/>
            <w:vAlign w:val="bottom"/>
            <w:hideMark/>
          </w:tcPr>
          <w:p w14:paraId="11EFB7C0" w14:textId="0D267217" w:rsidR="0039530D"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233 </w:t>
            </w:r>
            <w:r w:rsidRPr="0039530D">
              <w:t>328</w:t>
            </w:r>
            <w:r>
              <w:rPr>
                <w:lang w:val="en-US"/>
              </w:rPr>
              <w:t>,</w:t>
            </w:r>
            <w:r w:rsidRPr="0039530D">
              <w:t>88</w:t>
            </w:r>
          </w:p>
        </w:tc>
        <w:tc>
          <w:tcPr>
            <w:tcW w:w="1010" w:type="pct"/>
            <w:vAlign w:val="center"/>
            <w:hideMark/>
          </w:tcPr>
          <w:p w14:paraId="346901B7" w14:textId="1C5F9159"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 xml:space="preserve">233 </w:t>
            </w:r>
            <w:r w:rsidRPr="0039530D">
              <w:t>328</w:t>
            </w:r>
            <w:r>
              <w:rPr>
                <w:lang w:val="en-US"/>
              </w:rPr>
              <w:t>,</w:t>
            </w:r>
            <w:r w:rsidRPr="0039530D">
              <w:t>88</w:t>
            </w:r>
          </w:p>
        </w:tc>
        <w:tc>
          <w:tcPr>
            <w:tcW w:w="963" w:type="pct"/>
            <w:hideMark/>
          </w:tcPr>
          <w:p w14:paraId="3B738F77" w14:textId="0A7BF7F1"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DF5C67">
              <w:t>0,00</w:t>
            </w:r>
          </w:p>
        </w:tc>
      </w:tr>
      <w:tr w:rsidR="0039530D" w:rsidRPr="00F32C9D" w14:paraId="37EFB253" w14:textId="77777777" w:rsidTr="0039530D">
        <w:trPr>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07DB53B" w14:textId="77777777" w:rsidR="0039530D" w:rsidRPr="00F32C9D" w:rsidRDefault="0039530D" w:rsidP="0039530D">
            <w:pPr>
              <w:spacing w:after="0" w:line="240" w:lineRule="auto"/>
              <w:rPr>
                <w:rFonts w:cs="Arial"/>
                <w:szCs w:val="24"/>
              </w:rPr>
            </w:pPr>
            <w:r w:rsidRPr="00F32C9D">
              <w:rPr>
                <w:rFonts w:cs="Arial"/>
                <w:szCs w:val="24"/>
              </w:rPr>
              <w:t>Отчуждения</w:t>
            </w:r>
          </w:p>
        </w:tc>
        <w:tc>
          <w:tcPr>
            <w:tcW w:w="962" w:type="pct"/>
            <w:vAlign w:val="bottom"/>
            <w:hideMark/>
          </w:tcPr>
          <w:p w14:paraId="619E7678" w14:textId="19578AC0"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vAlign w:val="center"/>
            <w:hideMark/>
          </w:tcPr>
          <w:p w14:paraId="1733B1DD" w14:textId="361ADF54"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0,</w:t>
            </w:r>
            <w:r w:rsidRPr="0039530D">
              <w:t>00</w:t>
            </w:r>
          </w:p>
        </w:tc>
        <w:tc>
          <w:tcPr>
            <w:tcW w:w="963" w:type="pct"/>
            <w:hideMark/>
          </w:tcPr>
          <w:p w14:paraId="353B1DB6" w14:textId="4770D855"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DF5C67">
              <w:t>0,00</w:t>
            </w:r>
          </w:p>
        </w:tc>
      </w:tr>
      <w:tr w:rsidR="004902C5" w:rsidRPr="00F32C9D" w14:paraId="0D7BC358"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0198E084" w14:textId="77777777" w:rsidR="004902C5" w:rsidRPr="00F32C9D" w:rsidRDefault="004902C5" w:rsidP="004902C5">
            <w:pPr>
              <w:spacing w:after="0" w:line="240" w:lineRule="auto"/>
              <w:rPr>
                <w:rFonts w:cs="Arial"/>
                <w:szCs w:val="24"/>
              </w:rPr>
            </w:pPr>
            <w:r w:rsidRPr="00F32C9D">
              <w:rPr>
                <w:rFonts w:cs="Arial"/>
                <w:szCs w:val="24"/>
              </w:rPr>
              <w:t>Строителство</w:t>
            </w:r>
          </w:p>
        </w:tc>
        <w:tc>
          <w:tcPr>
            <w:tcW w:w="962" w:type="pct"/>
            <w:vAlign w:val="bottom"/>
            <w:hideMark/>
          </w:tcPr>
          <w:p w14:paraId="60E9CA91" w14:textId="725066B9"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24 461 865,</w:t>
            </w:r>
            <w:r w:rsidR="004902C5" w:rsidRPr="0039530D">
              <w:t>00</w:t>
            </w:r>
          </w:p>
        </w:tc>
        <w:tc>
          <w:tcPr>
            <w:tcW w:w="1010" w:type="pct"/>
            <w:vAlign w:val="center"/>
            <w:hideMark/>
          </w:tcPr>
          <w:p w14:paraId="040D19BC" w14:textId="0649F70C"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 </w:t>
            </w:r>
            <w:r w:rsidRPr="0039530D">
              <w:t>996</w:t>
            </w:r>
            <w:r>
              <w:rPr>
                <w:lang w:val="en-US"/>
              </w:rPr>
              <w:t xml:space="preserve"> </w:t>
            </w:r>
            <w:r>
              <w:t>524,</w:t>
            </w:r>
            <w:r w:rsidRPr="0039530D">
              <w:t>72</w:t>
            </w:r>
          </w:p>
        </w:tc>
        <w:tc>
          <w:tcPr>
            <w:tcW w:w="963" w:type="pct"/>
            <w:vAlign w:val="center"/>
            <w:hideMark/>
          </w:tcPr>
          <w:p w14:paraId="05A1064F" w14:textId="6B66216C"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 xml:space="preserve">21 </w:t>
            </w:r>
            <w:r w:rsidRPr="0039530D">
              <w:t>465</w:t>
            </w:r>
            <w:r>
              <w:rPr>
                <w:lang w:val="en-US"/>
              </w:rPr>
              <w:t xml:space="preserve"> </w:t>
            </w:r>
            <w:r>
              <w:t>340,</w:t>
            </w:r>
            <w:r w:rsidRPr="0039530D">
              <w:t>28</w:t>
            </w:r>
          </w:p>
        </w:tc>
      </w:tr>
      <w:tr w:rsidR="0039530D" w:rsidRPr="00F32C9D" w14:paraId="734173B9" w14:textId="77777777" w:rsidTr="0039530D">
        <w:trPr>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6001B4C0" w14:textId="77777777" w:rsidR="0039530D" w:rsidRPr="00F32C9D" w:rsidRDefault="0039530D" w:rsidP="0039530D">
            <w:pPr>
              <w:spacing w:after="0" w:line="240" w:lineRule="auto"/>
              <w:rPr>
                <w:rFonts w:cs="Arial"/>
                <w:szCs w:val="24"/>
              </w:rPr>
            </w:pPr>
            <w:r w:rsidRPr="00F32C9D">
              <w:rPr>
                <w:rFonts w:cs="Arial"/>
                <w:szCs w:val="24"/>
              </w:rPr>
              <w:t>Машини и оборудване</w:t>
            </w:r>
          </w:p>
        </w:tc>
        <w:tc>
          <w:tcPr>
            <w:tcW w:w="962" w:type="pct"/>
            <w:vAlign w:val="bottom"/>
            <w:hideMark/>
          </w:tcPr>
          <w:p w14:paraId="3C8002EA" w14:textId="398FA71E"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hideMark/>
          </w:tcPr>
          <w:p w14:paraId="15FCAAB2" w14:textId="02F2DA2C"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220A7">
              <w:t>0,00</w:t>
            </w:r>
          </w:p>
        </w:tc>
        <w:tc>
          <w:tcPr>
            <w:tcW w:w="963" w:type="pct"/>
            <w:vAlign w:val="center"/>
            <w:hideMark/>
          </w:tcPr>
          <w:p w14:paraId="192D206B" w14:textId="4DE384DC"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0,</w:t>
            </w:r>
            <w:r w:rsidRPr="0039530D">
              <w:t>00</w:t>
            </w:r>
          </w:p>
        </w:tc>
      </w:tr>
      <w:tr w:rsidR="007B0639" w:rsidRPr="00F32C9D" w14:paraId="3167FAB1" w14:textId="77777777" w:rsidTr="009963CE">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1016BA8" w14:textId="77777777" w:rsidR="007B0639" w:rsidRPr="00F32C9D" w:rsidRDefault="007B0639" w:rsidP="007B0639">
            <w:pPr>
              <w:spacing w:after="0" w:line="240" w:lineRule="auto"/>
              <w:rPr>
                <w:rFonts w:cs="Arial"/>
                <w:szCs w:val="24"/>
              </w:rPr>
            </w:pPr>
            <w:r w:rsidRPr="00F32C9D">
              <w:rPr>
                <w:rFonts w:cs="Arial"/>
                <w:szCs w:val="24"/>
              </w:rPr>
              <w:t>Непредвидени</w:t>
            </w:r>
          </w:p>
        </w:tc>
        <w:tc>
          <w:tcPr>
            <w:tcW w:w="962" w:type="pct"/>
            <w:hideMark/>
          </w:tcPr>
          <w:p w14:paraId="1E8BD1CB" w14:textId="20E430EE" w:rsidR="007B0639" w:rsidRPr="0039530D" w:rsidRDefault="007B0639" w:rsidP="007B0639">
            <w:pPr>
              <w:spacing w:after="0"/>
              <w:ind w:hanging="110"/>
              <w:jc w:val="right"/>
              <w:cnfStyle w:val="000000100000" w:firstRow="0" w:lastRow="0" w:firstColumn="0" w:lastColumn="0" w:oddVBand="0" w:evenVBand="0" w:oddHBand="1" w:evenHBand="0" w:firstRowFirstColumn="0" w:firstRowLastColumn="0" w:lastRowFirstColumn="0" w:lastRowLastColumn="0"/>
            </w:pPr>
            <w:r w:rsidRPr="00213C3E">
              <w:t>2 446 186,50</w:t>
            </w:r>
          </w:p>
        </w:tc>
        <w:tc>
          <w:tcPr>
            <w:tcW w:w="1010" w:type="pct"/>
            <w:hideMark/>
          </w:tcPr>
          <w:p w14:paraId="74FC1057" w14:textId="6D35E025" w:rsidR="007B0639" w:rsidRPr="00680473" w:rsidRDefault="007B0639" w:rsidP="007B0639">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13C3E">
              <w:t>299 652,47</w:t>
            </w:r>
          </w:p>
        </w:tc>
        <w:tc>
          <w:tcPr>
            <w:tcW w:w="963" w:type="pct"/>
            <w:vAlign w:val="center"/>
            <w:hideMark/>
          </w:tcPr>
          <w:p w14:paraId="050BD145" w14:textId="0D2F7993" w:rsidR="007B0639" w:rsidRPr="00680473" w:rsidRDefault="007B0639" w:rsidP="007B0639">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2 146 534,</w:t>
            </w:r>
            <w:r w:rsidRPr="0039530D">
              <w:t>03</w:t>
            </w:r>
          </w:p>
        </w:tc>
      </w:tr>
      <w:tr w:rsidR="0039530D" w:rsidRPr="00F32C9D" w14:paraId="4EED98A6" w14:textId="77777777" w:rsidTr="0039530D">
        <w:trPr>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7D091BBC" w14:textId="77777777" w:rsidR="0039530D" w:rsidRPr="00F32C9D" w:rsidRDefault="0039530D" w:rsidP="0039530D">
            <w:pPr>
              <w:spacing w:after="0" w:line="240" w:lineRule="auto"/>
              <w:rPr>
                <w:rFonts w:cs="Arial"/>
                <w:szCs w:val="24"/>
              </w:rPr>
            </w:pPr>
            <w:r w:rsidRPr="00F32C9D">
              <w:rPr>
                <w:rFonts w:cs="Arial"/>
                <w:szCs w:val="24"/>
              </w:rPr>
              <w:t>Ценова корекция</w:t>
            </w:r>
          </w:p>
        </w:tc>
        <w:tc>
          <w:tcPr>
            <w:tcW w:w="962" w:type="pct"/>
            <w:vAlign w:val="bottom"/>
            <w:hideMark/>
          </w:tcPr>
          <w:p w14:paraId="6179E76B" w14:textId="7A13F451"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0,</w:t>
            </w:r>
            <w:r w:rsidRPr="0039530D">
              <w:t>00</w:t>
            </w:r>
          </w:p>
        </w:tc>
        <w:tc>
          <w:tcPr>
            <w:tcW w:w="1010" w:type="pct"/>
            <w:hideMark/>
          </w:tcPr>
          <w:p w14:paraId="1CAFD1E9" w14:textId="0FB10BBE"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220A7">
              <w:t>0,00</w:t>
            </w:r>
          </w:p>
        </w:tc>
        <w:tc>
          <w:tcPr>
            <w:tcW w:w="963" w:type="pct"/>
            <w:hideMark/>
          </w:tcPr>
          <w:p w14:paraId="2014898D" w14:textId="4614EC7E"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0295B">
              <w:t>0,00</w:t>
            </w:r>
          </w:p>
        </w:tc>
      </w:tr>
      <w:tr w:rsidR="0039530D" w:rsidRPr="00F32C9D" w14:paraId="61450B07" w14:textId="77777777" w:rsidTr="0039530D">
        <w:trPr>
          <w:cnfStyle w:val="000000100000" w:firstRow="0" w:lastRow="0" w:firstColumn="0" w:lastColumn="0" w:oddVBand="0" w:evenVBand="0" w:oddHBand="1" w:evenHBand="0" w:firstRowFirstColumn="0" w:firstRowLastColumn="0" w:lastRowFirstColumn="0" w:lastRowLastColumn="0"/>
          <w:trHeight w:val="266"/>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0C05FB83" w14:textId="77777777" w:rsidR="0039530D" w:rsidRPr="00F32C9D" w:rsidRDefault="0039530D" w:rsidP="0039530D">
            <w:pPr>
              <w:spacing w:after="0" w:line="240" w:lineRule="auto"/>
              <w:rPr>
                <w:rFonts w:cs="Arial"/>
                <w:szCs w:val="24"/>
              </w:rPr>
            </w:pPr>
            <w:r w:rsidRPr="00F32C9D">
              <w:rPr>
                <w:rFonts w:cs="Arial"/>
                <w:szCs w:val="24"/>
              </w:rPr>
              <w:t>Техническа помощ</w:t>
            </w:r>
          </w:p>
        </w:tc>
        <w:tc>
          <w:tcPr>
            <w:tcW w:w="962" w:type="pct"/>
            <w:vAlign w:val="bottom"/>
            <w:hideMark/>
          </w:tcPr>
          <w:p w14:paraId="5C8E96F2" w14:textId="4925483E" w:rsidR="0039530D"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337 835,</w:t>
            </w:r>
            <w:r w:rsidRPr="0039530D">
              <w:t>85</w:t>
            </w:r>
          </w:p>
        </w:tc>
        <w:tc>
          <w:tcPr>
            <w:tcW w:w="1010" w:type="pct"/>
            <w:vAlign w:val="bottom"/>
            <w:hideMark/>
          </w:tcPr>
          <w:p w14:paraId="6541B141" w14:textId="655AA3B6"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t>337 835,</w:t>
            </w:r>
            <w:r w:rsidRPr="0039530D">
              <w:t>85</w:t>
            </w:r>
          </w:p>
        </w:tc>
        <w:tc>
          <w:tcPr>
            <w:tcW w:w="963" w:type="pct"/>
            <w:hideMark/>
          </w:tcPr>
          <w:p w14:paraId="243A07AC" w14:textId="2BC18A59" w:rsidR="0039530D" w:rsidRPr="00680473" w:rsidRDefault="0039530D" w:rsidP="0039530D">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B0295B">
              <w:t>0,00</w:t>
            </w:r>
          </w:p>
        </w:tc>
      </w:tr>
      <w:tr w:rsidR="0039530D" w:rsidRPr="00F32C9D" w14:paraId="5775602B" w14:textId="77777777" w:rsidTr="0039530D">
        <w:trPr>
          <w:trHeight w:val="268"/>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0C4F891" w14:textId="77777777" w:rsidR="0039530D" w:rsidRPr="00F32C9D" w:rsidRDefault="0039530D" w:rsidP="0039530D">
            <w:pPr>
              <w:spacing w:after="0" w:line="240" w:lineRule="auto"/>
              <w:rPr>
                <w:rFonts w:cs="Arial"/>
                <w:szCs w:val="24"/>
              </w:rPr>
            </w:pPr>
            <w:r w:rsidRPr="00F32C9D">
              <w:rPr>
                <w:rFonts w:cs="Arial"/>
                <w:szCs w:val="24"/>
              </w:rPr>
              <w:t>Публичност</w:t>
            </w:r>
          </w:p>
        </w:tc>
        <w:tc>
          <w:tcPr>
            <w:tcW w:w="962" w:type="pct"/>
            <w:vAlign w:val="bottom"/>
            <w:hideMark/>
          </w:tcPr>
          <w:p w14:paraId="0F80912B" w14:textId="1AE56F3A" w:rsidR="0039530D" w:rsidRPr="0039530D" w:rsidRDefault="0039530D" w:rsidP="0039530D">
            <w:pPr>
              <w:spacing w:after="0"/>
              <w:ind w:hanging="110"/>
              <w:jc w:val="right"/>
              <w:cnfStyle w:val="000000000000" w:firstRow="0" w:lastRow="0" w:firstColumn="0" w:lastColumn="0" w:oddVBand="0" w:evenVBand="0" w:oddHBand="0" w:evenHBand="0" w:firstRowFirstColumn="0" w:firstRowLastColumn="0" w:lastRowFirstColumn="0" w:lastRowLastColumn="0"/>
            </w:pPr>
            <w:r>
              <w:t>44 406,</w:t>
            </w:r>
            <w:r w:rsidRPr="0039530D">
              <w:t>00</w:t>
            </w:r>
          </w:p>
        </w:tc>
        <w:tc>
          <w:tcPr>
            <w:tcW w:w="1010" w:type="pct"/>
            <w:vAlign w:val="bottom"/>
            <w:hideMark/>
          </w:tcPr>
          <w:p w14:paraId="524DE4D4" w14:textId="0A4156C6"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t>44 406,</w:t>
            </w:r>
            <w:r w:rsidRPr="0039530D">
              <w:t>00</w:t>
            </w:r>
          </w:p>
        </w:tc>
        <w:tc>
          <w:tcPr>
            <w:tcW w:w="963" w:type="pct"/>
            <w:hideMark/>
          </w:tcPr>
          <w:p w14:paraId="11507A6D" w14:textId="3AE53ED7" w:rsidR="0039530D" w:rsidRPr="00680473" w:rsidRDefault="0039530D" w:rsidP="0039530D">
            <w:pPr>
              <w:spacing w:after="0"/>
              <w:jc w:val="right"/>
              <w:cnfStyle w:val="000000000000" w:firstRow="0" w:lastRow="0" w:firstColumn="0" w:lastColumn="0" w:oddVBand="0" w:evenVBand="0" w:oddHBand="0" w:evenHBand="0" w:firstRowFirstColumn="0" w:firstRowLastColumn="0" w:lastRowFirstColumn="0" w:lastRowLastColumn="0"/>
              <w:rPr>
                <w:rFonts w:cs="Arial"/>
                <w:sz w:val="22"/>
              </w:rPr>
            </w:pPr>
            <w:r w:rsidRPr="00B0295B">
              <w:t>0,00</w:t>
            </w:r>
          </w:p>
        </w:tc>
      </w:tr>
      <w:tr w:rsidR="004902C5" w:rsidRPr="00F32C9D" w14:paraId="78F6FF3B" w14:textId="77777777" w:rsidTr="0039530D">
        <w:trPr>
          <w:cnfStyle w:val="000000100000" w:firstRow="0" w:lastRow="0" w:firstColumn="0" w:lastColumn="0" w:oddVBand="0" w:evenVBand="0" w:oddHBand="1" w:evenHBand="0" w:firstRowFirstColumn="0" w:firstRowLastColumn="0" w:lastRowFirstColumn="0" w:lastRowLastColumn="0"/>
          <w:trHeight w:val="223"/>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CF730C8" w14:textId="39475D8C" w:rsidR="004902C5" w:rsidRPr="00F32C9D" w:rsidRDefault="004902C5" w:rsidP="004902C5">
            <w:pPr>
              <w:spacing w:after="0" w:line="240" w:lineRule="auto"/>
              <w:rPr>
                <w:rFonts w:cs="Arial"/>
                <w:szCs w:val="24"/>
              </w:rPr>
            </w:pPr>
            <w:r w:rsidRPr="00F32C9D">
              <w:rPr>
                <w:rFonts w:cs="Arial"/>
                <w:szCs w:val="24"/>
              </w:rPr>
              <w:t>Надзор, вкл.  и авторски</w:t>
            </w:r>
          </w:p>
        </w:tc>
        <w:tc>
          <w:tcPr>
            <w:tcW w:w="962" w:type="pct"/>
            <w:vAlign w:val="bottom"/>
            <w:hideMark/>
          </w:tcPr>
          <w:p w14:paraId="4217365B" w14:textId="12AF4FAE" w:rsidR="004902C5" w:rsidRPr="0039530D" w:rsidRDefault="0039530D" w:rsidP="0039530D">
            <w:pPr>
              <w:spacing w:after="0"/>
              <w:ind w:hanging="110"/>
              <w:jc w:val="right"/>
              <w:cnfStyle w:val="000000100000" w:firstRow="0" w:lastRow="0" w:firstColumn="0" w:lastColumn="0" w:oddVBand="0" w:evenVBand="0" w:oddHBand="1" w:evenHBand="0" w:firstRowFirstColumn="0" w:firstRowLastColumn="0" w:lastRowFirstColumn="0" w:lastRowLastColumn="0"/>
            </w:pPr>
            <w:r>
              <w:t>666 094,</w:t>
            </w:r>
            <w:r w:rsidR="004902C5" w:rsidRPr="0039530D">
              <w:t>00</w:t>
            </w:r>
          </w:p>
        </w:tc>
        <w:tc>
          <w:tcPr>
            <w:tcW w:w="1010" w:type="pct"/>
            <w:hideMark/>
          </w:tcPr>
          <w:p w14:paraId="0F8D28C3" w14:textId="43F770DA" w:rsidR="004902C5" w:rsidRPr="00680473" w:rsidRDefault="004902C5" w:rsidP="004902C5">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81 595,05</w:t>
            </w:r>
          </w:p>
        </w:tc>
        <w:tc>
          <w:tcPr>
            <w:tcW w:w="963" w:type="pct"/>
            <w:hideMark/>
          </w:tcPr>
          <w:p w14:paraId="3561834D" w14:textId="58ED3930" w:rsidR="004902C5" w:rsidRPr="00680473" w:rsidRDefault="004902C5" w:rsidP="004902C5">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584 498,95</w:t>
            </w:r>
          </w:p>
        </w:tc>
      </w:tr>
      <w:tr w:rsidR="007B0639" w:rsidRPr="00F32C9D" w14:paraId="3670A340" w14:textId="77777777" w:rsidTr="0039530D">
        <w:trPr>
          <w:trHeight w:val="268"/>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36AA679B" w14:textId="77777777" w:rsidR="007B0639" w:rsidRPr="00F32C9D" w:rsidRDefault="007B0639" w:rsidP="007B0639">
            <w:pPr>
              <w:spacing w:after="0" w:line="240" w:lineRule="auto"/>
              <w:rPr>
                <w:rFonts w:cs="Arial"/>
                <w:b w:val="0"/>
                <w:bCs w:val="0"/>
                <w:szCs w:val="24"/>
              </w:rPr>
            </w:pPr>
            <w:r w:rsidRPr="00F32C9D">
              <w:rPr>
                <w:rFonts w:cs="Arial"/>
                <w:szCs w:val="24"/>
              </w:rPr>
              <w:t xml:space="preserve">Междинна сума </w:t>
            </w:r>
          </w:p>
        </w:tc>
        <w:tc>
          <w:tcPr>
            <w:tcW w:w="962" w:type="pct"/>
            <w:hideMark/>
          </w:tcPr>
          <w:p w14:paraId="425571D0" w14:textId="46E4D970" w:rsidR="007B0639" w:rsidRPr="007B0639" w:rsidRDefault="007B0639" w:rsidP="007B0639">
            <w:pPr>
              <w:spacing w:after="0"/>
              <w:ind w:hanging="11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9963CE">
              <w:rPr>
                <w:b/>
                <w:bCs/>
              </w:rPr>
              <w:t>28 189 716,23</w:t>
            </w:r>
          </w:p>
        </w:tc>
        <w:tc>
          <w:tcPr>
            <w:tcW w:w="1010" w:type="pct"/>
            <w:hideMark/>
          </w:tcPr>
          <w:p w14:paraId="62FBFD7F" w14:textId="54766A0A" w:rsidR="007B0639" w:rsidRPr="00D423A8" w:rsidRDefault="007B0639" w:rsidP="007B0639">
            <w:pPr>
              <w:spacing w:after="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7B0639">
              <w:rPr>
                <w:b/>
              </w:rPr>
              <w:t>3 993 342,97</w:t>
            </w:r>
          </w:p>
        </w:tc>
        <w:tc>
          <w:tcPr>
            <w:tcW w:w="963" w:type="pct"/>
            <w:hideMark/>
          </w:tcPr>
          <w:p w14:paraId="7838CF2B" w14:textId="2EBACB69" w:rsidR="007B0639" w:rsidRPr="00D423A8" w:rsidRDefault="007B0639" w:rsidP="007B0639">
            <w:pPr>
              <w:spacing w:after="0"/>
              <w:ind w:hanging="135"/>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D423A8">
              <w:rPr>
                <w:b/>
              </w:rPr>
              <w:t>24 196 373,26</w:t>
            </w:r>
          </w:p>
        </w:tc>
      </w:tr>
      <w:tr w:rsidR="00417F66" w:rsidRPr="00F32C9D" w14:paraId="33F7B20C" w14:textId="77777777" w:rsidTr="0039530D">
        <w:trPr>
          <w:cnfStyle w:val="000000100000" w:firstRow="0" w:lastRow="0" w:firstColumn="0" w:lastColumn="0" w:oddVBand="0" w:evenVBand="0" w:oddHBand="1" w:evenHBand="0" w:firstRowFirstColumn="0" w:firstRowLastColumn="0" w:lastRowFirstColumn="0" w:lastRowLastColumn="0"/>
          <w:trHeight w:val="309"/>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1A33A731" w14:textId="77777777" w:rsidR="00417F66" w:rsidRPr="00F32C9D" w:rsidRDefault="00417F66" w:rsidP="00417F66">
            <w:pPr>
              <w:spacing w:after="0" w:line="240" w:lineRule="auto"/>
              <w:rPr>
                <w:rFonts w:cs="Arial"/>
                <w:szCs w:val="24"/>
              </w:rPr>
            </w:pPr>
            <w:r w:rsidRPr="00F32C9D">
              <w:rPr>
                <w:rFonts w:cs="Arial"/>
                <w:szCs w:val="24"/>
              </w:rPr>
              <w:t>ДДС</w:t>
            </w:r>
          </w:p>
        </w:tc>
        <w:tc>
          <w:tcPr>
            <w:tcW w:w="962" w:type="pct"/>
            <w:hideMark/>
          </w:tcPr>
          <w:p w14:paraId="4AA1CD94" w14:textId="2B188DD9"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FD1B40">
              <w:t xml:space="preserve">5 </w:t>
            </w:r>
            <w:r>
              <w:t>570</w:t>
            </w:r>
            <w:r w:rsidRPr="00FD1B40">
              <w:t xml:space="preserve"> </w:t>
            </w:r>
            <w:r>
              <w:t>376</w:t>
            </w:r>
            <w:r w:rsidRPr="00FD1B40">
              <w:t>,</w:t>
            </w:r>
            <w:r>
              <w:t>08</w:t>
            </w:r>
          </w:p>
        </w:tc>
        <w:tc>
          <w:tcPr>
            <w:tcW w:w="1010" w:type="pct"/>
            <w:hideMark/>
          </w:tcPr>
          <w:p w14:paraId="3C588B3F" w14:textId="5FE9F3AC"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FD1B40">
              <w:t xml:space="preserve">5 </w:t>
            </w:r>
            <w:r>
              <w:t>570</w:t>
            </w:r>
            <w:r w:rsidRPr="00FD1B40">
              <w:t xml:space="preserve"> </w:t>
            </w:r>
            <w:r>
              <w:t>376</w:t>
            </w:r>
            <w:r w:rsidRPr="00FD1B40">
              <w:t>,</w:t>
            </w:r>
            <w:r>
              <w:t>08</w:t>
            </w:r>
          </w:p>
        </w:tc>
        <w:tc>
          <w:tcPr>
            <w:tcW w:w="963" w:type="pct"/>
            <w:hideMark/>
          </w:tcPr>
          <w:p w14:paraId="2BE2B99E" w14:textId="489EEA84" w:rsidR="00417F66" w:rsidRPr="00680473" w:rsidRDefault="00417F66" w:rsidP="00417F66">
            <w:pPr>
              <w:spacing w:after="0"/>
              <w:jc w:val="right"/>
              <w:cnfStyle w:val="000000100000" w:firstRow="0" w:lastRow="0" w:firstColumn="0" w:lastColumn="0" w:oddVBand="0" w:evenVBand="0" w:oddHBand="1" w:evenHBand="0" w:firstRowFirstColumn="0" w:firstRowLastColumn="0" w:lastRowFirstColumn="0" w:lastRowLastColumn="0"/>
              <w:rPr>
                <w:rFonts w:cs="Arial"/>
                <w:sz w:val="22"/>
              </w:rPr>
            </w:pPr>
            <w:r w:rsidRPr="00234FB4">
              <w:t>0,00</w:t>
            </w:r>
          </w:p>
        </w:tc>
      </w:tr>
      <w:tr w:rsidR="00417F66" w:rsidRPr="00F32C9D" w14:paraId="60147A33" w14:textId="77777777" w:rsidTr="0039530D">
        <w:trPr>
          <w:trHeight w:val="240"/>
        </w:trPr>
        <w:tc>
          <w:tcPr>
            <w:cnfStyle w:val="001000000000" w:firstRow="0" w:lastRow="0" w:firstColumn="1" w:lastColumn="0" w:oddVBand="0" w:evenVBand="0" w:oddHBand="0" w:evenHBand="0" w:firstRowFirstColumn="0" w:firstRowLastColumn="0" w:lastRowFirstColumn="0" w:lastRowLastColumn="0"/>
            <w:tcW w:w="2065" w:type="pct"/>
            <w:vAlign w:val="center"/>
            <w:hideMark/>
          </w:tcPr>
          <w:p w14:paraId="4076536C" w14:textId="77777777" w:rsidR="00417F66" w:rsidRPr="00F32C9D" w:rsidRDefault="00417F66" w:rsidP="00417F66">
            <w:pPr>
              <w:spacing w:after="0" w:line="240" w:lineRule="auto"/>
              <w:rPr>
                <w:rFonts w:cs="Arial"/>
                <w:b w:val="0"/>
                <w:bCs w:val="0"/>
                <w:szCs w:val="24"/>
              </w:rPr>
            </w:pPr>
            <w:r w:rsidRPr="00F32C9D">
              <w:rPr>
                <w:rFonts w:cs="Arial"/>
                <w:szCs w:val="24"/>
              </w:rPr>
              <w:t>Общо</w:t>
            </w:r>
          </w:p>
        </w:tc>
        <w:tc>
          <w:tcPr>
            <w:tcW w:w="962" w:type="pct"/>
            <w:hideMark/>
          </w:tcPr>
          <w:p w14:paraId="166B20A4" w14:textId="0A5F5127" w:rsidR="00417F66" w:rsidRPr="007B0639" w:rsidRDefault="00417F66" w:rsidP="00417F66">
            <w:pPr>
              <w:spacing w:after="0"/>
              <w:ind w:hanging="110"/>
              <w:jc w:val="right"/>
              <w:cnfStyle w:val="000000000000" w:firstRow="0" w:lastRow="0" w:firstColumn="0" w:lastColumn="0" w:oddVBand="0" w:evenVBand="0" w:oddHBand="0" w:evenHBand="0" w:firstRowFirstColumn="0" w:firstRowLastColumn="0" w:lastRowFirstColumn="0" w:lastRowLastColumn="0"/>
              <w:rPr>
                <w:rFonts w:cs="Arial"/>
                <w:b/>
                <w:bCs/>
                <w:sz w:val="22"/>
              </w:rPr>
            </w:pPr>
            <w:r w:rsidRPr="009B04AD">
              <w:rPr>
                <w:b/>
                <w:bCs/>
              </w:rPr>
              <w:t xml:space="preserve">33 </w:t>
            </w:r>
            <w:r>
              <w:rPr>
                <w:b/>
                <w:bCs/>
              </w:rPr>
              <w:t>760</w:t>
            </w:r>
            <w:r w:rsidRPr="009B04AD">
              <w:rPr>
                <w:b/>
                <w:bCs/>
              </w:rPr>
              <w:t xml:space="preserve"> </w:t>
            </w:r>
            <w:r>
              <w:rPr>
                <w:b/>
                <w:bCs/>
              </w:rPr>
              <w:t>092</w:t>
            </w:r>
            <w:r w:rsidRPr="009B04AD">
              <w:rPr>
                <w:b/>
                <w:bCs/>
              </w:rPr>
              <w:t>,</w:t>
            </w:r>
            <w:r>
              <w:rPr>
                <w:b/>
                <w:bCs/>
              </w:rPr>
              <w:t>31</w:t>
            </w:r>
          </w:p>
        </w:tc>
        <w:tc>
          <w:tcPr>
            <w:tcW w:w="1010" w:type="pct"/>
            <w:hideMark/>
          </w:tcPr>
          <w:p w14:paraId="26CFF538" w14:textId="2427A39E" w:rsidR="00417F66" w:rsidRPr="00D423A8" w:rsidRDefault="00417F66" w:rsidP="00417F66">
            <w:pPr>
              <w:spacing w:after="0"/>
              <w:ind w:hanging="110"/>
              <w:jc w:val="right"/>
              <w:cnfStyle w:val="000000000000" w:firstRow="0" w:lastRow="0" w:firstColumn="0" w:lastColumn="0" w:oddVBand="0" w:evenVBand="0" w:oddHBand="0" w:evenHBand="0" w:firstRowFirstColumn="0" w:firstRowLastColumn="0" w:lastRowFirstColumn="0" w:lastRowLastColumn="0"/>
              <w:rPr>
                <w:b/>
              </w:rPr>
            </w:pPr>
            <w:r w:rsidRPr="00D423A8">
              <w:rPr>
                <w:b/>
              </w:rPr>
              <w:t xml:space="preserve">9 </w:t>
            </w:r>
            <w:r>
              <w:rPr>
                <w:b/>
              </w:rPr>
              <w:t>563</w:t>
            </w:r>
            <w:r w:rsidRPr="00D423A8">
              <w:rPr>
                <w:b/>
              </w:rPr>
              <w:t xml:space="preserve"> </w:t>
            </w:r>
            <w:r>
              <w:rPr>
                <w:b/>
              </w:rPr>
              <w:t>719</w:t>
            </w:r>
            <w:r w:rsidRPr="00D423A8">
              <w:rPr>
                <w:b/>
              </w:rPr>
              <w:t>,</w:t>
            </w:r>
            <w:r>
              <w:rPr>
                <w:b/>
              </w:rPr>
              <w:t>05</w:t>
            </w:r>
          </w:p>
        </w:tc>
        <w:tc>
          <w:tcPr>
            <w:tcW w:w="963" w:type="pct"/>
            <w:hideMark/>
          </w:tcPr>
          <w:p w14:paraId="12FF1D51" w14:textId="62C1DE9A" w:rsidR="00417F66" w:rsidRPr="00D423A8" w:rsidRDefault="00417F66" w:rsidP="00417F66">
            <w:pPr>
              <w:spacing w:after="0"/>
              <w:jc w:val="right"/>
              <w:cnfStyle w:val="000000000000" w:firstRow="0" w:lastRow="0" w:firstColumn="0" w:lastColumn="0" w:oddVBand="0" w:evenVBand="0" w:oddHBand="0" w:evenHBand="0" w:firstRowFirstColumn="0" w:firstRowLastColumn="0" w:lastRowFirstColumn="0" w:lastRowLastColumn="0"/>
              <w:rPr>
                <w:rFonts w:cs="Arial"/>
                <w:b/>
                <w:sz w:val="22"/>
                <w:lang w:val="en-US"/>
              </w:rPr>
            </w:pPr>
            <w:r w:rsidRPr="00D423A8">
              <w:rPr>
                <w:b/>
              </w:rPr>
              <w:t>24 196 373</w:t>
            </w:r>
            <w:r w:rsidRPr="00D423A8">
              <w:rPr>
                <w:b/>
                <w:lang w:val="en-US"/>
              </w:rPr>
              <w:t>,26</w:t>
            </w:r>
          </w:p>
        </w:tc>
      </w:tr>
    </w:tbl>
    <w:p w14:paraId="0CA0E533" w14:textId="2E70D9F2" w:rsidR="00F32C9D" w:rsidRPr="00A81B8F" w:rsidRDefault="00F32C9D" w:rsidP="00F32C9D">
      <w:pPr>
        <w:tabs>
          <w:tab w:val="left" w:pos="1134"/>
        </w:tabs>
        <w:suppressAutoHyphens/>
        <w:spacing w:after="120"/>
        <w:jc w:val="both"/>
        <w:rPr>
          <w:rFonts w:ascii="Times New Roman" w:eastAsia="Times New Roman" w:hAnsi="Times New Roman" w:cs="Times New Roman"/>
          <w:i/>
          <w:sz w:val="18"/>
          <w:szCs w:val="18"/>
          <w:highlight w:val="yellow"/>
          <w:lang w:eastAsia="ar-SA"/>
        </w:rPr>
      </w:pPr>
      <w:r w:rsidRPr="00A81B8F">
        <w:rPr>
          <w:rFonts w:ascii="Times New Roman" w:eastAsia="Times New Roman" w:hAnsi="Times New Roman" w:cs="Times New Roman"/>
          <w:i/>
          <w:sz w:val="18"/>
          <w:szCs w:val="18"/>
          <w:lang w:eastAsia="ar-SA"/>
        </w:rPr>
        <w:t>Източник:</w:t>
      </w:r>
      <w:r w:rsidRPr="00A81B8F">
        <w:rPr>
          <w:rFonts w:ascii="Times New Roman" w:eastAsia="Times New Roman" w:hAnsi="Times New Roman" w:cs="Times New Roman"/>
          <w:i/>
          <w:sz w:val="18"/>
          <w:szCs w:val="18"/>
          <w:lang w:eastAsia="ar-SA"/>
        </w:rPr>
        <w:tab/>
        <w:t>П</w:t>
      </w:r>
      <w:r w:rsidR="002501DC" w:rsidRPr="00A81B8F">
        <w:rPr>
          <w:rFonts w:ascii="Times New Roman" w:eastAsia="Times New Roman" w:hAnsi="Times New Roman" w:cs="Times New Roman"/>
          <w:i/>
          <w:sz w:val="18"/>
          <w:szCs w:val="18"/>
          <w:lang w:eastAsia="ar-SA"/>
        </w:rPr>
        <w:t>И</w:t>
      </w:r>
      <w:r w:rsidRPr="00A81B8F">
        <w:rPr>
          <w:rFonts w:ascii="Times New Roman" w:eastAsia="Times New Roman" w:hAnsi="Times New Roman" w:cs="Times New Roman"/>
          <w:i/>
          <w:sz w:val="18"/>
          <w:szCs w:val="18"/>
          <w:lang w:eastAsia="ar-SA"/>
        </w:rPr>
        <w:t>П и собствени изчисления</w:t>
      </w:r>
    </w:p>
    <w:p w14:paraId="138593DF" w14:textId="2ABCD1E8" w:rsidR="006F57A3" w:rsidRDefault="006F57A3" w:rsidP="00F32C9D">
      <w:pPr>
        <w:suppressAutoHyphens/>
        <w:spacing w:before="60" w:after="60"/>
        <w:contextualSpacing/>
        <w:jc w:val="both"/>
        <w:rPr>
          <w:rFonts w:eastAsia="Times New Roman" w:cs="Arial"/>
          <w:lang w:eastAsia="ar-SA"/>
        </w:rPr>
      </w:pPr>
      <w:r>
        <w:rPr>
          <w:rFonts w:eastAsia="Times New Roman" w:cs="Arial"/>
          <w:lang w:eastAsia="ar-SA"/>
        </w:rPr>
        <w:t>Размерът на ДДС е определен, като са приспаднати разходите за Техническа помощ.</w:t>
      </w:r>
      <w:r w:rsidR="00A81B8F">
        <w:rPr>
          <w:rFonts w:eastAsia="Times New Roman" w:cs="Arial"/>
          <w:lang w:eastAsia="ar-SA"/>
        </w:rPr>
        <w:t xml:space="preserve"> </w:t>
      </w:r>
      <w:r w:rsidR="00BC6311">
        <w:rPr>
          <w:rFonts w:eastAsia="Times New Roman" w:cs="Arial"/>
          <w:lang w:eastAsia="ar-SA"/>
        </w:rPr>
        <w:t>ДДС е недопустим разход, защото е възстановим за ДППИ.</w:t>
      </w:r>
      <w:r w:rsidR="00AE023A">
        <w:rPr>
          <w:rFonts w:eastAsia="Times New Roman" w:cs="Arial"/>
          <w:lang w:eastAsia="ar-SA"/>
        </w:rPr>
        <w:t xml:space="preserve"> </w:t>
      </w:r>
    </w:p>
    <w:p w14:paraId="5AA79776" w14:textId="77777777" w:rsidR="00A81B8F" w:rsidRDefault="00A81B8F" w:rsidP="00F32C9D">
      <w:pPr>
        <w:suppressAutoHyphens/>
        <w:spacing w:before="60" w:after="60"/>
        <w:contextualSpacing/>
        <w:jc w:val="both"/>
        <w:rPr>
          <w:rFonts w:eastAsia="Times New Roman" w:cs="Arial"/>
          <w:lang w:eastAsia="ar-SA"/>
        </w:rPr>
      </w:pPr>
    </w:p>
    <w:p w14:paraId="7273D5CD" w14:textId="290B2CAB" w:rsidR="008909A9" w:rsidRDefault="008909A9" w:rsidP="00F32C9D">
      <w:pPr>
        <w:suppressAutoHyphens/>
        <w:spacing w:before="60" w:after="60"/>
        <w:contextualSpacing/>
        <w:jc w:val="both"/>
        <w:rPr>
          <w:rFonts w:eastAsia="Times New Roman" w:cs="Arial"/>
          <w:lang w:eastAsia="ar-SA"/>
        </w:rPr>
      </w:pPr>
      <w:r>
        <w:rPr>
          <w:rFonts w:eastAsia="Times New Roman" w:cs="Arial"/>
          <w:lang w:eastAsia="ar-SA"/>
        </w:rPr>
        <w:t xml:space="preserve">Разходите за </w:t>
      </w:r>
      <w:r w:rsidR="00E9326D">
        <w:rPr>
          <w:rFonts w:eastAsia="Times New Roman" w:cs="Arial"/>
          <w:lang w:eastAsia="ar-SA"/>
        </w:rPr>
        <w:t>актуализация на СМР</w:t>
      </w:r>
      <w:r>
        <w:rPr>
          <w:rFonts w:eastAsia="Times New Roman" w:cs="Arial"/>
          <w:lang w:eastAsia="ar-SA"/>
        </w:rPr>
        <w:t xml:space="preserve"> са определ</w:t>
      </w:r>
      <w:r w:rsidR="00E2726F">
        <w:rPr>
          <w:rFonts w:eastAsia="Times New Roman" w:cs="Arial"/>
          <w:lang w:eastAsia="ar-SA"/>
        </w:rPr>
        <w:t>е</w:t>
      </w:r>
      <w:r>
        <w:rPr>
          <w:rFonts w:eastAsia="Times New Roman" w:cs="Arial"/>
          <w:lang w:eastAsia="ar-SA"/>
        </w:rPr>
        <w:t xml:space="preserve">ни на база прогнозата за ръста на инфлацията в периода до пускане в експлоатация </w:t>
      </w:r>
      <w:r w:rsidR="00BC6311">
        <w:rPr>
          <w:rFonts w:eastAsia="Times New Roman" w:cs="Arial"/>
          <w:lang w:eastAsia="ar-SA"/>
        </w:rPr>
        <w:t>на новите активи</w:t>
      </w:r>
      <w:r w:rsidR="006E7728">
        <w:rPr>
          <w:rFonts w:eastAsia="Times New Roman" w:cs="Arial"/>
          <w:lang w:eastAsia="ar-SA"/>
        </w:rPr>
        <w:t>.</w:t>
      </w:r>
    </w:p>
    <w:p w14:paraId="6A6A6C65" w14:textId="77777777" w:rsidR="00A81B8F" w:rsidRDefault="00A81B8F" w:rsidP="00F32C9D">
      <w:pPr>
        <w:suppressAutoHyphens/>
        <w:spacing w:before="60" w:after="60"/>
        <w:contextualSpacing/>
        <w:jc w:val="both"/>
        <w:rPr>
          <w:rFonts w:eastAsia="Times New Roman" w:cs="Arial"/>
          <w:lang w:eastAsia="ar-SA"/>
        </w:rPr>
      </w:pPr>
    </w:p>
    <w:p w14:paraId="2DE5E32E" w14:textId="77777777" w:rsidR="005F36DC" w:rsidRDefault="005F36DC" w:rsidP="00F32C9D">
      <w:pPr>
        <w:suppressAutoHyphens/>
        <w:spacing w:before="60" w:after="60"/>
        <w:contextualSpacing/>
        <w:jc w:val="both"/>
        <w:rPr>
          <w:rFonts w:eastAsia="Times New Roman" w:cs="Arial"/>
          <w:lang w:eastAsia="ar-SA"/>
        </w:rPr>
      </w:pPr>
      <w:r w:rsidRPr="005F36DC">
        <w:rPr>
          <w:rFonts w:eastAsia="Times New Roman" w:cs="Arial"/>
          <w:lang w:eastAsia="ar-SA"/>
        </w:rPr>
        <w:t xml:space="preserve">Недопустимите разходи са определени на база Анализът за Държавни помощи, където е определен интензитет от </w:t>
      </w:r>
      <w:r>
        <w:rPr>
          <w:rFonts w:eastAsia="Times New Roman" w:cs="Arial"/>
          <w:lang w:eastAsia="ar-SA"/>
        </w:rPr>
        <w:t>10</w:t>
      </w:r>
      <w:r w:rsidRPr="005F36DC">
        <w:rPr>
          <w:rFonts w:eastAsia="Times New Roman" w:cs="Arial"/>
          <w:lang w:eastAsia="ar-SA"/>
        </w:rPr>
        <w:t>0% за СМР и същият интензитет е приложен за останалите дейности по проекта с изключение на „Разходи за публичност“</w:t>
      </w:r>
      <w:r>
        <w:rPr>
          <w:rFonts w:eastAsia="Times New Roman" w:cs="Arial"/>
          <w:lang w:eastAsia="ar-SA"/>
        </w:rPr>
        <w:t xml:space="preserve"> и „Техническа помощ“</w:t>
      </w:r>
      <w:r w:rsidRPr="005F36DC">
        <w:rPr>
          <w:rFonts w:eastAsia="Times New Roman" w:cs="Arial"/>
          <w:lang w:eastAsia="ar-SA"/>
        </w:rPr>
        <w:t xml:space="preserve">, поради това, че те са </w:t>
      </w:r>
      <w:r>
        <w:rPr>
          <w:rFonts w:eastAsia="Times New Roman" w:cs="Arial"/>
          <w:lang w:eastAsia="ar-SA"/>
        </w:rPr>
        <w:t xml:space="preserve">100% </w:t>
      </w:r>
      <w:r w:rsidRPr="005F36DC">
        <w:rPr>
          <w:rFonts w:eastAsia="Times New Roman" w:cs="Arial"/>
          <w:lang w:eastAsia="ar-SA"/>
        </w:rPr>
        <w:t>недопустими под ОРГО.</w:t>
      </w:r>
    </w:p>
    <w:p w14:paraId="6695F1DC" w14:textId="77777777" w:rsidR="00E2726F" w:rsidRDefault="00E2726F" w:rsidP="00A81B8F">
      <w:pPr>
        <w:suppressAutoHyphens/>
        <w:spacing w:before="60" w:after="60" w:line="240" w:lineRule="auto"/>
        <w:contextualSpacing/>
        <w:jc w:val="both"/>
        <w:rPr>
          <w:rFonts w:eastAsia="Times New Roman" w:cs="Arial"/>
          <w:lang w:eastAsia="ar-SA"/>
        </w:rPr>
      </w:pPr>
    </w:p>
    <w:p w14:paraId="07CD9730" w14:textId="61659578" w:rsidR="00E2726F" w:rsidRDefault="00E2726F" w:rsidP="00F32C9D">
      <w:pPr>
        <w:suppressAutoHyphens/>
        <w:spacing w:before="60" w:after="60"/>
        <w:contextualSpacing/>
        <w:jc w:val="both"/>
        <w:rPr>
          <w:rFonts w:eastAsia="Times New Roman" w:cs="Arial"/>
          <w:lang w:eastAsia="ar-SA"/>
        </w:rPr>
      </w:pPr>
      <w:r>
        <w:rPr>
          <w:rFonts w:eastAsia="Times New Roman" w:cs="Arial"/>
          <w:lang w:eastAsia="ar-SA"/>
        </w:rPr>
        <w:lastRenderedPageBreak/>
        <w:t>Към тези разходи са добавени недопустимите разходи за дейности, които не отговарят на определението  за „пристанищна инфраструктура“</w:t>
      </w:r>
    </w:p>
    <w:p w14:paraId="1E840FE5" w14:textId="77777777" w:rsidR="00E2726F" w:rsidRDefault="00E2726F" w:rsidP="00A81B8F">
      <w:pPr>
        <w:suppressAutoHyphens/>
        <w:spacing w:before="60" w:after="60" w:line="240" w:lineRule="auto"/>
        <w:contextualSpacing/>
        <w:jc w:val="both"/>
        <w:rPr>
          <w:rFonts w:eastAsia="Times New Roman" w:cs="Arial"/>
          <w:lang w:eastAsia="ar-SA"/>
        </w:rPr>
      </w:pPr>
    </w:p>
    <w:p w14:paraId="4D0F3332" w14:textId="272701FD" w:rsidR="006E7728" w:rsidRDefault="005F36DC" w:rsidP="00F32C9D">
      <w:pPr>
        <w:suppressAutoHyphens/>
        <w:spacing w:before="60" w:after="60"/>
        <w:contextualSpacing/>
        <w:jc w:val="both"/>
        <w:rPr>
          <w:rFonts w:eastAsia="Times New Roman" w:cs="Arial"/>
          <w:lang w:eastAsia="ar-SA"/>
        </w:rPr>
      </w:pPr>
      <w:r>
        <w:rPr>
          <w:rFonts w:eastAsia="Times New Roman" w:cs="Arial"/>
          <w:lang w:eastAsia="ar-SA"/>
        </w:rPr>
        <w:t>Недопустими са и разходите за подготовка на проекта, защото вече са финансирани</w:t>
      </w:r>
      <w:r w:rsidR="00322DED">
        <w:rPr>
          <w:rFonts w:eastAsia="Times New Roman" w:cs="Arial"/>
          <w:lang w:eastAsia="ar-SA"/>
        </w:rPr>
        <w:t xml:space="preserve"> по ОПТТИ.</w:t>
      </w:r>
      <w:r w:rsidR="00E2726F">
        <w:rPr>
          <w:rFonts w:eastAsia="Times New Roman" w:cs="Arial"/>
          <w:lang w:eastAsia="ar-SA"/>
        </w:rPr>
        <w:t xml:space="preserve"> </w:t>
      </w:r>
      <w:r w:rsidRPr="005F36DC">
        <w:rPr>
          <w:rFonts w:eastAsia="Times New Roman" w:cs="Arial"/>
          <w:lang w:eastAsia="ar-SA"/>
        </w:rPr>
        <w:t xml:space="preserve"> Резултатите са показани в следващата таблица.</w:t>
      </w:r>
    </w:p>
    <w:p w14:paraId="3F360ABE" w14:textId="77777777" w:rsidR="00E2726F" w:rsidRPr="006F57A3" w:rsidRDefault="00E2726F" w:rsidP="00F32C9D">
      <w:pPr>
        <w:suppressAutoHyphens/>
        <w:spacing w:before="60" w:after="60"/>
        <w:contextualSpacing/>
        <w:jc w:val="both"/>
        <w:rPr>
          <w:rFonts w:eastAsia="Times New Roman" w:cs="Arial"/>
          <w:lang w:eastAsia="ar-SA"/>
        </w:rPr>
      </w:pPr>
    </w:p>
    <w:p w14:paraId="4A3B94E5" w14:textId="0B6F80B9" w:rsidR="005F36DC" w:rsidRPr="00C3426F" w:rsidRDefault="00C36518" w:rsidP="005F36DC">
      <w:pPr>
        <w:tabs>
          <w:tab w:val="left" w:pos="1418"/>
        </w:tabs>
        <w:spacing w:before="60" w:after="60"/>
        <w:jc w:val="both"/>
        <w:rPr>
          <w:rFonts w:ascii="Times New Roman" w:eastAsia="Calibri" w:hAnsi="Times New Roman" w:cs="Times New Roman"/>
          <w:i/>
          <w:color w:val="000000"/>
          <w:szCs w:val="24"/>
          <w:lang w:eastAsia="en-US"/>
        </w:rPr>
      </w:pPr>
      <w:bookmarkStart w:id="276" w:name="_Toc17409905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A81B8F">
        <w:rPr>
          <w:rFonts w:cs="Arial"/>
          <w:bCs/>
          <w:i/>
          <w:noProof/>
          <w:sz w:val="22"/>
        </w:rPr>
        <w:t>13</w:t>
      </w:r>
      <w:r w:rsidRPr="002E1E19">
        <w:rPr>
          <w:rFonts w:cs="Arial"/>
          <w:b/>
          <w:bCs/>
          <w:i/>
          <w:iCs/>
          <w:sz w:val="22"/>
        </w:rPr>
        <w:fldChar w:fldCharType="end"/>
      </w:r>
      <w:r w:rsidR="00F32C9D">
        <w:rPr>
          <w:rFonts w:cs="Arial"/>
          <w:bCs/>
          <w:i/>
          <w:sz w:val="22"/>
        </w:rPr>
        <w:t xml:space="preserve"> </w:t>
      </w:r>
      <w:r w:rsidR="00F32C9D">
        <w:rPr>
          <w:rFonts w:eastAsia="Calibri" w:cs="Arial"/>
          <w:i/>
          <w:color w:val="000000"/>
          <w:sz w:val="22"/>
          <w:lang w:eastAsia="en-US"/>
        </w:rPr>
        <w:t xml:space="preserve"> </w:t>
      </w:r>
      <w:r w:rsidR="005F36DC" w:rsidRPr="00A81B8F">
        <w:rPr>
          <w:rFonts w:eastAsia="Calibri" w:cs="Arial"/>
          <w:i/>
          <w:color w:val="000000"/>
          <w:sz w:val="22"/>
          <w:lang w:eastAsia="en-US"/>
        </w:rPr>
        <w:t>Определяне на недопустимите</w:t>
      </w:r>
      <w:r w:rsidR="00A81B8F" w:rsidRPr="00A81B8F">
        <w:rPr>
          <w:rFonts w:eastAsia="Calibri" w:cs="Arial"/>
          <w:i/>
          <w:color w:val="000000"/>
          <w:sz w:val="22"/>
          <w:lang w:eastAsia="en-US"/>
        </w:rPr>
        <w:t xml:space="preserve"> разходи в лева</w:t>
      </w:r>
      <w:bookmarkEnd w:id="276"/>
    </w:p>
    <w:tbl>
      <w:tblPr>
        <w:tblStyle w:val="LightList-Accent111"/>
        <w:tblW w:w="9559" w:type="dxa"/>
        <w:jc w:val="center"/>
        <w:tblLook w:val="04A0" w:firstRow="1" w:lastRow="0" w:firstColumn="1" w:lastColumn="0" w:noHBand="0" w:noVBand="1"/>
      </w:tblPr>
      <w:tblGrid>
        <w:gridCol w:w="3109"/>
        <w:gridCol w:w="1417"/>
        <w:gridCol w:w="1825"/>
        <w:gridCol w:w="1741"/>
        <w:gridCol w:w="1467"/>
      </w:tblGrid>
      <w:tr w:rsidR="001F0D64" w:rsidRPr="005D0D72" w14:paraId="46AB8AE1" w14:textId="77777777" w:rsidTr="001F0D64">
        <w:trPr>
          <w:cnfStyle w:val="100000000000" w:firstRow="1" w:lastRow="0" w:firstColumn="0" w:lastColumn="0" w:oddVBand="0" w:evenVBand="0" w:oddHBand="0" w:evenHBand="0" w:firstRowFirstColumn="0" w:firstRowLastColumn="0" w:lastRowFirstColumn="0" w:lastRowLastColumn="0"/>
          <w:trHeight w:val="121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5B0C969D" w14:textId="72063850" w:rsidR="001F0D64" w:rsidRPr="00A81B8F" w:rsidRDefault="001F0D64" w:rsidP="00DC7F17">
            <w:pPr>
              <w:jc w:val="center"/>
              <w:rPr>
                <w:rFonts w:cs="Arial"/>
                <w:b w:val="0"/>
                <w:bCs w:val="0"/>
                <w:sz w:val="20"/>
                <w:szCs w:val="20"/>
              </w:rPr>
            </w:pPr>
            <w:r w:rsidRPr="00A81B8F">
              <w:rPr>
                <w:rFonts w:cs="Arial"/>
                <w:sz w:val="20"/>
                <w:szCs w:val="20"/>
              </w:rPr>
              <w:t>Видове разходи</w:t>
            </w:r>
          </w:p>
        </w:tc>
        <w:tc>
          <w:tcPr>
            <w:tcW w:w="1417" w:type="dxa"/>
            <w:noWrap/>
            <w:vAlign w:val="center"/>
            <w:hideMark/>
          </w:tcPr>
          <w:p w14:paraId="0CFAE65F" w14:textId="16C1BBE9" w:rsidR="001F0D64" w:rsidRPr="00A81B8F" w:rsidRDefault="001F0D64"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Обща стойност</w:t>
            </w:r>
          </w:p>
        </w:tc>
        <w:tc>
          <w:tcPr>
            <w:tcW w:w="1825" w:type="dxa"/>
            <w:vAlign w:val="center"/>
            <w:hideMark/>
          </w:tcPr>
          <w:p w14:paraId="10647C1E" w14:textId="102BD6AD" w:rsidR="001F0D64" w:rsidRPr="00A81B8F" w:rsidRDefault="001F0D64"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A81B8F">
              <w:rPr>
                <w:rFonts w:cs="Arial"/>
                <w:sz w:val="20"/>
                <w:szCs w:val="20"/>
              </w:rPr>
              <w:t>Допустими</w:t>
            </w:r>
          </w:p>
        </w:tc>
        <w:tc>
          <w:tcPr>
            <w:tcW w:w="1741" w:type="dxa"/>
            <w:vAlign w:val="center"/>
            <w:hideMark/>
          </w:tcPr>
          <w:p w14:paraId="79FA47D0" w14:textId="77777777" w:rsidR="001F0D64" w:rsidRPr="00A81B8F" w:rsidRDefault="001F0D64" w:rsidP="00DC7F17">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A81B8F">
              <w:rPr>
                <w:rFonts w:cs="Arial"/>
                <w:color w:val="FFFFFF" w:themeColor="background1"/>
                <w:sz w:val="20"/>
                <w:szCs w:val="20"/>
              </w:rPr>
              <w:t>Корекция поради недопустимост на дейностите по ОРГО</w:t>
            </w:r>
          </w:p>
        </w:tc>
        <w:tc>
          <w:tcPr>
            <w:tcW w:w="1467" w:type="dxa"/>
            <w:vAlign w:val="center"/>
            <w:hideMark/>
          </w:tcPr>
          <w:p w14:paraId="11A1EA41" w14:textId="77777777" w:rsidR="001F0D64" w:rsidRPr="00A81B8F" w:rsidRDefault="001F0D64" w:rsidP="00A81B8F">
            <w:pPr>
              <w:ind w:right="-73"/>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A81B8F">
              <w:rPr>
                <w:rFonts w:cs="Arial"/>
                <w:color w:val="FFFFFF" w:themeColor="background1"/>
                <w:sz w:val="20"/>
                <w:szCs w:val="20"/>
              </w:rPr>
              <w:t>Корекция на основания различни от прилагането на ОРГО</w:t>
            </w:r>
          </w:p>
        </w:tc>
      </w:tr>
      <w:tr w:rsidR="001F0D64" w:rsidRPr="005D0D72" w14:paraId="03AD4BC0" w14:textId="77777777" w:rsidTr="001F0D6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3E3DB91" w14:textId="77777777" w:rsidR="001F0D64" w:rsidRPr="00A81B8F" w:rsidRDefault="001F0D64" w:rsidP="00DC7F17">
            <w:pPr>
              <w:spacing w:after="0" w:line="240" w:lineRule="auto"/>
              <w:rPr>
                <w:rFonts w:cs="Arial"/>
                <w:color w:val="000000"/>
                <w:sz w:val="20"/>
                <w:szCs w:val="20"/>
              </w:rPr>
            </w:pPr>
            <w:r w:rsidRPr="00A81B8F">
              <w:rPr>
                <w:rFonts w:cs="Arial"/>
                <w:color w:val="000000"/>
                <w:sz w:val="20"/>
                <w:szCs w:val="20"/>
              </w:rPr>
              <w:t>Планиране и проектиране</w:t>
            </w:r>
          </w:p>
        </w:tc>
        <w:tc>
          <w:tcPr>
            <w:tcW w:w="1417" w:type="dxa"/>
            <w:noWrap/>
            <w:vAlign w:val="center"/>
            <w:hideMark/>
          </w:tcPr>
          <w:p w14:paraId="776B2217" w14:textId="2D69DF0E"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233 328,88</w:t>
            </w:r>
          </w:p>
        </w:tc>
        <w:tc>
          <w:tcPr>
            <w:tcW w:w="1825" w:type="dxa"/>
            <w:noWrap/>
            <w:vAlign w:val="center"/>
            <w:hideMark/>
          </w:tcPr>
          <w:p w14:paraId="6407B315" w14:textId="77777777"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741" w:type="dxa"/>
            <w:noWrap/>
            <w:vAlign w:val="center"/>
            <w:hideMark/>
          </w:tcPr>
          <w:p w14:paraId="166E07AB" w14:textId="77777777" w:rsidR="001F0D64" w:rsidRPr="00A81B8F" w:rsidRDefault="001F0D64"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467" w:type="dxa"/>
            <w:noWrap/>
            <w:vAlign w:val="center"/>
            <w:hideMark/>
          </w:tcPr>
          <w:p w14:paraId="1628F933" w14:textId="15825446"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233 328,88</w:t>
            </w:r>
          </w:p>
        </w:tc>
      </w:tr>
      <w:tr w:rsidR="001F0D64" w:rsidRPr="005D0D72" w14:paraId="0F287987" w14:textId="77777777" w:rsidTr="001F0D64">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69CF5491" w14:textId="77777777" w:rsidR="001F0D64" w:rsidRPr="00A81B8F" w:rsidRDefault="001F0D64" w:rsidP="006D318E">
            <w:pPr>
              <w:spacing w:after="0" w:line="240" w:lineRule="auto"/>
              <w:rPr>
                <w:rFonts w:cs="Arial"/>
                <w:color w:val="000000"/>
                <w:sz w:val="20"/>
                <w:szCs w:val="20"/>
              </w:rPr>
            </w:pPr>
            <w:r w:rsidRPr="00A81B8F">
              <w:rPr>
                <w:rFonts w:cs="Arial"/>
                <w:color w:val="000000"/>
                <w:sz w:val="20"/>
                <w:szCs w:val="20"/>
              </w:rPr>
              <w:t>Строителство</w:t>
            </w:r>
          </w:p>
        </w:tc>
        <w:tc>
          <w:tcPr>
            <w:tcW w:w="1417" w:type="dxa"/>
            <w:noWrap/>
            <w:vAlign w:val="center"/>
            <w:hideMark/>
          </w:tcPr>
          <w:p w14:paraId="51EC409A" w14:textId="24106516" w:rsidR="001F0D64" w:rsidRPr="006D318E" w:rsidRDefault="001F0D64" w:rsidP="006D318E">
            <w:pPr>
              <w:spacing w:after="0" w:line="240" w:lineRule="auto"/>
              <w:ind w:hanging="167"/>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A81B8F">
              <w:rPr>
                <w:rFonts w:cs="Arial"/>
                <w:color w:val="000000"/>
                <w:sz w:val="20"/>
                <w:szCs w:val="20"/>
              </w:rPr>
              <w:t>24 461 865</w:t>
            </w:r>
            <w:r>
              <w:rPr>
                <w:rFonts w:cs="Arial"/>
                <w:color w:val="000000"/>
                <w:sz w:val="20"/>
                <w:szCs w:val="20"/>
                <w:lang w:val="en-US"/>
              </w:rPr>
              <w:t>,00</w:t>
            </w:r>
          </w:p>
        </w:tc>
        <w:tc>
          <w:tcPr>
            <w:tcW w:w="1825" w:type="dxa"/>
            <w:noWrap/>
            <w:vAlign w:val="center"/>
            <w:hideMark/>
          </w:tcPr>
          <w:p w14:paraId="6F772C6F" w14:textId="122829EF" w:rsidR="001F0D64" w:rsidRPr="00A81B8F" w:rsidRDefault="001F0D64"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050843">
              <w:rPr>
                <w:sz w:val="20"/>
                <w:szCs w:val="20"/>
              </w:rPr>
              <w:t>21 465 340,28</w:t>
            </w:r>
          </w:p>
        </w:tc>
        <w:tc>
          <w:tcPr>
            <w:tcW w:w="1741" w:type="dxa"/>
            <w:noWrap/>
            <w:hideMark/>
          </w:tcPr>
          <w:p w14:paraId="49F08C05" w14:textId="3686B586" w:rsidR="001F0D64" w:rsidRPr="00A81B8F" w:rsidRDefault="001F0D64"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050843">
              <w:rPr>
                <w:sz w:val="20"/>
                <w:szCs w:val="20"/>
              </w:rPr>
              <w:t>2 996 524,72</w:t>
            </w:r>
          </w:p>
        </w:tc>
        <w:tc>
          <w:tcPr>
            <w:tcW w:w="1467" w:type="dxa"/>
            <w:noWrap/>
            <w:hideMark/>
          </w:tcPr>
          <w:p w14:paraId="2C3872A9" w14:textId="5AA26BDA" w:rsidR="001F0D64" w:rsidRPr="006D318E" w:rsidRDefault="001F0D64" w:rsidP="006D318E">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Pr>
                <w:rFonts w:cs="Arial"/>
                <w:color w:val="000000"/>
                <w:sz w:val="20"/>
                <w:szCs w:val="20"/>
                <w:lang w:val="en-US"/>
              </w:rPr>
              <w:t>0,00</w:t>
            </w:r>
          </w:p>
        </w:tc>
      </w:tr>
      <w:tr w:rsidR="001F0D64" w:rsidRPr="005D0D72" w14:paraId="0BD9174E" w14:textId="77777777" w:rsidTr="001F0D6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4BE3FC6" w14:textId="77777777" w:rsidR="001F0D64" w:rsidRPr="002D31E8" w:rsidRDefault="001F0D64" w:rsidP="00A81B8F">
            <w:pPr>
              <w:spacing w:after="0" w:line="240" w:lineRule="auto"/>
              <w:ind w:left="-503" w:firstLine="503"/>
              <w:rPr>
                <w:rFonts w:cs="Arial"/>
                <w:b w:val="0"/>
                <w:i/>
                <w:iCs/>
                <w:color w:val="000000"/>
                <w:sz w:val="20"/>
                <w:szCs w:val="20"/>
              </w:rPr>
            </w:pPr>
            <w:proofErr w:type="spellStart"/>
            <w:r w:rsidRPr="002D31E8">
              <w:rPr>
                <w:rFonts w:cs="Arial"/>
                <w:b w:val="0"/>
                <w:i/>
                <w:iCs/>
                <w:color w:val="000000"/>
                <w:sz w:val="20"/>
                <w:szCs w:val="20"/>
              </w:rPr>
              <w:t>Подкранови</w:t>
            </w:r>
            <w:proofErr w:type="spellEnd"/>
            <w:r w:rsidRPr="002D31E8">
              <w:rPr>
                <w:rFonts w:cs="Arial"/>
                <w:b w:val="0"/>
                <w:i/>
                <w:iCs/>
                <w:color w:val="000000"/>
                <w:sz w:val="20"/>
                <w:szCs w:val="20"/>
              </w:rPr>
              <w:t xml:space="preserve"> пътища</w:t>
            </w:r>
          </w:p>
        </w:tc>
        <w:tc>
          <w:tcPr>
            <w:tcW w:w="1417" w:type="dxa"/>
            <w:noWrap/>
            <w:vAlign w:val="center"/>
            <w:hideMark/>
          </w:tcPr>
          <w:p w14:paraId="31A14E18" w14:textId="77777777"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143DCD48" w14:textId="77777777"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noWrap/>
            <w:vAlign w:val="center"/>
            <w:hideMark/>
          </w:tcPr>
          <w:p w14:paraId="21F8FF7A" w14:textId="031EFAD3" w:rsidR="001F0D64" w:rsidRPr="0047415B" w:rsidRDefault="001F0D64"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i/>
                <w:iCs/>
                <w:color w:val="000000"/>
                <w:sz w:val="20"/>
                <w:szCs w:val="20"/>
                <w:highlight w:val="yellow"/>
                <w:lang w:val="en-US"/>
              </w:rPr>
            </w:pPr>
            <w:r w:rsidRPr="0047415B">
              <w:rPr>
                <w:rFonts w:cs="Arial"/>
                <w:i/>
                <w:iCs/>
                <w:color w:val="000000"/>
                <w:sz w:val="20"/>
                <w:szCs w:val="20"/>
              </w:rPr>
              <w:t>893 743</w:t>
            </w:r>
            <w:r>
              <w:rPr>
                <w:rFonts w:cs="Arial"/>
                <w:i/>
                <w:iCs/>
                <w:color w:val="000000"/>
                <w:sz w:val="20"/>
                <w:szCs w:val="20"/>
                <w:lang w:val="en-US"/>
              </w:rPr>
              <w:t>,00</w:t>
            </w:r>
          </w:p>
        </w:tc>
        <w:tc>
          <w:tcPr>
            <w:tcW w:w="1467" w:type="dxa"/>
            <w:noWrap/>
            <w:vAlign w:val="center"/>
            <w:hideMark/>
          </w:tcPr>
          <w:p w14:paraId="686DA743" w14:textId="77777777" w:rsidR="001F0D64" w:rsidRPr="00A81B8F" w:rsidRDefault="001F0D64" w:rsidP="00DC7F17">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1F0D64" w:rsidRPr="005D0D72" w14:paraId="29AEA5C3" w14:textId="77777777" w:rsidTr="001F0D64">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6B341C7F" w14:textId="49687EAE" w:rsidR="001F0D64" w:rsidRPr="002D31E8" w:rsidRDefault="001F0D64" w:rsidP="00DC7F17">
            <w:pPr>
              <w:spacing w:after="0" w:line="240" w:lineRule="auto"/>
              <w:rPr>
                <w:rFonts w:cs="Arial"/>
                <w:b w:val="0"/>
                <w:i/>
                <w:iCs/>
                <w:color w:val="000000"/>
                <w:sz w:val="20"/>
                <w:szCs w:val="20"/>
              </w:rPr>
            </w:pPr>
            <w:r w:rsidRPr="002D31E8">
              <w:rPr>
                <w:rFonts w:cs="Arial"/>
                <w:b w:val="0"/>
                <w:i/>
                <w:iCs/>
                <w:color w:val="000000"/>
                <w:sz w:val="20"/>
                <w:szCs w:val="20"/>
              </w:rPr>
              <w:t>настилки извън 30 метровата граница до кея</w:t>
            </w:r>
          </w:p>
        </w:tc>
        <w:tc>
          <w:tcPr>
            <w:tcW w:w="1417" w:type="dxa"/>
            <w:noWrap/>
            <w:vAlign w:val="center"/>
            <w:hideMark/>
          </w:tcPr>
          <w:p w14:paraId="493617F1" w14:textId="77777777" w:rsidR="001F0D64" w:rsidRPr="00A81B8F" w:rsidRDefault="001F0D64"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3B41504B" w14:textId="77777777" w:rsidR="001F0D64" w:rsidRPr="00A81B8F" w:rsidRDefault="001F0D64"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noWrap/>
            <w:vAlign w:val="center"/>
            <w:hideMark/>
          </w:tcPr>
          <w:p w14:paraId="53B21B9F" w14:textId="16778B12" w:rsidR="001F0D64" w:rsidRPr="006D318E" w:rsidRDefault="001F0D64"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i/>
                <w:iCs/>
                <w:color w:val="000000"/>
                <w:sz w:val="20"/>
                <w:szCs w:val="20"/>
                <w:highlight w:val="yellow"/>
              </w:rPr>
            </w:pPr>
            <w:r w:rsidRPr="0047415B">
              <w:rPr>
                <w:rFonts w:cs="Arial"/>
                <w:i/>
                <w:iCs/>
                <w:color w:val="000000"/>
                <w:sz w:val="20"/>
                <w:szCs w:val="20"/>
              </w:rPr>
              <w:t>1 831 98</w:t>
            </w:r>
            <w:r w:rsidRPr="0047415B">
              <w:rPr>
                <w:rFonts w:cs="Arial"/>
                <w:i/>
                <w:iCs/>
                <w:color w:val="000000"/>
                <w:sz w:val="20"/>
                <w:szCs w:val="20"/>
                <w:lang w:val="en-US"/>
              </w:rPr>
              <w:t>3,72</w:t>
            </w:r>
          </w:p>
        </w:tc>
        <w:tc>
          <w:tcPr>
            <w:tcW w:w="1467" w:type="dxa"/>
            <w:noWrap/>
            <w:vAlign w:val="center"/>
            <w:hideMark/>
          </w:tcPr>
          <w:p w14:paraId="72DA7C73" w14:textId="77777777" w:rsidR="001F0D64" w:rsidRPr="00A81B8F" w:rsidRDefault="001F0D64" w:rsidP="00DC7F17">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1F0D64" w:rsidRPr="005D0D72" w14:paraId="2699D883" w14:textId="77777777" w:rsidTr="001F0D6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A1F5A34" w14:textId="77777777" w:rsidR="001F0D64" w:rsidRPr="002D31E8" w:rsidRDefault="001F0D64" w:rsidP="00DC7F17">
            <w:pPr>
              <w:spacing w:after="0" w:line="240" w:lineRule="auto"/>
              <w:rPr>
                <w:rFonts w:cs="Arial"/>
                <w:b w:val="0"/>
                <w:i/>
                <w:iCs/>
                <w:color w:val="000000"/>
                <w:sz w:val="20"/>
                <w:szCs w:val="20"/>
              </w:rPr>
            </w:pPr>
            <w:r w:rsidRPr="002D31E8">
              <w:rPr>
                <w:rFonts w:cs="Arial"/>
                <w:b w:val="0"/>
                <w:i/>
                <w:iCs/>
                <w:color w:val="000000"/>
                <w:sz w:val="20"/>
                <w:szCs w:val="20"/>
              </w:rPr>
              <w:t>външно електрозахранване</w:t>
            </w:r>
          </w:p>
        </w:tc>
        <w:tc>
          <w:tcPr>
            <w:tcW w:w="1417" w:type="dxa"/>
            <w:noWrap/>
            <w:vAlign w:val="center"/>
            <w:hideMark/>
          </w:tcPr>
          <w:p w14:paraId="0FD44FD7" w14:textId="77777777"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825" w:type="dxa"/>
            <w:noWrap/>
            <w:vAlign w:val="center"/>
            <w:hideMark/>
          </w:tcPr>
          <w:p w14:paraId="5F07A180" w14:textId="77777777" w:rsidR="001F0D64" w:rsidRPr="00A81B8F" w:rsidRDefault="001F0D64" w:rsidP="00DC7F17">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c>
          <w:tcPr>
            <w:tcW w:w="1741" w:type="dxa"/>
            <w:shd w:val="clear" w:color="auto" w:fill="auto"/>
            <w:noWrap/>
            <w:vAlign w:val="center"/>
            <w:hideMark/>
          </w:tcPr>
          <w:p w14:paraId="42CBA6C2" w14:textId="57DD67ED" w:rsidR="001F0D64" w:rsidRPr="0047415B" w:rsidRDefault="001F0D64"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i/>
                <w:iCs/>
                <w:color w:val="000000"/>
                <w:sz w:val="20"/>
                <w:szCs w:val="20"/>
                <w:highlight w:val="yellow"/>
                <w:lang w:val="en-US"/>
              </w:rPr>
            </w:pPr>
            <w:r w:rsidRPr="0047415B">
              <w:rPr>
                <w:rFonts w:cs="Arial"/>
                <w:i/>
                <w:iCs/>
                <w:color w:val="000000"/>
                <w:sz w:val="20"/>
                <w:szCs w:val="20"/>
              </w:rPr>
              <w:t>270 798</w:t>
            </w:r>
            <w:r w:rsidRPr="0047415B">
              <w:rPr>
                <w:rFonts w:cs="Arial"/>
                <w:i/>
                <w:iCs/>
                <w:color w:val="000000"/>
                <w:sz w:val="20"/>
                <w:szCs w:val="20"/>
                <w:lang w:val="en-US"/>
              </w:rPr>
              <w:t>,00</w:t>
            </w:r>
          </w:p>
        </w:tc>
        <w:tc>
          <w:tcPr>
            <w:tcW w:w="1467" w:type="dxa"/>
            <w:noWrap/>
            <w:vAlign w:val="center"/>
            <w:hideMark/>
          </w:tcPr>
          <w:p w14:paraId="19C9329A" w14:textId="77777777" w:rsidR="001F0D64" w:rsidRPr="00A81B8F" w:rsidRDefault="001F0D64" w:rsidP="00DC7F17">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 </w:t>
            </w:r>
          </w:p>
        </w:tc>
      </w:tr>
      <w:tr w:rsidR="001F0D64" w:rsidRPr="005D0D72" w14:paraId="6B427656" w14:textId="77777777" w:rsidTr="001F0D64">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15B9624D" w14:textId="77777777" w:rsidR="001F0D64" w:rsidRPr="00A81B8F" w:rsidRDefault="001F0D64" w:rsidP="00015650">
            <w:pPr>
              <w:spacing w:after="0" w:line="240" w:lineRule="auto"/>
              <w:rPr>
                <w:rFonts w:cs="Arial"/>
                <w:color w:val="000000"/>
                <w:sz w:val="20"/>
                <w:szCs w:val="20"/>
              </w:rPr>
            </w:pPr>
            <w:r w:rsidRPr="00A81B8F">
              <w:rPr>
                <w:rFonts w:cs="Arial"/>
                <w:color w:val="000000"/>
                <w:sz w:val="20"/>
                <w:szCs w:val="20"/>
              </w:rPr>
              <w:t>Непредвидени разходи</w:t>
            </w:r>
          </w:p>
        </w:tc>
        <w:tc>
          <w:tcPr>
            <w:tcW w:w="1417" w:type="dxa"/>
            <w:noWrap/>
            <w:hideMark/>
          </w:tcPr>
          <w:p w14:paraId="03FCDAD3" w14:textId="726BC67E" w:rsidR="001F0D64" w:rsidRPr="00015650" w:rsidRDefault="001F0D64"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2 446 186,50</w:t>
            </w:r>
          </w:p>
        </w:tc>
        <w:tc>
          <w:tcPr>
            <w:tcW w:w="1825" w:type="dxa"/>
            <w:noWrap/>
            <w:hideMark/>
          </w:tcPr>
          <w:p w14:paraId="166382A2" w14:textId="65093706" w:rsidR="001F0D64" w:rsidRPr="00015650" w:rsidRDefault="001F0D64"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2 146 534,03</w:t>
            </w:r>
          </w:p>
        </w:tc>
        <w:tc>
          <w:tcPr>
            <w:tcW w:w="1741" w:type="dxa"/>
            <w:noWrap/>
            <w:hideMark/>
          </w:tcPr>
          <w:p w14:paraId="02973A40" w14:textId="720ACE0F" w:rsidR="001F0D64" w:rsidRPr="00015650" w:rsidRDefault="001F0D64"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299 652,47</w:t>
            </w:r>
          </w:p>
        </w:tc>
        <w:tc>
          <w:tcPr>
            <w:tcW w:w="1467" w:type="dxa"/>
            <w:noWrap/>
            <w:hideMark/>
          </w:tcPr>
          <w:p w14:paraId="7EA261F8" w14:textId="6A08B480" w:rsidR="001F0D64" w:rsidRPr="00015650" w:rsidRDefault="001F0D64"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0,00</w:t>
            </w:r>
          </w:p>
        </w:tc>
      </w:tr>
      <w:tr w:rsidR="001F0D64" w:rsidRPr="005D0D72" w14:paraId="367AF76B" w14:textId="77777777" w:rsidTr="001F0D6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376BA198" w14:textId="77777777" w:rsidR="001F0D64" w:rsidRPr="00A81B8F" w:rsidRDefault="001F0D64" w:rsidP="006D318E">
            <w:pPr>
              <w:spacing w:after="0" w:line="240" w:lineRule="auto"/>
              <w:rPr>
                <w:rFonts w:cs="Arial"/>
                <w:color w:val="000000"/>
                <w:sz w:val="20"/>
                <w:szCs w:val="20"/>
              </w:rPr>
            </w:pPr>
            <w:r w:rsidRPr="00A81B8F">
              <w:rPr>
                <w:rFonts w:cs="Arial"/>
                <w:color w:val="000000"/>
                <w:sz w:val="20"/>
                <w:szCs w:val="20"/>
              </w:rPr>
              <w:t>Надзор, вкл.  авторски</w:t>
            </w:r>
          </w:p>
        </w:tc>
        <w:tc>
          <w:tcPr>
            <w:tcW w:w="1417" w:type="dxa"/>
            <w:noWrap/>
            <w:vAlign w:val="center"/>
            <w:hideMark/>
          </w:tcPr>
          <w:p w14:paraId="372322B4" w14:textId="77777777" w:rsidR="001F0D64" w:rsidRPr="00A81B8F" w:rsidRDefault="001F0D64"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666 094,00</w:t>
            </w:r>
          </w:p>
        </w:tc>
        <w:tc>
          <w:tcPr>
            <w:tcW w:w="1825" w:type="dxa"/>
            <w:noWrap/>
            <w:vAlign w:val="center"/>
            <w:hideMark/>
          </w:tcPr>
          <w:p w14:paraId="59F72F1A" w14:textId="1F13E0A8" w:rsidR="001F0D64" w:rsidRPr="00A81B8F" w:rsidRDefault="001F0D64" w:rsidP="006D318E">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584 498,95</w:t>
            </w:r>
          </w:p>
        </w:tc>
        <w:tc>
          <w:tcPr>
            <w:tcW w:w="1741" w:type="dxa"/>
            <w:noWrap/>
            <w:hideMark/>
          </w:tcPr>
          <w:p w14:paraId="7AD6DEDE" w14:textId="7A9509DF" w:rsidR="001F0D64" w:rsidRPr="00A81B8F" w:rsidRDefault="001F0D64"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050843">
              <w:rPr>
                <w:sz w:val="20"/>
                <w:szCs w:val="20"/>
              </w:rPr>
              <w:t>81 595,05</w:t>
            </w:r>
          </w:p>
        </w:tc>
        <w:tc>
          <w:tcPr>
            <w:tcW w:w="1467" w:type="dxa"/>
            <w:noWrap/>
            <w:hideMark/>
          </w:tcPr>
          <w:p w14:paraId="2030F678" w14:textId="41159F1A" w:rsidR="001F0D64" w:rsidRPr="0047415B" w:rsidRDefault="001F0D64" w:rsidP="0047415B">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Pr>
                <w:rFonts w:cs="Arial"/>
                <w:color w:val="000000"/>
                <w:sz w:val="20"/>
                <w:szCs w:val="20"/>
                <w:lang w:val="en-US"/>
              </w:rPr>
              <w:t>0,00</w:t>
            </w:r>
          </w:p>
        </w:tc>
      </w:tr>
      <w:tr w:rsidR="001F0D64" w:rsidRPr="005D0D72" w14:paraId="2AFD25A0" w14:textId="77777777" w:rsidTr="001F0D64">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540B8511" w14:textId="77777777" w:rsidR="001F0D64" w:rsidRPr="00A81B8F" w:rsidRDefault="001F0D64" w:rsidP="001F0D64">
            <w:pPr>
              <w:spacing w:after="0" w:line="240" w:lineRule="auto"/>
              <w:rPr>
                <w:rFonts w:cs="Arial"/>
                <w:color w:val="000000"/>
                <w:sz w:val="20"/>
                <w:szCs w:val="20"/>
              </w:rPr>
            </w:pPr>
            <w:r w:rsidRPr="00A81B8F">
              <w:rPr>
                <w:rFonts w:cs="Arial"/>
                <w:color w:val="000000"/>
                <w:sz w:val="20"/>
                <w:szCs w:val="20"/>
              </w:rPr>
              <w:t>Публичност</w:t>
            </w:r>
          </w:p>
        </w:tc>
        <w:tc>
          <w:tcPr>
            <w:tcW w:w="1417" w:type="dxa"/>
            <w:noWrap/>
            <w:vAlign w:val="center"/>
            <w:hideMark/>
          </w:tcPr>
          <w:p w14:paraId="58FCC759" w14:textId="77777777" w:rsidR="001F0D64" w:rsidRPr="00A81B8F" w:rsidRDefault="001F0D64" w:rsidP="001F0D64">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825" w:type="dxa"/>
            <w:noWrap/>
            <w:vAlign w:val="center"/>
            <w:hideMark/>
          </w:tcPr>
          <w:p w14:paraId="747889EE" w14:textId="0ECE9945" w:rsidR="001F0D64" w:rsidRPr="00A81B8F" w:rsidRDefault="001F0D64" w:rsidP="001F0D64">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741" w:type="dxa"/>
            <w:noWrap/>
            <w:vAlign w:val="center"/>
            <w:hideMark/>
          </w:tcPr>
          <w:p w14:paraId="4F505F2E" w14:textId="002F430F" w:rsidR="001F0D64" w:rsidRPr="00A81B8F" w:rsidRDefault="001F0D64" w:rsidP="001F0D64">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A81B8F">
              <w:rPr>
                <w:rFonts w:cs="Arial"/>
                <w:color w:val="000000"/>
                <w:sz w:val="20"/>
                <w:szCs w:val="20"/>
              </w:rPr>
              <w:t>44 406,00</w:t>
            </w:r>
          </w:p>
        </w:tc>
        <w:tc>
          <w:tcPr>
            <w:tcW w:w="1467" w:type="dxa"/>
            <w:noWrap/>
            <w:hideMark/>
          </w:tcPr>
          <w:p w14:paraId="59603AF4" w14:textId="12107278" w:rsidR="001F0D64" w:rsidRPr="00A81B8F" w:rsidRDefault="001F0D64" w:rsidP="001F0D64">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B044D5">
              <w:rPr>
                <w:rFonts w:cs="Arial"/>
                <w:color w:val="000000"/>
                <w:sz w:val="20"/>
                <w:szCs w:val="20"/>
                <w:lang w:val="en-US"/>
              </w:rPr>
              <w:t>0,00</w:t>
            </w:r>
          </w:p>
        </w:tc>
      </w:tr>
      <w:tr w:rsidR="001F0D64" w:rsidRPr="005D0D72" w14:paraId="20B82A05" w14:textId="77777777" w:rsidTr="001F0D6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49401983" w14:textId="77777777" w:rsidR="001F0D64" w:rsidRPr="00A81B8F" w:rsidRDefault="001F0D64" w:rsidP="001F0D64">
            <w:pPr>
              <w:spacing w:after="0" w:line="240" w:lineRule="auto"/>
              <w:rPr>
                <w:rFonts w:cs="Arial"/>
                <w:color w:val="000000"/>
                <w:sz w:val="20"/>
                <w:szCs w:val="20"/>
              </w:rPr>
            </w:pPr>
            <w:r w:rsidRPr="00A81B8F">
              <w:rPr>
                <w:rFonts w:cs="Arial"/>
                <w:color w:val="000000"/>
                <w:sz w:val="20"/>
                <w:szCs w:val="20"/>
              </w:rPr>
              <w:t>Техническа помощ</w:t>
            </w:r>
          </w:p>
        </w:tc>
        <w:tc>
          <w:tcPr>
            <w:tcW w:w="1417" w:type="dxa"/>
            <w:noWrap/>
            <w:vAlign w:val="center"/>
            <w:hideMark/>
          </w:tcPr>
          <w:p w14:paraId="3B1F8557" w14:textId="77777777" w:rsidR="001F0D64" w:rsidRPr="00A81B8F" w:rsidRDefault="001F0D64" w:rsidP="001F0D64">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825" w:type="dxa"/>
            <w:noWrap/>
            <w:vAlign w:val="center"/>
            <w:hideMark/>
          </w:tcPr>
          <w:p w14:paraId="434B30C6" w14:textId="2AA07AC2" w:rsidR="001F0D64" w:rsidRPr="00A81B8F" w:rsidRDefault="001F0D64" w:rsidP="001F0D64">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0,00</w:t>
            </w:r>
          </w:p>
        </w:tc>
        <w:tc>
          <w:tcPr>
            <w:tcW w:w="1741" w:type="dxa"/>
            <w:noWrap/>
            <w:vAlign w:val="center"/>
            <w:hideMark/>
          </w:tcPr>
          <w:p w14:paraId="369AF16C" w14:textId="7131488E" w:rsidR="001F0D64" w:rsidRPr="00A81B8F" w:rsidRDefault="001F0D64" w:rsidP="001F0D64">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A81B8F">
              <w:rPr>
                <w:rFonts w:cs="Arial"/>
                <w:color w:val="000000"/>
                <w:sz w:val="20"/>
                <w:szCs w:val="20"/>
              </w:rPr>
              <w:t>337 835,85</w:t>
            </w:r>
          </w:p>
        </w:tc>
        <w:tc>
          <w:tcPr>
            <w:tcW w:w="1467" w:type="dxa"/>
            <w:noWrap/>
            <w:hideMark/>
          </w:tcPr>
          <w:p w14:paraId="712C9FBD" w14:textId="68086DC1" w:rsidR="001F0D64" w:rsidRPr="00A81B8F" w:rsidRDefault="001F0D64" w:rsidP="001F0D64">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B044D5">
              <w:rPr>
                <w:rFonts w:cs="Arial"/>
                <w:color w:val="000000"/>
                <w:sz w:val="20"/>
                <w:szCs w:val="20"/>
                <w:lang w:val="en-US"/>
              </w:rPr>
              <w:t>0,00</w:t>
            </w:r>
          </w:p>
        </w:tc>
      </w:tr>
      <w:tr w:rsidR="001F0D64" w:rsidRPr="005D0D72" w14:paraId="6A728408" w14:textId="77777777" w:rsidTr="001F0D64">
        <w:trPr>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tcPr>
          <w:p w14:paraId="078C9D6B" w14:textId="096E785F" w:rsidR="001F0D64" w:rsidRPr="00A81B8F" w:rsidRDefault="001F0D64" w:rsidP="00DC7F17">
            <w:pPr>
              <w:spacing w:after="0" w:line="240" w:lineRule="auto"/>
              <w:rPr>
                <w:rFonts w:cs="Arial"/>
                <w:color w:val="000000"/>
                <w:sz w:val="20"/>
                <w:szCs w:val="20"/>
              </w:rPr>
            </w:pPr>
            <w:r>
              <w:rPr>
                <w:rFonts w:cs="Arial"/>
                <w:color w:val="000000"/>
                <w:sz w:val="20"/>
                <w:szCs w:val="20"/>
              </w:rPr>
              <w:t>ДДС</w:t>
            </w:r>
          </w:p>
        </w:tc>
        <w:tc>
          <w:tcPr>
            <w:tcW w:w="1417" w:type="dxa"/>
            <w:noWrap/>
            <w:vAlign w:val="center"/>
          </w:tcPr>
          <w:p w14:paraId="387FC80C" w14:textId="568C1DCB" w:rsidR="001F0D64" w:rsidRPr="00A81B8F" w:rsidRDefault="001F0D64"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2D31E8">
              <w:rPr>
                <w:rFonts w:cs="Arial"/>
                <w:color w:val="000000"/>
                <w:sz w:val="20"/>
                <w:szCs w:val="20"/>
                <w:lang w:val="en-US"/>
              </w:rPr>
              <w:t>5</w:t>
            </w:r>
            <w:r>
              <w:rPr>
                <w:rFonts w:cs="Arial"/>
                <w:color w:val="000000"/>
                <w:sz w:val="20"/>
                <w:szCs w:val="20"/>
              </w:rPr>
              <w:t> </w:t>
            </w:r>
            <w:r w:rsidRPr="002D31E8">
              <w:rPr>
                <w:rFonts w:cs="Arial"/>
                <w:color w:val="000000"/>
                <w:sz w:val="20"/>
                <w:szCs w:val="20"/>
                <w:lang w:val="en-US"/>
              </w:rPr>
              <w:t>570</w:t>
            </w:r>
            <w:r>
              <w:rPr>
                <w:rFonts w:cs="Arial"/>
                <w:color w:val="000000"/>
                <w:sz w:val="20"/>
                <w:szCs w:val="20"/>
              </w:rPr>
              <w:t xml:space="preserve"> </w:t>
            </w:r>
            <w:r w:rsidRPr="002D31E8">
              <w:rPr>
                <w:rFonts w:cs="Arial"/>
                <w:color w:val="000000"/>
                <w:sz w:val="20"/>
                <w:szCs w:val="20"/>
                <w:lang w:val="en-US"/>
              </w:rPr>
              <w:t>376,08</w:t>
            </w:r>
          </w:p>
        </w:tc>
        <w:tc>
          <w:tcPr>
            <w:tcW w:w="1825" w:type="dxa"/>
            <w:noWrap/>
            <w:vAlign w:val="center"/>
          </w:tcPr>
          <w:p w14:paraId="192A345A" w14:textId="341DB060" w:rsidR="001F0D64" w:rsidRPr="00A81B8F" w:rsidRDefault="001F0D64"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Pr>
                <w:rFonts w:cs="Arial"/>
                <w:color w:val="000000"/>
                <w:sz w:val="20"/>
                <w:szCs w:val="20"/>
                <w:lang w:val="en-US"/>
              </w:rPr>
              <w:t>0,00</w:t>
            </w:r>
          </w:p>
        </w:tc>
        <w:tc>
          <w:tcPr>
            <w:tcW w:w="1741" w:type="dxa"/>
            <w:noWrap/>
            <w:vAlign w:val="center"/>
          </w:tcPr>
          <w:p w14:paraId="032718D2" w14:textId="06C44878" w:rsidR="001F0D64" w:rsidRDefault="001F0D64" w:rsidP="0047415B">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2D31E8">
              <w:rPr>
                <w:rFonts w:cs="Arial"/>
                <w:color w:val="000000"/>
                <w:sz w:val="20"/>
                <w:szCs w:val="20"/>
                <w:lang w:val="en-US"/>
              </w:rPr>
              <w:t>5</w:t>
            </w:r>
            <w:r>
              <w:rPr>
                <w:rFonts w:cs="Arial"/>
                <w:color w:val="000000"/>
                <w:sz w:val="20"/>
                <w:szCs w:val="20"/>
              </w:rPr>
              <w:t> </w:t>
            </w:r>
            <w:r w:rsidRPr="002D31E8">
              <w:rPr>
                <w:rFonts w:cs="Arial"/>
                <w:color w:val="000000"/>
                <w:sz w:val="20"/>
                <w:szCs w:val="20"/>
                <w:lang w:val="en-US"/>
              </w:rPr>
              <w:t>570</w:t>
            </w:r>
            <w:r>
              <w:rPr>
                <w:rFonts w:cs="Arial"/>
                <w:color w:val="000000"/>
                <w:sz w:val="20"/>
                <w:szCs w:val="20"/>
              </w:rPr>
              <w:t xml:space="preserve"> </w:t>
            </w:r>
            <w:r w:rsidRPr="002D31E8">
              <w:rPr>
                <w:rFonts w:cs="Arial"/>
                <w:color w:val="000000"/>
                <w:sz w:val="20"/>
                <w:szCs w:val="20"/>
                <w:lang w:val="en-US"/>
              </w:rPr>
              <w:t>376,08</w:t>
            </w:r>
          </w:p>
        </w:tc>
        <w:tc>
          <w:tcPr>
            <w:tcW w:w="1467" w:type="dxa"/>
            <w:noWrap/>
            <w:vAlign w:val="center"/>
          </w:tcPr>
          <w:p w14:paraId="0DEFE5A4" w14:textId="26678145" w:rsidR="001F0D64" w:rsidRPr="00A81B8F" w:rsidRDefault="001F0D64" w:rsidP="00DC7F1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Pr>
                <w:rFonts w:cs="Arial"/>
                <w:color w:val="000000"/>
                <w:sz w:val="20"/>
                <w:szCs w:val="20"/>
                <w:lang w:val="en-US"/>
              </w:rPr>
              <w:t>0,00</w:t>
            </w:r>
          </w:p>
        </w:tc>
      </w:tr>
      <w:tr w:rsidR="001F0D64" w:rsidRPr="005D0D72" w14:paraId="5CC22DA8" w14:textId="77777777" w:rsidTr="001F0D64">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3109" w:type="dxa"/>
            <w:noWrap/>
            <w:vAlign w:val="center"/>
            <w:hideMark/>
          </w:tcPr>
          <w:p w14:paraId="206B4C00" w14:textId="77777777" w:rsidR="001F0D64" w:rsidRPr="00A81B8F" w:rsidRDefault="001F0D64" w:rsidP="00015650">
            <w:pPr>
              <w:spacing w:after="0" w:line="240" w:lineRule="auto"/>
              <w:jc w:val="right"/>
              <w:rPr>
                <w:rFonts w:cs="Arial"/>
                <w:color w:val="000000"/>
                <w:sz w:val="20"/>
                <w:szCs w:val="20"/>
              </w:rPr>
            </w:pPr>
            <w:r w:rsidRPr="00A81B8F">
              <w:rPr>
                <w:rFonts w:cs="Arial"/>
                <w:color w:val="000000"/>
                <w:sz w:val="20"/>
                <w:szCs w:val="20"/>
              </w:rPr>
              <w:t>Общо:</w:t>
            </w:r>
            <w:bookmarkStart w:id="277" w:name="_GoBack"/>
            <w:bookmarkEnd w:id="277"/>
          </w:p>
        </w:tc>
        <w:tc>
          <w:tcPr>
            <w:tcW w:w="1417" w:type="dxa"/>
            <w:noWrap/>
            <w:hideMark/>
          </w:tcPr>
          <w:p w14:paraId="4F4F69B3" w14:textId="7D05E1D0" w:rsidR="001F0D64" w:rsidRPr="00015650" w:rsidRDefault="001F0D64" w:rsidP="00015650">
            <w:pPr>
              <w:spacing w:after="0" w:line="240" w:lineRule="auto"/>
              <w:ind w:left="-104"/>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Pr>
                <w:b/>
                <w:bCs/>
                <w:sz w:val="20"/>
                <w:szCs w:val="20"/>
              </w:rPr>
              <w:t>33 760 092,31</w:t>
            </w:r>
          </w:p>
        </w:tc>
        <w:tc>
          <w:tcPr>
            <w:tcW w:w="1825" w:type="dxa"/>
            <w:noWrap/>
            <w:hideMark/>
          </w:tcPr>
          <w:p w14:paraId="3496DFBB" w14:textId="086F1200" w:rsidR="001F0D64" w:rsidRPr="00015650" w:rsidRDefault="001F0D64"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9963CE">
              <w:rPr>
                <w:b/>
                <w:bCs/>
                <w:sz w:val="20"/>
                <w:szCs w:val="20"/>
              </w:rPr>
              <w:t>24 196 373,26</w:t>
            </w:r>
          </w:p>
        </w:tc>
        <w:tc>
          <w:tcPr>
            <w:tcW w:w="1741" w:type="dxa"/>
            <w:noWrap/>
            <w:hideMark/>
          </w:tcPr>
          <w:p w14:paraId="1B11CB66" w14:textId="0F8B0ACB" w:rsidR="001F0D64" w:rsidRPr="00015650" w:rsidRDefault="001F0D64" w:rsidP="002D31E8">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bookmarkStart w:id="278" w:name="_Hlk177114352"/>
            <w:r>
              <w:rPr>
                <w:b/>
                <w:bCs/>
                <w:sz w:val="20"/>
                <w:szCs w:val="20"/>
              </w:rPr>
              <w:t>9</w:t>
            </w:r>
            <w:r w:rsidRPr="001E29A9">
              <w:rPr>
                <w:b/>
                <w:bCs/>
                <w:sz w:val="20"/>
                <w:szCs w:val="20"/>
              </w:rPr>
              <w:t xml:space="preserve"> 3</w:t>
            </w:r>
            <w:r>
              <w:rPr>
                <w:b/>
                <w:bCs/>
                <w:sz w:val="20"/>
                <w:szCs w:val="20"/>
              </w:rPr>
              <w:t>30</w:t>
            </w:r>
            <w:r w:rsidRPr="001E29A9">
              <w:rPr>
                <w:b/>
                <w:bCs/>
                <w:sz w:val="20"/>
                <w:szCs w:val="20"/>
              </w:rPr>
              <w:t xml:space="preserve"> </w:t>
            </w:r>
            <w:r>
              <w:rPr>
                <w:b/>
                <w:bCs/>
                <w:sz w:val="20"/>
                <w:szCs w:val="20"/>
              </w:rPr>
              <w:t>390</w:t>
            </w:r>
            <w:r w:rsidRPr="001E29A9">
              <w:rPr>
                <w:b/>
                <w:bCs/>
                <w:sz w:val="20"/>
                <w:szCs w:val="20"/>
              </w:rPr>
              <w:t>,</w:t>
            </w:r>
            <w:bookmarkEnd w:id="278"/>
            <w:r>
              <w:rPr>
                <w:b/>
                <w:bCs/>
                <w:sz w:val="20"/>
                <w:szCs w:val="20"/>
              </w:rPr>
              <w:t>17</w:t>
            </w:r>
          </w:p>
        </w:tc>
        <w:tc>
          <w:tcPr>
            <w:tcW w:w="1467" w:type="dxa"/>
            <w:noWrap/>
            <w:hideMark/>
          </w:tcPr>
          <w:p w14:paraId="14B4BFF4" w14:textId="3BBAFBBF" w:rsidR="001F0D64" w:rsidRPr="002D31E8" w:rsidRDefault="001F0D64"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2D31E8">
              <w:rPr>
                <w:b/>
                <w:sz w:val="20"/>
                <w:szCs w:val="20"/>
              </w:rPr>
              <w:t>233 328,88</w:t>
            </w:r>
          </w:p>
        </w:tc>
      </w:tr>
    </w:tbl>
    <w:p w14:paraId="235CC022" w14:textId="2D02A5DC" w:rsidR="00F32C9D" w:rsidRPr="007502C7" w:rsidRDefault="00F32C9D" w:rsidP="00F32C9D">
      <w:pPr>
        <w:tabs>
          <w:tab w:val="left" w:pos="1134"/>
        </w:tabs>
        <w:suppressAutoHyphens/>
        <w:spacing w:after="120"/>
        <w:jc w:val="both"/>
        <w:rPr>
          <w:rFonts w:ascii="Times New Roman" w:eastAsia="Times New Roman" w:hAnsi="Times New Roman" w:cs="Times New Roman"/>
          <w:i/>
          <w:sz w:val="18"/>
          <w:szCs w:val="18"/>
          <w:highlight w:val="yellow"/>
          <w:lang w:eastAsia="ar-SA"/>
        </w:rPr>
      </w:pPr>
      <w:r w:rsidRPr="007502C7">
        <w:rPr>
          <w:rFonts w:ascii="Times New Roman" w:eastAsia="Times New Roman" w:hAnsi="Times New Roman" w:cs="Times New Roman"/>
          <w:i/>
          <w:sz w:val="18"/>
          <w:szCs w:val="18"/>
          <w:lang w:eastAsia="ar-SA"/>
        </w:rPr>
        <w:t>Източник: П</w:t>
      </w:r>
      <w:r w:rsidR="00FF0D3F" w:rsidRPr="007502C7">
        <w:rPr>
          <w:rFonts w:ascii="Times New Roman" w:eastAsia="Times New Roman" w:hAnsi="Times New Roman" w:cs="Times New Roman"/>
          <w:i/>
          <w:sz w:val="18"/>
          <w:szCs w:val="18"/>
          <w:lang w:eastAsia="ar-SA"/>
        </w:rPr>
        <w:t>И</w:t>
      </w:r>
      <w:r w:rsidRPr="007502C7">
        <w:rPr>
          <w:rFonts w:ascii="Times New Roman" w:eastAsia="Times New Roman" w:hAnsi="Times New Roman" w:cs="Times New Roman"/>
          <w:i/>
          <w:sz w:val="18"/>
          <w:szCs w:val="18"/>
          <w:lang w:eastAsia="ar-SA"/>
        </w:rPr>
        <w:t xml:space="preserve">П и </w:t>
      </w:r>
      <w:r w:rsidR="00FA2E5D" w:rsidRPr="007502C7">
        <w:rPr>
          <w:rFonts w:ascii="Times New Roman" w:eastAsia="Times New Roman" w:hAnsi="Times New Roman" w:cs="Times New Roman"/>
          <w:i/>
          <w:sz w:val="18"/>
          <w:szCs w:val="18"/>
          <w:lang w:eastAsia="ar-SA"/>
        </w:rPr>
        <w:t>Доклад за ДП</w:t>
      </w:r>
    </w:p>
    <w:p w14:paraId="1D18A9D0" w14:textId="676AE745" w:rsidR="005D0D72" w:rsidRPr="005D0D72" w:rsidRDefault="005D0D72" w:rsidP="005D0D72">
      <w:pPr>
        <w:suppressAutoHyphens/>
        <w:spacing w:before="60" w:after="60"/>
        <w:contextualSpacing/>
        <w:jc w:val="both"/>
        <w:rPr>
          <w:rFonts w:eastAsia="Times New Roman" w:cs="Arial"/>
          <w:lang w:eastAsia="ar-SA"/>
        </w:rPr>
      </w:pPr>
      <w:r>
        <w:rPr>
          <w:rFonts w:eastAsia="Times New Roman" w:cs="Arial"/>
          <w:lang w:eastAsia="ar-SA"/>
        </w:rPr>
        <w:t xml:space="preserve">В недопустимите инвестиции за подкранови пътища влизат разходите за изграждане на нови подкранови пътища в размер на </w:t>
      </w:r>
      <w:r w:rsidRPr="005D0D72">
        <w:rPr>
          <w:rFonts w:eastAsia="Times New Roman" w:cs="Arial"/>
          <w:lang w:eastAsia="ar-SA"/>
        </w:rPr>
        <w:t>494</w:t>
      </w:r>
      <w:r>
        <w:rPr>
          <w:rFonts w:eastAsia="Times New Roman" w:cs="Arial"/>
          <w:lang w:eastAsia="ar-SA"/>
        </w:rPr>
        <w:t> </w:t>
      </w:r>
      <w:r w:rsidRPr="005D0D72">
        <w:rPr>
          <w:rFonts w:eastAsia="Times New Roman" w:cs="Arial"/>
          <w:lang w:eastAsia="ar-SA"/>
        </w:rPr>
        <w:t>083</w:t>
      </w:r>
      <w:r>
        <w:rPr>
          <w:rFonts w:eastAsia="Times New Roman" w:cs="Arial"/>
          <w:lang w:eastAsia="ar-SA"/>
        </w:rPr>
        <w:t xml:space="preserve"> лв. и Технология за Етап </w:t>
      </w:r>
      <w:r>
        <w:rPr>
          <w:rFonts w:eastAsia="Times New Roman" w:cs="Arial"/>
          <w:lang w:val="en-GB" w:eastAsia="ar-SA"/>
        </w:rPr>
        <w:t>I</w:t>
      </w:r>
      <w:r w:rsidRPr="009963CE">
        <w:rPr>
          <w:rFonts w:eastAsia="Times New Roman" w:cs="Arial"/>
          <w:lang w:eastAsia="ar-SA"/>
        </w:rPr>
        <w:t xml:space="preserve"> </w:t>
      </w:r>
      <w:r>
        <w:rPr>
          <w:rFonts w:eastAsia="Times New Roman" w:cs="Arial"/>
          <w:lang w:eastAsia="ar-SA"/>
        </w:rPr>
        <w:t>и Етап</w:t>
      </w:r>
      <w:r w:rsidRPr="009963CE">
        <w:rPr>
          <w:rFonts w:eastAsia="Times New Roman" w:cs="Arial"/>
          <w:lang w:eastAsia="ar-SA"/>
        </w:rPr>
        <w:t xml:space="preserve"> </w:t>
      </w:r>
      <w:r>
        <w:rPr>
          <w:rFonts w:eastAsia="Times New Roman" w:cs="Arial"/>
          <w:lang w:val="en-GB" w:eastAsia="ar-SA"/>
        </w:rPr>
        <w:t>III</w:t>
      </w:r>
      <w:r>
        <w:rPr>
          <w:rFonts w:eastAsia="Times New Roman" w:cs="Arial"/>
          <w:lang w:eastAsia="ar-SA"/>
        </w:rPr>
        <w:t xml:space="preserve">, в които </w:t>
      </w:r>
      <w:r w:rsidRPr="005D0D72">
        <w:rPr>
          <w:rFonts w:eastAsia="Times New Roman" w:cs="Arial"/>
          <w:lang w:eastAsia="ar-SA"/>
        </w:rPr>
        <w:t>са предвидени мероприятия и разходи свързани с преместването на съществуващите кранове:</w:t>
      </w:r>
    </w:p>
    <w:p w14:paraId="56375499" w14:textId="0B3740A0"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Временен подкранов път за преместване на крана</w:t>
      </w:r>
      <w:r w:rsidR="007502C7">
        <w:rPr>
          <w:rFonts w:eastAsia="Times New Roman" w:cs="Arial"/>
          <w:lang w:eastAsia="ar-SA"/>
        </w:rPr>
        <w:t>;</w:t>
      </w:r>
    </w:p>
    <w:p w14:paraId="23B548BA" w14:textId="61B6E595"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Доставка и монтаж на подкранова нижка</w:t>
      </w:r>
      <w:r w:rsidR="007502C7">
        <w:rPr>
          <w:rFonts w:eastAsia="Times New Roman" w:cs="Arial"/>
          <w:lang w:eastAsia="ar-SA"/>
        </w:rPr>
        <w:t>;</w:t>
      </w:r>
    </w:p>
    <w:p w14:paraId="7CB3C48F" w14:textId="40926C75"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Доставка на баласт за две подкранови нижки, 300 х 1.2 = 360м3</w:t>
      </w:r>
      <w:r w:rsidR="007502C7">
        <w:rPr>
          <w:rFonts w:eastAsia="Times New Roman" w:cs="Arial"/>
          <w:lang w:eastAsia="ar-SA"/>
        </w:rPr>
        <w:t>;</w:t>
      </w:r>
    </w:p>
    <w:p w14:paraId="17889C9C" w14:textId="4C578A7D"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Доставка и монтаж на подкранова нижка тип 49 кг/м, 2000 бр. стоманобетонови траверси/км, траверсова скара на място, в т.ч материали и труд</w:t>
      </w:r>
      <w:r w:rsidR="007502C7">
        <w:rPr>
          <w:rFonts w:eastAsia="Times New Roman" w:cs="Arial"/>
          <w:lang w:eastAsia="ar-SA"/>
        </w:rPr>
        <w:t>;</w:t>
      </w:r>
    </w:p>
    <w:p w14:paraId="6EECCD7B" w14:textId="279A5548"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Планировка и оформяне на баластова призма</w:t>
      </w:r>
      <w:r w:rsidR="007502C7">
        <w:rPr>
          <w:rFonts w:eastAsia="Times New Roman" w:cs="Arial"/>
          <w:lang w:eastAsia="ar-SA"/>
        </w:rPr>
        <w:t>;</w:t>
      </w:r>
    </w:p>
    <w:p w14:paraId="0D93EC76" w14:textId="2B4B3AF2" w:rsidR="005D0D72" w:rsidRPr="005D0D72"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Направа І-ва и ІІ-ра  нивелация на подкранова нижка</w:t>
      </w:r>
      <w:r w:rsidR="007502C7">
        <w:rPr>
          <w:rFonts w:eastAsia="Times New Roman" w:cs="Arial"/>
          <w:lang w:eastAsia="ar-SA"/>
        </w:rPr>
        <w:t>;</w:t>
      </w:r>
    </w:p>
    <w:p w14:paraId="7C9FEC98" w14:textId="68B6EA44" w:rsidR="005D0D72" w:rsidRPr="007502C7" w:rsidRDefault="005D0D72" w:rsidP="007502C7">
      <w:pPr>
        <w:suppressAutoHyphens/>
        <w:spacing w:before="60" w:after="60"/>
        <w:ind w:left="720" w:hanging="360"/>
        <w:contextualSpacing/>
        <w:jc w:val="both"/>
        <w:rPr>
          <w:rFonts w:eastAsia="Times New Roman" w:cs="Arial"/>
          <w:lang w:eastAsia="ar-SA"/>
        </w:rPr>
      </w:pPr>
      <w:r w:rsidRPr="005D0D72">
        <w:rPr>
          <w:rFonts w:eastAsia="Times New Roman" w:cs="Arial"/>
          <w:lang w:eastAsia="ar-SA"/>
        </w:rPr>
        <w:t>•</w:t>
      </w:r>
      <w:r w:rsidRPr="005D0D72">
        <w:rPr>
          <w:rFonts w:eastAsia="Times New Roman" w:cs="Arial"/>
          <w:lang w:eastAsia="ar-SA"/>
        </w:rPr>
        <w:tab/>
        <w:t xml:space="preserve">Верижен влекач за преместване </w:t>
      </w:r>
      <w:r w:rsidR="007502C7">
        <w:rPr>
          <w:rFonts w:eastAsia="Times New Roman" w:cs="Arial"/>
          <w:lang w:eastAsia="ar-SA"/>
        </w:rPr>
        <w:t>на три крана с монтажна бригада.</w:t>
      </w:r>
    </w:p>
    <w:p w14:paraId="175B27A4" w14:textId="77777777" w:rsidR="00E2726F" w:rsidRPr="005B57A1" w:rsidRDefault="00E2726F" w:rsidP="00F32C9D">
      <w:pPr>
        <w:suppressAutoHyphens/>
        <w:spacing w:before="60" w:after="60"/>
        <w:contextualSpacing/>
        <w:jc w:val="both"/>
        <w:rPr>
          <w:rFonts w:eastAsia="Times New Roman" w:cs="Arial"/>
          <w:sz w:val="16"/>
          <w:szCs w:val="16"/>
          <w:lang w:eastAsia="ar-SA"/>
        </w:rPr>
      </w:pPr>
    </w:p>
    <w:p w14:paraId="3843950B" w14:textId="523A083F" w:rsidR="00F32C9D" w:rsidRPr="00B27F95" w:rsidRDefault="00F32C9D" w:rsidP="00F32C9D">
      <w:pPr>
        <w:suppressAutoHyphens/>
        <w:spacing w:before="60" w:after="60"/>
        <w:contextualSpacing/>
        <w:jc w:val="both"/>
        <w:rPr>
          <w:rFonts w:eastAsia="Times New Roman" w:cs="Arial"/>
          <w:lang w:eastAsia="ar-SA"/>
        </w:rPr>
      </w:pPr>
      <w:r w:rsidRPr="00B27F95">
        <w:rPr>
          <w:rFonts w:eastAsia="Times New Roman" w:cs="Arial"/>
          <w:lang w:eastAsia="ar-SA"/>
        </w:rPr>
        <w:lastRenderedPageBreak/>
        <w:t>На база на така определените пълни инвестиционни разходи е изготвена Програма за финансово изпълнение на проекта като са взети предвид следните допускания:</w:t>
      </w:r>
    </w:p>
    <w:p w14:paraId="13B9A5C9" w14:textId="03390372" w:rsidR="00F32C9D" w:rsidRDefault="00F32C9D" w:rsidP="00AA673B">
      <w:pPr>
        <w:numPr>
          <w:ilvl w:val="0"/>
          <w:numId w:val="16"/>
        </w:numPr>
        <w:suppressAutoHyphens/>
        <w:spacing w:before="60" w:after="60"/>
        <w:ind w:left="709" w:hanging="425"/>
        <w:contextualSpacing/>
        <w:jc w:val="both"/>
        <w:rPr>
          <w:rFonts w:eastAsia="Times New Roman" w:cs="Arial"/>
          <w:lang w:eastAsia="ar-SA"/>
        </w:rPr>
      </w:pPr>
      <w:r w:rsidRPr="00B27F95">
        <w:rPr>
          <w:rFonts w:eastAsia="Times New Roman" w:cs="Arial"/>
          <w:lang w:eastAsia="ar-SA"/>
        </w:rPr>
        <w:t>До</w:t>
      </w:r>
      <w:r>
        <w:rPr>
          <w:rFonts w:eastAsia="Times New Roman" w:cs="Arial"/>
          <w:lang w:eastAsia="ar-SA"/>
        </w:rPr>
        <w:t xml:space="preserve"> края на </w:t>
      </w:r>
      <w:r w:rsidR="00FA2E5D">
        <w:rPr>
          <w:rFonts w:eastAsia="Times New Roman" w:cs="Arial"/>
          <w:lang w:eastAsia="ar-SA"/>
        </w:rPr>
        <w:t xml:space="preserve">м. септември </w:t>
      </w:r>
      <w:r>
        <w:rPr>
          <w:rFonts w:eastAsia="Times New Roman" w:cs="Arial"/>
          <w:lang w:eastAsia="ar-SA"/>
        </w:rPr>
        <w:t>202</w:t>
      </w:r>
      <w:r w:rsidR="00FA2E5D">
        <w:rPr>
          <w:rFonts w:eastAsia="Times New Roman" w:cs="Arial"/>
          <w:lang w:eastAsia="ar-SA"/>
        </w:rPr>
        <w:t>4</w:t>
      </w:r>
      <w:r w:rsidR="000F552D">
        <w:rPr>
          <w:rFonts w:eastAsia="Times New Roman" w:cs="Arial"/>
          <w:lang w:eastAsia="ar-SA"/>
        </w:rPr>
        <w:t xml:space="preserve"> г. ще</w:t>
      </w:r>
      <w:r>
        <w:rPr>
          <w:rFonts w:eastAsia="Times New Roman" w:cs="Arial"/>
          <w:lang w:eastAsia="ar-SA"/>
        </w:rPr>
        <w:t xml:space="preserve"> бъде изготвен и одобрен от УО, ФК за финансиране по ПТС 2021-2027 г., както и ще бъде подготвена и обявена обществената поръчка за строителство;</w:t>
      </w:r>
    </w:p>
    <w:p w14:paraId="5419BAE1" w14:textId="1D892E90" w:rsidR="00F32C9D" w:rsidRDefault="00CE7B79" w:rsidP="00AA673B">
      <w:pPr>
        <w:numPr>
          <w:ilvl w:val="0"/>
          <w:numId w:val="16"/>
        </w:numPr>
        <w:suppressAutoHyphens/>
        <w:spacing w:before="60" w:after="60"/>
        <w:ind w:left="709" w:hanging="425"/>
        <w:contextualSpacing/>
        <w:jc w:val="both"/>
        <w:rPr>
          <w:rFonts w:eastAsia="Times New Roman" w:cs="Arial"/>
          <w:lang w:eastAsia="ar-SA"/>
        </w:rPr>
      </w:pPr>
      <w:r>
        <w:rPr>
          <w:rFonts w:eastAsia="Times New Roman" w:cs="Arial"/>
          <w:lang w:eastAsia="ar-SA"/>
        </w:rPr>
        <w:t xml:space="preserve">До </w:t>
      </w:r>
      <w:r w:rsidR="00FA2E5D">
        <w:rPr>
          <w:rFonts w:eastAsia="Times New Roman" w:cs="Arial"/>
          <w:lang w:eastAsia="ar-SA"/>
        </w:rPr>
        <w:t>края</w:t>
      </w:r>
      <w:r w:rsidR="00F32C9D">
        <w:rPr>
          <w:rFonts w:eastAsia="Times New Roman" w:cs="Arial"/>
          <w:lang w:eastAsia="ar-SA"/>
        </w:rPr>
        <w:t xml:space="preserve"> на 202</w:t>
      </w:r>
      <w:r w:rsidR="00BB3153">
        <w:rPr>
          <w:rFonts w:eastAsia="Times New Roman" w:cs="Arial"/>
          <w:lang w:eastAsia="ar-SA"/>
        </w:rPr>
        <w:t>4</w:t>
      </w:r>
      <w:r w:rsidR="00F32C9D">
        <w:rPr>
          <w:rFonts w:eastAsia="Times New Roman" w:cs="Arial"/>
          <w:lang w:eastAsia="ar-SA"/>
        </w:rPr>
        <w:t xml:space="preserve"> г. ще има избран Изпълнител и подписан договор за строителство с включени срокове за обжалване на процедурата</w:t>
      </w:r>
      <w:r w:rsidR="00FA2E5D">
        <w:rPr>
          <w:rFonts w:eastAsia="Times New Roman" w:cs="Arial"/>
          <w:lang w:eastAsia="ar-SA"/>
        </w:rPr>
        <w:t xml:space="preserve"> и първа година от изпълнението на СМР ще е 2025</w:t>
      </w:r>
      <w:r w:rsidR="00F84DC0">
        <w:rPr>
          <w:rFonts w:eastAsia="Times New Roman" w:cs="Arial"/>
          <w:lang w:eastAsia="ar-SA"/>
        </w:rPr>
        <w:t xml:space="preserve"> </w:t>
      </w:r>
      <w:r w:rsidR="00FA2E5D">
        <w:rPr>
          <w:rFonts w:eastAsia="Times New Roman" w:cs="Arial"/>
          <w:lang w:eastAsia="ar-SA"/>
        </w:rPr>
        <w:t>г.</w:t>
      </w:r>
    </w:p>
    <w:p w14:paraId="30833D2A" w14:textId="77777777" w:rsidR="00F32C9D" w:rsidRDefault="00F32C9D" w:rsidP="00F32C9D">
      <w:pPr>
        <w:suppressAutoHyphens/>
        <w:spacing w:before="60" w:after="0"/>
        <w:contextualSpacing/>
        <w:jc w:val="both"/>
        <w:rPr>
          <w:rFonts w:eastAsia="Times New Roman" w:cs="Arial"/>
          <w:lang w:eastAsia="ar-SA"/>
        </w:rPr>
      </w:pPr>
      <w:r w:rsidRPr="00B27F95">
        <w:rPr>
          <w:rFonts w:eastAsia="Times New Roman" w:cs="Arial"/>
          <w:lang w:eastAsia="ar-SA"/>
        </w:rPr>
        <w:t>В резултат на тези допускания Финансовата програма за усвояване на средствата е показана в следващата таблица:</w:t>
      </w:r>
    </w:p>
    <w:p w14:paraId="442A02B0" w14:textId="467AA259" w:rsidR="00F32C9D" w:rsidRPr="009963CE" w:rsidRDefault="00F32C9D" w:rsidP="00F32C9D">
      <w:pPr>
        <w:tabs>
          <w:tab w:val="left" w:pos="1418"/>
        </w:tabs>
        <w:spacing w:before="60" w:after="60"/>
        <w:jc w:val="both"/>
        <w:rPr>
          <w:rFonts w:cs="Arial"/>
          <w:i/>
          <w:sz w:val="22"/>
        </w:rPr>
      </w:pPr>
      <w:bookmarkStart w:id="279" w:name="_Toc174099059"/>
      <w:r w:rsidRPr="00905EB3">
        <w:rPr>
          <w:rFonts w:cs="Arial"/>
          <w:bCs/>
          <w:i/>
          <w:sz w:val="22"/>
        </w:rPr>
        <w:t xml:space="preserve">Таблица </w:t>
      </w:r>
      <w:r w:rsidRPr="00905EB3">
        <w:rPr>
          <w:rFonts w:cs="Arial"/>
          <w:b/>
          <w:bCs/>
          <w:i/>
          <w:iCs/>
          <w:sz w:val="22"/>
        </w:rPr>
        <w:fldChar w:fldCharType="begin"/>
      </w:r>
      <w:r w:rsidRPr="00905EB3">
        <w:rPr>
          <w:rFonts w:cs="Arial"/>
          <w:bCs/>
          <w:i/>
          <w:sz w:val="22"/>
        </w:rPr>
        <w:instrText xml:space="preserve"> SEQ Таблица \* ARABIC </w:instrText>
      </w:r>
      <w:r w:rsidRPr="00905EB3">
        <w:rPr>
          <w:rFonts w:cs="Arial"/>
          <w:b/>
          <w:bCs/>
          <w:i/>
          <w:iCs/>
          <w:sz w:val="22"/>
        </w:rPr>
        <w:fldChar w:fldCharType="separate"/>
      </w:r>
      <w:r w:rsidR="007502C7">
        <w:rPr>
          <w:rFonts w:cs="Arial"/>
          <w:bCs/>
          <w:i/>
          <w:noProof/>
          <w:sz w:val="22"/>
        </w:rPr>
        <w:t>14</w:t>
      </w:r>
      <w:r w:rsidRPr="00905EB3">
        <w:rPr>
          <w:rFonts w:cs="Arial"/>
          <w:b/>
          <w:bCs/>
          <w:i/>
          <w:iCs/>
          <w:sz w:val="22"/>
        </w:rPr>
        <w:fldChar w:fldCharType="end"/>
      </w:r>
      <w:r w:rsidRPr="00905EB3">
        <w:rPr>
          <w:rFonts w:cs="Arial"/>
          <w:bCs/>
          <w:i/>
          <w:sz w:val="22"/>
        </w:rPr>
        <w:t xml:space="preserve"> </w:t>
      </w:r>
      <w:r w:rsidRPr="00905EB3">
        <w:rPr>
          <w:rFonts w:eastAsia="Calibri" w:cs="Arial"/>
          <w:i/>
          <w:color w:val="000000"/>
          <w:sz w:val="22"/>
          <w:lang w:eastAsia="en-US"/>
        </w:rPr>
        <w:t xml:space="preserve"> Финансова програма за изпълнение на проекта</w:t>
      </w:r>
      <w:r w:rsidR="00BB3153" w:rsidRPr="00905EB3">
        <w:rPr>
          <w:rFonts w:eastAsia="Calibri" w:cs="Arial"/>
          <w:i/>
          <w:color w:val="000000"/>
          <w:sz w:val="22"/>
          <w:lang w:eastAsia="en-US"/>
        </w:rPr>
        <w:t xml:space="preserve"> в </w:t>
      </w:r>
      <w:r w:rsidR="00905EB3">
        <w:rPr>
          <w:rFonts w:eastAsia="Calibri" w:cs="Arial"/>
          <w:i/>
          <w:color w:val="000000"/>
          <w:sz w:val="22"/>
          <w:lang w:val="en-GB" w:eastAsia="en-US"/>
        </w:rPr>
        <w:t>EUR</w:t>
      </w:r>
      <w:bookmarkEnd w:id="279"/>
    </w:p>
    <w:tbl>
      <w:tblPr>
        <w:tblStyle w:val="LightList-Accent111"/>
        <w:tblW w:w="4839" w:type="pct"/>
        <w:tblLayout w:type="fixed"/>
        <w:tblLook w:val="04A0" w:firstRow="1" w:lastRow="0" w:firstColumn="1" w:lastColumn="0" w:noHBand="0" w:noVBand="1"/>
      </w:tblPr>
      <w:tblGrid>
        <w:gridCol w:w="2506"/>
        <w:gridCol w:w="1163"/>
        <w:gridCol w:w="1343"/>
        <w:gridCol w:w="1429"/>
        <w:gridCol w:w="1293"/>
        <w:gridCol w:w="1438"/>
      </w:tblGrid>
      <w:tr w:rsidR="005D0D72" w:rsidRPr="007502C7" w14:paraId="2F97C832" w14:textId="77777777" w:rsidTr="002D2161">
        <w:trPr>
          <w:cnfStyle w:val="100000000000" w:firstRow="1" w:lastRow="0" w:firstColumn="0" w:lastColumn="0" w:oddVBand="0" w:evenVBand="0" w:oddHBand="0" w:evenHBand="0" w:firstRowFirstColumn="0" w:firstRowLastColumn="0" w:lastRowFirstColumn="0" w:lastRowLastColumn="0"/>
          <w:trHeight w:val="324"/>
        </w:trPr>
        <w:tc>
          <w:tcPr>
            <w:cnfStyle w:val="001000000000" w:firstRow="0" w:lastRow="0" w:firstColumn="1" w:lastColumn="0" w:oddVBand="0" w:evenVBand="0" w:oddHBand="0" w:evenHBand="0" w:firstRowFirstColumn="0" w:firstRowLastColumn="0" w:lastRowFirstColumn="0" w:lastRowLastColumn="0"/>
            <w:tcW w:w="1366" w:type="pct"/>
            <w:noWrap/>
            <w:vAlign w:val="center"/>
            <w:hideMark/>
          </w:tcPr>
          <w:p w14:paraId="1AB5FB1F" w14:textId="77777777" w:rsidR="00BB3153" w:rsidRPr="007502C7" w:rsidRDefault="00BB3153" w:rsidP="00BB3153">
            <w:pPr>
              <w:jc w:val="center"/>
              <w:rPr>
                <w:rFonts w:cs="Arial"/>
                <w:b w:val="0"/>
                <w:bCs w:val="0"/>
                <w:color w:val="FFFFFF" w:themeColor="background1"/>
                <w:sz w:val="22"/>
              </w:rPr>
            </w:pPr>
            <w:r w:rsidRPr="007502C7">
              <w:rPr>
                <w:rFonts w:cs="Arial"/>
                <w:color w:val="FFFFFF" w:themeColor="background1"/>
                <w:sz w:val="22"/>
              </w:rPr>
              <w:t>Действие</w:t>
            </w:r>
          </w:p>
        </w:tc>
        <w:tc>
          <w:tcPr>
            <w:tcW w:w="634" w:type="pct"/>
            <w:noWrap/>
            <w:vAlign w:val="center"/>
            <w:hideMark/>
          </w:tcPr>
          <w:p w14:paraId="1F186868" w14:textId="6DDA5ED6"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4</w:t>
            </w:r>
            <w:r w:rsidR="007502C7">
              <w:rPr>
                <w:rFonts w:cs="Arial"/>
                <w:color w:val="FFFFFF" w:themeColor="background1"/>
                <w:sz w:val="22"/>
              </w:rPr>
              <w:t xml:space="preserve"> г.</w:t>
            </w:r>
          </w:p>
        </w:tc>
        <w:tc>
          <w:tcPr>
            <w:tcW w:w="732" w:type="pct"/>
            <w:noWrap/>
            <w:vAlign w:val="center"/>
            <w:hideMark/>
          </w:tcPr>
          <w:p w14:paraId="066A2A5D" w14:textId="6D752DE7"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5</w:t>
            </w:r>
            <w:r w:rsidR="007502C7">
              <w:rPr>
                <w:rFonts w:cs="Arial"/>
                <w:color w:val="FFFFFF" w:themeColor="background1"/>
                <w:sz w:val="22"/>
              </w:rPr>
              <w:t xml:space="preserve"> г.</w:t>
            </w:r>
          </w:p>
        </w:tc>
        <w:tc>
          <w:tcPr>
            <w:tcW w:w="779" w:type="pct"/>
            <w:vAlign w:val="center"/>
          </w:tcPr>
          <w:p w14:paraId="31E7D753" w14:textId="436EE1FE"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6</w:t>
            </w:r>
            <w:r w:rsidR="007502C7">
              <w:rPr>
                <w:rFonts w:cs="Arial"/>
                <w:color w:val="FFFFFF" w:themeColor="background1"/>
                <w:sz w:val="22"/>
              </w:rPr>
              <w:t xml:space="preserve"> г.</w:t>
            </w:r>
          </w:p>
        </w:tc>
        <w:tc>
          <w:tcPr>
            <w:tcW w:w="705" w:type="pct"/>
            <w:vAlign w:val="center"/>
          </w:tcPr>
          <w:p w14:paraId="263C6511" w14:textId="0FE0967B"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202</w:t>
            </w:r>
            <w:r w:rsidR="00FA2E5D" w:rsidRPr="007502C7">
              <w:rPr>
                <w:rFonts w:cs="Arial"/>
                <w:color w:val="FFFFFF" w:themeColor="background1"/>
                <w:sz w:val="22"/>
              </w:rPr>
              <w:t>7</w:t>
            </w:r>
            <w:r w:rsidR="007502C7">
              <w:rPr>
                <w:rFonts w:cs="Arial"/>
                <w:color w:val="FFFFFF" w:themeColor="background1"/>
                <w:sz w:val="22"/>
              </w:rPr>
              <w:t xml:space="preserve"> г.</w:t>
            </w:r>
          </w:p>
        </w:tc>
        <w:tc>
          <w:tcPr>
            <w:tcW w:w="784" w:type="pct"/>
            <w:noWrap/>
            <w:vAlign w:val="center"/>
            <w:hideMark/>
          </w:tcPr>
          <w:p w14:paraId="75FE15D0" w14:textId="77777777" w:rsidR="00BB3153" w:rsidRPr="007502C7" w:rsidRDefault="00BB3153" w:rsidP="00BB315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502C7">
              <w:rPr>
                <w:rFonts w:cs="Arial"/>
                <w:color w:val="FFFFFF" w:themeColor="background1"/>
                <w:sz w:val="22"/>
              </w:rPr>
              <w:t>Общо</w:t>
            </w:r>
          </w:p>
        </w:tc>
      </w:tr>
      <w:tr w:rsidR="00015650" w:rsidRPr="00F32C9D" w14:paraId="2F33BB95" w14:textId="77777777" w:rsidTr="009963CE">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1366" w:type="pct"/>
            <w:shd w:val="clear" w:color="auto" w:fill="auto"/>
            <w:noWrap/>
            <w:hideMark/>
          </w:tcPr>
          <w:p w14:paraId="19AB8B2E" w14:textId="7FB9EE08" w:rsidR="00015650" w:rsidRPr="007502C7" w:rsidRDefault="00015650" w:rsidP="00015650">
            <w:pPr>
              <w:spacing w:after="0" w:line="240" w:lineRule="auto"/>
              <w:rPr>
                <w:rFonts w:cs="Arial"/>
                <w:b w:val="0"/>
                <w:bCs w:val="0"/>
                <w:color w:val="000000"/>
                <w:sz w:val="22"/>
              </w:rPr>
            </w:pPr>
            <w:r w:rsidRPr="007502C7">
              <w:rPr>
                <w:rFonts w:cs="Arial"/>
                <w:color w:val="000000"/>
                <w:sz w:val="22"/>
              </w:rPr>
              <w:t>Реконструкция на Източен кей</w:t>
            </w:r>
          </w:p>
        </w:tc>
        <w:tc>
          <w:tcPr>
            <w:tcW w:w="634" w:type="pct"/>
            <w:shd w:val="clear" w:color="auto" w:fill="auto"/>
            <w:noWrap/>
            <w:vAlign w:val="center"/>
            <w:hideMark/>
          </w:tcPr>
          <w:p w14:paraId="5B70655A" w14:textId="4DD4FB58"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015650">
              <w:rPr>
                <w:rFonts w:cs="Arial"/>
                <w:sz w:val="20"/>
                <w:szCs w:val="20"/>
              </w:rPr>
              <w:t>119</w:t>
            </w:r>
            <w:r>
              <w:rPr>
                <w:rFonts w:cs="Arial"/>
                <w:sz w:val="20"/>
                <w:szCs w:val="20"/>
                <w:lang w:val="en-GB"/>
              </w:rPr>
              <w:t> </w:t>
            </w:r>
            <w:r w:rsidRPr="00015650">
              <w:rPr>
                <w:rFonts w:cs="Arial"/>
                <w:sz w:val="20"/>
                <w:szCs w:val="20"/>
              </w:rPr>
              <w:t>299</w:t>
            </w:r>
          </w:p>
        </w:tc>
        <w:tc>
          <w:tcPr>
            <w:tcW w:w="732" w:type="pct"/>
            <w:shd w:val="clear" w:color="auto" w:fill="auto"/>
            <w:noWrap/>
            <w:hideMark/>
          </w:tcPr>
          <w:p w14:paraId="0207DA1D"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01ED07B0" w14:textId="01645B95"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15</w:t>
            </w:r>
            <w:r>
              <w:rPr>
                <w:rFonts w:cs="Arial"/>
                <w:sz w:val="20"/>
                <w:szCs w:val="20"/>
                <w:lang w:val="en-GB"/>
              </w:rPr>
              <w:t> </w:t>
            </w:r>
            <w:r w:rsidRPr="009963CE">
              <w:rPr>
                <w:rFonts w:cs="Arial"/>
                <w:sz w:val="20"/>
                <w:szCs w:val="20"/>
              </w:rPr>
              <w:t>544</w:t>
            </w:r>
            <w:r>
              <w:rPr>
                <w:rFonts w:cs="Arial"/>
                <w:sz w:val="20"/>
                <w:szCs w:val="20"/>
                <w:lang w:val="en-GB"/>
              </w:rPr>
              <w:t xml:space="preserve"> </w:t>
            </w:r>
            <w:r w:rsidRPr="009963CE">
              <w:rPr>
                <w:rFonts w:cs="Arial"/>
                <w:sz w:val="20"/>
                <w:szCs w:val="20"/>
              </w:rPr>
              <w:t>55</w:t>
            </w:r>
          </w:p>
        </w:tc>
        <w:tc>
          <w:tcPr>
            <w:tcW w:w="779" w:type="pct"/>
            <w:shd w:val="clear" w:color="auto" w:fill="auto"/>
          </w:tcPr>
          <w:p w14:paraId="3D3B6635"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7D4CA42E" w14:textId="021A0EF7"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9 809 176</w:t>
            </w:r>
          </w:p>
        </w:tc>
        <w:tc>
          <w:tcPr>
            <w:tcW w:w="705" w:type="pct"/>
            <w:shd w:val="clear" w:color="auto" w:fill="auto"/>
          </w:tcPr>
          <w:p w14:paraId="293E9D9E" w14:textId="77777777" w:rsid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lang w:val="en-GB"/>
              </w:rPr>
            </w:pPr>
          </w:p>
          <w:p w14:paraId="0043703A" w14:textId="3CBCD72C"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0"/>
                <w:szCs w:val="20"/>
              </w:rPr>
            </w:pPr>
            <w:r w:rsidRPr="009963CE">
              <w:rPr>
                <w:rFonts w:cs="Arial"/>
                <w:sz w:val="20"/>
                <w:szCs w:val="20"/>
              </w:rPr>
              <w:t>2 930 242</w:t>
            </w:r>
          </w:p>
        </w:tc>
        <w:tc>
          <w:tcPr>
            <w:tcW w:w="784" w:type="pct"/>
            <w:shd w:val="clear" w:color="auto" w:fill="auto"/>
            <w:noWrap/>
            <w:vAlign w:val="center"/>
            <w:hideMark/>
          </w:tcPr>
          <w:p w14:paraId="363520AF" w14:textId="3397963A" w:rsidR="00015650" w:rsidRPr="00015650" w:rsidRDefault="00015650" w:rsidP="00015650">
            <w:pPr>
              <w:spacing w:before="0"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GB"/>
              </w:rPr>
            </w:pPr>
            <w:r w:rsidRPr="00015650">
              <w:rPr>
                <w:rFonts w:cs="Arial"/>
                <w:color w:val="000000"/>
                <w:sz w:val="20"/>
                <w:szCs w:val="20"/>
              </w:rPr>
              <w:t>14 413 173</w:t>
            </w:r>
          </w:p>
        </w:tc>
      </w:tr>
    </w:tbl>
    <w:p w14:paraId="6EB01B78" w14:textId="2079EA0F" w:rsidR="00F32C9D" w:rsidRPr="007502C7" w:rsidRDefault="00F32C9D" w:rsidP="00F32C9D">
      <w:pPr>
        <w:tabs>
          <w:tab w:val="left" w:pos="1134"/>
        </w:tabs>
        <w:suppressAutoHyphens/>
        <w:spacing w:after="120"/>
        <w:jc w:val="both"/>
        <w:rPr>
          <w:rFonts w:ascii="Times New Roman" w:eastAsia="Times New Roman" w:hAnsi="Times New Roman" w:cs="Times New Roman"/>
          <w:i/>
          <w:sz w:val="18"/>
          <w:szCs w:val="18"/>
          <w:lang w:eastAsia="ar-SA"/>
        </w:rPr>
      </w:pPr>
      <w:r w:rsidRPr="007502C7">
        <w:rPr>
          <w:rFonts w:ascii="Times New Roman" w:eastAsia="Times New Roman" w:hAnsi="Times New Roman" w:cs="Times New Roman"/>
          <w:i/>
          <w:sz w:val="18"/>
          <w:szCs w:val="18"/>
          <w:lang w:eastAsia="ar-SA"/>
        </w:rPr>
        <w:t>Източник:</w:t>
      </w:r>
      <w:r w:rsidRPr="007502C7">
        <w:rPr>
          <w:rFonts w:ascii="Times New Roman" w:eastAsia="Times New Roman" w:hAnsi="Times New Roman" w:cs="Times New Roman"/>
          <w:i/>
          <w:sz w:val="18"/>
          <w:szCs w:val="18"/>
          <w:lang w:eastAsia="ar-SA"/>
        </w:rPr>
        <w:tab/>
        <w:t>П</w:t>
      </w:r>
      <w:r w:rsidR="00FF0D3F" w:rsidRPr="007502C7">
        <w:rPr>
          <w:rFonts w:ascii="Times New Roman" w:eastAsia="Times New Roman" w:hAnsi="Times New Roman" w:cs="Times New Roman"/>
          <w:i/>
          <w:sz w:val="18"/>
          <w:szCs w:val="18"/>
          <w:lang w:eastAsia="ar-SA"/>
        </w:rPr>
        <w:t>И</w:t>
      </w:r>
      <w:r w:rsidRPr="007502C7">
        <w:rPr>
          <w:rFonts w:ascii="Times New Roman" w:eastAsia="Times New Roman" w:hAnsi="Times New Roman" w:cs="Times New Roman"/>
          <w:i/>
          <w:sz w:val="18"/>
          <w:szCs w:val="18"/>
          <w:lang w:eastAsia="ar-SA"/>
        </w:rPr>
        <w:t>П и собствени изчисления</w:t>
      </w:r>
    </w:p>
    <w:p w14:paraId="70FC1C3A" w14:textId="77777777" w:rsidR="002501DC" w:rsidRPr="005B57A1" w:rsidRDefault="002501DC" w:rsidP="00F32C9D">
      <w:pPr>
        <w:tabs>
          <w:tab w:val="left" w:pos="1134"/>
        </w:tabs>
        <w:suppressAutoHyphens/>
        <w:spacing w:after="120"/>
        <w:jc w:val="both"/>
        <w:rPr>
          <w:rFonts w:eastAsia="Times New Roman" w:cs="Arial"/>
          <w:sz w:val="16"/>
          <w:szCs w:val="16"/>
          <w:highlight w:val="yellow"/>
          <w:lang w:eastAsia="ar-SA"/>
        </w:rPr>
      </w:pPr>
    </w:p>
    <w:p w14:paraId="751AAA59" w14:textId="77777777" w:rsidR="00F42E46" w:rsidRPr="00472802" w:rsidRDefault="00F42E46" w:rsidP="00472802">
      <w:pPr>
        <w:pStyle w:val="Heading2"/>
        <w:numPr>
          <w:ilvl w:val="1"/>
          <w:numId w:val="3"/>
        </w:numPr>
        <w:ind w:left="1080" w:hanging="540"/>
        <w:rPr>
          <w:szCs w:val="24"/>
          <w:lang w:val="bg-BG"/>
        </w:rPr>
      </w:pPr>
      <w:bookmarkStart w:id="280" w:name="_Toc27069038"/>
      <w:bookmarkStart w:id="281" w:name="_Toc434229762"/>
      <w:bookmarkStart w:id="282" w:name="_Toc143694187"/>
      <w:bookmarkEnd w:id="280"/>
      <w:r w:rsidRPr="00472802">
        <w:rPr>
          <w:szCs w:val="24"/>
          <w:lang w:val="bg-BG"/>
        </w:rPr>
        <w:t>Остатъчна стойност на активите</w:t>
      </w:r>
      <w:bookmarkEnd w:id="281"/>
      <w:bookmarkEnd w:id="282"/>
    </w:p>
    <w:p w14:paraId="1B061DEF" w14:textId="77777777" w:rsidR="00117E34" w:rsidRPr="0025050B"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 xml:space="preserve">За определяне пълната стойност на приходите в разчетите за финансовия анализ е необходимо да се определи размерът на остатъчната стойност на активите или величината на инвестициите, която остава за ползване при Бенефициента след периода на прогнозата, за която е направен Финансовия анализ. Използван е Методът на </w:t>
      </w:r>
      <w:r>
        <w:rPr>
          <w:rFonts w:eastAsia="Calibri" w:cs="Arial"/>
          <w:color w:val="000000"/>
        </w:rPr>
        <w:t>амортизационната стойност, при която неамортизираните активи, след периода на прогнозата, в зависимост от местното законодателство или приета практика за икономическия живот на активите</w:t>
      </w:r>
      <w:r w:rsidR="00BC6311">
        <w:rPr>
          <w:rFonts w:eastAsia="Calibri" w:cs="Arial"/>
          <w:color w:val="000000"/>
        </w:rPr>
        <w:t>, остават за използване и продължават да носят ползи за Бенефициента</w:t>
      </w:r>
      <w:r w:rsidRPr="0025050B">
        <w:rPr>
          <w:rFonts w:eastAsia="Calibri" w:cs="Arial"/>
          <w:color w:val="000000"/>
        </w:rPr>
        <w:t>.</w:t>
      </w:r>
    </w:p>
    <w:p w14:paraId="54B70834" w14:textId="35F9B1EB" w:rsidR="00117E34" w:rsidRPr="0025050B"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Както вече беше споменато, периодът</w:t>
      </w:r>
      <w:r>
        <w:rPr>
          <w:rFonts w:eastAsia="Calibri" w:cs="Arial"/>
          <w:color w:val="000000"/>
        </w:rPr>
        <w:t xml:space="preserve"> на прогнозата е 25</w:t>
      </w:r>
      <w:r w:rsidRPr="0025050B">
        <w:rPr>
          <w:rFonts w:eastAsia="Calibri" w:cs="Arial"/>
          <w:color w:val="000000"/>
        </w:rPr>
        <w:t xml:space="preserve"> години, като от тях 2</w:t>
      </w:r>
      <w:r w:rsidR="00905EB3" w:rsidRPr="009963CE">
        <w:rPr>
          <w:rFonts w:eastAsia="Calibri" w:cs="Arial"/>
          <w:color w:val="000000"/>
        </w:rPr>
        <w:t>1</w:t>
      </w:r>
      <w:r w:rsidRPr="0025050B">
        <w:rPr>
          <w:rFonts w:eastAsia="Calibri" w:cs="Arial"/>
          <w:color w:val="000000"/>
        </w:rPr>
        <w:t xml:space="preserve"> години реално ще се ползват активите, обект на този проект.</w:t>
      </w:r>
    </w:p>
    <w:p w14:paraId="0CC29D71" w14:textId="77777777" w:rsidR="00117E34" w:rsidRDefault="00117E34" w:rsidP="00117E34">
      <w:pPr>
        <w:suppressAutoHyphens/>
        <w:autoSpaceDN w:val="0"/>
        <w:spacing w:before="60" w:after="60"/>
        <w:jc w:val="both"/>
        <w:textAlignment w:val="baseline"/>
        <w:rPr>
          <w:rFonts w:eastAsia="Calibri" w:cs="Arial"/>
          <w:color w:val="000000"/>
        </w:rPr>
      </w:pPr>
      <w:r w:rsidRPr="0025050B">
        <w:rPr>
          <w:rFonts w:eastAsia="Calibri" w:cs="Arial"/>
          <w:color w:val="000000"/>
        </w:rPr>
        <w:t>Получената остатъчна стойност за проекта е представена в следващата таблица:</w:t>
      </w:r>
    </w:p>
    <w:p w14:paraId="32565851" w14:textId="3277431E" w:rsidR="00117E34" w:rsidRPr="00765764" w:rsidRDefault="00117E34" w:rsidP="00117E34">
      <w:pPr>
        <w:tabs>
          <w:tab w:val="left" w:pos="1418"/>
        </w:tabs>
        <w:spacing w:before="60" w:after="60"/>
        <w:jc w:val="both"/>
        <w:rPr>
          <w:rFonts w:cs="Arial"/>
          <w:i/>
          <w:sz w:val="22"/>
        </w:rPr>
      </w:pPr>
      <w:bookmarkStart w:id="283" w:name="_Toc17409906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502C7">
        <w:rPr>
          <w:rFonts w:cs="Arial"/>
          <w:bCs/>
          <w:i/>
          <w:noProof/>
          <w:sz w:val="22"/>
        </w:rPr>
        <w:t>15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117E34">
        <w:rPr>
          <w:rFonts w:eastAsia="Calibri" w:cs="Arial"/>
          <w:i/>
          <w:color w:val="000000"/>
          <w:sz w:val="22"/>
          <w:lang w:eastAsia="en-US"/>
        </w:rPr>
        <w:t xml:space="preserve">Остатъчна стойност в </w:t>
      </w:r>
      <w:r w:rsidR="00BB3153">
        <w:rPr>
          <w:rFonts w:eastAsia="Calibri" w:cs="Arial"/>
          <w:i/>
          <w:color w:val="000000"/>
          <w:sz w:val="22"/>
          <w:lang w:val="en-US" w:eastAsia="en-US"/>
        </w:rPr>
        <w:t>EUR</w:t>
      </w:r>
      <w:bookmarkEnd w:id="283"/>
    </w:p>
    <w:tbl>
      <w:tblPr>
        <w:tblStyle w:val="LightList-Accent111"/>
        <w:tblW w:w="7640" w:type="dxa"/>
        <w:tblLayout w:type="fixed"/>
        <w:tblLook w:val="04A0" w:firstRow="1" w:lastRow="0" w:firstColumn="1" w:lastColumn="0" w:noHBand="0" w:noVBand="1"/>
      </w:tblPr>
      <w:tblGrid>
        <w:gridCol w:w="3159"/>
        <w:gridCol w:w="2210"/>
        <w:gridCol w:w="2271"/>
      </w:tblGrid>
      <w:tr w:rsidR="009F3AE9" w:rsidRPr="009F3AE9" w14:paraId="556518F3" w14:textId="77777777" w:rsidTr="005B57A1">
        <w:trPr>
          <w:cnfStyle w:val="100000000000" w:firstRow="1" w:lastRow="0" w:firstColumn="0" w:lastColumn="0" w:oddVBand="0" w:evenVBand="0" w:oddHBand="0" w:evenHBand="0" w:firstRowFirstColumn="0" w:firstRowLastColumn="0" w:lastRowFirstColumn="0" w:lastRowLastColumn="0"/>
          <w:trHeight w:val="639"/>
        </w:trPr>
        <w:tc>
          <w:tcPr>
            <w:cnfStyle w:val="001000000000" w:firstRow="0" w:lastRow="0" w:firstColumn="1" w:lastColumn="0" w:oddVBand="0" w:evenVBand="0" w:oddHBand="0" w:evenHBand="0" w:firstRowFirstColumn="0" w:firstRowLastColumn="0" w:lastRowFirstColumn="0" w:lastRowLastColumn="0"/>
            <w:tcW w:w="3159" w:type="dxa"/>
            <w:hideMark/>
          </w:tcPr>
          <w:p w14:paraId="3586F078" w14:textId="77777777" w:rsidR="00117E34" w:rsidRPr="005B57A1" w:rsidRDefault="00117E34" w:rsidP="00C36518">
            <w:pPr>
              <w:spacing w:before="60" w:after="60"/>
              <w:jc w:val="center"/>
              <w:rPr>
                <w:rFonts w:eastAsia="Calibri" w:cs="Arial"/>
                <w:b w:val="0"/>
                <w:bCs w:val="0"/>
                <w:color w:val="FFFFFF" w:themeColor="background1"/>
                <w:sz w:val="22"/>
              </w:rPr>
            </w:pPr>
            <w:r w:rsidRPr="005B57A1">
              <w:rPr>
                <w:rFonts w:eastAsia="Calibri" w:cs="Arial"/>
                <w:color w:val="FFFFFF" w:themeColor="background1"/>
                <w:sz w:val="22"/>
              </w:rPr>
              <w:t>Наименование на показателя</w:t>
            </w:r>
          </w:p>
        </w:tc>
        <w:tc>
          <w:tcPr>
            <w:tcW w:w="2210" w:type="dxa"/>
            <w:hideMark/>
          </w:tcPr>
          <w:p w14:paraId="14C40BA8" w14:textId="793397C9" w:rsidR="00117E34" w:rsidRPr="005B57A1" w:rsidRDefault="008C0DD7" w:rsidP="00D566C2">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cs="Arial"/>
                <w:b w:val="0"/>
                <w:bCs w:val="0"/>
                <w:color w:val="FFFFFF" w:themeColor="background1"/>
                <w:sz w:val="22"/>
              </w:rPr>
            </w:pPr>
            <w:r w:rsidRPr="005B57A1">
              <w:rPr>
                <w:rFonts w:eastAsia="Calibri" w:cs="Arial"/>
                <w:color w:val="FFFFFF" w:themeColor="background1"/>
                <w:sz w:val="22"/>
              </w:rPr>
              <w:t>Д</w:t>
            </w:r>
            <w:r w:rsidR="00117E34" w:rsidRPr="005B57A1">
              <w:rPr>
                <w:rFonts w:eastAsia="Calibri" w:cs="Arial"/>
                <w:color w:val="FFFFFF" w:themeColor="background1"/>
                <w:sz w:val="22"/>
              </w:rPr>
              <w:t>исконтирана стойност</w:t>
            </w:r>
          </w:p>
        </w:tc>
        <w:tc>
          <w:tcPr>
            <w:tcW w:w="2271" w:type="dxa"/>
            <w:hideMark/>
          </w:tcPr>
          <w:p w14:paraId="3FFFDA43" w14:textId="4B5301FA" w:rsidR="00117E34" w:rsidRPr="005B57A1" w:rsidRDefault="008C0DD7" w:rsidP="00D566C2">
            <w:pPr>
              <w:spacing w:before="60" w:after="60"/>
              <w:jc w:val="center"/>
              <w:cnfStyle w:val="100000000000" w:firstRow="1" w:lastRow="0" w:firstColumn="0" w:lastColumn="0" w:oddVBand="0" w:evenVBand="0" w:oddHBand="0" w:evenHBand="0" w:firstRowFirstColumn="0" w:firstRowLastColumn="0" w:lastRowFirstColumn="0" w:lastRowLastColumn="0"/>
              <w:rPr>
                <w:rFonts w:eastAsia="Calibri" w:cs="Arial"/>
                <w:b w:val="0"/>
                <w:bCs w:val="0"/>
                <w:color w:val="FFFFFF" w:themeColor="background1"/>
                <w:sz w:val="22"/>
              </w:rPr>
            </w:pPr>
            <w:r w:rsidRPr="005B57A1">
              <w:rPr>
                <w:rFonts w:eastAsia="Calibri" w:cs="Arial"/>
                <w:color w:val="FFFFFF" w:themeColor="background1"/>
                <w:sz w:val="22"/>
              </w:rPr>
              <w:t>Нед</w:t>
            </w:r>
            <w:r w:rsidR="00117E34" w:rsidRPr="005B57A1">
              <w:rPr>
                <w:rFonts w:eastAsia="Calibri" w:cs="Arial"/>
                <w:color w:val="FFFFFF" w:themeColor="background1"/>
                <w:sz w:val="22"/>
              </w:rPr>
              <w:t>исконтирана стойност</w:t>
            </w:r>
          </w:p>
        </w:tc>
      </w:tr>
      <w:tr w:rsidR="00015650" w:rsidRPr="0025050B" w14:paraId="25C70CE8" w14:textId="77777777" w:rsidTr="009963CE">
        <w:trPr>
          <w:cnfStyle w:val="000000100000" w:firstRow="0" w:lastRow="0" w:firstColumn="0" w:lastColumn="0" w:oddVBand="0" w:evenVBand="0" w:oddHBand="1" w:evenHBand="0" w:firstRowFirstColumn="0" w:firstRowLastColumn="0" w:lastRowFirstColumn="0" w:lastRowLastColumn="0"/>
          <w:trHeight w:val="445"/>
        </w:trPr>
        <w:tc>
          <w:tcPr>
            <w:cnfStyle w:val="001000000000" w:firstRow="0" w:lastRow="0" w:firstColumn="1" w:lastColumn="0" w:oddVBand="0" w:evenVBand="0" w:oddHBand="0" w:evenHBand="0" w:firstRowFirstColumn="0" w:firstRowLastColumn="0" w:lastRowFirstColumn="0" w:lastRowLastColumn="0"/>
            <w:tcW w:w="3159" w:type="dxa"/>
            <w:shd w:val="clear" w:color="auto" w:fill="auto"/>
            <w:vAlign w:val="center"/>
            <w:hideMark/>
          </w:tcPr>
          <w:p w14:paraId="227B0F9A" w14:textId="77777777" w:rsidR="00015650" w:rsidRPr="005B57A1" w:rsidRDefault="00015650" w:rsidP="00015650">
            <w:pPr>
              <w:spacing w:line="240" w:lineRule="auto"/>
              <w:jc w:val="center"/>
              <w:rPr>
                <w:rFonts w:eastAsia="Calibri" w:cs="Arial"/>
                <w:color w:val="000000"/>
                <w:sz w:val="22"/>
              </w:rPr>
            </w:pPr>
            <w:r w:rsidRPr="005B57A1">
              <w:rPr>
                <w:rFonts w:eastAsia="Calibri" w:cs="Arial"/>
                <w:color w:val="000000"/>
                <w:sz w:val="22"/>
              </w:rPr>
              <w:t>Остатъчна стойност</w:t>
            </w:r>
          </w:p>
        </w:tc>
        <w:tc>
          <w:tcPr>
            <w:tcW w:w="2210" w:type="dxa"/>
            <w:shd w:val="clear" w:color="auto" w:fill="auto"/>
          </w:tcPr>
          <w:p w14:paraId="66123AF2" w14:textId="774AC675" w:rsidR="00015650" w:rsidRPr="005B57A1" w:rsidRDefault="00015650" w:rsidP="0001565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color w:val="000000"/>
                <w:sz w:val="22"/>
              </w:rPr>
            </w:pPr>
            <w:r w:rsidRPr="00471756">
              <w:t>2 414 441,24</w:t>
            </w:r>
          </w:p>
        </w:tc>
        <w:tc>
          <w:tcPr>
            <w:tcW w:w="2271" w:type="dxa"/>
            <w:shd w:val="clear" w:color="auto" w:fill="auto"/>
          </w:tcPr>
          <w:p w14:paraId="646C3200" w14:textId="0AAC5DAF" w:rsidR="00015650" w:rsidRPr="005B57A1" w:rsidRDefault="00015650" w:rsidP="00015650">
            <w:pPr>
              <w:spacing w:line="240" w:lineRule="auto"/>
              <w:jc w:val="center"/>
              <w:cnfStyle w:val="000000100000" w:firstRow="0" w:lastRow="0" w:firstColumn="0" w:lastColumn="0" w:oddVBand="0" w:evenVBand="0" w:oddHBand="1" w:evenHBand="0" w:firstRowFirstColumn="0" w:firstRowLastColumn="0" w:lastRowFirstColumn="0" w:lastRowLastColumn="0"/>
              <w:rPr>
                <w:rFonts w:eastAsia="Calibri" w:cs="Arial"/>
                <w:color w:val="000000"/>
                <w:sz w:val="22"/>
                <w:highlight w:val="yellow"/>
              </w:rPr>
            </w:pPr>
            <w:r w:rsidRPr="00471756">
              <w:t>8 176 155,03</w:t>
            </w:r>
          </w:p>
        </w:tc>
      </w:tr>
    </w:tbl>
    <w:p w14:paraId="6046F121" w14:textId="77777777" w:rsidR="00117E34" w:rsidRPr="005B57A1" w:rsidRDefault="00117E34" w:rsidP="00117E3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5B57A1">
        <w:rPr>
          <w:rFonts w:ascii="Times New Roman" w:eastAsia="Times New Roman" w:hAnsi="Times New Roman" w:cs="Times New Roman"/>
          <w:i/>
          <w:sz w:val="18"/>
          <w:szCs w:val="18"/>
          <w:lang w:eastAsia="ar-SA"/>
        </w:rPr>
        <w:t xml:space="preserve">  Източник:</w:t>
      </w:r>
      <w:r w:rsidRPr="005B57A1">
        <w:rPr>
          <w:rFonts w:ascii="Times New Roman" w:eastAsia="Times New Roman" w:hAnsi="Times New Roman" w:cs="Times New Roman"/>
          <w:i/>
          <w:sz w:val="18"/>
          <w:szCs w:val="18"/>
          <w:lang w:eastAsia="ar-SA"/>
        </w:rPr>
        <w:tab/>
        <w:t>модел към Vademecum, 2021 и собствени изчисления</w:t>
      </w:r>
    </w:p>
    <w:p w14:paraId="3ABFBDE0" w14:textId="77777777" w:rsidR="00F42E46" w:rsidRPr="00472802" w:rsidRDefault="00F42E46" w:rsidP="00472802">
      <w:pPr>
        <w:pStyle w:val="Heading2"/>
        <w:numPr>
          <w:ilvl w:val="1"/>
          <w:numId w:val="3"/>
        </w:numPr>
        <w:ind w:left="1080" w:hanging="540"/>
        <w:rPr>
          <w:szCs w:val="24"/>
          <w:lang w:val="bg-BG"/>
        </w:rPr>
      </w:pPr>
      <w:bookmarkStart w:id="284" w:name="_Toc434229763"/>
      <w:bookmarkStart w:id="285" w:name="_Toc143694188"/>
      <w:r w:rsidRPr="00472802">
        <w:rPr>
          <w:szCs w:val="24"/>
          <w:lang w:val="bg-BG"/>
        </w:rPr>
        <w:t xml:space="preserve">Разходи за експлоатация и </w:t>
      </w:r>
      <w:bookmarkEnd w:id="284"/>
      <w:r w:rsidR="0090014A" w:rsidRPr="00472802">
        <w:rPr>
          <w:szCs w:val="24"/>
          <w:lang w:val="bg-BG"/>
        </w:rPr>
        <w:t>поддържане</w:t>
      </w:r>
      <w:bookmarkEnd w:id="285"/>
    </w:p>
    <w:p w14:paraId="68E406BA" w14:textId="2667E4B0" w:rsidR="00F42E46" w:rsidRPr="00117E34" w:rsidRDefault="00F42E46" w:rsidP="00472802">
      <w:pPr>
        <w:pStyle w:val="Heading3"/>
        <w:numPr>
          <w:ilvl w:val="2"/>
          <w:numId w:val="3"/>
        </w:numPr>
        <w:spacing w:before="240"/>
        <w:jc w:val="both"/>
        <w:rPr>
          <w:rFonts w:cs="Arial"/>
          <w:sz w:val="22"/>
          <w:szCs w:val="22"/>
        </w:rPr>
      </w:pPr>
      <w:bookmarkStart w:id="286" w:name="_Toc434229764"/>
      <w:bookmarkStart w:id="287" w:name="_Toc94191728"/>
      <w:bookmarkStart w:id="288" w:name="_Toc143694189"/>
      <w:r w:rsidRPr="00117E34">
        <w:rPr>
          <w:rFonts w:cs="Arial"/>
          <w:sz w:val="22"/>
          <w:szCs w:val="22"/>
        </w:rPr>
        <w:lastRenderedPageBreak/>
        <w:t>Методика за прогнозиране на разходите за ЕиП</w:t>
      </w:r>
      <w:bookmarkEnd w:id="286"/>
      <w:bookmarkEnd w:id="287"/>
      <w:bookmarkEnd w:id="288"/>
    </w:p>
    <w:p w14:paraId="0EE2EAEF" w14:textId="77777777" w:rsidR="00117E34" w:rsidRDefault="00117E34" w:rsidP="00117E34">
      <w:pPr>
        <w:spacing w:after="0" w:line="240" w:lineRule="auto"/>
        <w:rPr>
          <w:rFonts w:cs="Arial"/>
        </w:rPr>
      </w:pPr>
    </w:p>
    <w:p w14:paraId="325B92BD" w14:textId="77777777" w:rsidR="00117E34" w:rsidRDefault="00117E34" w:rsidP="00C36518">
      <w:pPr>
        <w:jc w:val="both"/>
        <w:rPr>
          <w:rFonts w:cs="Arial"/>
        </w:rPr>
      </w:pPr>
      <w:r w:rsidRPr="00BD59FD">
        <w:rPr>
          <w:rFonts w:cs="Arial"/>
        </w:rPr>
        <w:t xml:space="preserve">За определяне на разходите за експлоатация и поддръжка </w:t>
      </w:r>
      <w:r>
        <w:rPr>
          <w:rFonts w:cs="Arial"/>
        </w:rPr>
        <w:t>са използвани исторически данни от ОПР на Бенефециента ДППИ</w:t>
      </w:r>
      <w:r w:rsidR="00BC6311">
        <w:rPr>
          <w:rFonts w:cs="Arial"/>
        </w:rPr>
        <w:t xml:space="preserve"> и допускания за техния размер, след реализация на проекта, направени в ПП</w:t>
      </w:r>
      <w:r>
        <w:rPr>
          <w:rFonts w:cs="Arial"/>
        </w:rPr>
        <w:t xml:space="preserve">. </w:t>
      </w:r>
    </w:p>
    <w:p w14:paraId="5F4CE6BF" w14:textId="42A2C34E" w:rsidR="009F3AE9" w:rsidRPr="00C36518" w:rsidRDefault="00117E34">
      <w:pPr>
        <w:rPr>
          <w:rFonts w:cs="Arial"/>
        </w:rPr>
      </w:pPr>
      <w:r>
        <w:rPr>
          <w:rFonts w:cs="Arial"/>
        </w:rPr>
        <w:t>Основните стъпки в приложената методология</w:t>
      </w:r>
      <w:r w:rsidR="00C36518">
        <w:rPr>
          <w:rFonts w:cs="Arial"/>
        </w:rPr>
        <w:t xml:space="preserve"> са показани в следващата схема:</w:t>
      </w:r>
    </w:p>
    <w:p w14:paraId="27F3822F" w14:textId="7EE07FB7" w:rsidR="0000532D" w:rsidRDefault="00854303" w:rsidP="005B57A1">
      <w:pPr>
        <w:rPr>
          <w:rFonts w:eastAsia="Times New Roman" w:cs="Arial"/>
          <w:i/>
          <w:sz w:val="22"/>
          <w:lang w:eastAsia="ar-SA"/>
        </w:rPr>
      </w:pPr>
      <w:bookmarkStart w:id="289" w:name="_Toc174099099"/>
      <w:r w:rsidRPr="002E1E19">
        <w:rPr>
          <w:rFonts w:cs="Arial"/>
          <w:bCs/>
          <w:i/>
          <w:iCs/>
          <w:sz w:val="22"/>
        </w:rPr>
        <w:t xml:space="preserve">Фигура </w:t>
      </w:r>
      <w:r w:rsidR="004C6150">
        <w:rPr>
          <w:rFonts w:cs="Arial"/>
          <w:bCs/>
          <w:i/>
          <w:iCs/>
          <w:sz w:val="22"/>
        </w:rPr>
        <w:fldChar w:fldCharType="begin"/>
      </w:r>
      <w:r w:rsidR="004C6150">
        <w:rPr>
          <w:rFonts w:cs="Arial"/>
          <w:bCs/>
          <w:i/>
          <w:iCs/>
          <w:sz w:val="22"/>
        </w:rPr>
        <w:instrText xml:space="preserve"> SEQ Фигура \* ARABIC </w:instrText>
      </w:r>
      <w:r w:rsidR="004C6150">
        <w:rPr>
          <w:rFonts w:cs="Arial"/>
          <w:bCs/>
          <w:i/>
          <w:iCs/>
          <w:sz w:val="22"/>
        </w:rPr>
        <w:fldChar w:fldCharType="separate"/>
      </w:r>
      <w:r w:rsidR="005B57A1">
        <w:rPr>
          <w:rFonts w:cs="Arial"/>
          <w:bCs/>
          <w:i/>
          <w:iCs/>
          <w:noProof/>
          <w:sz w:val="22"/>
        </w:rPr>
        <w:t>14</w:t>
      </w:r>
      <w:r w:rsidR="004C6150">
        <w:rPr>
          <w:rFonts w:cs="Arial"/>
          <w:bCs/>
          <w:i/>
          <w:iCs/>
          <w:sz w:val="22"/>
        </w:rPr>
        <w:fldChar w:fldCharType="end"/>
      </w:r>
      <w:r w:rsidR="0000532D" w:rsidRPr="002E1E19">
        <w:rPr>
          <w:rFonts w:eastAsia="Times New Roman" w:cs="Arial"/>
          <w:i/>
          <w:sz w:val="22"/>
          <w:lang w:eastAsia="ar-SA"/>
        </w:rPr>
        <w:tab/>
        <w:t>Основни етапи при определяне и прогнозиране на разходите за ЕиП</w:t>
      </w:r>
      <w:bookmarkEnd w:id="289"/>
    </w:p>
    <w:p w14:paraId="43D604D7" w14:textId="77777777" w:rsidR="00F42E46" w:rsidRDefault="00A975C0" w:rsidP="00A975C0">
      <w:pPr>
        <w:spacing w:after="0" w:line="240" w:lineRule="auto"/>
        <w:rPr>
          <w:rFonts w:eastAsia="Times New Roman" w:cs="Arial"/>
          <w:sz w:val="22"/>
          <w:lang w:eastAsia="ar-SA"/>
        </w:rPr>
      </w:pPr>
      <w:r w:rsidRPr="002E1E19">
        <w:rPr>
          <w:rFonts w:eastAsia="Times New Roman" w:cs="Arial"/>
          <w:noProof/>
          <w:color w:val="000000"/>
          <w:lang w:val="en-US" w:eastAsia="en-US"/>
        </w:rPr>
        <w:drawing>
          <wp:anchor distT="0" distB="0" distL="114300" distR="114300" simplePos="0" relativeHeight="251667456" behindDoc="0" locked="0" layoutInCell="1" allowOverlap="1" wp14:anchorId="5B99634C" wp14:editId="26834097">
            <wp:simplePos x="0" y="0"/>
            <wp:positionH relativeFrom="column">
              <wp:posOffset>-30480</wp:posOffset>
            </wp:positionH>
            <wp:positionV relativeFrom="paragraph">
              <wp:posOffset>77470</wp:posOffset>
            </wp:positionV>
            <wp:extent cx="4730115" cy="2775585"/>
            <wp:effectExtent l="38100" t="57150" r="89535" b="43815"/>
            <wp:wrapTopAndBottom/>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14:sizeRelH relativeFrom="page">
              <wp14:pctWidth>0</wp14:pctWidth>
            </wp14:sizeRelH>
            <wp14:sizeRelV relativeFrom="page">
              <wp14:pctHeight>0</wp14:pctHeight>
            </wp14:sizeRelV>
          </wp:anchor>
        </w:drawing>
      </w:r>
    </w:p>
    <w:p w14:paraId="68A3A2A6" w14:textId="77777777" w:rsidR="00117E34" w:rsidRPr="00BD59FD" w:rsidRDefault="00117E34" w:rsidP="00117E34">
      <w:pPr>
        <w:spacing w:before="60" w:after="60"/>
        <w:jc w:val="both"/>
        <w:rPr>
          <w:rFonts w:cs="Arial"/>
        </w:rPr>
      </w:pPr>
      <w:r w:rsidRPr="00BD59FD">
        <w:rPr>
          <w:rFonts w:cs="Arial"/>
        </w:rPr>
        <w:t xml:space="preserve">На етапа на събиране на входящите данни </w:t>
      </w:r>
      <w:r>
        <w:rPr>
          <w:rFonts w:cs="Arial"/>
        </w:rPr>
        <w:t xml:space="preserve">от ДППИ </w:t>
      </w:r>
      <w:r w:rsidRPr="00BD59FD">
        <w:rPr>
          <w:rFonts w:cs="Arial"/>
        </w:rPr>
        <w:t>са извършени следните дейности:</w:t>
      </w:r>
    </w:p>
    <w:p w14:paraId="68A39F9B" w14:textId="792B53FC" w:rsidR="00117E34" w:rsidRPr="00934B1C" w:rsidRDefault="00117E34" w:rsidP="00AA673B">
      <w:pPr>
        <w:pStyle w:val="ListParagraph"/>
        <w:numPr>
          <w:ilvl w:val="0"/>
          <w:numId w:val="24"/>
        </w:numPr>
        <w:spacing w:after="60"/>
        <w:jc w:val="both"/>
        <w:rPr>
          <w:rFonts w:ascii="Arial" w:hAnsi="Arial" w:cs="Arial"/>
          <w:strike/>
        </w:rPr>
      </w:pPr>
      <w:r w:rsidRPr="00117E34">
        <w:rPr>
          <w:rFonts w:ascii="Arial" w:hAnsi="Arial" w:cs="Arial"/>
        </w:rPr>
        <w:t xml:space="preserve">Събрани са исторически данни за разходите за експлоатация и поддържане на ДППИ. Историческите данни са предоставени от Възложителя ДППИ за последните </w:t>
      </w:r>
      <w:r w:rsidR="00905EB3" w:rsidRPr="009963CE">
        <w:rPr>
          <w:rFonts w:ascii="Arial" w:hAnsi="Arial" w:cs="Arial"/>
        </w:rPr>
        <w:t>5</w:t>
      </w:r>
      <w:r w:rsidRPr="00117E34">
        <w:rPr>
          <w:rFonts w:ascii="Arial" w:hAnsi="Arial" w:cs="Arial"/>
        </w:rPr>
        <w:t xml:space="preserve"> години по видове разходи и по морски и речни пристанища </w:t>
      </w:r>
      <w:r w:rsidR="00295576" w:rsidRPr="00934B1C">
        <w:rPr>
          <w:rFonts w:ascii="Arial" w:hAnsi="Arial" w:cs="Arial"/>
        </w:rPr>
        <w:t>държавна собственост</w:t>
      </w:r>
      <w:r w:rsidR="00295576">
        <w:rPr>
          <w:rFonts w:ascii="Arial" w:hAnsi="Arial" w:cs="Arial"/>
        </w:rPr>
        <w:t>;</w:t>
      </w:r>
    </w:p>
    <w:p w14:paraId="682EED53" w14:textId="77777777" w:rsidR="00117E34" w:rsidRPr="00A8156D" w:rsidRDefault="00117E34" w:rsidP="00AA673B">
      <w:pPr>
        <w:pStyle w:val="ListParagraph"/>
        <w:numPr>
          <w:ilvl w:val="0"/>
          <w:numId w:val="25"/>
        </w:numPr>
        <w:spacing w:after="60"/>
        <w:jc w:val="both"/>
        <w:rPr>
          <w:rFonts w:ascii="Arial" w:hAnsi="Arial" w:cs="Arial"/>
        </w:rPr>
      </w:pPr>
      <w:r w:rsidRPr="00A8156D">
        <w:rPr>
          <w:rFonts w:ascii="Arial" w:hAnsi="Arial" w:cs="Arial"/>
        </w:rPr>
        <w:t>Направен е преглед на нормативната уредба с цел корекция на групите разходи и най-вече на променливите разходи и тяхното съответствие с преките разходи, допустими за някои от събираните административни такси</w:t>
      </w:r>
      <w:r>
        <w:rPr>
          <w:rFonts w:ascii="Arial" w:hAnsi="Arial" w:cs="Arial"/>
        </w:rPr>
        <w:t>;</w:t>
      </w:r>
      <w:r w:rsidRPr="00A8156D">
        <w:rPr>
          <w:rFonts w:ascii="Arial" w:hAnsi="Arial" w:cs="Arial"/>
        </w:rPr>
        <w:t xml:space="preserve"> </w:t>
      </w:r>
    </w:p>
    <w:p w14:paraId="6B537832" w14:textId="77777777" w:rsidR="00117E34" w:rsidRPr="00A8156D" w:rsidRDefault="00117E34" w:rsidP="00AA673B">
      <w:pPr>
        <w:pStyle w:val="ListParagraph"/>
        <w:numPr>
          <w:ilvl w:val="0"/>
          <w:numId w:val="25"/>
        </w:numPr>
        <w:spacing w:after="60"/>
        <w:jc w:val="both"/>
        <w:rPr>
          <w:rFonts w:ascii="Arial" w:hAnsi="Arial" w:cs="Arial"/>
        </w:rPr>
      </w:pPr>
      <w:r w:rsidRPr="00A8156D">
        <w:rPr>
          <w:rFonts w:ascii="Arial" w:hAnsi="Arial" w:cs="Arial"/>
        </w:rPr>
        <w:t>Сравнителният анализ за достоверност е направен на база данни за разходите за експлоатация и поддържане за цялото предприятие  и техните стойности специално за пристанище Лом.</w:t>
      </w:r>
    </w:p>
    <w:p w14:paraId="0CFEC9A7" w14:textId="77777777" w:rsidR="009F3AE9" w:rsidRDefault="009F3AE9" w:rsidP="00117E34">
      <w:pPr>
        <w:spacing w:before="60" w:after="60"/>
        <w:jc w:val="both"/>
        <w:rPr>
          <w:rFonts w:cs="Arial"/>
        </w:rPr>
      </w:pPr>
    </w:p>
    <w:p w14:paraId="7C36F758" w14:textId="77838E80" w:rsidR="00117E34" w:rsidRPr="00BD59FD" w:rsidRDefault="00117E34" w:rsidP="00117E34">
      <w:pPr>
        <w:spacing w:before="60" w:after="60"/>
        <w:jc w:val="both"/>
        <w:rPr>
          <w:rFonts w:cs="Arial"/>
        </w:rPr>
      </w:pPr>
      <w:r w:rsidRPr="00BD59FD">
        <w:rPr>
          <w:rFonts w:cs="Arial"/>
        </w:rPr>
        <w:lastRenderedPageBreak/>
        <w:t>Анализите на разходите, на база те</w:t>
      </w:r>
      <w:r w:rsidR="00FC2D23">
        <w:rPr>
          <w:rFonts w:cs="Arial"/>
        </w:rPr>
        <w:t>зи данни имат за цел да определят</w:t>
      </w:r>
      <w:r w:rsidRPr="00BD59FD">
        <w:rPr>
          <w:rFonts w:cs="Arial"/>
        </w:rPr>
        <w:t xml:space="preserve"> нивото на разходите, тяхната структура и динамика във времето.</w:t>
      </w:r>
    </w:p>
    <w:p w14:paraId="63BBDB6F" w14:textId="68B9BE0B" w:rsidR="00117E34" w:rsidRDefault="00117E34" w:rsidP="00C36518">
      <w:pPr>
        <w:spacing w:before="60" w:after="60"/>
        <w:jc w:val="both"/>
        <w:rPr>
          <w:rFonts w:cs="Arial"/>
        </w:rPr>
      </w:pPr>
      <w:r w:rsidRPr="00383920">
        <w:rPr>
          <w:rFonts w:cs="Arial"/>
        </w:rPr>
        <w:t xml:space="preserve">От анализа на данните за разходите по видове се вижда, че Разходи за заплати и осигуровки са вид „постоянен“ разход, както и разходите за поддръжка на </w:t>
      </w:r>
      <w:r>
        <w:rPr>
          <w:rFonts w:cs="Arial"/>
        </w:rPr>
        <w:t>активите, за това тези две групи разходи са приети за постоянни, а останалите за променливи разходи.</w:t>
      </w:r>
    </w:p>
    <w:p w14:paraId="38DE23E4" w14:textId="77777777" w:rsidR="00911412" w:rsidRDefault="00911412" w:rsidP="00911412">
      <w:pPr>
        <w:pStyle w:val="ListParagraph"/>
        <w:suppressAutoHyphens/>
        <w:spacing w:after="60"/>
        <w:ind w:left="709"/>
        <w:jc w:val="both"/>
        <w:rPr>
          <w:rFonts w:ascii="Arial" w:hAnsi="Arial" w:cs="Arial"/>
          <w:sz w:val="22"/>
          <w:lang w:eastAsia="ar-SA"/>
        </w:rPr>
      </w:pPr>
    </w:p>
    <w:p w14:paraId="3D13B141" w14:textId="77777777" w:rsidR="00F42E46" w:rsidRPr="00117E34" w:rsidRDefault="00F42E46" w:rsidP="003E6A9D">
      <w:pPr>
        <w:pStyle w:val="Heading3"/>
        <w:numPr>
          <w:ilvl w:val="2"/>
          <w:numId w:val="3"/>
        </w:numPr>
        <w:spacing w:before="240" w:after="120"/>
        <w:ind w:left="1282"/>
        <w:jc w:val="both"/>
        <w:rPr>
          <w:rFonts w:cs="Arial"/>
          <w:sz w:val="22"/>
          <w:szCs w:val="22"/>
        </w:rPr>
      </w:pPr>
      <w:bookmarkStart w:id="290" w:name="_Toc94191729"/>
      <w:bookmarkStart w:id="291" w:name="_Toc143694190"/>
      <w:r w:rsidRPr="00117E34">
        <w:rPr>
          <w:rFonts w:cs="Arial"/>
          <w:sz w:val="22"/>
          <w:szCs w:val="22"/>
        </w:rPr>
        <w:t>Определяне на постоянните и променливи разходи за ЕиП</w:t>
      </w:r>
      <w:bookmarkEnd w:id="290"/>
      <w:bookmarkEnd w:id="291"/>
    </w:p>
    <w:p w14:paraId="3B28AEF3" w14:textId="77777777" w:rsidR="001E7455" w:rsidRPr="003E6A9D" w:rsidRDefault="00117E34" w:rsidP="001E7455">
      <w:pPr>
        <w:jc w:val="both"/>
        <w:rPr>
          <w:rFonts w:cs="Arial"/>
          <w:szCs w:val="24"/>
        </w:rPr>
      </w:pPr>
      <w:r>
        <w:rPr>
          <w:rFonts w:cs="Arial"/>
        </w:rPr>
        <w:t xml:space="preserve">За да се определят стойностите на постоянните и променливите разходи е необходимо да се съпоставят с извършената работа. В Предпроектното проучване </w:t>
      </w:r>
      <w:r w:rsidRPr="009F3AE9">
        <w:rPr>
          <w:rFonts w:cs="Arial"/>
        </w:rPr>
        <w:t xml:space="preserve">е извършена Прогноза за търсенето, където има исторически данни за  извършената работа, както общо за ДППИ, така и по пристанища </w:t>
      </w:r>
      <w:r w:rsidR="0070222D" w:rsidRPr="009F3AE9">
        <w:rPr>
          <w:rFonts w:cs="Arial"/>
        </w:rPr>
        <w:t>- държавна собственост</w:t>
      </w:r>
      <w:r w:rsidRPr="009F3AE9">
        <w:rPr>
          <w:rFonts w:cs="Arial"/>
        </w:rPr>
        <w:t xml:space="preserve">. </w:t>
      </w:r>
      <w:r w:rsidR="001E7455" w:rsidRPr="003E6A9D">
        <w:rPr>
          <w:rFonts w:cs="Arial"/>
          <w:szCs w:val="24"/>
        </w:rPr>
        <w:t>Направен е кратък анализ на разходите за ЕиП, за де се види тренда в развитието на отделните видове разходи. От графиката се вижда, че най-голям дял заемат разходите за поддръжка, което при огромната стойност на ДМА на предприятието е съвсем логично.</w:t>
      </w:r>
    </w:p>
    <w:p w14:paraId="22CC7519" w14:textId="77777777" w:rsidR="001E7455" w:rsidRPr="003E6A9D" w:rsidRDefault="001E7455" w:rsidP="001E7455">
      <w:pPr>
        <w:jc w:val="both"/>
        <w:rPr>
          <w:rFonts w:cs="Arial"/>
          <w:szCs w:val="24"/>
        </w:rPr>
      </w:pPr>
      <w:r w:rsidRPr="003E6A9D">
        <w:rPr>
          <w:rFonts w:cs="Arial"/>
          <w:szCs w:val="24"/>
        </w:rPr>
        <w:t>Използваните стойности за 2023 г. са прогнозни и са направени на база резултатите от деветмесечието на 2023 г.</w:t>
      </w:r>
    </w:p>
    <w:p w14:paraId="722AED87" w14:textId="4157AE1B" w:rsidR="009F3AE9" w:rsidRDefault="003E6A9D" w:rsidP="001E7455">
      <w:pPr>
        <w:jc w:val="both"/>
        <w:rPr>
          <w:rFonts w:ascii="Times New Roman" w:hAnsi="Times New Roman" w:cs="Times New Roman"/>
          <w:szCs w:val="24"/>
        </w:rPr>
      </w:pPr>
      <w:bookmarkStart w:id="292" w:name="_Toc174099100"/>
      <w:r>
        <w:rPr>
          <w:rFonts w:cs="Arial"/>
          <w:bCs/>
          <w:i/>
          <w:iCs/>
          <w:sz w:val="22"/>
        </w:rPr>
        <w:t>Графика</w:t>
      </w:r>
      <w:r w:rsidRPr="002E1E19">
        <w:rPr>
          <w:rFonts w:cs="Arial"/>
          <w:bCs/>
          <w:i/>
          <w:iCs/>
          <w:sz w:val="22"/>
        </w:rPr>
        <w:t xml:space="preserve"> </w:t>
      </w:r>
      <w:r>
        <w:rPr>
          <w:rFonts w:cs="Arial"/>
          <w:bCs/>
          <w:i/>
          <w:iCs/>
          <w:sz w:val="22"/>
        </w:rPr>
        <w:fldChar w:fldCharType="begin"/>
      </w:r>
      <w:r>
        <w:rPr>
          <w:rFonts w:cs="Arial"/>
          <w:bCs/>
          <w:i/>
          <w:iCs/>
          <w:sz w:val="22"/>
        </w:rPr>
        <w:instrText xml:space="preserve"> SEQ Фигура \* ARABIC </w:instrText>
      </w:r>
      <w:r>
        <w:rPr>
          <w:rFonts w:cs="Arial"/>
          <w:bCs/>
          <w:i/>
          <w:iCs/>
          <w:sz w:val="22"/>
        </w:rPr>
        <w:fldChar w:fldCharType="separate"/>
      </w:r>
      <w:r>
        <w:rPr>
          <w:rFonts w:cs="Arial"/>
          <w:bCs/>
          <w:i/>
          <w:iCs/>
          <w:noProof/>
          <w:sz w:val="22"/>
        </w:rPr>
        <w:t>15</w:t>
      </w:r>
      <w:r>
        <w:rPr>
          <w:rFonts w:cs="Arial"/>
          <w:bCs/>
          <w:i/>
          <w:iCs/>
          <w:sz w:val="22"/>
        </w:rPr>
        <w:fldChar w:fldCharType="end"/>
      </w:r>
      <w:r w:rsidRPr="002E1E19">
        <w:rPr>
          <w:rFonts w:eastAsia="Times New Roman" w:cs="Arial"/>
          <w:i/>
          <w:sz w:val="22"/>
          <w:lang w:eastAsia="ar-SA"/>
        </w:rPr>
        <w:tab/>
      </w:r>
      <w:r w:rsidRPr="003E6A9D">
        <w:rPr>
          <w:rFonts w:eastAsia="Times New Roman" w:cs="Arial"/>
          <w:i/>
          <w:sz w:val="22"/>
          <w:lang w:eastAsia="ar-SA"/>
        </w:rPr>
        <w:t>Динамика на разходите за ЕиП по видове</w:t>
      </w:r>
      <w:bookmarkEnd w:id="292"/>
    </w:p>
    <w:p w14:paraId="747CDDC0" w14:textId="77777777" w:rsidR="001E7455" w:rsidRPr="00E9473B" w:rsidRDefault="001E7455" w:rsidP="001E7455">
      <w:pPr>
        <w:spacing w:after="0"/>
        <w:jc w:val="both"/>
        <w:rPr>
          <w:rFonts w:ascii="Times New Roman" w:hAnsi="Times New Roman" w:cs="Times New Roman"/>
        </w:rPr>
      </w:pPr>
      <w:r w:rsidRPr="00ED477F">
        <w:rPr>
          <w:rFonts w:ascii="Times New Roman" w:hAnsi="Times New Roman" w:cs="Times New Roman"/>
          <w:noProof/>
          <w:lang w:val="en-US" w:eastAsia="en-US"/>
        </w:rPr>
        <w:drawing>
          <wp:inline distT="0" distB="0" distL="0" distR="0" wp14:anchorId="1E452C92" wp14:editId="5ECBB0CF">
            <wp:extent cx="4572000" cy="2743200"/>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75541099" w14:textId="77777777" w:rsidR="001E7455" w:rsidRPr="003E6A9D" w:rsidRDefault="001E7455" w:rsidP="001E7455">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3E6A9D">
        <w:rPr>
          <w:rFonts w:ascii="Times New Roman" w:eastAsia="Times New Roman" w:hAnsi="Times New Roman" w:cs="Times New Roman"/>
          <w:i/>
          <w:sz w:val="18"/>
          <w:szCs w:val="18"/>
          <w:lang w:eastAsia="ar-SA"/>
        </w:rPr>
        <w:t>Източник:</w:t>
      </w:r>
      <w:r w:rsidRPr="003E6A9D">
        <w:rPr>
          <w:rFonts w:ascii="Times New Roman" w:eastAsia="Times New Roman" w:hAnsi="Times New Roman" w:cs="Times New Roman"/>
          <w:i/>
          <w:sz w:val="18"/>
          <w:szCs w:val="18"/>
          <w:lang w:eastAsia="ar-SA"/>
        </w:rPr>
        <w:tab/>
        <w:t>ГФО на ДППИ за 2018, 2019,  2020, 2021 и 2022 г.</w:t>
      </w:r>
    </w:p>
    <w:p w14:paraId="69FA67FD" w14:textId="381819EE" w:rsidR="001E7455" w:rsidRPr="003E6A9D" w:rsidRDefault="001E7455" w:rsidP="001E7455">
      <w:pPr>
        <w:jc w:val="both"/>
        <w:rPr>
          <w:rFonts w:cs="Arial"/>
          <w:szCs w:val="24"/>
        </w:rPr>
      </w:pPr>
      <w:r w:rsidRPr="003E6A9D">
        <w:rPr>
          <w:rFonts w:cs="Arial"/>
          <w:szCs w:val="24"/>
        </w:rPr>
        <w:lastRenderedPageBreak/>
        <w:t>За да се мотивира определението на постоянните и променливите разходи е необходимо да се съпоставят с обработените товари. Историческите данни за обработените товари са взети от Предпроектното проучване, а за 2023 г. от последния междинен ГФО.</w:t>
      </w:r>
      <w:r w:rsidRPr="003E6A9D" w:rsidDel="006901A5">
        <w:rPr>
          <w:rFonts w:cs="Arial"/>
          <w:szCs w:val="24"/>
        </w:rPr>
        <w:t xml:space="preserve"> </w:t>
      </w:r>
    </w:p>
    <w:p w14:paraId="46745497" w14:textId="77777777" w:rsidR="001E7455" w:rsidRPr="003E6A9D" w:rsidRDefault="001E7455" w:rsidP="001E7455">
      <w:pPr>
        <w:jc w:val="both"/>
        <w:rPr>
          <w:rFonts w:cs="Arial"/>
          <w:sz w:val="22"/>
        </w:rPr>
      </w:pPr>
      <w:bookmarkStart w:id="293" w:name="_Toc159749162"/>
      <w:bookmarkStart w:id="294" w:name="_Toc174099101"/>
      <w:r w:rsidRPr="003E6A9D">
        <w:rPr>
          <w:rFonts w:cs="Arial"/>
          <w:bCs/>
          <w:i/>
          <w:iCs/>
          <w:sz w:val="22"/>
        </w:rPr>
        <w:t xml:space="preserve">Графика </w:t>
      </w:r>
      <w:r w:rsidRPr="003E6A9D">
        <w:rPr>
          <w:rFonts w:cs="Arial"/>
          <w:bCs/>
          <w:i/>
          <w:iCs/>
          <w:sz w:val="22"/>
        </w:rPr>
        <w:fldChar w:fldCharType="begin"/>
      </w:r>
      <w:r w:rsidRPr="003E6A9D">
        <w:rPr>
          <w:rFonts w:cs="Arial"/>
          <w:bCs/>
          <w:i/>
          <w:iCs/>
          <w:sz w:val="22"/>
        </w:rPr>
        <w:instrText xml:space="preserve"> SEQ Фигура \* ARABIC </w:instrText>
      </w:r>
      <w:r w:rsidRPr="003E6A9D">
        <w:rPr>
          <w:rFonts w:cs="Arial"/>
          <w:bCs/>
          <w:i/>
          <w:iCs/>
          <w:sz w:val="22"/>
        </w:rPr>
        <w:fldChar w:fldCharType="separate"/>
      </w:r>
      <w:r w:rsidR="003E6A9D">
        <w:rPr>
          <w:rFonts w:cs="Arial"/>
          <w:bCs/>
          <w:i/>
          <w:iCs/>
          <w:noProof/>
          <w:sz w:val="22"/>
        </w:rPr>
        <w:t>16</w:t>
      </w:r>
      <w:r w:rsidRPr="003E6A9D">
        <w:rPr>
          <w:rFonts w:cs="Arial"/>
          <w:bCs/>
          <w:i/>
          <w:iCs/>
          <w:sz w:val="22"/>
        </w:rPr>
        <w:fldChar w:fldCharType="end"/>
      </w:r>
      <w:r w:rsidRPr="003E6A9D">
        <w:rPr>
          <w:rFonts w:eastAsia="Times New Roman" w:cs="Arial"/>
          <w:i/>
          <w:sz w:val="22"/>
          <w:lang w:eastAsia="ar-SA"/>
        </w:rPr>
        <w:tab/>
        <w:t>Зависимост между разходите по видове и обработените товари</w:t>
      </w:r>
      <w:bookmarkEnd w:id="293"/>
      <w:bookmarkEnd w:id="294"/>
    </w:p>
    <w:p w14:paraId="77DDEC1C" w14:textId="77777777" w:rsidR="001E7455" w:rsidRPr="00E9473B" w:rsidRDefault="001E7455" w:rsidP="001E7455">
      <w:pPr>
        <w:jc w:val="both"/>
        <w:rPr>
          <w:rFonts w:ascii="Times New Roman" w:hAnsi="Times New Roman" w:cs="Times New Roman"/>
        </w:rPr>
      </w:pPr>
      <w:r w:rsidRPr="00ED477F">
        <w:rPr>
          <w:rFonts w:ascii="Times New Roman" w:hAnsi="Times New Roman" w:cs="Times New Roman"/>
          <w:noProof/>
          <w:lang w:val="en-US" w:eastAsia="en-US"/>
        </w:rPr>
        <w:drawing>
          <wp:inline distT="0" distB="0" distL="0" distR="0" wp14:anchorId="474AD1E3" wp14:editId="1C62BF65">
            <wp:extent cx="5195454" cy="2743200"/>
            <wp:effectExtent l="0" t="0" r="5715" b="0"/>
            <wp:docPr id="398776736"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7B7E469" w14:textId="77777777" w:rsidR="001E7455" w:rsidRPr="003E6A9D" w:rsidRDefault="001E7455" w:rsidP="001E7455">
      <w:pPr>
        <w:jc w:val="both"/>
        <w:rPr>
          <w:rFonts w:cs="Arial"/>
          <w:szCs w:val="24"/>
        </w:rPr>
      </w:pPr>
      <w:r w:rsidRPr="003E6A9D">
        <w:rPr>
          <w:rFonts w:cs="Arial"/>
          <w:szCs w:val="24"/>
        </w:rPr>
        <w:t xml:space="preserve">От графиката ясно се вижда, че средствата за работна  заплата и разходите за поддръжка, не завсият от обработените товари. Това се обяснява с тяхната зависимост от промяна на стойността на ДМА за разходите за поддръжка, броя на персонала и законови и/или постигнати други сопразумения за размера на работната заплата. </w:t>
      </w:r>
    </w:p>
    <w:p w14:paraId="04C25BE7" w14:textId="77777777" w:rsidR="001E7455" w:rsidRPr="003E6A9D" w:rsidRDefault="001E7455" w:rsidP="001E7455">
      <w:pPr>
        <w:spacing w:before="240"/>
        <w:jc w:val="both"/>
        <w:rPr>
          <w:rFonts w:cs="Arial"/>
          <w:szCs w:val="24"/>
        </w:rPr>
      </w:pPr>
      <w:r w:rsidRPr="003E6A9D">
        <w:rPr>
          <w:rFonts w:cs="Arial"/>
          <w:szCs w:val="24"/>
        </w:rPr>
        <w:t>На база анализът за стойностите по видове разходи  и  обработените товари са определени следните единични стойности за разходите:</w:t>
      </w:r>
    </w:p>
    <w:p w14:paraId="2F4C5289" w14:textId="77777777" w:rsidR="001E7455" w:rsidRPr="003E6A9D" w:rsidRDefault="001E7455" w:rsidP="001E7455">
      <w:pPr>
        <w:tabs>
          <w:tab w:val="left" w:pos="1418"/>
        </w:tabs>
        <w:spacing w:before="60" w:after="60"/>
        <w:jc w:val="both"/>
        <w:rPr>
          <w:rFonts w:cs="Arial"/>
          <w:i/>
          <w:sz w:val="22"/>
        </w:rPr>
      </w:pPr>
      <w:bookmarkStart w:id="295" w:name="_Toc159749105"/>
      <w:bookmarkStart w:id="296" w:name="_Toc174099061"/>
      <w:r w:rsidRPr="003E6A9D">
        <w:rPr>
          <w:rFonts w:cs="Arial"/>
          <w:bCs/>
          <w:i/>
          <w:sz w:val="22"/>
        </w:rPr>
        <w:t xml:space="preserve">Таблица </w:t>
      </w:r>
      <w:r w:rsidRPr="003E6A9D">
        <w:rPr>
          <w:rFonts w:cs="Arial"/>
          <w:b/>
          <w:bCs/>
          <w:i/>
          <w:iCs/>
          <w:sz w:val="22"/>
        </w:rPr>
        <w:fldChar w:fldCharType="begin"/>
      </w:r>
      <w:r w:rsidRPr="003E6A9D">
        <w:rPr>
          <w:rFonts w:cs="Arial"/>
          <w:bCs/>
          <w:i/>
          <w:sz w:val="22"/>
        </w:rPr>
        <w:instrText xml:space="preserve"> SEQ Таблица \* ARABIC </w:instrText>
      </w:r>
      <w:r w:rsidRPr="003E6A9D">
        <w:rPr>
          <w:rFonts w:cs="Arial"/>
          <w:b/>
          <w:bCs/>
          <w:i/>
          <w:iCs/>
          <w:sz w:val="22"/>
        </w:rPr>
        <w:fldChar w:fldCharType="separate"/>
      </w:r>
      <w:r w:rsidR="003E6A9D">
        <w:rPr>
          <w:rFonts w:cs="Arial"/>
          <w:bCs/>
          <w:i/>
          <w:noProof/>
          <w:sz w:val="22"/>
        </w:rPr>
        <w:t>16</w:t>
      </w:r>
      <w:r w:rsidRPr="003E6A9D">
        <w:rPr>
          <w:rFonts w:cs="Arial"/>
          <w:b/>
          <w:bCs/>
          <w:i/>
          <w:iCs/>
          <w:sz w:val="22"/>
        </w:rPr>
        <w:fldChar w:fldCharType="end"/>
      </w:r>
      <w:r w:rsidRPr="003E6A9D">
        <w:rPr>
          <w:rFonts w:cs="Arial"/>
          <w:bCs/>
          <w:i/>
          <w:sz w:val="22"/>
        </w:rPr>
        <w:t xml:space="preserve"> </w:t>
      </w:r>
      <w:r w:rsidRPr="003E6A9D">
        <w:rPr>
          <w:rFonts w:eastAsia="Calibri" w:cs="Arial"/>
          <w:i/>
          <w:color w:val="000000"/>
          <w:sz w:val="22"/>
          <w:lang w:eastAsia="en-US"/>
        </w:rPr>
        <w:t xml:space="preserve"> Единични стойности на променливите разходи за ЕиП в </w:t>
      </w:r>
      <w:r w:rsidRPr="003E6A9D">
        <w:rPr>
          <w:rFonts w:eastAsia="Calibri" w:cs="Arial"/>
          <w:i/>
          <w:color w:val="000000"/>
          <w:sz w:val="22"/>
          <w:lang w:val="en-US" w:eastAsia="en-US"/>
        </w:rPr>
        <w:t>EUR</w:t>
      </w:r>
      <w:r w:rsidRPr="009963CE">
        <w:rPr>
          <w:rFonts w:eastAsia="Calibri" w:cs="Arial"/>
          <w:i/>
          <w:color w:val="000000"/>
          <w:sz w:val="22"/>
          <w:lang w:eastAsia="en-US"/>
        </w:rPr>
        <w:t>/</w:t>
      </w:r>
      <w:r w:rsidRPr="003E6A9D">
        <w:rPr>
          <w:rFonts w:eastAsia="Calibri" w:cs="Arial"/>
          <w:i/>
          <w:color w:val="000000"/>
          <w:sz w:val="22"/>
          <w:lang w:eastAsia="en-US"/>
        </w:rPr>
        <w:t>тон</w:t>
      </w:r>
      <w:bookmarkEnd w:id="295"/>
      <w:bookmarkEnd w:id="296"/>
    </w:p>
    <w:tbl>
      <w:tblPr>
        <w:tblStyle w:val="LightList-Accent111"/>
        <w:tblW w:w="9077" w:type="dxa"/>
        <w:tblLook w:val="04A0" w:firstRow="1" w:lastRow="0" w:firstColumn="1" w:lastColumn="0" w:noHBand="0" w:noVBand="1"/>
      </w:tblPr>
      <w:tblGrid>
        <w:gridCol w:w="4150"/>
        <w:gridCol w:w="1525"/>
        <w:gridCol w:w="1701"/>
        <w:gridCol w:w="1701"/>
      </w:tblGrid>
      <w:tr w:rsidR="001E7455" w:rsidRPr="009F3AE9" w14:paraId="6E1F49EA" w14:textId="77777777" w:rsidTr="003E6A9D">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vAlign w:val="center"/>
            <w:hideMark/>
          </w:tcPr>
          <w:p w14:paraId="1E070C4A" w14:textId="77777777" w:rsidR="001E7455" w:rsidRPr="003E6A9D" w:rsidRDefault="001E7455" w:rsidP="003E6A9D">
            <w:pPr>
              <w:jc w:val="center"/>
              <w:rPr>
                <w:rFonts w:cs="Arial"/>
                <w:b w:val="0"/>
                <w:sz w:val="22"/>
              </w:rPr>
            </w:pPr>
            <w:r w:rsidRPr="003E6A9D">
              <w:rPr>
                <w:rFonts w:cs="Arial"/>
                <w:sz w:val="22"/>
              </w:rPr>
              <w:t>Вид разход</w:t>
            </w:r>
          </w:p>
        </w:tc>
        <w:tc>
          <w:tcPr>
            <w:tcW w:w="1525" w:type="dxa"/>
            <w:noWrap/>
            <w:vAlign w:val="center"/>
            <w:hideMark/>
          </w:tcPr>
          <w:p w14:paraId="0F6F4768"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lang w:val="en-US"/>
              </w:rPr>
            </w:pPr>
            <w:r w:rsidRPr="003E6A9D">
              <w:rPr>
                <w:rFonts w:cs="Arial"/>
                <w:sz w:val="22"/>
              </w:rPr>
              <w:t>в хил. Е</w:t>
            </w:r>
            <w:r w:rsidRPr="003E6A9D">
              <w:rPr>
                <w:rFonts w:cs="Arial"/>
                <w:sz w:val="22"/>
                <w:lang w:val="en-US"/>
              </w:rPr>
              <w:t>UR</w:t>
            </w:r>
          </w:p>
        </w:tc>
        <w:tc>
          <w:tcPr>
            <w:tcW w:w="1701" w:type="dxa"/>
            <w:noWrap/>
            <w:vAlign w:val="center"/>
            <w:hideMark/>
          </w:tcPr>
          <w:p w14:paraId="3B131010" w14:textId="338FF430"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655C00E4"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Без проект</w:t>
            </w:r>
          </w:p>
        </w:tc>
        <w:tc>
          <w:tcPr>
            <w:tcW w:w="1701" w:type="dxa"/>
            <w:vAlign w:val="center"/>
          </w:tcPr>
          <w:p w14:paraId="159B04D2" w14:textId="3497A8C2"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7714A588"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  проект</w:t>
            </w:r>
          </w:p>
        </w:tc>
      </w:tr>
      <w:tr w:rsidR="001E7455" w:rsidRPr="009F3AE9" w14:paraId="4EA4D5DA"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41638B6C" w14:textId="77777777" w:rsidR="001E7455" w:rsidRPr="003E6A9D" w:rsidRDefault="001E7455" w:rsidP="00BB0022">
            <w:pPr>
              <w:spacing w:after="0" w:line="240" w:lineRule="auto"/>
              <w:rPr>
                <w:rFonts w:cs="Arial"/>
                <w:color w:val="000000"/>
                <w:sz w:val="22"/>
              </w:rPr>
            </w:pPr>
            <w:r w:rsidRPr="003E6A9D">
              <w:rPr>
                <w:rFonts w:cs="Arial"/>
                <w:color w:val="000000"/>
                <w:sz w:val="22"/>
              </w:rPr>
              <w:t>Материали</w:t>
            </w:r>
          </w:p>
        </w:tc>
        <w:tc>
          <w:tcPr>
            <w:tcW w:w="1525" w:type="dxa"/>
            <w:noWrap/>
            <w:hideMark/>
          </w:tcPr>
          <w:p w14:paraId="22E879FD"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color w:val="000000"/>
                <w:sz w:val="22"/>
              </w:rPr>
              <w:t>858</w:t>
            </w:r>
          </w:p>
        </w:tc>
        <w:tc>
          <w:tcPr>
            <w:tcW w:w="1701" w:type="dxa"/>
            <w:noWrap/>
            <w:hideMark/>
          </w:tcPr>
          <w:p w14:paraId="4B9CAAE3"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color w:val="000000"/>
                <w:sz w:val="22"/>
              </w:rPr>
              <w:t>0,0287</w:t>
            </w:r>
          </w:p>
        </w:tc>
        <w:tc>
          <w:tcPr>
            <w:tcW w:w="1701" w:type="dxa"/>
          </w:tcPr>
          <w:p w14:paraId="5454A759"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color w:val="000000"/>
                <w:sz w:val="22"/>
              </w:rPr>
              <w:t>0,0287</w:t>
            </w:r>
          </w:p>
        </w:tc>
      </w:tr>
      <w:tr w:rsidR="001E7455" w:rsidRPr="009F3AE9" w14:paraId="4C7A9E62" w14:textId="77777777" w:rsidTr="003E6A9D">
        <w:trPr>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24ACE1D7" w14:textId="77777777" w:rsidR="001E7455" w:rsidRPr="003E6A9D" w:rsidRDefault="001E7455" w:rsidP="00BB0022">
            <w:pPr>
              <w:spacing w:after="0" w:line="240" w:lineRule="auto"/>
              <w:rPr>
                <w:rFonts w:cs="Arial"/>
                <w:color w:val="000000"/>
                <w:sz w:val="22"/>
              </w:rPr>
            </w:pPr>
            <w:r w:rsidRPr="003E6A9D">
              <w:rPr>
                <w:rFonts w:cs="Arial"/>
                <w:color w:val="000000"/>
                <w:sz w:val="22"/>
              </w:rPr>
              <w:t>Външни услуги</w:t>
            </w:r>
          </w:p>
        </w:tc>
        <w:tc>
          <w:tcPr>
            <w:tcW w:w="1525" w:type="dxa"/>
            <w:noWrap/>
            <w:hideMark/>
          </w:tcPr>
          <w:p w14:paraId="1760C030"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color w:val="000000"/>
                <w:sz w:val="22"/>
              </w:rPr>
              <w:t>6 607</w:t>
            </w:r>
          </w:p>
        </w:tc>
        <w:tc>
          <w:tcPr>
            <w:tcW w:w="1701" w:type="dxa"/>
            <w:noWrap/>
            <w:hideMark/>
          </w:tcPr>
          <w:p w14:paraId="75B9A50F"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color w:val="000000"/>
                <w:sz w:val="22"/>
              </w:rPr>
              <w:t>0,2215</w:t>
            </w:r>
          </w:p>
        </w:tc>
        <w:tc>
          <w:tcPr>
            <w:tcW w:w="1701" w:type="dxa"/>
          </w:tcPr>
          <w:p w14:paraId="6DFE366B" w14:textId="77777777" w:rsidR="001E7455" w:rsidRPr="003E6A9D" w:rsidRDefault="001E7455" w:rsidP="00BB0022">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sz w:val="22"/>
                <w:highlight w:val="yellow"/>
              </w:rPr>
            </w:pPr>
            <w:r w:rsidRPr="003E6A9D">
              <w:rPr>
                <w:rFonts w:cs="Arial"/>
                <w:color w:val="000000"/>
                <w:sz w:val="22"/>
              </w:rPr>
              <w:t>0,2215</w:t>
            </w:r>
          </w:p>
        </w:tc>
      </w:tr>
      <w:tr w:rsidR="001E7455" w:rsidRPr="009F3AE9" w14:paraId="57D1FBB0"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171AE4A7" w14:textId="77777777" w:rsidR="001E7455" w:rsidRPr="003E6A9D" w:rsidRDefault="001E7455" w:rsidP="00BB0022">
            <w:pPr>
              <w:spacing w:after="0" w:line="240" w:lineRule="auto"/>
              <w:rPr>
                <w:rFonts w:cs="Arial"/>
                <w:color w:val="000000"/>
                <w:sz w:val="22"/>
              </w:rPr>
            </w:pPr>
            <w:r w:rsidRPr="003E6A9D">
              <w:rPr>
                <w:rFonts w:cs="Arial"/>
                <w:color w:val="000000"/>
                <w:sz w:val="22"/>
              </w:rPr>
              <w:t>Административни разходи</w:t>
            </w:r>
          </w:p>
        </w:tc>
        <w:tc>
          <w:tcPr>
            <w:tcW w:w="1525" w:type="dxa"/>
            <w:noWrap/>
            <w:hideMark/>
          </w:tcPr>
          <w:p w14:paraId="7DC2A658"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1 046</w:t>
            </w:r>
          </w:p>
        </w:tc>
        <w:tc>
          <w:tcPr>
            <w:tcW w:w="1701" w:type="dxa"/>
            <w:noWrap/>
            <w:hideMark/>
          </w:tcPr>
          <w:p w14:paraId="2F746958"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0,0351</w:t>
            </w:r>
          </w:p>
        </w:tc>
        <w:tc>
          <w:tcPr>
            <w:tcW w:w="1701" w:type="dxa"/>
          </w:tcPr>
          <w:p w14:paraId="1FFA13B0" w14:textId="77777777" w:rsidR="001E7455" w:rsidRPr="003E6A9D" w:rsidRDefault="001E7455" w:rsidP="00BB0022">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sz w:val="22"/>
              </w:rPr>
              <w:t>0,0351</w:t>
            </w:r>
          </w:p>
        </w:tc>
      </w:tr>
    </w:tbl>
    <w:p w14:paraId="2DB163FC" w14:textId="77777777" w:rsidR="001E7455" w:rsidRPr="00420BD9" w:rsidRDefault="001E7455" w:rsidP="001E7455">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420BD9">
        <w:rPr>
          <w:rFonts w:ascii="Times New Roman" w:eastAsia="Times New Roman" w:hAnsi="Times New Roman" w:cs="Times New Roman"/>
          <w:i/>
          <w:sz w:val="18"/>
          <w:szCs w:val="18"/>
          <w:lang w:eastAsia="ar-SA"/>
        </w:rPr>
        <w:t>Източник:</w:t>
      </w:r>
      <w:r w:rsidRPr="00420BD9">
        <w:rPr>
          <w:rFonts w:ascii="Times New Roman" w:eastAsia="Times New Roman" w:hAnsi="Times New Roman" w:cs="Times New Roman"/>
          <w:i/>
          <w:sz w:val="18"/>
          <w:szCs w:val="18"/>
          <w:lang w:eastAsia="ar-SA"/>
        </w:rPr>
        <w:tab/>
        <w:t>ГФО на ДППИ и собствени изчисления</w:t>
      </w:r>
    </w:p>
    <w:p w14:paraId="0955743F" w14:textId="77777777" w:rsidR="001E7455" w:rsidRPr="00ED477F" w:rsidRDefault="001E7455" w:rsidP="001E7455">
      <w:pPr>
        <w:spacing w:before="240"/>
        <w:jc w:val="both"/>
        <w:rPr>
          <w:rFonts w:ascii="Times New Roman" w:hAnsi="Times New Roman" w:cs="Times New Roman"/>
          <w:szCs w:val="24"/>
        </w:rPr>
      </w:pPr>
      <w:r w:rsidRPr="00ED477F">
        <w:rPr>
          <w:rFonts w:ascii="Times New Roman" w:hAnsi="Times New Roman" w:cs="Times New Roman"/>
          <w:szCs w:val="24"/>
        </w:rPr>
        <w:lastRenderedPageBreak/>
        <w:t>За размера на постоянните разходи за поддръжка е направено допускането, че те</w:t>
      </w:r>
      <w:r w:rsidRPr="009963CE">
        <w:rPr>
          <w:rFonts w:ascii="Times New Roman" w:hAnsi="Times New Roman" w:cs="Times New Roman"/>
          <w:szCs w:val="24"/>
        </w:rPr>
        <w:t xml:space="preserve"> </w:t>
      </w:r>
      <w:r w:rsidRPr="00ED477F">
        <w:rPr>
          <w:rFonts w:ascii="Times New Roman" w:hAnsi="Times New Roman" w:cs="Times New Roman"/>
          <w:szCs w:val="24"/>
        </w:rPr>
        <w:t xml:space="preserve">също няма да се променят в резултат от реализацията на проекта. </w:t>
      </w:r>
    </w:p>
    <w:p w14:paraId="2E59431E" w14:textId="77777777" w:rsidR="001E7455" w:rsidRPr="009963CE" w:rsidRDefault="001E7455" w:rsidP="001E7455">
      <w:pPr>
        <w:tabs>
          <w:tab w:val="left" w:pos="1418"/>
        </w:tabs>
        <w:spacing w:before="60" w:after="60"/>
        <w:jc w:val="both"/>
        <w:rPr>
          <w:rFonts w:cs="Arial"/>
          <w:i/>
          <w:sz w:val="22"/>
        </w:rPr>
      </w:pPr>
      <w:bookmarkStart w:id="297" w:name="_Toc159749106"/>
      <w:bookmarkStart w:id="298" w:name="_Toc174099062"/>
      <w:r w:rsidRPr="003E6A9D">
        <w:rPr>
          <w:rFonts w:cs="Arial"/>
          <w:bCs/>
          <w:i/>
          <w:sz w:val="22"/>
        </w:rPr>
        <w:t xml:space="preserve">Таблица </w:t>
      </w:r>
      <w:r w:rsidRPr="003E6A9D">
        <w:rPr>
          <w:rFonts w:cs="Arial"/>
          <w:b/>
          <w:bCs/>
          <w:i/>
          <w:iCs/>
          <w:sz w:val="22"/>
        </w:rPr>
        <w:fldChar w:fldCharType="begin"/>
      </w:r>
      <w:r w:rsidRPr="003E6A9D">
        <w:rPr>
          <w:rFonts w:cs="Arial"/>
          <w:bCs/>
          <w:i/>
          <w:sz w:val="22"/>
        </w:rPr>
        <w:instrText xml:space="preserve"> SEQ Таблица \* ARABIC </w:instrText>
      </w:r>
      <w:r w:rsidRPr="003E6A9D">
        <w:rPr>
          <w:rFonts w:cs="Arial"/>
          <w:b/>
          <w:bCs/>
          <w:i/>
          <w:iCs/>
          <w:sz w:val="22"/>
        </w:rPr>
        <w:fldChar w:fldCharType="separate"/>
      </w:r>
      <w:r w:rsidR="003E6A9D">
        <w:rPr>
          <w:rFonts w:cs="Arial"/>
          <w:bCs/>
          <w:i/>
          <w:noProof/>
          <w:sz w:val="22"/>
        </w:rPr>
        <w:t>17</w:t>
      </w:r>
      <w:r w:rsidRPr="003E6A9D">
        <w:rPr>
          <w:rFonts w:cs="Arial"/>
          <w:b/>
          <w:bCs/>
          <w:i/>
          <w:iCs/>
          <w:sz w:val="22"/>
        </w:rPr>
        <w:fldChar w:fldCharType="end"/>
      </w:r>
      <w:r w:rsidRPr="003E6A9D">
        <w:rPr>
          <w:rFonts w:cs="Arial"/>
          <w:bCs/>
          <w:i/>
          <w:sz w:val="22"/>
        </w:rPr>
        <w:t xml:space="preserve"> </w:t>
      </w:r>
      <w:r w:rsidRPr="003E6A9D">
        <w:rPr>
          <w:rFonts w:eastAsia="Calibri" w:cs="Arial"/>
          <w:i/>
          <w:color w:val="000000"/>
          <w:sz w:val="22"/>
          <w:lang w:eastAsia="en-US"/>
        </w:rPr>
        <w:t xml:space="preserve"> Постоянни разходи за ЕиП в </w:t>
      </w:r>
      <w:r w:rsidRPr="003E6A9D">
        <w:rPr>
          <w:rFonts w:eastAsia="Calibri" w:cs="Arial"/>
          <w:i/>
          <w:color w:val="000000"/>
          <w:sz w:val="22"/>
          <w:lang w:val="en-US" w:eastAsia="en-US"/>
        </w:rPr>
        <w:t>EUR</w:t>
      </w:r>
      <w:bookmarkEnd w:id="297"/>
      <w:bookmarkEnd w:id="298"/>
    </w:p>
    <w:tbl>
      <w:tblPr>
        <w:tblStyle w:val="LightList-Accent111"/>
        <w:tblW w:w="7552" w:type="dxa"/>
        <w:tblLook w:val="04A0" w:firstRow="1" w:lastRow="0" w:firstColumn="1" w:lastColumn="0" w:noHBand="0" w:noVBand="1"/>
      </w:tblPr>
      <w:tblGrid>
        <w:gridCol w:w="4150"/>
        <w:gridCol w:w="1701"/>
        <w:gridCol w:w="1701"/>
      </w:tblGrid>
      <w:tr w:rsidR="001E7455" w:rsidRPr="009F3AE9" w14:paraId="49FB1E84" w14:textId="77777777" w:rsidTr="003E6A9D">
        <w:trPr>
          <w:cnfStyle w:val="100000000000" w:firstRow="1" w:lastRow="0" w:firstColumn="0" w:lastColumn="0" w:oddVBand="0" w:evenVBand="0" w:oddHBand="0"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vAlign w:val="center"/>
            <w:hideMark/>
          </w:tcPr>
          <w:p w14:paraId="3170B283" w14:textId="77777777" w:rsidR="001E7455" w:rsidRPr="003E6A9D" w:rsidRDefault="001E7455" w:rsidP="003E6A9D">
            <w:pPr>
              <w:jc w:val="center"/>
              <w:rPr>
                <w:rFonts w:cs="Arial"/>
                <w:b w:val="0"/>
                <w:sz w:val="22"/>
              </w:rPr>
            </w:pPr>
            <w:r w:rsidRPr="003E6A9D">
              <w:rPr>
                <w:rFonts w:cs="Arial"/>
                <w:sz w:val="22"/>
              </w:rPr>
              <w:t>Вид разход</w:t>
            </w:r>
          </w:p>
        </w:tc>
        <w:tc>
          <w:tcPr>
            <w:tcW w:w="1701" w:type="dxa"/>
            <w:noWrap/>
            <w:vAlign w:val="center"/>
            <w:hideMark/>
          </w:tcPr>
          <w:p w14:paraId="4B7D128C" w14:textId="2C718C85"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183D5F3A"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Без проект</w:t>
            </w:r>
          </w:p>
        </w:tc>
        <w:tc>
          <w:tcPr>
            <w:tcW w:w="1701" w:type="dxa"/>
            <w:vAlign w:val="center"/>
          </w:tcPr>
          <w:p w14:paraId="057AE9CC" w14:textId="1B2899D1"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Стойност</w:t>
            </w:r>
          </w:p>
          <w:p w14:paraId="5767F3A6" w14:textId="77777777" w:rsidR="001E7455" w:rsidRPr="003E6A9D" w:rsidRDefault="001E7455" w:rsidP="003E6A9D">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3E6A9D">
              <w:rPr>
                <w:rFonts w:cs="Arial"/>
                <w:sz w:val="22"/>
              </w:rPr>
              <w:t>С  проект</w:t>
            </w:r>
          </w:p>
        </w:tc>
      </w:tr>
      <w:tr w:rsidR="001E7455" w:rsidRPr="009F3AE9" w14:paraId="591FE98D" w14:textId="77777777" w:rsidTr="003E6A9D">
        <w:trPr>
          <w:cnfStyle w:val="000000100000" w:firstRow="0" w:lastRow="0" w:firstColumn="0" w:lastColumn="0" w:oddVBand="0" w:evenVBand="0" w:oddHBand="1" w:evenHBand="0" w:firstRowFirstColumn="0" w:firstRowLastColumn="0" w:lastRowFirstColumn="0" w:lastRowLastColumn="0"/>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41CE876B" w14:textId="77777777" w:rsidR="001E7455" w:rsidRPr="003E6A9D" w:rsidRDefault="001E7455" w:rsidP="00BB0022">
            <w:pPr>
              <w:spacing w:after="0" w:line="240" w:lineRule="auto"/>
              <w:rPr>
                <w:rFonts w:cs="Arial"/>
                <w:color w:val="000000"/>
                <w:sz w:val="22"/>
              </w:rPr>
            </w:pPr>
            <w:r w:rsidRPr="003E6A9D">
              <w:rPr>
                <w:rFonts w:cs="Arial"/>
                <w:color w:val="000000"/>
                <w:sz w:val="22"/>
              </w:rPr>
              <w:t>Труд</w:t>
            </w:r>
          </w:p>
        </w:tc>
        <w:tc>
          <w:tcPr>
            <w:tcW w:w="1701" w:type="dxa"/>
            <w:noWrap/>
            <w:hideMark/>
          </w:tcPr>
          <w:p w14:paraId="2B2DE911" w14:textId="77777777" w:rsidR="001E7455" w:rsidRPr="003E6A9D" w:rsidRDefault="001E7455"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highlight w:val="yellow"/>
              </w:rPr>
            </w:pPr>
            <w:r w:rsidRPr="003E6A9D">
              <w:rPr>
                <w:rFonts w:cs="Arial"/>
                <w:sz w:val="22"/>
              </w:rPr>
              <w:t>7 690</w:t>
            </w:r>
          </w:p>
        </w:tc>
        <w:tc>
          <w:tcPr>
            <w:tcW w:w="1701" w:type="dxa"/>
          </w:tcPr>
          <w:p w14:paraId="1B52F8CF" w14:textId="77777777" w:rsidR="001E7455" w:rsidRPr="003E6A9D" w:rsidRDefault="001E7455" w:rsidP="00BB0022">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22"/>
                <w:highlight w:val="yellow"/>
              </w:rPr>
            </w:pPr>
            <w:r w:rsidRPr="003E6A9D">
              <w:rPr>
                <w:rFonts w:cs="Arial"/>
                <w:sz w:val="22"/>
              </w:rPr>
              <w:t>7 690</w:t>
            </w:r>
          </w:p>
        </w:tc>
      </w:tr>
      <w:tr w:rsidR="001E7455" w:rsidRPr="009F3AE9" w14:paraId="6CFA9571" w14:textId="77777777" w:rsidTr="003E6A9D">
        <w:trPr>
          <w:trHeight w:val="261"/>
        </w:trPr>
        <w:tc>
          <w:tcPr>
            <w:cnfStyle w:val="001000000000" w:firstRow="0" w:lastRow="0" w:firstColumn="1" w:lastColumn="0" w:oddVBand="0" w:evenVBand="0" w:oddHBand="0" w:evenHBand="0" w:firstRowFirstColumn="0" w:firstRowLastColumn="0" w:lastRowFirstColumn="0" w:lastRowLastColumn="0"/>
            <w:tcW w:w="4150" w:type="dxa"/>
            <w:noWrap/>
            <w:hideMark/>
          </w:tcPr>
          <w:p w14:paraId="384FA396" w14:textId="77777777" w:rsidR="001E7455" w:rsidRPr="003E6A9D" w:rsidRDefault="001E7455" w:rsidP="00BB0022">
            <w:pPr>
              <w:spacing w:after="0" w:line="240" w:lineRule="auto"/>
              <w:rPr>
                <w:rFonts w:cs="Arial"/>
                <w:color w:val="000000"/>
                <w:sz w:val="22"/>
              </w:rPr>
            </w:pPr>
            <w:r w:rsidRPr="003E6A9D">
              <w:rPr>
                <w:rFonts w:cs="Arial"/>
                <w:color w:val="000000"/>
                <w:sz w:val="22"/>
              </w:rPr>
              <w:t>Поддръжка</w:t>
            </w:r>
          </w:p>
        </w:tc>
        <w:tc>
          <w:tcPr>
            <w:tcW w:w="1701" w:type="dxa"/>
            <w:noWrap/>
            <w:hideMark/>
          </w:tcPr>
          <w:p w14:paraId="62437167" w14:textId="77777777" w:rsidR="001E7455" w:rsidRPr="003E6A9D" w:rsidRDefault="001E7455"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highlight w:val="yellow"/>
              </w:rPr>
            </w:pPr>
            <w:r w:rsidRPr="003E6A9D">
              <w:rPr>
                <w:rFonts w:cs="Arial"/>
                <w:sz w:val="22"/>
              </w:rPr>
              <w:t>14 689</w:t>
            </w:r>
          </w:p>
        </w:tc>
        <w:tc>
          <w:tcPr>
            <w:tcW w:w="1701" w:type="dxa"/>
          </w:tcPr>
          <w:p w14:paraId="50627A4C" w14:textId="77777777" w:rsidR="001E7455" w:rsidRPr="003E6A9D" w:rsidRDefault="001E7455" w:rsidP="00BB0022">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sz w:val="22"/>
                <w:highlight w:val="yellow"/>
              </w:rPr>
            </w:pPr>
            <w:r w:rsidRPr="003E6A9D">
              <w:rPr>
                <w:rFonts w:cs="Arial"/>
                <w:sz w:val="22"/>
              </w:rPr>
              <w:t>14 689</w:t>
            </w:r>
          </w:p>
        </w:tc>
      </w:tr>
    </w:tbl>
    <w:p w14:paraId="3CB41BCE" w14:textId="77777777" w:rsidR="003E6A9D" w:rsidRPr="003E6A9D" w:rsidRDefault="003E6A9D" w:rsidP="003E6A9D">
      <w:pPr>
        <w:spacing w:after="0"/>
        <w:jc w:val="both"/>
        <w:rPr>
          <w:rFonts w:cs="Arial"/>
          <w:sz w:val="16"/>
          <w:szCs w:val="16"/>
        </w:rPr>
      </w:pPr>
    </w:p>
    <w:p w14:paraId="4A7C8D64" w14:textId="77777777" w:rsidR="00117E34" w:rsidRDefault="00117E34" w:rsidP="001E7455">
      <w:pPr>
        <w:jc w:val="both"/>
        <w:rPr>
          <w:rFonts w:cs="Arial"/>
        </w:rPr>
      </w:pPr>
      <w:r>
        <w:rPr>
          <w:rFonts w:cs="Arial"/>
        </w:rPr>
        <w:t xml:space="preserve">За размера на постоянните разходи за поддръжка е направено допускането, че те ще се увеличат с </w:t>
      </w:r>
      <w:r w:rsidR="00FC2D23">
        <w:rPr>
          <w:rFonts w:cs="Arial"/>
        </w:rPr>
        <w:t xml:space="preserve">част от </w:t>
      </w:r>
      <w:r>
        <w:rPr>
          <w:rFonts w:cs="Arial"/>
        </w:rPr>
        <w:t>размера на амортизационните отчисления за построените нови активи, както и определените в Предпроектното проучване за следните дейности по текуща поддръжка:</w:t>
      </w:r>
    </w:p>
    <w:p w14:paraId="27490A00"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Антикорозионна защита на металните конструкции на кея, вкл. бластиране;</w:t>
      </w:r>
    </w:p>
    <w:p w14:paraId="38115F38"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Ремонт на метални стълби;</w:t>
      </w:r>
    </w:p>
    <w:p w14:paraId="0D7EAA2F"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Почистване на комуникационните канали;</w:t>
      </w:r>
    </w:p>
    <w:p w14:paraId="4F538173" w14:textId="77777777" w:rsidR="00117E34" w:rsidRPr="00046FAE" w:rsidRDefault="00117E34" w:rsidP="00AA673B">
      <w:pPr>
        <w:pStyle w:val="ListParagraph"/>
        <w:numPr>
          <w:ilvl w:val="0"/>
          <w:numId w:val="26"/>
        </w:numPr>
        <w:spacing w:before="0" w:after="160"/>
        <w:jc w:val="both"/>
        <w:rPr>
          <w:rFonts w:ascii="Arial" w:hAnsi="Arial" w:cs="Arial"/>
        </w:rPr>
      </w:pPr>
      <w:r w:rsidRPr="00046FAE">
        <w:rPr>
          <w:rFonts w:ascii="Arial" w:hAnsi="Arial" w:cs="Arial"/>
        </w:rPr>
        <w:t>Поддръжка на инженерните мрежи;</w:t>
      </w:r>
    </w:p>
    <w:p w14:paraId="5199F158" w14:textId="77777777" w:rsidR="004F4F50" w:rsidRDefault="00117E34" w:rsidP="00AA673B">
      <w:pPr>
        <w:pStyle w:val="ListParagraph"/>
        <w:numPr>
          <w:ilvl w:val="0"/>
          <w:numId w:val="26"/>
        </w:numPr>
        <w:spacing w:before="0" w:after="160"/>
        <w:jc w:val="both"/>
        <w:rPr>
          <w:rFonts w:ascii="Arial" w:hAnsi="Arial" w:cs="Arial"/>
        </w:rPr>
      </w:pPr>
      <w:r w:rsidRPr="00046FAE">
        <w:rPr>
          <w:rFonts w:ascii="Arial" w:hAnsi="Arial" w:cs="Arial"/>
        </w:rPr>
        <w:t>Рем</w:t>
      </w:r>
      <w:r w:rsidR="004F4F50">
        <w:rPr>
          <w:rFonts w:ascii="Arial" w:hAnsi="Arial" w:cs="Arial"/>
        </w:rPr>
        <w:t>онт на подкранови пътища и жп. к</w:t>
      </w:r>
      <w:r w:rsidRPr="00046FAE">
        <w:rPr>
          <w:rFonts w:ascii="Arial" w:hAnsi="Arial" w:cs="Arial"/>
        </w:rPr>
        <w:t>оловози;</w:t>
      </w:r>
    </w:p>
    <w:p w14:paraId="19CC8B45" w14:textId="77777777" w:rsidR="00117E34" w:rsidRPr="004F4F50" w:rsidRDefault="00117E34" w:rsidP="00AA673B">
      <w:pPr>
        <w:pStyle w:val="ListParagraph"/>
        <w:numPr>
          <w:ilvl w:val="0"/>
          <w:numId w:val="26"/>
        </w:numPr>
        <w:spacing w:before="0" w:after="160"/>
        <w:jc w:val="both"/>
        <w:rPr>
          <w:rFonts w:ascii="Arial" w:hAnsi="Arial" w:cs="Arial"/>
        </w:rPr>
      </w:pPr>
      <w:r w:rsidRPr="004F4F50">
        <w:rPr>
          <w:rFonts w:ascii="Arial" w:hAnsi="Arial" w:cs="Arial"/>
        </w:rPr>
        <w:t>Ремонт на пътни и площадкови настилки и др.</w:t>
      </w:r>
    </w:p>
    <w:p w14:paraId="5707A8C9" w14:textId="77777777" w:rsidR="00117E34" w:rsidRPr="002E1E19" w:rsidRDefault="00117E34" w:rsidP="000520E3">
      <w:pPr>
        <w:suppressAutoHyphens/>
        <w:spacing w:before="60" w:after="60"/>
        <w:ind w:firstLine="539"/>
        <w:jc w:val="both"/>
        <w:rPr>
          <w:rFonts w:eastAsia="Times New Roman" w:cs="Arial"/>
          <w:sz w:val="22"/>
          <w:lang w:eastAsia="ar-SA"/>
        </w:rPr>
      </w:pPr>
    </w:p>
    <w:p w14:paraId="5BE3153D" w14:textId="77777777" w:rsidR="00F42E46" w:rsidRPr="004F4F50" w:rsidRDefault="00F42E46" w:rsidP="002501DC">
      <w:pPr>
        <w:pStyle w:val="Heading3"/>
        <w:numPr>
          <w:ilvl w:val="2"/>
          <w:numId w:val="3"/>
        </w:numPr>
        <w:spacing w:before="240"/>
        <w:jc w:val="both"/>
        <w:rPr>
          <w:rFonts w:cs="Arial"/>
          <w:sz w:val="22"/>
          <w:szCs w:val="22"/>
        </w:rPr>
      </w:pPr>
      <w:bookmarkStart w:id="299" w:name="_Toc434229765"/>
      <w:bookmarkStart w:id="300" w:name="_Toc94191730"/>
      <w:bookmarkStart w:id="301" w:name="_Toc143694191"/>
      <w:r w:rsidRPr="004F4F50">
        <w:rPr>
          <w:rFonts w:cs="Arial"/>
          <w:sz w:val="22"/>
          <w:szCs w:val="22"/>
        </w:rPr>
        <w:t>Прогнозиране на разходи</w:t>
      </w:r>
      <w:r w:rsidR="00685724" w:rsidRPr="004F4F50">
        <w:rPr>
          <w:rFonts w:cs="Arial"/>
          <w:sz w:val="22"/>
          <w:szCs w:val="22"/>
        </w:rPr>
        <w:t>те</w:t>
      </w:r>
      <w:r w:rsidRPr="004F4F50">
        <w:rPr>
          <w:rFonts w:cs="Arial"/>
          <w:sz w:val="22"/>
          <w:szCs w:val="22"/>
        </w:rPr>
        <w:t xml:space="preserve"> </w:t>
      </w:r>
      <w:bookmarkEnd w:id="299"/>
      <w:r w:rsidRPr="004F4F50">
        <w:rPr>
          <w:rFonts w:cs="Arial"/>
          <w:sz w:val="22"/>
          <w:szCs w:val="22"/>
        </w:rPr>
        <w:t>за ЕиП</w:t>
      </w:r>
      <w:bookmarkEnd w:id="300"/>
      <w:bookmarkEnd w:id="301"/>
    </w:p>
    <w:p w14:paraId="31B2A66B" w14:textId="77777777" w:rsidR="004F4F50" w:rsidRDefault="004F4F50" w:rsidP="00BC24A8">
      <w:pPr>
        <w:suppressAutoHyphens/>
        <w:spacing w:before="60" w:after="60"/>
        <w:ind w:firstLine="567"/>
        <w:jc w:val="both"/>
        <w:rPr>
          <w:rFonts w:eastAsia="Times New Roman" w:cs="Arial"/>
          <w:sz w:val="22"/>
          <w:lang w:eastAsia="ar-SA"/>
        </w:rPr>
      </w:pPr>
    </w:p>
    <w:p w14:paraId="2DA727DF" w14:textId="734F1573" w:rsidR="004F4F50" w:rsidRDefault="004F4F50" w:rsidP="004F4F50">
      <w:pPr>
        <w:suppressAutoHyphens/>
        <w:spacing w:before="60" w:after="60"/>
        <w:jc w:val="both"/>
        <w:rPr>
          <w:rFonts w:eastAsia="Times New Roman" w:cs="Arial"/>
          <w:lang w:eastAsia="ar-SA"/>
        </w:rPr>
      </w:pPr>
      <w:r w:rsidRPr="00046FAE">
        <w:rPr>
          <w:rFonts w:eastAsia="Times New Roman" w:cs="Arial"/>
          <w:lang w:eastAsia="ar-SA"/>
        </w:rPr>
        <w:t>Общият размер на прогнозните разходи за ЕиП се определят за всяка година от прогнозния период в зав</w:t>
      </w:r>
      <w:r>
        <w:rPr>
          <w:rFonts w:eastAsia="Times New Roman" w:cs="Arial"/>
          <w:lang w:eastAsia="ar-SA"/>
        </w:rPr>
        <w:t xml:space="preserve">исимост от прогнозния трафик в </w:t>
      </w:r>
      <w:r w:rsidR="004A7496">
        <w:rPr>
          <w:rFonts w:eastAsia="Times New Roman" w:cs="Arial"/>
          <w:lang w:eastAsia="ar-SA"/>
        </w:rPr>
        <w:t>тона</w:t>
      </w:r>
      <w:r w:rsidR="004A7496" w:rsidRPr="00046FAE">
        <w:rPr>
          <w:rFonts w:eastAsia="Times New Roman" w:cs="Arial"/>
          <w:lang w:eastAsia="ar-SA"/>
        </w:rPr>
        <w:t xml:space="preserve"> </w:t>
      </w:r>
      <w:r w:rsidRPr="00046FAE">
        <w:rPr>
          <w:rFonts w:eastAsia="Times New Roman" w:cs="Arial"/>
          <w:lang w:eastAsia="ar-SA"/>
        </w:rPr>
        <w:t>по следната зависимост:</w:t>
      </w:r>
    </w:p>
    <w:p w14:paraId="00B1570E" w14:textId="3BF6D87C" w:rsidR="004F4F50" w:rsidRPr="00046FAE" w:rsidRDefault="004F4F50" w:rsidP="004F4F50">
      <w:pPr>
        <w:suppressAutoHyphens/>
        <w:spacing w:before="60" w:after="60"/>
        <w:ind w:firstLine="567"/>
        <w:jc w:val="both"/>
        <w:rPr>
          <w:rFonts w:eastAsia="Times New Roman" w:cs="Arial"/>
          <w:noProof/>
          <w:lang w:eastAsia="ar-SA"/>
        </w:rPr>
      </w:pPr>
      <w:r w:rsidRPr="00046FAE">
        <w:rPr>
          <w:rFonts w:eastAsia="Times New Roman" w:cs="Arial"/>
          <w:b/>
          <w:noProof/>
          <w:lang w:eastAsia="ar-SA"/>
        </w:rPr>
        <w:t>P</w:t>
      </w:r>
      <w:r w:rsidRPr="00046FAE">
        <w:rPr>
          <w:rFonts w:eastAsia="Times New Roman" w:cs="Arial"/>
          <w:b/>
          <w:noProof/>
          <w:vertAlign w:val="subscript"/>
          <w:lang w:eastAsia="ar-SA"/>
        </w:rPr>
        <w:t>прг</w:t>
      </w:r>
      <w:r w:rsidRPr="00046FAE">
        <w:rPr>
          <w:rFonts w:eastAsia="Times New Roman" w:cs="Arial"/>
          <w:b/>
          <w:noProof/>
          <w:lang w:eastAsia="ar-SA"/>
        </w:rPr>
        <w:t xml:space="preserve"> =</w:t>
      </w:r>
      <w:r w:rsidR="00FC2D23">
        <w:rPr>
          <w:rFonts w:eastAsia="Times New Roman" w:cs="Arial"/>
          <w:b/>
          <w:noProof/>
          <w:lang w:eastAsia="ar-SA"/>
        </w:rPr>
        <w:t>Ʃ</w:t>
      </w:r>
      <w:r w:rsidR="00FC2D23" w:rsidRPr="009963CE">
        <w:rPr>
          <w:rFonts w:eastAsia="Times New Roman" w:cs="Arial"/>
          <w:b/>
          <w:noProof/>
          <w:lang w:eastAsia="ar-SA"/>
        </w:rPr>
        <w:t>(</w:t>
      </w:r>
      <w:r w:rsidRPr="00046FAE">
        <w:rPr>
          <w:rFonts w:eastAsia="Times New Roman" w:cs="Arial"/>
          <w:b/>
          <w:noProof/>
          <w:lang w:eastAsia="ar-SA"/>
        </w:rPr>
        <w:t xml:space="preserve"> Е</w:t>
      </w:r>
      <w:r w:rsidR="00FC2D23">
        <w:rPr>
          <w:rFonts w:eastAsia="Times New Roman" w:cs="Arial"/>
          <w:b/>
          <w:noProof/>
          <w:lang w:val="en-US" w:eastAsia="ar-SA"/>
        </w:rPr>
        <w:t>i</w:t>
      </w:r>
      <w:r w:rsidR="00FC2D23" w:rsidRPr="009963CE">
        <w:rPr>
          <w:rFonts w:eastAsia="Times New Roman" w:cs="Arial"/>
          <w:b/>
          <w:noProof/>
          <w:lang w:eastAsia="ar-SA"/>
        </w:rPr>
        <w:t xml:space="preserve"> </w:t>
      </w:r>
      <w:r>
        <w:rPr>
          <w:rFonts w:eastAsia="Times New Roman" w:cs="Arial"/>
          <w:b/>
          <w:noProof/>
          <w:lang w:eastAsia="ar-SA"/>
        </w:rPr>
        <w:t>хТ</w:t>
      </w:r>
      <w:r w:rsidRPr="00046FAE">
        <w:rPr>
          <w:rFonts w:eastAsia="Times New Roman" w:cs="Arial"/>
          <w:b/>
          <w:noProof/>
          <w:lang w:eastAsia="ar-SA"/>
        </w:rPr>
        <w:t>М</w:t>
      </w:r>
      <w:r w:rsidRPr="00046FAE">
        <w:rPr>
          <w:rFonts w:eastAsia="Times New Roman" w:cs="Arial"/>
          <w:b/>
          <w:noProof/>
          <w:vertAlign w:val="superscript"/>
          <w:lang w:eastAsia="ar-SA"/>
        </w:rPr>
        <w:t>f</w:t>
      </w:r>
      <w:r w:rsidRPr="00046FAE">
        <w:rPr>
          <w:rFonts w:eastAsia="Times New Roman" w:cs="Arial"/>
          <w:b/>
          <w:noProof/>
          <w:vertAlign w:val="subscript"/>
          <w:lang w:eastAsia="ar-SA"/>
        </w:rPr>
        <w:t>прг</w:t>
      </w:r>
      <w:r w:rsidR="00FC2D23" w:rsidRPr="009963CE">
        <w:rPr>
          <w:rFonts w:eastAsia="Times New Roman" w:cs="Arial"/>
          <w:b/>
          <w:noProof/>
          <w:vertAlign w:val="subscript"/>
          <w:lang w:eastAsia="ar-SA"/>
        </w:rPr>
        <w:t>)</w:t>
      </w:r>
      <w:r w:rsidRPr="00046FAE">
        <w:rPr>
          <w:rFonts w:eastAsia="Times New Roman" w:cs="Arial"/>
          <w:b/>
          <w:noProof/>
          <w:lang w:eastAsia="ar-SA"/>
        </w:rPr>
        <w:t xml:space="preserve"> </w:t>
      </w:r>
      <w:r>
        <w:rPr>
          <w:rFonts w:eastAsia="Times New Roman" w:cs="Arial"/>
          <w:b/>
          <w:noProof/>
          <w:lang w:eastAsia="ar-SA"/>
        </w:rPr>
        <w:t xml:space="preserve">+ </w:t>
      </w:r>
      <w:r w:rsidRPr="00046FAE">
        <w:rPr>
          <w:rFonts w:eastAsia="Times New Roman" w:cs="Arial"/>
          <w:b/>
          <w:noProof/>
          <w:lang w:eastAsia="ar-SA"/>
        </w:rPr>
        <w:t>L</w:t>
      </w:r>
      <w:r w:rsidRPr="00863817">
        <w:rPr>
          <w:rFonts w:eastAsia="Times New Roman" w:cs="Arial"/>
          <w:noProof/>
          <w:sz w:val="16"/>
          <w:szCs w:val="16"/>
          <w:lang w:eastAsia="ar-SA"/>
        </w:rPr>
        <w:t>рз</w:t>
      </w:r>
      <w:r>
        <w:rPr>
          <w:rFonts w:eastAsia="Times New Roman" w:cs="Arial"/>
          <w:b/>
          <w:noProof/>
          <w:lang w:eastAsia="ar-SA"/>
        </w:rPr>
        <w:t xml:space="preserve"> + </w:t>
      </w:r>
      <w:r w:rsidRPr="00046FAE">
        <w:rPr>
          <w:rFonts w:eastAsia="Times New Roman" w:cs="Arial"/>
          <w:b/>
          <w:noProof/>
          <w:lang w:eastAsia="ar-SA"/>
        </w:rPr>
        <w:t>L</w:t>
      </w:r>
      <w:r w:rsidRPr="00863817">
        <w:rPr>
          <w:rFonts w:eastAsia="Times New Roman" w:cs="Arial"/>
          <w:noProof/>
          <w:sz w:val="16"/>
          <w:szCs w:val="16"/>
          <w:lang w:eastAsia="ar-SA"/>
        </w:rPr>
        <w:t>пд</w:t>
      </w:r>
      <w:r w:rsidRPr="00046FAE">
        <w:rPr>
          <w:rFonts w:eastAsia="Times New Roman" w:cs="Arial"/>
          <w:noProof/>
          <w:lang w:eastAsia="ar-SA"/>
        </w:rPr>
        <w:t>, където:</w:t>
      </w:r>
    </w:p>
    <w:p w14:paraId="2E655AAD" w14:textId="77777777" w:rsidR="004F4F50" w:rsidRPr="00046FAE"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Pпрг</w:t>
      </w:r>
      <w:r w:rsidRPr="00046FAE">
        <w:rPr>
          <w:rFonts w:eastAsia="Times New Roman" w:cs="Arial"/>
          <w:noProof/>
          <w:lang w:eastAsia="ar-SA"/>
        </w:rPr>
        <w:tab/>
        <w:t>обща сума на прогнозните разходи за съответната година;</w:t>
      </w:r>
    </w:p>
    <w:p w14:paraId="0154673C" w14:textId="19946B62" w:rsidR="004F4F50" w:rsidRDefault="004F4F50" w:rsidP="004F4F50">
      <w:pPr>
        <w:suppressAutoHyphens/>
        <w:spacing w:before="60" w:after="60"/>
        <w:ind w:left="1418" w:hanging="1134"/>
        <w:jc w:val="both"/>
        <w:rPr>
          <w:rFonts w:eastAsia="Times New Roman" w:cs="Arial"/>
          <w:noProof/>
          <w:lang w:eastAsia="ar-SA"/>
        </w:rPr>
      </w:pPr>
      <w:r>
        <w:rPr>
          <w:rFonts w:eastAsia="Times New Roman" w:cs="Arial"/>
          <w:noProof/>
          <w:lang w:eastAsia="ar-SA"/>
        </w:rPr>
        <w:t>Т</w:t>
      </w:r>
      <w:r w:rsidRPr="00046FAE">
        <w:rPr>
          <w:rFonts w:eastAsia="Times New Roman" w:cs="Arial"/>
          <w:noProof/>
          <w:lang w:eastAsia="ar-SA"/>
        </w:rPr>
        <w:t>М</w:t>
      </w:r>
      <w:r w:rsidRPr="00046FAE">
        <w:rPr>
          <w:rFonts w:eastAsia="Times New Roman" w:cs="Arial"/>
          <w:noProof/>
          <w:vertAlign w:val="superscript"/>
          <w:lang w:eastAsia="ar-SA"/>
        </w:rPr>
        <w:t>f</w:t>
      </w:r>
      <w:r w:rsidRPr="00046FAE">
        <w:rPr>
          <w:rFonts w:eastAsia="Times New Roman" w:cs="Arial"/>
          <w:noProof/>
          <w:vertAlign w:val="subscript"/>
          <w:lang w:eastAsia="ar-SA"/>
        </w:rPr>
        <w:t>пргн</w:t>
      </w:r>
      <w:r w:rsidRPr="00046FAE">
        <w:rPr>
          <w:rFonts w:eastAsia="Times New Roman" w:cs="Arial"/>
          <w:noProof/>
          <w:lang w:eastAsia="ar-SA"/>
        </w:rPr>
        <w:tab/>
        <w:t xml:space="preserve">прогнозни </w:t>
      </w:r>
      <w:r w:rsidR="004A7496">
        <w:rPr>
          <w:rFonts w:eastAsia="Times New Roman" w:cs="Arial"/>
          <w:noProof/>
          <w:lang w:eastAsia="ar-SA"/>
        </w:rPr>
        <w:t xml:space="preserve">товарообороти </w:t>
      </w:r>
      <w:r>
        <w:rPr>
          <w:rFonts w:eastAsia="Times New Roman" w:cs="Arial"/>
          <w:noProof/>
          <w:lang w:eastAsia="ar-SA"/>
        </w:rPr>
        <w:t>за морски и речни пристанища</w:t>
      </w:r>
      <w:r w:rsidRPr="00046FAE">
        <w:rPr>
          <w:rFonts w:eastAsia="Times New Roman" w:cs="Arial"/>
          <w:noProof/>
          <w:lang w:eastAsia="ar-SA"/>
        </w:rPr>
        <w:t xml:space="preserve"> за годината;</w:t>
      </w:r>
    </w:p>
    <w:p w14:paraId="1E09133F" w14:textId="6DE8423A" w:rsidR="004F4F50" w:rsidRPr="00046FAE"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Е</w:t>
      </w:r>
      <w:r w:rsidR="00FC2D23">
        <w:rPr>
          <w:rFonts w:eastAsia="Times New Roman" w:cs="Arial"/>
          <w:noProof/>
          <w:lang w:val="en-US" w:eastAsia="ar-SA"/>
        </w:rPr>
        <w:t>i</w:t>
      </w:r>
      <w:r w:rsidRPr="00046FAE">
        <w:rPr>
          <w:rFonts w:eastAsia="Times New Roman" w:cs="Arial"/>
          <w:noProof/>
          <w:lang w:eastAsia="ar-SA"/>
        </w:rPr>
        <w:tab/>
        <w:t>единична стойност</w:t>
      </w:r>
      <w:r>
        <w:rPr>
          <w:rFonts w:eastAsia="Times New Roman" w:cs="Arial"/>
          <w:noProof/>
          <w:lang w:eastAsia="ar-SA"/>
        </w:rPr>
        <w:t xml:space="preserve"> на променливите разходи за тон </w:t>
      </w:r>
      <w:r w:rsidR="00FC2D23">
        <w:rPr>
          <w:rFonts w:eastAsia="Times New Roman" w:cs="Arial"/>
          <w:noProof/>
          <w:lang w:eastAsia="ar-SA"/>
        </w:rPr>
        <w:t>по видове разходи</w:t>
      </w:r>
      <w:r w:rsidRPr="00046FAE">
        <w:rPr>
          <w:rFonts w:eastAsia="Times New Roman" w:cs="Arial"/>
          <w:noProof/>
          <w:lang w:eastAsia="ar-SA"/>
        </w:rPr>
        <w:t>;</w:t>
      </w:r>
    </w:p>
    <w:p w14:paraId="5D341AAF" w14:textId="77777777" w:rsidR="004F4F50"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L</w:t>
      </w:r>
      <w:r w:rsidRPr="00863817">
        <w:rPr>
          <w:rFonts w:eastAsia="Times New Roman" w:cs="Arial"/>
          <w:noProof/>
          <w:sz w:val="16"/>
          <w:szCs w:val="16"/>
          <w:lang w:eastAsia="ar-SA"/>
        </w:rPr>
        <w:t>рз</w:t>
      </w:r>
      <w:r w:rsidRPr="00046FAE">
        <w:rPr>
          <w:rFonts w:eastAsia="Times New Roman" w:cs="Arial"/>
          <w:noProof/>
          <w:lang w:eastAsia="ar-SA"/>
        </w:rPr>
        <w:tab/>
      </w:r>
      <w:r>
        <w:rPr>
          <w:rFonts w:eastAsia="Times New Roman" w:cs="Arial"/>
          <w:noProof/>
          <w:lang w:eastAsia="ar-SA"/>
        </w:rPr>
        <w:t>постоянни разходи за труд за съотетната година</w:t>
      </w:r>
    </w:p>
    <w:p w14:paraId="32F0A183" w14:textId="77777777" w:rsidR="004F4F50" w:rsidRDefault="004F4F50" w:rsidP="004F4F50">
      <w:pPr>
        <w:suppressAutoHyphens/>
        <w:spacing w:before="60" w:after="60"/>
        <w:ind w:left="1418" w:hanging="1134"/>
        <w:jc w:val="both"/>
        <w:rPr>
          <w:rFonts w:eastAsia="Times New Roman" w:cs="Arial"/>
          <w:noProof/>
          <w:lang w:eastAsia="ar-SA"/>
        </w:rPr>
      </w:pPr>
      <w:r w:rsidRPr="00046FAE">
        <w:rPr>
          <w:rFonts w:eastAsia="Times New Roman" w:cs="Arial"/>
          <w:noProof/>
          <w:lang w:eastAsia="ar-SA"/>
        </w:rPr>
        <w:t>L</w:t>
      </w:r>
      <w:r>
        <w:rPr>
          <w:rFonts w:eastAsia="Times New Roman" w:cs="Arial"/>
          <w:noProof/>
          <w:sz w:val="16"/>
          <w:szCs w:val="16"/>
          <w:lang w:eastAsia="ar-SA"/>
        </w:rPr>
        <w:t>пд</w:t>
      </w:r>
      <w:r w:rsidRPr="00046FAE">
        <w:rPr>
          <w:rFonts w:eastAsia="Times New Roman" w:cs="Arial"/>
          <w:noProof/>
          <w:lang w:eastAsia="ar-SA"/>
        </w:rPr>
        <w:tab/>
      </w:r>
      <w:r>
        <w:rPr>
          <w:rFonts w:eastAsia="Times New Roman" w:cs="Arial"/>
          <w:noProof/>
          <w:lang w:eastAsia="ar-SA"/>
        </w:rPr>
        <w:t>постоянни разходи за поддръжка за съответната година</w:t>
      </w:r>
    </w:p>
    <w:p w14:paraId="5470F4AE" w14:textId="77777777" w:rsidR="004F4F50" w:rsidRDefault="004F4F50" w:rsidP="004F4F50">
      <w:pPr>
        <w:suppressAutoHyphens/>
        <w:spacing w:before="60" w:after="60"/>
        <w:jc w:val="both"/>
        <w:rPr>
          <w:rFonts w:eastAsia="Times New Roman" w:cs="Arial"/>
          <w:lang w:eastAsia="ar-SA"/>
        </w:rPr>
      </w:pPr>
      <w:r w:rsidRPr="00046FAE">
        <w:rPr>
          <w:rFonts w:eastAsia="Times New Roman" w:cs="Arial"/>
          <w:lang w:eastAsia="ar-SA"/>
        </w:rPr>
        <w:t xml:space="preserve">Прогнозните </w:t>
      </w:r>
      <w:r>
        <w:rPr>
          <w:rFonts w:eastAsia="Times New Roman" w:cs="Arial"/>
          <w:lang w:eastAsia="ar-SA"/>
        </w:rPr>
        <w:t xml:space="preserve">инкрементални </w:t>
      </w:r>
      <w:r w:rsidRPr="00046FAE">
        <w:rPr>
          <w:rFonts w:eastAsia="Times New Roman" w:cs="Arial"/>
          <w:lang w:eastAsia="ar-SA"/>
        </w:rPr>
        <w:t>разходи за ЕиП за целите на финансовия анализ са представени в следващата таблица:</w:t>
      </w:r>
    </w:p>
    <w:p w14:paraId="69A9318A" w14:textId="77777777" w:rsidR="003E6A9D" w:rsidRDefault="003E6A9D" w:rsidP="004F4F50">
      <w:pPr>
        <w:suppressAutoHyphens/>
        <w:spacing w:before="60" w:after="60"/>
        <w:jc w:val="both"/>
        <w:rPr>
          <w:rFonts w:eastAsia="Times New Roman" w:cs="Arial"/>
          <w:lang w:eastAsia="ar-SA"/>
        </w:rPr>
      </w:pPr>
    </w:p>
    <w:p w14:paraId="004222B6" w14:textId="246A0213" w:rsidR="004F4F50" w:rsidRPr="00765764" w:rsidRDefault="004F4F50" w:rsidP="004F4F50">
      <w:pPr>
        <w:tabs>
          <w:tab w:val="left" w:pos="1418"/>
        </w:tabs>
        <w:spacing w:before="60" w:after="60"/>
        <w:jc w:val="both"/>
        <w:rPr>
          <w:rFonts w:cs="Arial"/>
          <w:i/>
          <w:sz w:val="22"/>
        </w:rPr>
      </w:pPr>
      <w:bookmarkStart w:id="302" w:name="_Toc174099063"/>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18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00E56E96">
        <w:rPr>
          <w:rFonts w:eastAsia="Calibri" w:cs="Arial"/>
          <w:i/>
          <w:color w:val="000000"/>
          <w:sz w:val="22"/>
          <w:lang w:eastAsia="en-US"/>
        </w:rPr>
        <w:t>Инкрементални</w:t>
      </w:r>
      <w:r w:rsidRPr="004F4F50">
        <w:rPr>
          <w:rFonts w:eastAsia="Calibri" w:cs="Arial"/>
          <w:i/>
          <w:color w:val="000000"/>
          <w:sz w:val="22"/>
          <w:lang w:eastAsia="en-US"/>
        </w:rPr>
        <w:t xml:space="preserve"> разходи за ЕиП</w:t>
      </w:r>
      <w:r w:rsidR="002C5A36">
        <w:rPr>
          <w:rFonts w:eastAsia="Calibri" w:cs="Arial"/>
          <w:i/>
          <w:color w:val="000000"/>
          <w:sz w:val="22"/>
          <w:lang w:eastAsia="en-US"/>
        </w:rPr>
        <w:t xml:space="preserve"> в </w:t>
      </w:r>
      <w:r w:rsidR="008C0DD7">
        <w:rPr>
          <w:rFonts w:eastAsia="Calibri" w:cs="Arial"/>
          <w:i/>
          <w:color w:val="000000"/>
          <w:sz w:val="22"/>
          <w:lang w:val="en-US" w:eastAsia="en-US"/>
        </w:rPr>
        <w:t>EUR</w:t>
      </w:r>
      <w:bookmarkEnd w:id="302"/>
    </w:p>
    <w:tbl>
      <w:tblPr>
        <w:tblStyle w:val="LightList-Accent111"/>
        <w:tblW w:w="9260" w:type="dxa"/>
        <w:tblLook w:val="04A0" w:firstRow="1" w:lastRow="0" w:firstColumn="1" w:lastColumn="0" w:noHBand="0" w:noVBand="1"/>
      </w:tblPr>
      <w:tblGrid>
        <w:gridCol w:w="3320"/>
        <w:gridCol w:w="1010"/>
        <w:gridCol w:w="970"/>
        <w:gridCol w:w="990"/>
        <w:gridCol w:w="990"/>
        <w:gridCol w:w="990"/>
        <w:gridCol w:w="990"/>
      </w:tblGrid>
      <w:tr w:rsidR="00106CC0" w:rsidRPr="009F3AE9" w14:paraId="5817975C" w14:textId="77777777" w:rsidTr="003E6A9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vAlign w:val="center"/>
            <w:hideMark/>
          </w:tcPr>
          <w:p w14:paraId="043A5B9D" w14:textId="77777777" w:rsidR="004F4F50" w:rsidRPr="003E6A9D" w:rsidRDefault="004F4F50" w:rsidP="003E6A9D">
            <w:pPr>
              <w:jc w:val="center"/>
              <w:rPr>
                <w:rFonts w:cs="Arial"/>
                <w:b w:val="0"/>
                <w:bCs w:val="0"/>
                <w:color w:val="FFFFFF" w:themeColor="background1"/>
                <w:sz w:val="20"/>
                <w:szCs w:val="20"/>
              </w:rPr>
            </w:pPr>
            <w:r w:rsidRPr="003E6A9D">
              <w:rPr>
                <w:rFonts w:cs="Arial"/>
                <w:color w:val="FFFFFF" w:themeColor="background1"/>
                <w:sz w:val="20"/>
                <w:szCs w:val="20"/>
              </w:rPr>
              <w:t>Видове разходи</w:t>
            </w:r>
          </w:p>
        </w:tc>
        <w:tc>
          <w:tcPr>
            <w:tcW w:w="1010" w:type="dxa"/>
            <w:noWrap/>
            <w:vAlign w:val="center"/>
            <w:hideMark/>
          </w:tcPr>
          <w:p w14:paraId="4DD9520E" w14:textId="322577FD"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202</w:t>
            </w:r>
            <w:r w:rsidR="001E7455" w:rsidRPr="003E6A9D">
              <w:rPr>
                <w:rFonts w:cs="Arial"/>
                <w:color w:val="FFFFFF" w:themeColor="background1"/>
                <w:sz w:val="20"/>
                <w:szCs w:val="20"/>
                <w:lang w:val="en-GB"/>
              </w:rPr>
              <w:t>4</w:t>
            </w:r>
            <w:r w:rsidR="003E6A9D">
              <w:rPr>
                <w:rFonts w:cs="Arial"/>
                <w:color w:val="FFFFFF" w:themeColor="background1"/>
                <w:sz w:val="20"/>
                <w:szCs w:val="20"/>
              </w:rPr>
              <w:t xml:space="preserve"> г.</w:t>
            </w:r>
          </w:p>
        </w:tc>
        <w:tc>
          <w:tcPr>
            <w:tcW w:w="970" w:type="dxa"/>
            <w:noWrap/>
            <w:vAlign w:val="center"/>
            <w:hideMark/>
          </w:tcPr>
          <w:p w14:paraId="252DB7E5" w14:textId="6278E666"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202</w:t>
            </w:r>
            <w:r w:rsidR="001E7455" w:rsidRPr="003E6A9D">
              <w:rPr>
                <w:rFonts w:cs="Arial"/>
                <w:color w:val="FFFFFF" w:themeColor="background1"/>
                <w:sz w:val="20"/>
                <w:szCs w:val="20"/>
                <w:lang w:val="en-GB"/>
              </w:rPr>
              <w:t>8</w:t>
            </w:r>
            <w:r w:rsidR="003E6A9D">
              <w:rPr>
                <w:rFonts w:cs="Arial"/>
                <w:color w:val="FFFFFF" w:themeColor="background1"/>
                <w:sz w:val="20"/>
                <w:szCs w:val="20"/>
              </w:rPr>
              <w:t xml:space="preserve"> г.</w:t>
            </w:r>
          </w:p>
        </w:tc>
        <w:tc>
          <w:tcPr>
            <w:tcW w:w="990" w:type="dxa"/>
            <w:noWrap/>
            <w:vAlign w:val="center"/>
            <w:hideMark/>
          </w:tcPr>
          <w:p w14:paraId="65F4807D" w14:textId="532BB2F4"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2030</w:t>
            </w:r>
            <w:r w:rsidR="003E6A9D">
              <w:rPr>
                <w:rFonts w:cs="Arial"/>
                <w:color w:val="FFFFFF" w:themeColor="background1"/>
                <w:sz w:val="20"/>
                <w:szCs w:val="20"/>
              </w:rPr>
              <w:t xml:space="preserve"> г.</w:t>
            </w:r>
          </w:p>
        </w:tc>
        <w:tc>
          <w:tcPr>
            <w:tcW w:w="990" w:type="dxa"/>
            <w:noWrap/>
            <w:vAlign w:val="center"/>
            <w:hideMark/>
          </w:tcPr>
          <w:p w14:paraId="6FF2335E" w14:textId="4E7D1F58"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2035</w:t>
            </w:r>
            <w:r w:rsidR="003E6A9D">
              <w:rPr>
                <w:rFonts w:cs="Arial"/>
                <w:color w:val="FFFFFF" w:themeColor="background1"/>
                <w:sz w:val="20"/>
                <w:szCs w:val="20"/>
              </w:rPr>
              <w:t xml:space="preserve"> г.</w:t>
            </w:r>
          </w:p>
        </w:tc>
        <w:tc>
          <w:tcPr>
            <w:tcW w:w="990" w:type="dxa"/>
            <w:noWrap/>
            <w:vAlign w:val="center"/>
            <w:hideMark/>
          </w:tcPr>
          <w:p w14:paraId="39A995EF" w14:textId="3128519B"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2040</w:t>
            </w:r>
            <w:r w:rsidR="003E6A9D">
              <w:rPr>
                <w:rFonts w:cs="Arial"/>
                <w:color w:val="FFFFFF" w:themeColor="background1"/>
                <w:sz w:val="20"/>
                <w:szCs w:val="20"/>
              </w:rPr>
              <w:t xml:space="preserve"> г.</w:t>
            </w:r>
          </w:p>
        </w:tc>
        <w:tc>
          <w:tcPr>
            <w:tcW w:w="990" w:type="dxa"/>
            <w:noWrap/>
            <w:vAlign w:val="center"/>
            <w:hideMark/>
          </w:tcPr>
          <w:p w14:paraId="39E9C42C" w14:textId="72CF6A97" w:rsidR="004F4F50" w:rsidRPr="003E6A9D" w:rsidRDefault="004F4F50" w:rsidP="003E6A9D">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0"/>
                <w:szCs w:val="20"/>
              </w:rPr>
            </w:pPr>
            <w:r w:rsidRPr="003E6A9D">
              <w:rPr>
                <w:rFonts w:cs="Arial"/>
                <w:color w:val="FFFFFF" w:themeColor="background1"/>
                <w:sz w:val="20"/>
                <w:szCs w:val="20"/>
              </w:rPr>
              <w:t>204</w:t>
            </w:r>
            <w:r w:rsidR="008C0DD7" w:rsidRPr="003E6A9D">
              <w:rPr>
                <w:rFonts w:cs="Arial"/>
                <w:color w:val="FFFFFF" w:themeColor="background1"/>
                <w:sz w:val="20"/>
                <w:szCs w:val="20"/>
              </w:rPr>
              <w:t>8</w:t>
            </w:r>
            <w:r w:rsidR="003E6A9D">
              <w:rPr>
                <w:rFonts w:cs="Arial"/>
                <w:color w:val="FFFFFF" w:themeColor="background1"/>
                <w:sz w:val="20"/>
                <w:szCs w:val="20"/>
              </w:rPr>
              <w:t xml:space="preserve"> г.</w:t>
            </w:r>
          </w:p>
        </w:tc>
      </w:tr>
      <w:tr w:rsidR="00DC2ADB" w:rsidRPr="009F3AE9" w14:paraId="0C6F20FB"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C169A49"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материали</w:t>
            </w:r>
          </w:p>
        </w:tc>
        <w:tc>
          <w:tcPr>
            <w:tcW w:w="1010" w:type="dxa"/>
            <w:shd w:val="clear" w:color="auto" w:fill="auto"/>
            <w:noWrap/>
            <w:vAlign w:val="center"/>
            <w:hideMark/>
          </w:tcPr>
          <w:p w14:paraId="2A29B1A5"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C90D997" w14:textId="3D45E40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188</w:t>
            </w:r>
          </w:p>
        </w:tc>
        <w:tc>
          <w:tcPr>
            <w:tcW w:w="990" w:type="dxa"/>
            <w:shd w:val="clear" w:color="000000" w:fill="FFFFFF"/>
            <w:noWrap/>
            <w:vAlign w:val="center"/>
            <w:hideMark/>
          </w:tcPr>
          <w:p w14:paraId="7BF836BD" w14:textId="7AEC392F"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189</w:t>
            </w:r>
          </w:p>
        </w:tc>
        <w:tc>
          <w:tcPr>
            <w:tcW w:w="990" w:type="dxa"/>
            <w:shd w:val="clear" w:color="000000" w:fill="FFFFFF"/>
            <w:noWrap/>
            <w:vAlign w:val="center"/>
            <w:hideMark/>
          </w:tcPr>
          <w:p w14:paraId="7C58FC66" w14:textId="63ED8ED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191</w:t>
            </w:r>
          </w:p>
        </w:tc>
        <w:tc>
          <w:tcPr>
            <w:tcW w:w="990" w:type="dxa"/>
            <w:shd w:val="clear" w:color="000000" w:fill="FFFFFF"/>
            <w:noWrap/>
            <w:vAlign w:val="center"/>
            <w:hideMark/>
          </w:tcPr>
          <w:p w14:paraId="7CD7CC1D" w14:textId="39E27914"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194</w:t>
            </w:r>
          </w:p>
        </w:tc>
        <w:tc>
          <w:tcPr>
            <w:tcW w:w="990" w:type="dxa"/>
            <w:shd w:val="clear" w:color="000000" w:fill="FFFFFF"/>
            <w:noWrap/>
            <w:vAlign w:val="center"/>
            <w:hideMark/>
          </w:tcPr>
          <w:p w14:paraId="7DBE667F" w14:textId="02122579"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w:t>
            </w:r>
            <w:r w:rsidR="000F552D">
              <w:rPr>
                <w:rFonts w:cs="Arial"/>
                <w:color w:val="000000"/>
                <w:sz w:val="20"/>
                <w:szCs w:val="20"/>
                <w:lang w:val="en-US"/>
              </w:rPr>
              <w:t xml:space="preserve"> </w:t>
            </w:r>
            <w:r w:rsidRPr="003E6A9D">
              <w:rPr>
                <w:rFonts w:cs="Arial"/>
                <w:color w:val="000000"/>
                <w:sz w:val="20"/>
                <w:szCs w:val="20"/>
              </w:rPr>
              <w:t>197</w:t>
            </w:r>
          </w:p>
        </w:tc>
      </w:tr>
      <w:tr w:rsidR="00DC2ADB" w:rsidRPr="009F3AE9" w14:paraId="16975D5B" w14:textId="77777777" w:rsidTr="003E6A9D">
        <w:trPr>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E5106FE"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труд</w:t>
            </w:r>
          </w:p>
        </w:tc>
        <w:tc>
          <w:tcPr>
            <w:tcW w:w="1010" w:type="dxa"/>
            <w:shd w:val="clear" w:color="auto" w:fill="auto"/>
            <w:noWrap/>
            <w:vAlign w:val="center"/>
            <w:hideMark/>
          </w:tcPr>
          <w:p w14:paraId="2585EE87"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E1C89FC" w14:textId="4F692CF9"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47E65353" w14:textId="10EF3E80"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6A177BA1" w14:textId="453D7982"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21EEBF95" w14:textId="626B553A"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90" w:type="dxa"/>
            <w:shd w:val="clear" w:color="000000" w:fill="FFFFFF"/>
            <w:noWrap/>
            <w:vAlign w:val="center"/>
            <w:hideMark/>
          </w:tcPr>
          <w:p w14:paraId="5F3886C7" w14:textId="4AB18C94"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r>
      <w:tr w:rsidR="00DC2ADB" w:rsidRPr="009F3AE9" w14:paraId="69521D55"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47E53676"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Външни услуги</w:t>
            </w:r>
          </w:p>
        </w:tc>
        <w:tc>
          <w:tcPr>
            <w:tcW w:w="1010" w:type="dxa"/>
            <w:shd w:val="clear" w:color="auto" w:fill="auto"/>
            <w:noWrap/>
            <w:vAlign w:val="center"/>
            <w:hideMark/>
          </w:tcPr>
          <w:p w14:paraId="3F6734DE"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756406FB" w14:textId="3D491864"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947</w:t>
            </w:r>
          </w:p>
        </w:tc>
        <w:tc>
          <w:tcPr>
            <w:tcW w:w="990" w:type="dxa"/>
            <w:shd w:val="clear" w:color="000000" w:fill="FFFFFF"/>
            <w:noWrap/>
            <w:vAlign w:val="center"/>
            <w:hideMark/>
          </w:tcPr>
          <w:p w14:paraId="196CBF53" w14:textId="535AB44A"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954</w:t>
            </w:r>
          </w:p>
        </w:tc>
        <w:tc>
          <w:tcPr>
            <w:tcW w:w="990" w:type="dxa"/>
            <w:shd w:val="clear" w:color="000000" w:fill="FFFFFF"/>
            <w:noWrap/>
            <w:vAlign w:val="center"/>
            <w:hideMark/>
          </w:tcPr>
          <w:p w14:paraId="7BF49B9B" w14:textId="2B8D211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973</w:t>
            </w:r>
          </w:p>
        </w:tc>
        <w:tc>
          <w:tcPr>
            <w:tcW w:w="990" w:type="dxa"/>
            <w:shd w:val="clear" w:color="000000" w:fill="FFFFFF"/>
            <w:noWrap/>
            <w:vAlign w:val="center"/>
            <w:hideMark/>
          </w:tcPr>
          <w:p w14:paraId="72027BF2" w14:textId="404BB88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9</w:t>
            </w:r>
            <w:r w:rsidR="000F552D">
              <w:rPr>
                <w:rFonts w:cs="Arial"/>
                <w:color w:val="000000"/>
                <w:sz w:val="20"/>
                <w:szCs w:val="20"/>
                <w:lang w:val="en-US"/>
              </w:rPr>
              <w:t xml:space="preserve"> </w:t>
            </w:r>
            <w:r w:rsidRPr="003E6A9D">
              <w:rPr>
                <w:rFonts w:cs="Arial"/>
                <w:color w:val="000000"/>
                <w:sz w:val="20"/>
                <w:szCs w:val="20"/>
              </w:rPr>
              <w:t>991</w:t>
            </w:r>
          </w:p>
        </w:tc>
        <w:tc>
          <w:tcPr>
            <w:tcW w:w="990" w:type="dxa"/>
            <w:shd w:val="clear" w:color="000000" w:fill="FFFFFF"/>
            <w:noWrap/>
            <w:vAlign w:val="center"/>
            <w:hideMark/>
          </w:tcPr>
          <w:p w14:paraId="6459EFD1" w14:textId="0D3452F3"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10</w:t>
            </w:r>
            <w:r w:rsidR="000F552D">
              <w:rPr>
                <w:rFonts w:cs="Arial"/>
                <w:color w:val="000000"/>
                <w:sz w:val="20"/>
                <w:szCs w:val="20"/>
                <w:lang w:val="en-US"/>
              </w:rPr>
              <w:t xml:space="preserve"> </w:t>
            </w:r>
            <w:r w:rsidRPr="003E6A9D">
              <w:rPr>
                <w:rFonts w:cs="Arial"/>
                <w:color w:val="000000"/>
                <w:sz w:val="20"/>
                <w:szCs w:val="20"/>
              </w:rPr>
              <w:t>021</w:t>
            </w:r>
          </w:p>
        </w:tc>
      </w:tr>
      <w:tr w:rsidR="00DC2ADB" w:rsidRPr="009F3AE9" w14:paraId="7BC39B33" w14:textId="77777777" w:rsidTr="003E6A9D">
        <w:trPr>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0E3C421D"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Административни</w:t>
            </w:r>
          </w:p>
        </w:tc>
        <w:tc>
          <w:tcPr>
            <w:tcW w:w="1010" w:type="dxa"/>
            <w:shd w:val="clear" w:color="auto" w:fill="auto"/>
            <w:noWrap/>
            <w:vAlign w:val="center"/>
            <w:hideMark/>
          </w:tcPr>
          <w:p w14:paraId="38C10C28"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60FC2828" w14:textId="383981E1"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381</w:t>
            </w:r>
          </w:p>
        </w:tc>
        <w:tc>
          <w:tcPr>
            <w:tcW w:w="990" w:type="dxa"/>
            <w:shd w:val="clear" w:color="000000" w:fill="FFFFFF"/>
            <w:noWrap/>
            <w:vAlign w:val="center"/>
            <w:hideMark/>
          </w:tcPr>
          <w:p w14:paraId="449D6744" w14:textId="59C34A3B"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383</w:t>
            </w:r>
          </w:p>
        </w:tc>
        <w:tc>
          <w:tcPr>
            <w:tcW w:w="990" w:type="dxa"/>
            <w:shd w:val="clear" w:color="000000" w:fill="FFFFFF"/>
            <w:noWrap/>
            <w:vAlign w:val="center"/>
            <w:hideMark/>
          </w:tcPr>
          <w:p w14:paraId="658F6249" w14:textId="603AA95F"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387</w:t>
            </w:r>
          </w:p>
        </w:tc>
        <w:tc>
          <w:tcPr>
            <w:tcW w:w="990" w:type="dxa"/>
            <w:shd w:val="clear" w:color="000000" w:fill="FFFFFF"/>
            <w:noWrap/>
            <w:vAlign w:val="center"/>
            <w:hideMark/>
          </w:tcPr>
          <w:p w14:paraId="48BA6868" w14:textId="33F2D8BA"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391</w:t>
            </w:r>
          </w:p>
        </w:tc>
        <w:tc>
          <w:tcPr>
            <w:tcW w:w="990" w:type="dxa"/>
            <w:shd w:val="clear" w:color="000000" w:fill="FFFFFF"/>
            <w:noWrap/>
            <w:vAlign w:val="center"/>
            <w:hideMark/>
          </w:tcPr>
          <w:p w14:paraId="3244281C" w14:textId="2B5EEC6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2</w:t>
            </w:r>
            <w:r w:rsidR="000F552D">
              <w:rPr>
                <w:rFonts w:cs="Arial"/>
                <w:color w:val="000000"/>
                <w:sz w:val="20"/>
                <w:szCs w:val="20"/>
                <w:lang w:val="en-US"/>
              </w:rPr>
              <w:t xml:space="preserve"> </w:t>
            </w:r>
            <w:r w:rsidRPr="003E6A9D">
              <w:rPr>
                <w:rFonts w:cs="Arial"/>
                <w:color w:val="000000"/>
                <w:sz w:val="20"/>
                <w:szCs w:val="20"/>
              </w:rPr>
              <w:t>399</w:t>
            </w:r>
          </w:p>
        </w:tc>
      </w:tr>
      <w:tr w:rsidR="00DC2ADB" w:rsidRPr="009F3AE9" w14:paraId="258AC94F" w14:textId="77777777" w:rsidTr="003E6A9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1A25FC59" w14:textId="77777777" w:rsidR="00DC2ADB" w:rsidRPr="003E6A9D" w:rsidRDefault="00DC2ADB" w:rsidP="00DC2ADB">
            <w:pPr>
              <w:spacing w:after="0" w:line="240" w:lineRule="auto"/>
              <w:rPr>
                <w:rFonts w:cs="Arial"/>
                <w:color w:val="000000"/>
                <w:sz w:val="20"/>
                <w:szCs w:val="20"/>
              </w:rPr>
            </w:pPr>
            <w:r w:rsidRPr="003E6A9D">
              <w:rPr>
                <w:rFonts w:cs="Arial"/>
                <w:color w:val="000000"/>
                <w:sz w:val="20"/>
                <w:szCs w:val="20"/>
              </w:rPr>
              <w:t>Разходи за поддръжка</w:t>
            </w:r>
          </w:p>
        </w:tc>
        <w:tc>
          <w:tcPr>
            <w:tcW w:w="1010" w:type="dxa"/>
            <w:shd w:val="clear" w:color="auto" w:fill="auto"/>
            <w:noWrap/>
            <w:vAlign w:val="center"/>
            <w:hideMark/>
          </w:tcPr>
          <w:p w14:paraId="3E4EAFE2" w14:textId="77777777"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6BBE4ADD" w14:textId="11386E81"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7E4AF159" w14:textId="3403A0FC"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1C19E749" w14:textId="458088B0"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28CA8A0D" w14:textId="06712E91"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c>
          <w:tcPr>
            <w:tcW w:w="990" w:type="dxa"/>
            <w:shd w:val="clear" w:color="auto" w:fill="auto"/>
            <w:noWrap/>
            <w:vAlign w:val="center"/>
            <w:hideMark/>
          </w:tcPr>
          <w:p w14:paraId="7D1EE6D7" w14:textId="739FF7C2" w:rsidR="00DC2ADB" w:rsidRPr="003E6A9D" w:rsidRDefault="00DC2ADB" w:rsidP="003E6A9D">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3E6A9D">
              <w:rPr>
                <w:rFonts w:cs="Arial"/>
                <w:color w:val="000000"/>
                <w:sz w:val="20"/>
                <w:szCs w:val="20"/>
              </w:rPr>
              <w:t>63</w:t>
            </w:r>
            <w:r w:rsidR="000F552D">
              <w:rPr>
                <w:rFonts w:cs="Arial"/>
                <w:color w:val="000000"/>
                <w:sz w:val="20"/>
                <w:szCs w:val="20"/>
                <w:lang w:val="en-US"/>
              </w:rPr>
              <w:t xml:space="preserve"> </w:t>
            </w:r>
            <w:r w:rsidRPr="003E6A9D">
              <w:rPr>
                <w:rFonts w:cs="Arial"/>
                <w:color w:val="000000"/>
                <w:sz w:val="20"/>
                <w:szCs w:val="20"/>
              </w:rPr>
              <w:t>911</w:t>
            </w:r>
          </w:p>
        </w:tc>
      </w:tr>
      <w:tr w:rsidR="00DC2ADB" w:rsidRPr="009F3AE9" w14:paraId="47C2089C" w14:textId="77777777" w:rsidTr="003E6A9D">
        <w:trPr>
          <w:trHeight w:val="300"/>
        </w:trPr>
        <w:tc>
          <w:tcPr>
            <w:cnfStyle w:val="001000000000" w:firstRow="0" w:lastRow="0" w:firstColumn="1" w:lastColumn="0" w:oddVBand="0" w:evenVBand="0" w:oddHBand="0" w:evenHBand="0" w:firstRowFirstColumn="0" w:firstRowLastColumn="0" w:lastRowFirstColumn="0" w:lastRowLastColumn="0"/>
            <w:tcW w:w="3320" w:type="dxa"/>
            <w:shd w:val="clear" w:color="auto" w:fill="auto"/>
            <w:noWrap/>
            <w:vAlign w:val="center"/>
            <w:hideMark/>
          </w:tcPr>
          <w:p w14:paraId="58599146" w14:textId="77777777" w:rsidR="00DC2ADB" w:rsidRPr="003E6A9D" w:rsidRDefault="00DC2ADB" w:rsidP="00DC2ADB">
            <w:pPr>
              <w:spacing w:after="0" w:line="240" w:lineRule="auto"/>
              <w:rPr>
                <w:rFonts w:cs="Arial"/>
                <w:b w:val="0"/>
                <w:bCs w:val="0"/>
                <w:color w:val="000000"/>
                <w:sz w:val="20"/>
                <w:szCs w:val="20"/>
              </w:rPr>
            </w:pPr>
            <w:r w:rsidRPr="003E6A9D">
              <w:rPr>
                <w:rFonts w:cs="Arial"/>
                <w:color w:val="000000"/>
                <w:sz w:val="20"/>
                <w:szCs w:val="20"/>
              </w:rPr>
              <w:t>Общо инкрементални разходи</w:t>
            </w:r>
          </w:p>
        </w:tc>
        <w:tc>
          <w:tcPr>
            <w:tcW w:w="1010" w:type="dxa"/>
            <w:shd w:val="clear" w:color="auto" w:fill="auto"/>
            <w:noWrap/>
            <w:vAlign w:val="center"/>
            <w:hideMark/>
          </w:tcPr>
          <w:p w14:paraId="7F26FF65" w14:textId="77777777"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0</w:t>
            </w:r>
          </w:p>
        </w:tc>
        <w:tc>
          <w:tcPr>
            <w:tcW w:w="970" w:type="dxa"/>
            <w:shd w:val="clear" w:color="auto" w:fill="auto"/>
            <w:noWrap/>
            <w:vAlign w:val="center"/>
            <w:hideMark/>
          </w:tcPr>
          <w:p w14:paraId="1620C526" w14:textId="3CF41591"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427</w:t>
            </w:r>
          </w:p>
        </w:tc>
        <w:tc>
          <w:tcPr>
            <w:tcW w:w="990" w:type="dxa"/>
            <w:shd w:val="clear" w:color="auto" w:fill="auto"/>
            <w:noWrap/>
            <w:vAlign w:val="center"/>
            <w:hideMark/>
          </w:tcPr>
          <w:p w14:paraId="0237F53C" w14:textId="0A43BE70"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437</w:t>
            </w:r>
          </w:p>
        </w:tc>
        <w:tc>
          <w:tcPr>
            <w:tcW w:w="990" w:type="dxa"/>
            <w:shd w:val="clear" w:color="auto" w:fill="auto"/>
            <w:noWrap/>
            <w:vAlign w:val="center"/>
            <w:hideMark/>
          </w:tcPr>
          <w:p w14:paraId="37C7BBA4" w14:textId="6F08A658"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462</w:t>
            </w:r>
          </w:p>
        </w:tc>
        <w:tc>
          <w:tcPr>
            <w:tcW w:w="990" w:type="dxa"/>
            <w:shd w:val="clear" w:color="auto" w:fill="auto"/>
            <w:noWrap/>
            <w:vAlign w:val="center"/>
            <w:hideMark/>
          </w:tcPr>
          <w:p w14:paraId="047648F1" w14:textId="3F141FBB"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488</w:t>
            </w:r>
          </w:p>
        </w:tc>
        <w:tc>
          <w:tcPr>
            <w:tcW w:w="990" w:type="dxa"/>
            <w:shd w:val="clear" w:color="auto" w:fill="auto"/>
            <w:noWrap/>
            <w:vAlign w:val="center"/>
            <w:hideMark/>
          </w:tcPr>
          <w:p w14:paraId="48D8FF2C" w14:textId="5AF0C1F4" w:rsidR="00DC2ADB" w:rsidRPr="003E6A9D" w:rsidRDefault="00DC2ADB" w:rsidP="003E6A9D">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3E6A9D">
              <w:rPr>
                <w:rFonts w:cs="Arial"/>
                <w:color w:val="000000"/>
                <w:sz w:val="20"/>
                <w:szCs w:val="20"/>
              </w:rPr>
              <w:t>77</w:t>
            </w:r>
            <w:r w:rsidR="000F552D">
              <w:rPr>
                <w:rFonts w:cs="Arial"/>
                <w:color w:val="000000"/>
                <w:sz w:val="20"/>
                <w:szCs w:val="20"/>
                <w:lang w:val="en-US"/>
              </w:rPr>
              <w:t xml:space="preserve"> </w:t>
            </w:r>
            <w:r w:rsidRPr="003E6A9D">
              <w:rPr>
                <w:rFonts w:cs="Arial"/>
                <w:color w:val="000000"/>
                <w:sz w:val="20"/>
                <w:szCs w:val="20"/>
              </w:rPr>
              <w:t>528</w:t>
            </w:r>
          </w:p>
        </w:tc>
      </w:tr>
    </w:tbl>
    <w:p w14:paraId="79D12967" w14:textId="5245DD97" w:rsidR="004F4F50" w:rsidRPr="003E6A9D" w:rsidRDefault="004F4F50" w:rsidP="004F4F50">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3E6A9D">
        <w:rPr>
          <w:rFonts w:ascii="Times New Roman" w:eastAsia="Times New Roman" w:hAnsi="Times New Roman" w:cs="Times New Roman"/>
          <w:i/>
          <w:sz w:val="18"/>
          <w:szCs w:val="18"/>
          <w:lang w:eastAsia="ar-SA"/>
        </w:rPr>
        <w:t>Източник:</w:t>
      </w:r>
      <w:r w:rsidRPr="003E6A9D">
        <w:rPr>
          <w:rFonts w:ascii="Times New Roman" w:eastAsia="Times New Roman" w:hAnsi="Times New Roman" w:cs="Times New Roman"/>
          <w:i/>
          <w:sz w:val="18"/>
          <w:szCs w:val="18"/>
          <w:lang w:eastAsia="ar-SA"/>
        </w:rPr>
        <w:tab/>
        <w:t>П</w:t>
      </w:r>
      <w:r w:rsidR="002501DC" w:rsidRPr="003E6A9D">
        <w:rPr>
          <w:rFonts w:ascii="Times New Roman" w:eastAsia="Times New Roman" w:hAnsi="Times New Roman" w:cs="Times New Roman"/>
          <w:i/>
          <w:sz w:val="18"/>
          <w:szCs w:val="18"/>
          <w:lang w:eastAsia="ar-SA"/>
        </w:rPr>
        <w:t>И</w:t>
      </w:r>
      <w:r w:rsidRPr="003E6A9D">
        <w:rPr>
          <w:rFonts w:ascii="Times New Roman" w:eastAsia="Times New Roman" w:hAnsi="Times New Roman" w:cs="Times New Roman"/>
          <w:i/>
          <w:sz w:val="18"/>
          <w:szCs w:val="18"/>
          <w:lang w:eastAsia="ar-SA"/>
        </w:rPr>
        <w:t>П и собствени изчисления</w:t>
      </w:r>
    </w:p>
    <w:p w14:paraId="682E415D" w14:textId="77777777" w:rsidR="00C36518" w:rsidRDefault="00C36518" w:rsidP="004F4F50">
      <w:pPr>
        <w:tabs>
          <w:tab w:val="left" w:pos="1134"/>
        </w:tabs>
        <w:suppressAutoHyphens/>
        <w:spacing w:after="0" w:line="240" w:lineRule="auto"/>
        <w:jc w:val="both"/>
        <w:rPr>
          <w:rFonts w:eastAsia="Times New Roman" w:cs="Arial"/>
          <w:sz w:val="18"/>
          <w:szCs w:val="18"/>
          <w:lang w:eastAsia="ar-SA"/>
        </w:rPr>
      </w:pPr>
    </w:p>
    <w:p w14:paraId="0F1000CD" w14:textId="77777777" w:rsidR="002501DC" w:rsidRPr="00FD0A06" w:rsidRDefault="002501DC" w:rsidP="004F4F50">
      <w:pPr>
        <w:tabs>
          <w:tab w:val="left" w:pos="1134"/>
        </w:tabs>
        <w:suppressAutoHyphens/>
        <w:spacing w:after="0" w:line="240" w:lineRule="auto"/>
        <w:jc w:val="both"/>
        <w:rPr>
          <w:rFonts w:eastAsia="Times New Roman" w:cs="Arial"/>
          <w:sz w:val="18"/>
          <w:szCs w:val="18"/>
          <w:lang w:eastAsia="ar-SA"/>
        </w:rPr>
      </w:pPr>
    </w:p>
    <w:p w14:paraId="5FA4D28E" w14:textId="77777777" w:rsidR="00F42E46" w:rsidRPr="002501DC" w:rsidRDefault="00F42E46" w:rsidP="002501DC">
      <w:pPr>
        <w:pStyle w:val="Heading2"/>
        <w:numPr>
          <w:ilvl w:val="1"/>
          <w:numId w:val="3"/>
        </w:numPr>
        <w:ind w:left="1080" w:hanging="540"/>
        <w:rPr>
          <w:szCs w:val="24"/>
          <w:lang w:val="bg-BG"/>
        </w:rPr>
      </w:pPr>
      <w:bookmarkStart w:id="303" w:name="_Toc434229767"/>
      <w:bookmarkStart w:id="304" w:name="_Toc143694192"/>
      <w:r w:rsidRPr="002501DC">
        <w:rPr>
          <w:szCs w:val="24"/>
          <w:lang w:val="bg-BG"/>
        </w:rPr>
        <w:t>Приходи от проекта</w:t>
      </w:r>
      <w:bookmarkEnd w:id="303"/>
      <w:bookmarkEnd w:id="304"/>
    </w:p>
    <w:p w14:paraId="512E6A60" w14:textId="77777777" w:rsidR="00F42E46" w:rsidRPr="00870376" w:rsidRDefault="00F42E46" w:rsidP="002501DC">
      <w:pPr>
        <w:pStyle w:val="Heading3"/>
        <w:numPr>
          <w:ilvl w:val="2"/>
          <w:numId w:val="3"/>
        </w:numPr>
        <w:spacing w:before="240"/>
        <w:jc w:val="both"/>
        <w:rPr>
          <w:rFonts w:cs="Arial"/>
          <w:sz w:val="22"/>
          <w:szCs w:val="22"/>
        </w:rPr>
      </w:pPr>
      <w:bookmarkStart w:id="305" w:name="_Toc434229768"/>
      <w:bookmarkStart w:id="306" w:name="_Toc94191732"/>
      <w:bookmarkStart w:id="307" w:name="_Toc143694193"/>
      <w:r w:rsidRPr="00870376">
        <w:rPr>
          <w:rFonts w:cs="Arial"/>
          <w:sz w:val="22"/>
          <w:szCs w:val="22"/>
        </w:rPr>
        <w:t>Методология и общи допускания</w:t>
      </w:r>
      <w:bookmarkEnd w:id="305"/>
      <w:bookmarkEnd w:id="306"/>
      <w:bookmarkEnd w:id="307"/>
      <w:r w:rsidRPr="00870376">
        <w:rPr>
          <w:rFonts w:cs="Arial"/>
          <w:sz w:val="22"/>
          <w:szCs w:val="22"/>
        </w:rPr>
        <w:t xml:space="preserve"> </w:t>
      </w:r>
    </w:p>
    <w:p w14:paraId="7CB3C814" w14:textId="77777777" w:rsidR="00870376" w:rsidRDefault="00870376" w:rsidP="00870376">
      <w:pPr>
        <w:suppressAutoHyphens/>
        <w:spacing w:after="0" w:line="240" w:lineRule="auto"/>
        <w:ind w:firstLine="547"/>
        <w:jc w:val="both"/>
        <w:rPr>
          <w:rFonts w:eastAsia="Times New Roman" w:cs="Arial"/>
          <w:sz w:val="22"/>
          <w:lang w:eastAsia="ar-SA"/>
        </w:rPr>
      </w:pPr>
    </w:p>
    <w:p w14:paraId="180F93FD" w14:textId="77777777" w:rsidR="00870376" w:rsidRDefault="00870376" w:rsidP="00870376">
      <w:pPr>
        <w:jc w:val="both"/>
        <w:rPr>
          <w:rFonts w:cs="Arial"/>
        </w:rPr>
      </w:pPr>
      <w:r>
        <w:rPr>
          <w:rFonts w:cs="Arial"/>
        </w:rPr>
        <w:t>Приходите от проекта се генерират от нормативно определените източници, а именно такси и услуги, предоставяни от ДППИ.</w:t>
      </w:r>
    </w:p>
    <w:p w14:paraId="28AD19F8" w14:textId="790D0F93" w:rsidR="00870376" w:rsidRDefault="00870376" w:rsidP="00870376">
      <w:pPr>
        <w:jc w:val="both"/>
        <w:rPr>
          <w:rFonts w:cs="Arial"/>
        </w:rPr>
      </w:pPr>
      <w:r>
        <w:rPr>
          <w:rFonts w:cs="Arial"/>
        </w:rPr>
        <w:t xml:space="preserve">Начинът за формиране на таксите </w:t>
      </w:r>
      <w:r w:rsidR="007616AC">
        <w:rPr>
          <w:rFonts w:cs="Arial"/>
        </w:rPr>
        <w:t xml:space="preserve">за ползване на пристанищна инфраструктура </w:t>
      </w:r>
      <w:r>
        <w:rPr>
          <w:rFonts w:cs="Arial"/>
        </w:rPr>
        <w:t xml:space="preserve">е указан в </w:t>
      </w:r>
      <w:r w:rsidRPr="00F672A4">
        <w:rPr>
          <w:rFonts w:cs="Arial"/>
          <w:i/>
        </w:rPr>
        <w:t>Регламент (ЕС) 2017/352</w:t>
      </w:r>
      <w:r w:rsidRPr="00F672A4">
        <w:rPr>
          <w:rStyle w:val="FootnoteReference"/>
          <w:i/>
        </w:rPr>
        <w:footnoteReference w:id="19"/>
      </w:r>
      <w:r w:rsidRPr="00F672A4">
        <w:rPr>
          <w:rFonts w:cs="Arial"/>
          <w:i/>
        </w:rPr>
        <w:t xml:space="preserve"> на Европейския парламент и на Съвета</w:t>
      </w:r>
      <w:r w:rsidRPr="0090177D">
        <w:rPr>
          <w:rFonts w:cs="Arial"/>
        </w:rPr>
        <w:t xml:space="preserve"> от 15 февруари 2017 г. за създаване на рамка за предоставянето на пристанищни услуги и общи правила за финансов</w:t>
      </w:r>
      <w:r>
        <w:rPr>
          <w:rFonts w:cs="Arial"/>
        </w:rPr>
        <w:t>ата прозрачност на пристанищата.</w:t>
      </w:r>
    </w:p>
    <w:p w14:paraId="13C9F665" w14:textId="051B7EA8" w:rsidR="00870376" w:rsidRDefault="00870376" w:rsidP="00870376">
      <w:pPr>
        <w:autoSpaceDE w:val="0"/>
        <w:autoSpaceDN w:val="0"/>
        <w:adjustRightInd w:val="0"/>
        <w:jc w:val="both"/>
        <w:rPr>
          <w:rFonts w:cs="Arial"/>
        </w:rPr>
      </w:pPr>
      <w:r w:rsidRPr="00353603">
        <w:rPr>
          <w:rFonts w:cs="Arial"/>
        </w:rPr>
        <w:t xml:space="preserve">Неговите разпоредби са транспонирани в </w:t>
      </w:r>
      <w:r w:rsidRPr="00F672A4">
        <w:rPr>
          <w:rFonts w:cs="Arial"/>
          <w:i/>
        </w:rPr>
        <w:t>ЗАКОН за морските пространства, вътрешните водни пътища и пристанищата на Република България</w:t>
      </w:r>
      <w:r w:rsidRPr="00353603">
        <w:rPr>
          <w:rStyle w:val="FootnoteReference"/>
          <w:rFonts w:cs="Arial"/>
        </w:rPr>
        <w:footnoteReference w:id="20"/>
      </w:r>
      <w:r w:rsidR="004506B2">
        <w:rPr>
          <w:rFonts w:cs="Arial"/>
          <w:i/>
        </w:rPr>
        <w:t>.</w:t>
      </w:r>
      <w:r w:rsidRPr="00353603">
        <w:rPr>
          <w:rFonts w:cs="Arial"/>
        </w:rPr>
        <w:t xml:space="preserve"> </w:t>
      </w:r>
      <w:r w:rsidR="004506B2">
        <w:rPr>
          <w:rFonts w:cs="Arial"/>
        </w:rPr>
        <w:t xml:space="preserve"> В </w:t>
      </w:r>
      <w:r w:rsidRPr="00353603">
        <w:rPr>
          <w:rFonts w:cs="Arial"/>
        </w:rPr>
        <w:t>чл.103в от закона</w:t>
      </w:r>
      <w:r w:rsidR="004506B2">
        <w:rPr>
          <w:rFonts w:cs="Arial"/>
        </w:rPr>
        <w:t xml:space="preserve"> е регламентирано заплащането </w:t>
      </w:r>
      <w:r w:rsidR="009B5D7C">
        <w:rPr>
          <w:rFonts w:cs="Arial"/>
        </w:rPr>
        <w:t xml:space="preserve">на такси </w:t>
      </w:r>
      <w:r w:rsidR="004506B2">
        <w:rPr>
          <w:rFonts w:cs="Arial"/>
        </w:rPr>
        <w:t xml:space="preserve">за </w:t>
      </w:r>
      <w:r w:rsidR="004506B2" w:rsidRPr="004506B2">
        <w:rPr>
          <w:rFonts w:cs="Arial"/>
        </w:rPr>
        <w:t>ползване на пристанищната инфраструктура</w:t>
      </w:r>
      <w:r w:rsidR="004506B2">
        <w:rPr>
          <w:rFonts w:cs="Arial"/>
        </w:rPr>
        <w:t xml:space="preserve"> и за </w:t>
      </w:r>
      <w:r w:rsidR="004506B2" w:rsidRPr="004506B2">
        <w:rPr>
          <w:rFonts w:cs="Arial"/>
        </w:rPr>
        <w:t>приемане и обработване на отпадъци - резултат от корабоплавателна дейност.</w:t>
      </w:r>
      <w:r w:rsidRPr="00353603">
        <w:rPr>
          <w:rFonts w:cs="Arial"/>
        </w:rPr>
        <w:t xml:space="preserve">. Таксите се разходват за обезпечаване на достъпа до съответното пристанище, включително за покриване на разходите за изграждане и поддържане на </w:t>
      </w:r>
      <w:r w:rsidR="007616AC">
        <w:rPr>
          <w:rFonts w:cs="Arial"/>
        </w:rPr>
        <w:t>и</w:t>
      </w:r>
      <w:r w:rsidRPr="00353603">
        <w:rPr>
          <w:rFonts w:cs="Arial"/>
        </w:rPr>
        <w:t>нфраструктурата за достъп и другата обща техническа инфраструктура на пристанището, както и за поддържане на проектните дълбочини в акваторията на пристанището.</w:t>
      </w:r>
      <w:r w:rsidRPr="00353603">
        <w:t xml:space="preserve"> </w:t>
      </w:r>
      <w:r w:rsidRPr="00353603">
        <w:rPr>
          <w:rFonts w:cs="Arial"/>
        </w:rPr>
        <w:t>В съответствие с прилаганата в пристанището икономическа стратегия и политика за пространствено планиране може да бъдат определяни различни</w:t>
      </w:r>
      <w:r>
        <w:rPr>
          <w:rFonts w:cs="Arial"/>
        </w:rPr>
        <w:t xml:space="preserve"> </w:t>
      </w:r>
      <w:r w:rsidRPr="00353603">
        <w:rPr>
          <w:rFonts w:cs="Arial"/>
        </w:rPr>
        <w:t>размери на таксите за различните типове кораби, които посещават пристанището, както и с цел да се насърчи по-ефективното използване на</w:t>
      </w:r>
      <w:r>
        <w:rPr>
          <w:rFonts w:cs="Arial"/>
        </w:rPr>
        <w:t xml:space="preserve"> </w:t>
      </w:r>
      <w:r w:rsidRPr="00353603">
        <w:rPr>
          <w:rFonts w:cs="Arial"/>
        </w:rPr>
        <w:t xml:space="preserve">пристанищната инфраструктура, превозите на къси разстояния, опазването на </w:t>
      </w:r>
      <w:r w:rsidRPr="00353603">
        <w:rPr>
          <w:rFonts w:cs="Arial"/>
        </w:rPr>
        <w:lastRenderedPageBreak/>
        <w:t>морската и речната околна среда, енергийната ефективност или ефективността по</w:t>
      </w:r>
      <w:r>
        <w:rPr>
          <w:rFonts w:cs="Arial"/>
        </w:rPr>
        <w:t xml:space="preserve"> </w:t>
      </w:r>
      <w:r w:rsidRPr="00353603">
        <w:rPr>
          <w:rFonts w:cs="Arial"/>
        </w:rPr>
        <w:t>отношение на въглеродните емисии от водния транспорт</w:t>
      </w:r>
      <w:r>
        <w:rPr>
          <w:rFonts w:cs="Arial"/>
        </w:rPr>
        <w:t>.</w:t>
      </w:r>
    </w:p>
    <w:p w14:paraId="45FE361E" w14:textId="656E758A" w:rsidR="00870376" w:rsidRDefault="00870376" w:rsidP="00870376">
      <w:pPr>
        <w:autoSpaceDE w:val="0"/>
        <w:autoSpaceDN w:val="0"/>
        <w:adjustRightInd w:val="0"/>
        <w:jc w:val="both"/>
        <w:rPr>
          <w:rFonts w:cs="Arial"/>
        </w:rPr>
      </w:pPr>
      <w:r>
        <w:rPr>
          <w:rFonts w:cs="Arial"/>
        </w:rPr>
        <w:t xml:space="preserve">Техният размер се определя в </w:t>
      </w:r>
      <w:r w:rsidRPr="00F672A4">
        <w:rPr>
          <w:rFonts w:cs="Arial"/>
          <w:i/>
        </w:rPr>
        <w:t>Тарифа за пристанищните такси, събирани от Държавно предприятие "Пристанищна инфраструктура</w:t>
      </w:r>
      <w:r w:rsidRPr="00353603">
        <w:rPr>
          <w:rFonts w:cs="Arial"/>
        </w:rPr>
        <w:t>"</w:t>
      </w:r>
      <w:r>
        <w:rPr>
          <w:rStyle w:val="FootnoteReference"/>
        </w:rPr>
        <w:footnoteReference w:id="21"/>
      </w:r>
      <w:r>
        <w:rPr>
          <w:rFonts w:cs="Arial"/>
        </w:rPr>
        <w:t xml:space="preserve">,. </w:t>
      </w:r>
    </w:p>
    <w:p w14:paraId="446EE3EE" w14:textId="77777777" w:rsidR="00870376" w:rsidRDefault="00870376" w:rsidP="00870376">
      <w:pPr>
        <w:autoSpaceDE w:val="0"/>
        <w:autoSpaceDN w:val="0"/>
        <w:adjustRightInd w:val="0"/>
        <w:jc w:val="both"/>
        <w:rPr>
          <w:rFonts w:cs="Arial"/>
        </w:rPr>
      </w:pPr>
      <w:r>
        <w:rPr>
          <w:rFonts w:cs="Arial"/>
        </w:rPr>
        <w:t xml:space="preserve">За допълнителните услуги, предоставяни в пристанищата се прилага </w:t>
      </w:r>
      <w:r w:rsidRPr="00F672A4">
        <w:rPr>
          <w:rFonts w:cs="Arial"/>
          <w:i/>
        </w:rPr>
        <w:t>Ценоразпис на услугите предоставяни от Държавно предприятие "Пристанищна инфраструктура</w:t>
      </w:r>
      <w:r>
        <w:rPr>
          <w:rFonts w:cs="Arial"/>
        </w:rPr>
        <w:t>“</w:t>
      </w:r>
      <w:r>
        <w:rPr>
          <w:rStyle w:val="FootnoteReference"/>
        </w:rPr>
        <w:footnoteReference w:id="22"/>
      </w:r>
      <w:r>
        <w:rPr>
          <w:rFonts w:cs="Arial"/>
        </w:rPr>
        <w:t>, която се одобрява от Генералния директор.</w:t>
      </w:r>
    </w:p>
    <w:p w14:paraId="6D2B02CA" w14:textId="77777777" w:rsidR="00A655E2" w:rsidRDefault="00870376" w:rsidP="00C36518">
      <w:pPr>
        <w:suppressAutoHyphens/>
        <w:spacing w:before="60" w:after="60"/>
        <w:jc w:val="both"/>
        <w:rPr>
          <w:rFonts w:cs="Arial"/>
        </w:rPr>
      </w:pPr>
      <w:r>
        <w:rPr>
          <w:rFonts w:cs="Arial"/>
        </w:rPr>
        <w:t>Предвид многообразието на видовете кораби, техният престой, тонаж, видове товари и др. характеристики, от които зависи определянето на размера на таксите, при определяне на приходите е използвана обща единна ставка</w:t>
      </w:r>
      <w:r w:rsidR="00BC6311">
        <w:rPr>
          <w:rFonts w:cs="Arial"/>
        </w:rPr>
        <w:t xml:space="preserve"> за приходи на 1 тон</w:t>
      </w:r>
      <w:r>
        <w:rPr>
          <w:rFonts w:cs="Arial"/>
        </w:rPr>
        <w:t>.</w:t>
      </w:r>
    </w:p>
    <w:p w14:paraId="1C37D9C5" w14:textId="17A265F7" w:rsidR="00DC2ADB" w:rsidRPr="00231CC7" w:rsidRDefault="00DC2ADB" w:rsidP="00DC2ADB">
      <w:pPr>
        <w:suppressAutoHyphens/>
        <w:spacing w:before="60" w:after="60"/>
        <w:jc w:val="both"/>
        <w:rPr>
          <w:rFonts w:cs="Arial"/>
        </w:rPr>
      </w:pPr>
      <w:r w:rsidRPr="00231CC7">
        <w:rPr>
          <w:rFonts w:cs="Arial"/>
        </w:rPr>
        <w:t xml:space="preserve">Такси във връзка с </w:t>
      </w:r>
      <w:r w:rsidR="004648FC" w:rsidRPr="00231CC7">
        <w:rPr>
          <w:rFonts w:cs="Arial"/>
        </w:rPr>
        <w:t>реконструкцията на Източен кей на пристанище Лом</w:t>
      </w:r>
      <w:r w:rsidRPr="00231CC7">
        <w:rPr>
          <w:rFonts w:cs="Arial"/>
        </w:rPr>
        <w:t xml:space="preserve"> няма да се събират, а разликата в двата сценария е резултат от развитието на прогнозата на търсенето.</w:t>
      </w:r>
    </w:p>
    <w:p w14:paraId="5B10128C" w14:textId="02901678" w:rsidR="00F42E46" w:rsidRPr="00870376" w:rsidRDefault="00870376" w:rsidP="00A36BFC">
      <w:pPr>
        <w:pStyle w:val="Heading3"/>
        <w:numPr>
          <w:ilvl w:val="2"/>
          <w:numId w:val="3"/>
        </w:numPr>
        <w:spacing w:before="240"/>
        <w:jc w:val="both"/>
        <w:rPr>
          <w:rFonts w:cs="Arial"/>
          <w:sz w:val="22"/>
          <w:szCs w:val="22"/>
        </w:rPr>
      </w:pPr>
      <w:bookmarkStart w:id="308" w:name="_Toc94191733"/>
      <w:bookmarkStart w:id="309" w:name="_Toc143694194"/>
      <w:r w:rsidRPr="00870376">
        <w:rPr>
          <w:rFonts w:cs="Arial"/>
          <w:sz w:val="22"/>
          <w:szCs w:val="22"/>
        </w:rPr>
        <w:t>Определяне на единичната стойност на приходите</w:t>
      </w:r>
      <w:bookmarkEnd w:id="308"/>
      <w:bookmarkEnd w:id="309"/>
    </w:p>
    <w:p w14:paraId="12A46020" w14:textId="77777777" w:rsidR="00870376" w:rsidRDefault="00870376" w:rsidP="00870376">
      <w:pPr>
        <w:autoSpaceDE w:val="0"/>
        <w:autoSpaceDN w:val="0"/>
        <w:adjustRightInd w:val="0"/>
        <w:spacing w:after="0" w:line="240" w:lineRule="auto"/>
        <w:jc w:val="both"/>
        <w:rPr>
          <w:rFonts w:cs="Arial"/>
        </w:rPr>
      </w:pPr>
    </w:p>
    <w:p w14:paraId="4708683E" w14:textId="09E3C884" w:rsidR="00870376" w:rsidRDefault="00870376" w:rsidP="00870376">
      <w:pPr>
        <w:autoSpaceDE w:val="0"/>
        <w:autoSpaceDN w:val="0"/>
        <w:adjustRightInd w:val="0"/>
        <w:jc w:val="both"/>
        <w:rPr>
          <w:rFonts w:cs="Arial"/>
        </w:rPr>
      </w:pPr>
      <w:r>
        <w:rPr>
          <w:rFonts w:cs="Arial"/>
        </w:rPr>
        <w:t xml:space="preserve">Единната приходна ставка е определена на база исторически данни за приходите по видове пристанища - морски и речни на база 1 </w:t>
      </w:r>
      <w:r w:rsidR="0054633F">
        <w:rPr>
          <w:rFonts w:cs="Arial"/>
        </w:rPr>
        <w:t xml:space="preserve">тон </w:t>
      </w:r>
      <w:r w:rsidR="00231CC7">
        <w:rPr>
          <w:rFonts w:cs="Arial"/>
        </w:rPr>
        <w:t>обработен товар</w:t>
      </w:r>
      <w:r>
        <w:rPr>
          <w:rFonts w:cs="Arial"/>
        </w:rPr>
        <w:t xml:space="preserve">. </w:t>
      </w:r>
    </w:p>
    <w:p w14:paraId="1677E02E" w14:textId="77777777" w:rsidR="004648FC" w:rsidRPr="00231CC7" w:rsidRDefault="004648FC" w:rsidP="00231CC7">
      <w:pPr>
        <w:autoSpaceDE w:val="0"/>
        <w:autoSpaceDN w:val="0"/>
        <w:adjustRightInd w:val="0"/>
        <w:spacing w:after="0"/>
        <w:jc w:val="both"/>
        <w:rPr>
          <w:rFonts w:cs="Arial"/>
          <w:sz w:val="22"/>
        </w:rPr>
      </w:pPr>
      <w:bookmarkStart w:id="310" w:name="_Toc159749163"/>
      <w:bookmarkStart w:id="311" w:name="_Toc174099102"/>
      <w:r w:rsidRPr="00231CC7">
        <w:rPr>
          <w:rFonts w:cs="Arial"/>
          <w:bCs/>
          <w:i/>
          <w:iCs/>
          <w:sz w:val="22"/>
        </w:rPr>
        <w:t xml:space="preserve">Графика </w:t>
      </w:r>
      <w:r w:rsidRPr="00231CC7">
        <w:rPr>
          <w:rFonts w:cs="Arial"/>
          <w:bCs/>
          <w:i/>
          <w:iCs/>
          <w:sz w:val="22"/>
        </w:rPr>
        <w:fldChar w:fldCharType="begin"/>
      </w:r>
      <w:r w:rsidRPr="00231CC7">
        <w:rPr>
          <w:rFonts w:cs="Arial"/>
          <w:bCs/>
          <w:i/>
          <w:iCs/>
          <w:sz w:val="22"/>
        </w:rPr>
        <w:instrText xml:space="preserve"> SEQ Фигура \* ARABIC </w:instrText>
      </w:r>
      <w:r w:rsidRPr="00231CC7">
        <w:rPr>
          <w:rFonts w:cs="Arial"/>
          <w:bCs/>
          <w:i/>
          <w:iCs/>
          <w:sz w:val="22"/>
        </w:rPr>
        <w:fldChar w:fldCharType="separate"/>
      </w:r>
      <w:r w:rsidR="00231CC7">
        <w:rPr>
          <w:rFonts w:cs="Arial"/>
          <w:bCs/>
          <w:i/>
          <w:iCs/>
          <w:noProof/>
          <w:sz w:val="22"/>
        </w:rPr>
        <w:t>17</w:t>
      </w:r>
      <w:r w:rsidRPr="00231CC7">
        <w:rPr>
          <w:rFonts w:cs="Arial"/>
          <w:bCs/>
          <w:i/>
          <w:iCs/>
          <w:sz w:val="22"/>
        </w:rPr>
        <w:fldChar w:fldCharType="end"/>
      </w:r>
      <w:r w:rsidRPr="00231CC7">
        <w:rPr>
          <w:rFonts w:eastAsia="Times New Roman" w:cs="Arial"/>
          <w:i/>
          <w:sz w:val="22"/>
          <w:lang w:eastAsia="ar-SA"/>
        </w:rPr>
        <w:tab/>
        <w:t>Динамика на приходите от дейността</w:t>
      </w:r>
      <w:bookmarkEnd w:id="310"/>
      <w:bookmarkEnd w:id="311"/>
    </w:p>
    <w:p w14:paraId="4EB99879" w14:textId="07D30FC4" w:rsidR="004648FC" w:rsidRDefault="004648FC" w:rsidP="00870376">
      <w:pPr>
        <w:tabs>
          <w:tab w:val="left" w:pos="1418"/>
        </w:tabs>
        <w:spacing w:before="60" w:after="60"/>
        <w:jc w:val="both"/>
        <w:rPr>
          <w:rFonts w:eastAsia="Calibri" w:cs="Arial"/>
          <w:i/>
          <w:color w:val="000000"/>
          <w:sz w:val="22"/>
          <w:lang w:eastAsia="en-US"/>
        </w:rPr>
      </w:pPr>
      <w:r>
        <w:rPr>
          <w:noProof/>
          <w:lang w:val="en-US" w:eastAsia="en-US"/>
        </w:rPr>
        <w:drawing>
          <wp:inline distT="0" distB="0" distL="0" distR="0" wp14:anchorId="692BA1C9" wp14:editId="74247391">
            <wp:extent cx="5286375" cy="2590800"/>
            <wp:effectExtent l="0" t="0" r="9525" b="0"/>
            <wp:docPr id="194059837" name="Диаграма 1">
              <a:extLst xmlns:a="http://schemas.openxmlformats.org/drawingml/2006/main">
                <a:ext uri="{FF2B5EF4-FFF2-40B4-BE49-F238E27FC236}">
                  <a16:creationId xmlns:a16="http://schemas.microsoft.com/office/drawing/2014/main"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4B7B039" w14:textId="000632F2" w:rsidR="00870376" w:rsidRPr="00231CC7" w:rsidRDefault="00870376" w:rsidP="00C36518">
      <w:pPr>
        <w:suppressAutoHyphens/>
        <w:spacing w:before="60" w:after="60"/>
        <w:jc w:val="both"/>
        <w:rPr>
          <w:rFonts w:ascii="Times New Roman" w:eastAsia="Times New Roman" w:hAnsi="Times New Roman" w:cs="Times New Roman"/>
          <w:i/>
          <w:sz w:val="22"/>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 xml:space="preserve">ГФО на ДППИ за 2018, 2019 </w:t>
      </w:r>
      <w:r w:rsidR="00815527" w:rsidRPr="00231CC7">
        <w:rPr>
          <w:rFonts w:ascii="Times New Roman" w:eastAsia="Times New Roman" w:hAnsi="Times New Roman" w:cs="Times New Roman"/>
          <w:i/>
          <w:sz w:val="18"/>
          <w:szCs w:val="18"/>
          <w:lang w:eastAsia="ar-SA"/>
        </w:rPr>
        <w:t>,</w:t>
      </w:r>
      <w:r w:rsidRPr="00231CC7">
        <w:rPr>
          <w:rFonts w:ascii="Times New Roman" w:eastAsia="Times New Roman" w:hAnsi="Times New Roman" w:cs="Times New Roman"/>
          <w:i/>
          <w:sz w:val="18"/>
          <w:szCs w:val="18"/>
          <w:lang w:eastAsia="ar-SA"/>
        </w:rPr>
        <w:t>2020,</w:t>
      </w:r>
      <w:r w:rsidR="00815527" w:rsidRPr="00231CC7">
        <w:rPr>
          <w:rFonts w:ascii="Times New Roman" w:eastAsia="Times New Roman" w:hAnsi="Times New Roman" w:cs="Times New Roman"/>
          <w:i/>
          <w:sz w:val="18"/>
          <w:szCs w:val="18"/>
          <w:lang w:eastAsia="ar-SA"/>
        </w:rPr>
        <w:t>2021</w:t>
      </w:r>
      <w:r w:rsidR="004648FC" w:rsidRPr="00231CC7">
        <w:rPr>
          <w:rFonts w:ascii="Times New Roman" w:eastAsia="Times New Roman" w:hAnsi="Times New Roman" w:cs="Times New Roman"/>
          <w:i/>
          <w:sz w:val="18"/>
          <w:szCs w:val="18"/>
          <w:lang w:eastAsia="ar-SA"/>
        </w:rPr>
        <w:t>, 2022</w:t>
      </w:r>
      <w:r w:rsidR="00815527" w:rsidRPr="00231CC7">
        <w:rPr>
          <w:rFonts w:ascii="Times New Roman" w:eastAsia="Times New Roman" w:hAnsi="Times New Roman" w:cs="Times New Roman"/>
          <w:i/>
          <w:sz w:val="18"/>
          <w:szCs w:val="18"/>
          <w:lang w:eastAsia="ar-SA"/>
        </w:rPr>
        <w:t xml:space="preserve"> и 202</w:t>
      </w:r>
      <w:r w:rsidR="004648FC" w:rsidRPr="00231CC7">
        <w:rPr>
          <w:rFonts w:ascii="Times New Roman" w:eastAsia="Times New Roman" w:hAnsi="Times New Roman" w:cs="Times New Roman"/>
          <w:i/>
          <w:sz w:val="18"/>
          <w:szCs w:val="18"/>
          <w:lang w:eastAsia="ar-SA"/>
        </w:rPr>
        <w:t>3</w:t>
      </w:r>
      <w:r w:rsidR="00815527" w:rsidRPr="00231CC7">
        <w:rPr>
          <w:rFonts w:ascii="Times New Roman" w:eastAsia="Times New Roman" w:hAnsi="Times New Roman" w:cs="Times New Roman"/>
          <w:i/>
          <w:sz w:val="18"/>
          <w:szCs w:val="18"/>
          <w:lang w:eastAsia="ar-SA"/>
        </w:rPr>
        <w:t>,</w:t>
      </w:r>
      <w:r w:rsidRPr="00231CC7">
        <w:rPr>
          <w:rFonts w:ascii="Times New Roman" w:eastAsia="Times New Roman" w:hAnsi="Times New Roman" w:cs="Times New Roman"/>
          <w:i/>
          <w:sz w:val="18"/>
          <w:szCs w:val="18"/>
          <w:lang w:eastAsia="ar-SA"/>
        </w:rPr>
        <w:t xml:space="preserve"> НСИ и собствени изчисления</w:t>
      </w:r>
    </w:p>
    <w:p w14:paraId="408DB6B9" w14:textId="21110AE4" w:rsidR="004648FC" w:rsidRPr="00231CC7" w:rsidRDefault="004648FC" w:rsidP="004648FC">
      <w:pPr>
        <w:tabs>
          <w:tab w:val="left" w:pos="1418"/>
        </w:tabs>
        <w:spacing w:before="60" w:after="60"/>
        <w:jc w:val="both"/>
        <w:rPr>
          <w:rFonts w:cs="Arial"/>
          <w:bCs/>
          <w:szCs w:val="24"/>
        </w:rPr>
      </w:pPr>
      <w:r w:rsidRPr="00231CC7">
        <w:rPr>
          <w:rFonts w:cs="Arial"/>
          <w:bCs/>
          <w:szCs w:val="24"/>
        </w:rPr>
        <w:lastRenderedPageBreak/>
        <w:t xml:space="preserve">Разбираемо, приходите имат значителен спад през 2020 г., което с дължи на намаляване на товарооборота, поради </w:t>
      </w:r>
      <w:r w:rsidRPr="00231CC7">
        <w:rPr>
          <w:rFonts w:cs="Arial"/>
          <w:bCs/>
          <w:szCs w:val="24"/>
          <w:lang w:val="en-US"/>
        </w:rPr>
        <w:t>COVID</w:t>
      </w:r>
      <w:r w:rsidRPr="009963CE">
        <w:rPr>
          <w:rFonts w:cs="Arial"/>
          <w:bCs/>
          <w:szCs w:val="24"/>
        </w:rPr>
        <w:t>-</w:t>
      </w:r>
      <w:r w:rsidRPr="00231CC7">
        <w:rPr>
          <w:rFonts w:cs="Arial"/>
          <w:bCs/>
          <w:szCs w:val="24"/>
        </w:rPr>
        <w:t>19 кризата. През 2022 г. има голям скок в приходите, което пък се дължи на войната в Украйна и засиления трафик с морски транспорт, който бележи значителен ръст. С  данните за 2023</w:t>
      </w:r>
      <w:r w:rsidRPr="009963CE">
        <w:rPr>
          <w:rFonts w:cs="Arial"/>
          <w:bCs/>
          <w:szCs w:val="24"/>
        </w:rPr>
        <w:t xml:space="preserve"> </w:t>
      </w:r>
      <w:r w:rsidRPr="00231CC7">
        <w:rPr>
          <w:rFonts w:cs="Arial"/>
          <w:bCs/>
          <w:szCs w:val="24"/>
        </w:rPr>
        <w:t xml:space="preserve">г. се доказва, че прогнозите за достигане през тази година на оборота отпреди </w:t>
      </w:r>
      <w:r w:rsidRPr="00231CC7">
        <w:rPr>
          <w:rFonts w:cs="Arial"/>
          <w:bCs/>
          <w:szCs w:val="24"/>
          <w:lang w:val="en-US"/>
        </w:rPr>
        <w:t>COVID</w:t>
      </w:r>
      <w:r w:rsidRPr="009963CE">
        <w:rPr>
          <w:rFonts w:cs="Arial"/>
          <w:bCs/>
          <w:szCs w:val="24"/>
        </w:rPr>
        <w:t>-</w:t>
      </w:r>
      <w:r w:rsidRPr="00231CC7">
        <w:rPr>
          <w:rFonts w:cs="Arial"/>
          <w:bCs/>
          <w:szCs w:val="24"/>
        </w:rPr>
        <w:t>19 кризата през 2019</w:t>
      </w:r>
      <w:r w:rsidRPr="009963CE">
        <w:rPr>
          <w:rFonts w:cs="Arial"/>
          <w:bCs/>
          <w:szCs w:val="24"/>
        </w:rPr>
        <w:t xml:space="preserve"> </w:t>
      </w:r>
      <w:r w:rsidRPr="00231CC7">
        <w:rPr>
          <w:rFonts w:cs="Arial"/>
          <w:bCs/>
          <w:szCs w:val="24"/>
        </w:rPr>
        <w:t>г. са достигнати и за двата вида транспорт</w:t>
      </w:r>
      <w:r w:rsidRPr="009963CE">
        <w:rPr>
          <w:rFonts w:cs="Arial"/>
          <w:bCs/>
          <w:szCs w:val="24"/>
        </w:rPr>
        <w:t xml:space="preserve"> </w:t>
      </w:r>
      <w:r w:rsidRPr="00231CC7">
        <w:rPr>
          <w:rFonts w:cs="Arial"/>
          <w:bCs/>
          <w:szCs w:val="24"/>
        </w:rPr>
        <w:t>- морски и речен.</w:t>
      </w:r>
    </w:p>
    <w:p w14:paraId="17A79FAA" w14:textId="77777777" w:rsidR="004648FC" w:rsidRPr="00231CC7" w:rsidRDefault="004648FC" w:rsidP="004648FC">
      <w:pPr>
        <w:tabs>
          <w:tab w:val="left" w:pos="1418"/>
        </w:tabs>
        <w:spacing w:before="60" w:after="60"/>
        <w:jc w:val="both"/>
        <w:rPr>
          <w:rFonts w:cs="Arial"/>
          <w:bCs/>
          <w:szCs w:val="24"/>
        </w:rPr>
      </w:pPr>
      <w:r w:rsidRPr="00231CC7">
        <w:rPr>
          <w:rFonts w:cs="Arial"/>
          <w:bCs/>
          <w:szCs w:val="24"/>
        </w:rPr>
        <w:t>Разделянето на приходите по видове транспрот и извършената работа от всеки от тях, са получени единичните стойности за приходите.</w:t>
      </w:r>
    </w:p>
    <w:p w14:paraId="14A5090A" w14:textId="6BB5AABB" w:rsidR="004648FC" w:rsidRPr="00231CC7" w:rsidRDefault="004648FC" w:rsidP="004648FC">
      <w:pPr>
        <w:tabs>
          <w:tab w:val="left" w:pos="1418"/>
        </w:tabs>
        <w:spacing w:before="60" w:after="60"/>
        <w:jc w:val="both"/>
        <w:rPr>
          <w:rFonts w:eastAsia="Calibri" w:cs="Arial"/>
          <w:i/>
          <w:color w:val="000000"/>
          <w:sz w:val="22"/>
          <w:lang w:eastAsia="en-US"/>
        </w:rPr>
      </w:pPr>
      <w:bookmarkStart w:id="312" w:name="_Toc164246119"/>
      <w:bookmarkStart w:id="313" w:name="_Toc174099064"/>
      <w:r w:rsidRPr="00231CC7">
        <w:rPr>
          <w:rFonts w:cs="Arial"/>
          <w:bCs/>
          <w:i/>
          <w:sz w:val="22"/>
        </w:rPr>
        <w:t xml:space="preserve">Таблица </w:t>
      </w:r>
      <w:r w:rsidRPr="00231CC7">
        <w:rPr>
          <w:rFonts w:cs="Arial"/>
          <w:b/>
          <w:bCs/>
          <w:i/>
          <w:iCs/>
          <w:sz w:val="22"/>
        </w:rPr>
        <w:fldChar w:fldCharType="begin"/>
      </w:r>
      <w:r w:rsidRPr="00231CC7">
        <w:rPr>
          <w:rFonts w:cs="Arial"/>
          <w:bCs/>
          <w:i/>
          <w:sz w:val="22"/>
        </w:rPr>
        <w:instrText xml:space="preserve"> SEQ Таблица \* ARABIC </w:instrText>
      </w:r>
      <w:r w:rsidRPr="00231CC7">
        <w:rPr>
          <w:rFonts w:cs="Arial"/>
          <w:b/>
          <w:bCs/>
          <w:i/>
          <w:iCs/>
          <w:sz w:val="22"/>
        </w:rPr>
        <w:fldChar w:fldCharType="separate"/>
      </w:r>
      <w:r w:rsidR="00231CC7">
        <w:rPr>
          <w:rFonts w:cs="Arial"/>
          <w:bCs/>
          <w:i/>
          <w:noProof/>
          <w:sz w:val="22"/>
        </w:rPr>
        <w:t>19</w:t>
      </w:r>
      <w:r w:rsidRPr="00231CC7">
        <w:rPr>
          <w:rFonts w:cs="Arial"/>
          <w:b/>
          <w:bCs/>
          <w:i/>
          <w:iCs/>
          <w:sz w:val="22"/>
        </w:rPr>
        <w:fldChar w:fldCharType="end"/>
      </w:r>
      <w:r w:rsidRPr="00231CC7">
        <w:rPr>
          <w:rFonts w:cs="Arial"/>
          <w:bCs/>
          <w:i/>
          <w:sz w:val="22"/>
        </w:rPr>
        <w:t xml:space="preserve"> </w:t>
      </w:r>
      <w:r w:rsidRPr="00231CC7">
        <w:rPr>
          <w:rFonts w:eastAsia="Calibri" w:cs="Arial"/>
          <w:i/>
          <w:color w:val="000000"/>
          <w:sz w:val="22"/>
          <w:lang w:eastAsia="en-US"/>
        </w:rPr>
        <w:t xml:space="preserve"> Единични стойности на приходите в </w:t>
      </w:r>
      <w:bookmarkEnd w:id="312"/>
      <w:r w:rsidR="00D423A8">
        <w:rPr>
          <w:rFonts w:eastAsia="Calibri" w:cs="Arial"/>
          <w:i/>
          <w:color w:val="000000"/>
          <w:sz w:val="22"/>
          <w:lang w:val="en-US" w:eastAsia="en-US"/>
        </w:rPr>
        <w:t>EUR</w:t>
      </w:r>
      <w:r w:rsidR="00106CC0" w:rsidRPr="00231CC7">
        <w:rPr>
          <w:rFonts w:eastAsia="Calibri" w:cs="Arial"/>
          <w:i/>
          <w:color w:val="000000"/>
          <w:sz w:val="22"/>
          <w:lang w:eastAsia="en-US"/>
        </w:rPr>
        <w:t>/тон</w:t>
      </w:r>
      <w:bookmarkEnd w:id="313"/>
    </w:p>
    <w:tbl>
      <w:tblPr>
        <w:tblStyle w:val="LightList-Accent111"/>
        <w:tblW w:w="6511" w:type="dxa"/>
        <w:tblLook w:val="04A0" w:firstRow="1" w:lastRow="0" w:firstColumn="1" w:lastColumn="0" w:noHBand="0" w:noVBand="1"/>
      </w:tblPr>
      <w:tblGrid>
        <w:gridCol w:w="2817"/>
        <w:gridCol w:w="1988"/>
        <w:gridCol w:w="1706"/>
      </w:tblGrid>
      <w:tr w:rsidR="004648FC" w:rsidRPr="009F3AE9" w14:paraId="2F1B0AD2" w14:textId="77777777" w:rsidTr="00231CC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noWrap/>
            <w:vAlign w:val="center"/>
            <w:hideMark/>
          </w:tcPr>
          <w:p w14:paraId="1A5874AA" w14:textId="2ACFF49E" w:rsidR="004648FC" w:rsidRPr="00231CC7" w:rsidRDefault="004648FC" w:rsidP="00231CC7">
            <w:pPr>
              <w:ind w:right="-1276"/>
              <w:rPr>
                <w:rFonts w:cs="Arial"/>
                <w:b w:val="0"/>
                <w:sz w:val="22"/>
              </w:rPr>
            </w:pPr>
            <w:r w:rsidRPr="00231CC7">
              <w:rPr>
                <w:rFonts w:cs="Arial"/>
                <w:sz w:val="22"/>
              </w:rPr>
              <w:t>Вид на транспорта</w:t>
            </w:r>
          </w:p>
        </w:tc>
        <w:tc>
          <w:tcPr>
            <w:tcW w:w="0" w:type="dxa"/>
            <w:noWrap/>
            <w:vAlign w:val="center"/>
            <w:hideMark/>
          </w:tcPr>
          <w:p w14:paraId="4E8061CB" w14:textId="77777777" w:rsidR="004648FC" w:rsidRPr="00231CC7" w:rsidRDefault="004648FC" w:rsidP="00231CC7">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231CC7">
              <w:rPr>
                <w:rFonts w:cs="Arial"/>
                <w:sz w:val="22"/>
              </w:rPr>
              <w:t>Морски</w:t>
            </w:r>
          </w:p>
        </w:tc>
        <w:tc>
          <w:tcPr>
            <w:tcW w:w="0" w:type="dxa"/>
            <w:noWrap/>
            <w:vAlign w:val="center"/>
            <w:hideMark/>
          </w:tcPr>
          <w:p w14:paraId="2E347FE4" w14:textId="77777777" w:rsidR="004648FC" w:rsidRPr="00231CC7" w:rsidRDefault="004648FC" w:rsidP="00231CC7">
            <w:pPr>
              <w:jc w:val="center"/>
              <w:cnfStyle w:val="100000000000" w:firstRow="1" w:lastRow="0" w:firstColumn="0" w:lastColumn="0" w:oddVBand="0" w:evenVBand="0" w:oddHBand="0" w:evenHBand="0" w:firstRowFirstColumn="0" w:firstRowLastColumn="0" w:lastRowFirstColumn="0" w:lastRowLastColumn="0"/>
              <w:rPr>
                <w:rFonts w:cs="Arial"/>
                <w:b w:val="0"/>
                <w:sz w:val="22"/>
              </w:rPr>
            </w:pPr>
            <w:r w:rsidRPr="00231CC7">
              <w:rPr>
                <w:rFonts w:cs="Arial"/>
                <w:sz w:val="22"/>
              </w:rPr>
              <w:t>Речен</w:t>
            </w:r>
          </w:p>
        </w:tc>
      </w:tr>
      <w:tr w:rsidR="00106CC0" w:rsidRPr="009F3AE9" w14:paraId="5D719950" w14:textId="77777777" w:rsidTr="00231CC7">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0" w:type="dxa"/>
            <w:noWrap/>
            <w:hideMark/>
          </w:tcPr>
          <w:p w14:paraId="3B7AEE96" w14:textId="2D5BB67B" w:rsidR="00106CC0" w:rsidRPr="00231CC7" w:rsidRDefault="00106CC0" w:rsidP="00106CC0">
            <w:pPr>
              <w:spacing w:after="0" w:line="240" w:lineRule="auto"/>
              <w:rPr>
                <w:rFonts w:cs="Arial"/>
                <w:b w:val="0"/>
                <w:color w:val="000000"/>
                <w:sz w:val="22"/>
              </w:rPr>
            </w:pPr>
            <w:r w:rsidRPr="00231CC7">
              <w:rPr>
                <w:rFonts w:cs="Arial"/>
                <w:color w:val="000000"/>
                <w:sz w:val="22"/>
              </w:rPr>
              <w:t xml:space="preserve">Стойност </w:t>
            </w:r>
          </w:p>
        </w:tc>
        <w:tc>
          <w:tcPr>
            <w:tcW w:w="0" w:type="dxa"/>
            <w:noWrap/>
            <w:hideMark/>
          </w:tcPr>
          <w:p w14:paraId="761FB13A" w14:textId="730053E5" w:rsidR="00106CC0" w:rsidRPr="00231CC7"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231CC7">
              <w:rPr>
                <w:rFonts w:cs="Arial"/>
                <w:color w:val="000000"/>
                <w:sz w:val="22"/>
              </w:rPr>
              <w:t>467,28</w:t>
            </w:r>
          </w:p>
        </w:tc>
        <w:tc>
          <w:tcPr>
            <w:tcW w:w="0" w:type="dxa"/>
            <w:noWrap/>
            <w:hideMark/>
          </w:tcPr>
          <w:p w14:paraId="38DEFBE0" w14:textId="72908960" w:rsidR="00106CC0" w:rsidRPr="00231CC7"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231CC7">
              <w:rPr>
                <w:rFonts w:cs="Arial"/>
                <w:color w:val="000000"/>
                <w:sz w:val="22"/>
              </w:rPr>
              <w:t>399,41</w:t>
            </w:r>
          </w:p>
        </w:tc>
      </w:tr>
    </w:tbl>
    <w:p w14:paraId="11ECE02A" w14:textId="77777777" w:rsidR="00106CC0" w:rsidRPr="00231CC7" w:rsidRDefault="00106CC0" w:rsidP="00106CC0">
      <w:pPr>
        <w:suppressAutoHyphens/>
        <w:spacing w:before="60" w:after="60"/>
        <w:jc w:val="both"/>
        <w:rPr>
          <w:rFonts w:ascii="Times New Roman" w:eastAsia="Times New Roman" w:hAnsi="Times New Roman" w:cs="Times New Roman"/>
          <w:i/>
          <w:sz w:val="22"/>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ГФО на ДППИ за 2018, 2019 ,2020,2021, 2022 и 2023, НСИ и собствени изчисления</w:t>
      </w:r>
    </w:p>
    <w:p w14:paraId="05F05B4B" w14:textId="77777777" w:rsidR="00870376" w:rsidRDefault="00870376" w:rsidP="00BC24A8">
      <w:pPr>
        <w:suppressAutoHyphens/>
        <w:spacing w:before="60" w:after="60"/>
        <w:ind w:firstLine="540"/>
        <w:jc w:val="both"/>
        <w:rPr>
          <w:rFonts w:eastAsia="Times New Roman" w:cs="Arial"/>
          <w:sz w:val="22"/>
          <w:lang w:eastAsia="ar-SA"/>
        </w:rPr>
      </w:pPr>
    </w:p>
    <w:p w14:paraId="70EB04E4" w14:textId="77777777" w:rsidR="00870376" w:rsidRPr="00870376" w:rsidRDefault="00870376" w:rsidP="00A36BFC">
      <w:pPr>
        <w:pStyle w:val="Heading3"/>
        <w:numPr>
          <w:ilvl w:val="2"/>
          <w:numId w:val="3"/>
        </w:numPr>
        <w:spacing w:before="240"/>
        <w:jc w:val="both"/>
        <w:rPr>
          <w:rFonts w:cs="Arial"/>
          <w:sz w:val="22"/>
          <w:szCs w:val="22"/>
        </w:rPr>
      </w:pPr>
      <w:bookmarkStart w:id="314" w:name="_Toc94191734"/>
      <w:bookmarkStart w:id="315" w:name="_Toc143694195"/>
      <w:r w:rsidRPr="00870376">
        <w:rPr>
          <w:rFonts w:cs="Arial"/>
          <w:sz w:val="22"/>
          <w:szCs w:val="22"/>
        </w:rPr>
        <w:t>Прогнозиране на оперативните приходи</w:t>
      </w:r>
      <w:bookmarkEnd w:id="314"/>
      <w:bookmarkEnd w:id="315"/>
    </w:p>
    <w:p w14:paraId="032784F6" w14:textId="77777777" w:rsidR="00870376" w:rsidRDefault="00870376" w:rsidP="00870376">
      <w:pPr>
        <w:autoSpaceDE w:val="0"/>
        <w:autoSpaceDN w:val="0"/>
        <w:adjustRightInd w:val="0"/>
        <w:spacing w:after="0" w:line="240" w:lineRule="auto"/>
        <w:jc w:val="both"/>
        <w:rPr>
          <w:rFonts w:cs="Arial"/>
        </w:rPr>
      </w:pPr>
    </w:p>
    <w:p w14:paraId="1E2474A9" w14:textId="77777777" w:rsidR="00870376" w:rsidRDefault="00870376" w:rsidP="00870376">
      <w:pPr>
        <w:autoSpaceDE w:val="0"/>
        <w:autoSpaceDN w:val="0"/>
        <w:adjustRightInd w:val="0"/>
        <w:jc w:val="both"/>
        <w:rPr>
          <w:rFonts w:cs="Arial"/>
        </w:rPr>
      </w:pPr>
      <w:r>
        <w:rPr>
          <w:rFonts w:cs="Arial"/>
        </w:rPr>
        <w:t>На база определените единични стойности и прогнозата за търсенето, след реализацията на проекта са определени инкременталните приходи за проекта.</w:t>
      </w:r>
    </w:p>
    <w:p w14:paraId="1C59152F" w14:textId="3A4EF9DC" w:rsidR="00870376" w:rsidRDefault="00870376" w:rsidP="00680473">
      <w:pPr>
        <w:tabs>
          <w:tab w:val="left" w:pos="1418"/>
        </w:tabs>
        <w:spacing w:before="60" w:after="60"/>
        <w:jc w:val="both"/>
        <w:rPr>
          <w:rFonts w:cs="Arial"/>
        </w:rPr>
      </w:pPr>
      <w:r>
        <w:rPr>
          <w:rFonts w:cs="Arial"/>
        </w:rPr>
        <w:t>В сценария Без проект приходите следват прогнозата за търсене, а в сценария С проект се увеличават приходите в резултат на завишения капацитет на кейовите места на пристанище Лом. Тъй като за определяне на ФННС и ФВНВ се прилага инкременталния подход са определени инкременталните приходи от проекта, които показват реалните приходи по години от реализацията на проекта.</w:t>
      </w:r>
    </w:p>
    <w:p w14:paraId="208E6DB7" w14:textId="02D44185" w:rsidR="009D14A9" w:rsidRDefault="009D14A9" w:rsidP="009D14A9">
      <w:pPr>
        <w:tabs>
          <w:tab w:val="left" w:pos="1418"/>
        </w:tabs>
        <w:spacing w:before="60" w:after="60"/>
        <w:jc w:val="both"/>
        <w:rPr>
          <w:rFonts w:eastAsia="Calibri" w:cs="Arial"/>
          <w:i/>
          <w:color w:val="000000"/>
          <w:sz w:val="22"/>
          <w:lang w:eastAsia="en-US"/>
        </w:rPr>
      </w:pPr>
      <w:bookmarkStart w:id="316" w:name="_Toc17409906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Прогноза за </w:t>
      </w:r>
      <w:r w:rsidRPr="009D14A9">
        <w:rPr>
          <w:rFonts w:eastAsia="Calibri" w:cs="Arial"/>
          <w:i/>
          <w:color w:val="000000"/>
          <w:sz w:val="22"/>
          <w:lang w:eastAsia="en-US"/>
        </w:rPr>
        <w:t xml:space="preserve">инкременталните приходи в </w:t>
      </w:r>
      <w:r w:rsidR="00815527">
        <w:rPr>
          <w:rFonts w:eastAsia="Calibri" w:cs="Arial"/>
          <w:i/>
          <w:color w:val="000000"/>
          <w:sz w:val="22"/>
          <w:lang w:val="en-US" w:eastAsia="en-US"/>
        </w:rPr>
        <w:t>EUR</w:t>
      </w:r>
      <w:bookmarkEnd w:id="316"/>
    </w:p>
    <w:tbl>
      <w:tblPr>
        <w:tblStyle w:val="LightList-Accent111"/>
        <w:tblW w:w="9647" w:type="dxa"/>
        <w:tblLook w:val="04A0" w:firstRow="1" w:lastRow="0" w:firstColumn="1" w:lastColumn="0" w:noHBand="0" w:noVBand="1"/>
      </w:tblPr>
      <w:tblGrid>
        <w:gridCol w:w="3775"/>
        <w:gridCol w:w="990"/>
        <w:gridCol w:w="950"/>
        <w:gridCol w:w="1026"/>
        <w:gridCol w:w="940"/>
        <w:gridCol w:w="976"/>
        <w:gridCol w:w="990"/>
      </w:tblGrid>
      <w:tr w:rsidR="00106CC0" w:rsidRPr="00106CC0" w14:paraId="7C4BD342" w14:textId="77777777" w:rsidTr="000F552D">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775" w:type="dxa"/>
            <w:hideMark/>
          </w:tcPr>
          <w:p w14:paraId="6697669D" w14:textId="77777777" w:rsidR="00815527" w:rsidRPr="00231CC7" w:rsidRDefault="00815527" w:rsidP="00815527">
            <w:pPr>
              <w:jc w:val="center"/>
              <w:rPr>
                <w:rFonts w:cs="Arial"/>
                <w:b w:val="0"/>
                <w:bCs w:val="0"/>
                <w:color w:val="FFFFFF" w:themeColor="background1"/>
                <w:sz w:val="22"/>
              </w:rPr>
            </w:pPr>
            <w:r w:rsidRPr="00231CC7">
              <w:rPr>
                <w:rFonts w:cs="Arial"/>
                <w:color w:val="FFFFFF" w:themeColor="background1"/>
                <w:sz w:val="22"/>
              </w:rPr>
              <w:t>Видове инкрементални приходи</w:t>
            </w:r>
          </w:p>
        </w:tc>
        <w:tc>
          <w:tcPr>
            <w:tcW w:w="990" w:type="dxa"/>
            <w:noWrap/>
            <w:vAlign w:val="center"/>
            <w:hideMark/>
          </w:tcPr>
          <w:p w14:paraId="5948899F" w14:textId="0509AFC2"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202</w:t>
            </w:r>
            <w:r w:rsidR="00106CC0" w:rsidRPr="00231CC7">
              <w:rPr>
                <w:rFonts w:cs="Arial"/>
                <w:color w:val="FFFFFF" w:themeColor="background1"/>
                <w:sz w:val="22"/>
                <w:lang w:val="en-GB"/>
              </w:rPr>
              <w:t>4</w:t>
            </w:r>
            <w:r w:rsidRPr="00231CC7">
              <w:rPr>
                <w:rFonts w:cs="Arial"/>
                <w:color w:val="FFFFFF" w:themeColor="background1"/>
                <w:sz w:val="22"/>
              </w:rPr>
              <w:t xml:space="preserve"> г.</w:t>
            </w:r>
          </w:p>
        </w:tc>
        <w:tc>
          <w:tcPr>
            <w:tcW w:w="950" w:type="dxa"/>
            <w:noWrap/>
            <w:vAlign w:val="center"/>
            <w:hideMark/>
          </w:tcPr>
          <w:p w14:paraId="4ED48AE0" w14:textId="5FA86BD5"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202</w:t>
            </w:r>
            <w:r w:rsidR="00106CC0" w:rsidRPr="00231CC7">
              <w:rPr>
                <w:rFonts w:cs="Arial"/>
                <w:color w:val="FFFFFF" w:themeColor="background1"/>
                <w:sz w:val="22"/>
                <w:lang w:val="en-GB"/>
              </w:rPr>
              <w:t>8</w:t>
            </w:r>
            <w:r w:rsidRPr="00231CC7">
              <w:rPr>
                <w:rFonts w:cs="Arial"/>
                <w:color w:val="FFFFFF" w:themeColor="background1"/>
                <w:sz w:val="22"/>
              </w:rPr>
              <w:t xml:space="preserve"> г.</w:t>
            </w:r>
          </w:p>
        </w:tc>
        <w:tc>
          <w:tcPr>
            <w:tcW w:w="1026" w:type="dxa"/>
            <w:noWrap/>
            <w:vAlign w:val="center"/>
            <w:hideMark/>
          </w:tcPr>
          <w:p w14:paraId="4AE0A5B7"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2030 г.</w:t>
            </w:r>
          </w:p>
        </w:tc>
        <w:tc>
          <w:tcPr>
            <w:tcW w:w="940" w:type="dxa"/>
            <w:noWrap/>
            <w:vAlign w:val="center"/>
            <w:hideMark/>
          </w:tcPr>
          <w:p w14:paraId="27423E5D"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2035 г.</w:t>
            </w:r>
          </w:p>
        </w:tc>
        <w:tc>
          <w:tcPr>
            <w:tcW w:w="976" w:type="dxa"/>
            <w:noWrap/>
            <w:vAlign w:val="center"/>
            <w:hideMark/>
          </w:tcPr>
          <w:p w14:paraId="335F4A4E"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rPr>
            </w:pPr>
            <w:r w:rsidRPr="00231CC7">
              <w:rPr>
                <w:rFonts w:cs="Arial"/>
                <w:color w:val="FFFFFF" w:themeColor="background1"/>
                <w:sz w:val="22"/>
              </w:rPr>
              <w:t>2040 г.</w:t>
            </w:r>
          </w:p>
        </w:tc>
        <w:tc>
          <w:tcPr>
            <w:tcW w:w="990" w:type="dxa"/>
            <w:noWrap/>
            <w:vAlign w:val="center"/>
            <w:hideMark/>
          </w:tcPr>
          <w:p w14:paraId="69B267FA" w14:textId="77777777" w:rsidR="00815527" w:rsidRPr="00231CC7" w:rsidRDefault="00815527" w:rsidP="00815527">
            <w:pPr>
              <w:jc w:val="center"/>
              <w:cnfStyle w:val="100000000000" w:firstRow="1" w:lastRow="0" w:firstColumn="0" w:lastColumn="0" w:oddVBand="0" w:evenVBand="0" w:oddHBand="0" w:evenHBand="0" w:firstRowFirstColumn="0" w:firstRowLastColumn="0" w:lastRowFirstColumn="0" w:lastRowLastColumn="0"/>
              <w:rPr>
                <w:rFonts w:cs="Arial"/>
                <w:b w:val="0"/>
                <w:color w:val="FFFFFF" w:themeColor="background1"/>
                <w:sz w:val="22"/>
                <w:lang w:val="en-US"/>
              </w:rPr>
            </w:pPr>
            <w:r w:rsidRPr="00231CC7">
              <w:rPr>
                <w:rFonts w:cs="Arial"/>
                <w:color w:val="FFFFFF" w:themeColor="background1"/>
                <w:sz w:val="22"/>
              </w:rPr>
              <w:t>2048 г.</w:t>
            </w:r>
          </w:p>
        </w:tc>
      </w:tr>
      <w:tr w:rsidR="00106CC0" w:rsidRPr="00106CC0" w14:paraId="2A26E42E" w14:textId="77777777" w:rsidTr="00231CC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hideMark/>
          </w:tcPr>
          <w:p w14:paraId="03F48B55" w14:textId="77777777" w:rsidR="00106CC0" w:rsidRPr="00231CC7" w:rsidRDefault="00106CC0" w:rsidP="00106CC0">
            <w:pPr>
              <w:spacing w:after="0" w:line="240" w:lineRule="auto"/>
              <w:rPr>
                <w:rFonts w:cs="Arial"/>
                <w:color w:val="000000"/>
                <w:sz w:val="22"/>
              </w:rPr>
            </w:pPr>
            <w:r w:rsidRPr="00231CC7">
              <w:rPr>
                <w:rFonts w:cs="Arial"/>
                <w:color w:val="000000"/>
                <w:sz w:val="22"/>
              </w:rPr>
              <w:t>Приходи от такси и услуги</w:t>
            </w:r>
          </w:p>
        </w:tc>
        <w:tc>
          <w:tcPr>
            <w:tcW w:w="0" w:type="dxa"/>
            <w:shd w:val="clear" w:color="auto" w:fill="auto"/>
            <w:noWrap/>
            <w:hideMark/>
          </w:tcPr>
          <w:p w14:paraId="5791F533" w14:textId="77777777"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106CC0">
              <w:rPr>
                <w:rFonts w:cs="Arial"/>
                <w:color w:val="000000"/>
                <w:sz w:val="22"/>
              </w:rPr>
              <w:t>0</w:t>
            </w:r>
          </w:p>
        </w:tc>
        <w:tc>
          <w:tcPr>
            <w:tcW w:w="0" w:type="dxa"/>
            <w:shd w:val="clear" w:color="auto" w:fill="auto"/>
            <w:noWrap/>
            <w:hideMark/>
          </w:tcPr>
          <w:p w14:paraId="15787DA5" w14:textId="5B3DB9B9"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8 255</w:t>
            </w:r>
          </w:p>
        </w:tc>
        <w:tc>
          <w:tcPr>
            <w:tcW w:w="0" w:type="dxa"/>
            <w:shd w:val="clear" w:color="000000" w:fill="FFFFFF"/>
            <w:noWrap/>
            <w:hideMark/>
          </w:tcPr>
          <w:p w14:paraId="4A78EDCB" w14:textId="6A0AC4E6"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8 261</w:t>
            </w:r>
          </w:p>
        </w:tc>
        <w:tc>
          <w:tcPr>
            <w:tcW w:w="0" w:type="dxa"/>
            <w:shd w:val="clear" w:color="000000" w:fill="FFFFFF"/>
            <w:noWrap/>
            <w:hideMark/>
          </w:tcPr>
          <w:p w14:paraId="1C477032" w14:textId="3A308B77"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8 277</w:t>
            </w:r>
          </w:p>
        </w:tc>
        <w:tc>
          <w:tcPr>
            <w:tcW w:w="0" w:type="dxa"/>
            <w:shd w:val="clear" w:color="000000" w:fill="FFFFFF"/>
            <w:noWrap/>
            <w:hideMark/>
          </w:tcPr>
          <w:p w14:paraId="7BA7F3C5" w14:textId="73631AE3"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8 292</w:t>
            </w:r>
          </w:p>
        </w:tc>
        <w:tc>
          <w:tcPr>
            <w:tcW w:w="0" w:type="dxa"/>
            <w:shd w:val="clear" w:color="000000" w:fill="FFFFFF"/>
            <w:noWrap/>
            <w:hideMark/>
          </w:tcPr>
          <w:p w14:paraId="753FC2F3" w14:textId="3C0B5B52" w:rsidR="00106CC0" w:rsidRPr="00106CC0" w:rsidRDefault="00106CC0" w:rsidP="00106CC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231CC7">
              <w:rPr>
                <w:rFonts w:cs="Arial"/>
                <w:color w:val="000000"/>
                <w:sz w:val="22"/>
              </w:rPr>
              <w:t>8 317</w:t>
            </w:r>
          </w:p>
        </w:tc>
      </w:tr>
      <w:tr w:rsidR="00106CC0" w:rsidRPr="00106CC0" w14:paraId="3D184FF2" w14:textId="77777777" w:rsidTr="00231CC7">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310C94F3" w14:textId="77777777" w:rsidR="00106CC0" w:rsidRPr="00231CC7" w:rsidRDefault="00106CC0" w:rsidP="00106CC0">
            <w:pPr>
              <w:spacing w:after="0" w:line="240" w:lineRule="auto"/>
              <w:ind w:right="-108"/>
              <w:rPr>
                <w:rFonts w:cs="Arial"/>
                <w:b w:val="0"/>
                <w:bCs w:val="0"/>
                <w:color w:val="000000"/>
                <w:sz w:val="22"/>
              </w:rPr>
            </w:pPr>
            <w:r w:rsidRPr="00231CC7">
              <w:rPr>
                <w:rFonts w:cs="Arial"/>
                <w:color w:val="000000"/>
                <w:sz w:val="22"/>
              </w:rPr>
              <w:t>Общо инкрементални приходи</w:t>
            </w:r>
          </w:p>
        </w:tc>
        <w:tc>
          <w:tcPr>
            <w:tcW w:w="0" w:type="dxa"/>
            <w:shd w:val="clear" w:color="auto" w:fill="auto"/>
            <w:noWrap/>
            <w:hideMark/>
          </w:tcPr>
          <w:p w14:paraId="4ABAF8C1" w14:textId="77777777"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106CC0">
              <w:rPr>
                <w:rFonts w:cs="Arial"/>
                <w:b/>
                <w:bCs/>
                <w:color w:val="000000"/>
                <w:sz w:val="22"/>
              </w:rPr>
              <w:t>0</w:t>
            </w:r>
          </w:p>
        </w:tc>
        <w:tc>
          <w:tcPr>
            <w:tcW w:w="0" w:type="dxa"/>
            <w:shd w:val="clear" w:color="auto" w:fill="auto"/>
            <w:noWrap/>
            <w:hideMark/>
          </w:tcPr>
          <w:p w14:paraId="01E5F316" w14:textId="1ABB1F26"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8 255</w:t>
            </w:r>
          </w:p>
        </w:tc>
        <w:tc>
          <w:tcPr>
            <w:tcW w:w="0" w:type="dxa"/>
            <w:shd w:val="clear" w:color="auto" w:fill="auto"/>
            <w:noWrap/>
            <w:hideMark/>
          </w:tcPr>
          <w:p w14:paraId="6DAB46D7" w14:textId="17A6BDCA"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8 261</w:t>
            </w:r>
          </w:p>
        </w:tc>
        <w:tc>
          <w:tcPr>
            <w:tcW w:w="0" w:type="dxa"/>
            <w:shd w:val="clear" w:color="auto" w:fill="auto"/>
            <w:noWrap/>
            <w:hideMark/>
          </w:tcPr>
          <w:p w14:paraId="5EC99A9F" w14:textId="72CB9EB5"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8 277</w:t>
            </w:r>
          </w:p>
        </w:tc>
        <w:tc>
          <w:tcPr>
            <w:tcW w:w="0" w:type="dxa"/>
            <w:shd w:val="clear" w:color="auto" w:fill="auto"/>
            <w:noWrap/>
            <w:hideMark/>
          </w:tcPr>
          <w:p w14:paraId="773DA18C" w14:textId="08948C07"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8 292</w:t>
            </w:r>
          </w:p>
        </w:tc>
        <w:tc>
          <w:tcPr>
            <w:tcW w:w="0" w:type="dxa"/>
            <w:shd w:val="clear" w:color="auto" w:fill="auto"/>
            <w:noWrap/>
            <w:hideMark/>
          </w:tcPr>
          <w:p w14:paraId="126B6542" w14:textId="45CCAF33" w:rsidR="00106CC0" w:rsidRPr="00106CC0" w:rsidRDefault="00106CC0" w:rsidP="00106CC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2"/>
              </w:rPr>
            </w:pPr>
            <w:r w:rsidRPr="00231CC7">
              <w:rPr>
                <w:rFonts w:cs="Arial"/>
                <w:b/>
                <w:bCs/>
                <w:color w:val="000000"/>
                <w:sz w:val="22"/>
              </w:rPr>
              <w:t>8 317</w:t>
            </w:r>
          </w:p>
        </w:tc>
      </w:tr>
    </w:tbl>
    <w:p w14:paraId="5F29C01D" w14:textId="77777777" w:rsidR="00870376" w:rsidRPr="00231CC7" w:rsidRDefault="00870376" w:rsidP="00870376">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Източник:</w:t>
      </w:r>
      <w:r w:rsidRPr="00231CC7">
        <w:rPr>
          <w:rFonts w:ascii="Times New Roman" w:eastAsia="Times New Roman" w:hAnsi="Times New Roman" w:cs="Times New Roman"/>
          <w:i/>
          <w:sz w:val="18"/>
          <w:szCs w:val="18"/>
          <w:lang w:eastAsia="ar-SA"/>
        </w:rPr>
        <w:tab/>
        <w:t>собствени изчисления</w:t>
      </w:r>
    </w:p>
    <w:p w14:paraId="5FBC0F38" w14:textId="13CA8AA6" w:rsidR="00870376" w:rsidRDefault="00870376" w:rsidP="00870376">
      <w:pPr>
        <w:suppressAutoHyphens/>
        <w:spacing w:before="60" w:after="60"/>
        <w:ind w:firstLine="540"/>
        <w:jc w:val="both"/>
        <w:rPr>
          <w:rFonts w:eastAsia="Times New Roman" w:cs="Arial"/>
          <w:sz w:val="22"/>
          <w:lang w:eastAsia="ar-SA"/>
        </w:rPr>
      </w:pPr>
    </w:p>
    <w:p w14:paraId="4CA0CCC2" w14:textId="77777777" w:rsidR="00F42E46" w:rsidRPr="00A36BFC" w:rsidRDefault="00F42E46" w:rsidP="00A36BFC">
      <w:pPr>
        <w:pStyle w:val="Heading2"/>
        <w:numPr>
          <w:ilvl w:val="1"/>
          <w:numId w:val="3"/>
        </w:numPr>
        <w:ind w:left="1080" w:hanging="540"/>
        <w:rPr>
          <w:szCs w:val="24"/>
          <w:lang w:val="bg-BG"/>
        </w:rPr>
      </w:pPr>
      <w:bookmarkStart w:id="317" w:name="_Toc434229770"/>
      <w:bookmarkStart w:id="318" w:name="_Toc143694196"/>
      <w:r w:rsidRPr="00A36BFC">
        <w:rPr>
          <w:szCs w:val="24"/>
          <w:lang w:val="bg-BG"/>
        </w:rPr>
        <w:t>Определяне на Финансовите индикатори</w:t>
      </w:r>
      <w:bookmarkEnd w:id="317"/>
      <w:bookmarkEnd w:id="318"/>
    </w:p>
    <w:p w14:paraId="4FDBFA27"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Финансовите индикатори, които се определят във Финансовия анализ са Финансова нетна стойност на инвестициите (ФННС/И) и капитала (ФННС/К) и Финансовата вътрешна норма на възвращаемост на инвестициите (ФВНВ/И) и капитала (ФВНВ/К).</w:t>
      </w:r>
    </w:p>
    <w:p w14:paraId="4518958A"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При определяне на ФННС/И и ФВНВ/И в паричните потоци са включени:</w:t>
      </w:r>
    </w:p>
    <w:p w14:paraId="5B2DB423"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lastRenderedPageBreak/>
        <w:t>- Инвестиционните разходи, без ДДС и непредвидените разходи, защото те не са паричен поток. Както вече беше упоменато пълната стойност на инвестициите е инкрементална също, защото няма да се правят разходи за рехабилитация и</w:t>
      </w:r>
      <w:r>
        <w:rPr>
          <w:rFonts w:eastAsia="Times New Roman" w:cs="Arial"/>
          <w:lang w:eastAsia="ar-SA"/>
        </w:rPr>
        <w:t xml:space="preserve"> подновяване на съществуващата кейова стена</w:t>
      </w:r>
      <w:r w:rsidRPr="00B67429">
        <w:rPr>
          <w:rFonts w:eastAsia="Times New Roman" w:cs="Arial"/>
          <w:lang w:eastAsia="ar-SA"/>
        </w:rPr>
        <w:t>;</w:t>
      </w:r>
    </w:p>
    <w:p w14:paraId="036476DD"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подмяна на активи с по-кратък живот от периода на прогнозата  няма включени в паричните потоци, защото такива не се предвиждат, но такива са включени в</w:t>
      </w:r>
      <w:r>
        <w:rPr>
          <w:rFonts w:eastAsia="Times New Roman" w:cs="Arial"/>
          <w:lang w:eastAsia="ar-SA"/>
        </w:rPr>
        <w:t xml:space="preserve"> Остатъчната стойност</w:t>
      </w:r>
      <w:r w:rsidRPr="00B67429">
        <w:rPr>
          <w:rFonts w:eastAsia="Times New Roman" w:cs="Arial"/>
          <w:lang w:eastAsia="ar-SA"/>
        </w:rPr>
        <w:t>;</w:t>
      </w:r>
    </w:p>
    <w:p w14:paraId="4030AF16"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Инкременталните разходи за експлоатация и поддръжка за периода на прогнозата са без амортизационни отчисления.</w:t>
      </w:r>
    </w:p>
    <w:p w14:paraId="26B9BEAD" w14:textId="77777777" w:rsidR="009D14A9" w:rsidRPr="00B67429" w:rsidRDefault="009D14A9" w:rsidP="009D14A9">
      <w:pPr>
        <w:suppressAutoHyphens/>
        <w:spacing w:line="240" w:lineRule="auto"/>
        <w:jc w:val="both"/>
        <w:rPr>
          <w:rFonts w:eastAsia="Times New Roman" w:cs="Arial"/>
          <w:lang w:eastAsia="ar-SA"/>
        </w:rPr>
      </w:pPr>
      <w:r w:rsidRPr="00B67429">
        <w:rPr>
          <w:rFonts w:eastAsia="Times New Roman" w:cs="Arial"/>
          <w:lang w:eastAsia="ar-SA"/>
        </w:rPr>
        <w:t>При определяне на ФННС/К и ФВНВ/К в паричните потоци са включени:</w:t>
      </w:r>
    </w:p>
    <w:p w14:paraId="3ED4CAF7"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Инвестиционните разходи, които се финансират с национален капитал и чиито размер е определен</w:t>
      </w:r>
      <w:r>
        <w:rPr>
          <w:rFonts w:eastAsia="Times New Roman" w:cs="Arial"/>
          <w:lang w:eastAsia="ar-SA"/>
        </w:rPr>
        <w:t xml:space="preserve"> във Финансовия план на проекта</w:t>
      </w:r>
      <w:r w:rsidRPr="00B67429">
        <w:rPr>
          <w:rFonts w:eastAsia="Times New Roman" w:cs="Arial"/>
          <w:lang w:eastAsia="ar-SA"/>
        </w:rPr>
        <w:t>;</w:t>
      </w:r>
    </w:p>
    <w:p w14:paraId="047B3096"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подмяна на активи с по-кратък живот от периода на прогнозата, при условията за определяне на ФННС/И и ФВНВ/И</w:t>
      </w:r>
      <w:r>
        <w:rPr>
          <w:rFonts w:eastAsia="Times New Roman" w:cs="Arial"/>
          <w:lang w:eastAsia="ar-SA"/>
        </w:rPr>
        <w:t xml:space="preserve"> не са предвидени</w:t>
      </w:r>
      <w:r w:rsidRPr="00B67429">
        <w:rPr>
          <w:rFonts w:eastAsia="Times New Roman" w:cs="Arial"/>
          <w:lang w:eastAsia="ar-SA"/>
        </w:rPr>
        <w:t>;</w:t>
      </w:r>
    </w:p>
    <w:p w14:paraId="0503AF94" w14:textId="77777777" w:rsidR="009D14A9" w:rsidRPr="00B6742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Разходи за изплащане за главници и лихви по заеми не са предвидени при финансирането на проекта;</w:t>
      </w:r>
    </w:p>
    <w:p w14:paraId="7973865F" w14:textId="77777777" w:rsidR="009D14A9" w:rsidRDefault="009D14A9" w:rsidP="009D14A9">
      <w:pPr>
        <w:suppressAutoHyphens/>
        <w:spacing w:line="240" w:lineRule="auto"/>
        <w:ind w:left="993"/>
        <w:jc w:val="both"/>
        <w:rPr>
          <w:rFonts w:eastAsia="Times New Roman" w:cs="Arial"/>
          <w:lang w:eastAsia="ar-SA"/>
        </w:rPr>
      </w:pPr>
      <w:r w:rsidRPr="00B67429">
        <w:rPr>
          <w:rFonts w:eastAsia="Times New Roman" w:cs="Arial"/>
          <w:lang w:eastAsia="ar-SA"/>
        </w:rPr>
        <w:t>- Инкременталните разходи за експлоатация и поддръжка за периода на прогнозата, както при условията з</w:t>
      </w:r>
      <w:r>
        <w:rPr>
          <w:rFonts w:eastAsia="Times New Roman" w:cs="Arial"/>
          <w:lang w:eastAsia="ar-SA"/>
        </w:rPr>
        <w:t>а определяне на ФННС/И и ФВНВ/И;</w:t>
      </w:r>
    </w:p>
    <w:p w14:paraId="5FF6E0E6" w14:textId="77777777" w:rsidR="009D14A9" w:rsidRDefault="009D14A9" w:rsidP="009D14A9">
      <w:pPr>
        <w:suppressAutoHyphens/>
        <w:spacing w:line="240" w:lineRule="auto"/>
        <w:ind w:left="993"/>
        <w:jc w:val="both"/>
        <w:rPr>
          <w:rFonts w:eastAsia="Times New Roman" w:cs="Arial"/>
          <w:lang w:eastAsia="ar-SA"/>
        </w:rPr>
      </w:pPr>
      <w:r>
        <w:rPr>
          <w:rFonts w:eastAsia="Times New Roman" w:cs="Arial"/>
          <w:lang w:eastAsia="ar-SA"/>
        </w:rPr>
        <w:t>- приходи от такси и други услуги;</w:t>
      </w:r>
    </w:p>
    <w:p w14:paraId="1D1EB119" w14:textId="77777777" w:rsidR="009D14A9" w:rsidRPr="00B67429" w:rsidRDefault="009D14A9" w:rsidP="009D14A9">
      <w:pPr>
        <w:suppressAutoHyphens/>
        <w:spacing w:line="240" w:lineRule="auto"/>
        <w:ind w:left="993"/>
        <w:jc w:val="both"/>
        <w:rPr>
          <w:rFonts w:eastAsia="Times New Roman" w:cs="Arial"/>
          <w:lang w:eastAsia="ar-SA"/>
        </w:rPr>
      </w:pPr>
      <w:r>
        <w:rPr>
          <w:rFonts w:eastAsia="Times New Roman" w:cs="Arial"/>
          <w:lang w:eastAsia="ar-SA"/>
        </w:rPr>
        <w:t>- приходи от финансирания и национално съ-финансиране.</w:t>
      </w:r>
    </w:p>
    <w:p w14:paraId="3D7CC1E2" w14:textId="77777777" w:rsidR="009D14A9" w:rsidRDefault="009D14A9" w:rsidP="009D14A9">
      <w:pPr>
        <w:suppressAutoHyphens/>
        <w:spacing w:line="240" w:lineRule="auto"/>
        <w:jc w:val="both"/>
        <w:rPr>
          <w:rFonts w:eastAsia="Times New Roman" w:cs="Arial"/>
          <w:lang w:eastAsia="ar-SA"/>
        </w:rPr>
      </w:pPr>
      <w:r>
        <w:rPr>
          <w:rFonts w:eastAsia="Times New Roman" w:cs="Arial"/>
          <w:lang w:eastAsia="ar-SA"/>
        </w:rPr>
        <w:t>Основните елементи на изчисленията</w:t>
      </w:r>
      <w:r w:rsidRPr="00B67429">
        <w:rPr>
          <w:rFonts w:eastAsia="Times New Roman" w:cs="Arial"/>
          <w:lang w:eastAsia="ar-SA"/>
        </w:rPr>
        <w:t xml:space="preserve"> са показани в следващата таблица</w:t>
      </w:r>
      <w:r>
        <w:rPr>
          <w:rFonts w:eastAsia="Times New Roman" w:cs="Arial"/>
          <w:lang w:eastAsia="ar-SA"/>
        </w:rPr>
        <w:t>:</w:t>
      </w:r>
    </w:p>
    <w:p w14:paraId="7626BE9C" w14:textId="728FEFBB" w:rsidR="009D14A9" w:rsidRPr="00765764" w:rsidRDefault="009D14A9" w:rsidP="009D14A9">
      <w:pPr>
        <w:tabs>
          <w:tab w:val="left" w:pos="1418"/>
        </w:tabs>
        <w:spacing w:before="60" w:after="60"/>
        <w:jc w:val="both"/>
        <w:rPr>
          <w:rFonts w:cs="Arial"/>
          <w:i/>
          <w:sz w:val="22"/>
        </w:rPr>
      </w:pPr>
      <w:bookmarkStart w:id="319" w:name="_Toc174099066"/>
      <w:r w:rsidRPr="00557799">
        <w:rPr>
          <w:rFonts w:cs="Arial"/>
          <w:bCs/>
          <w:i/>
          <w:sz w:val="22"/>
        </w:rPr>
        <w:t xml:space="preserve">Таблица </w:t>
      </w:r>
      <w:r w:rsidRPr="00557799">
        <w:rPr>
          <w:rFonts w:cs="Arial"/>
          <w:b/>
          <w:bCs/>
          <w:i/>
          <w:iCs/>
          <w:sz w:val="22"/>
        </w:rPr>
        <w:fldChar w:fldCharType="begin"/>
      </w:r>
      <w:r w:rsidRPr="00557799">
        <w:rPr>
          <w:rFonts w:cs="Arial"/>
          <w:bCs/>
          <w:i/>
          <w:sz w:val="22"/>
        </w:rPr>
        <w:instrText xml:space="preserve"> SEQ Таблица \* ARABIC </w:instrText>
      </w:r>
      <w:r w:rsidRPr="00557799">
        <w:rPr>
          <w:rFonts w:cs="Arial"/>
          <w:b/>
          <w:bCs/>
          <w:i/>
          <w:iCs/>
          <w:sz w:val="22"/>
        </w:rPr>
        <w:fldChar w:fldCharType="separate"/>
      </w:r>
      <w:r w:rsidR="00231CC7">
        <w:rPr>
          <w:rFonts w:cs="Arial"/>
          <w:bCs/>
          <w:i/>
          <w:noProof/>
          <w:sz w:val="22"/>
        </w:rPr>
        <w:t>21</w:t>
      </w:r>
      <w:r w:rsidRPr="00557799">
        <w:rPr>
          <w:rFonts w:cs="Arial"/>
          <w:b/>
          <w:bCs/>
          <w:i/>
          <w:iCs/>
          <w:sz w:val="22"/>
        </w:rPr>
        <w:fldChar w:fldCharType="end"/>
      </w:r>
      <w:r w:rsidRPr="00557799">
        <w:rPr>
          <w:rFonts w:cs="Arial"/>
          <w:bCs/>
          <w:i/>
          <w:sz w:val="22"/>
        </w:rPr>
        <w:t xml:space="preserve"> </w:t>
      </w:r>
      <w:r w:rsidRPr="00557799">
        <w:rPr>
          <w:rFonts w:eastAsia="Calibri" w:cs="Arial"/>
          <w:i/>
          <w:color w:val="000000"/>
          <w:sz w:val="22"/>
          <w:lang w:eastAsia="en-US"/>
        </w:rPr>
        <w:t xml:space="preserve"> </w:t>
      </w:r>
      <w:r w:rsidR="00015650">
        <w:rPr>
          <w:rFonts w:eastAsia="Calibri" w:cs="Arial"/>
          <w:i/>
          <w:color w:val="000000"/>
          <w:sz w:val="22"/>
          <w:lang w:eastAsia="en-US"/>
        </w:rPr>
        <w:t xml:space="preserve">Основни елементи за финасовите индикатори </w:t>
      </w:r>
      <w:r w:rsidRPr="00557799">
        <w:rPr>
          <w:rFonts w:eastAsia="Calibri" w:cs="Arial"/>
          <w:i/>
          <w:color w:val="000000"/>
          <w:sz w:val="22"/>
          <w:lang w:eastAsia="en-US"/>
        </w:rPr>
        <w:t xml:space="preserve"> в </w:t>
      </w:r>
      <w:r w:rsidR="00015650">
        <w:rPr>
          <w:rFonts w:eastAsia="Calibri" w:cs="Arial"/>
          <w:i/>
          <w:color w:val="000000"/>
          <w:sz w:val="22"/>
          <w:lang w:eastAsia="en-US"/>
        </w:rPr>
        <w:t>евро</w:t>
      </w:r>
      <w:bookmarkEnd w:id="319"/>
    </w:p>
    <w:tbl>
      <w:tblPr>
        <w:tblStyle w:val="LightList-Accent111"/>
        <w:tblW w:w="8503" w:type="dxa"/>
        <w:tblLook w:val="04A0" w:firstRow="1" w:lastRow="0" w:firstColumn="1" w:lastColumn="0" w:noHBand="0" w:noVBand="1"/>
      </w:tblPr>
      <w:tblGrid>
        <w:gridCol w:w="4490"/>
        <w:gridCol w:w="2040"/>
        <w:gridCol w:w="1973"/>
      </w:tblGrid>
      <w:tr w:rsidR="00106CC0" w:rsidRPr="009F3AE9" w14:paraId="73194FE1" w14:textId="77777777" w:rsidTr="00231CC7">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vMerge w:val="restart"/>
            <w:vAlign w:val="center"/>
            <w:hideMark/>
          </w:tcPr>
          <w:p w14:paraId="476B59C3" w14:textId="77777777" w:rsidR="009D14A9" w:rsidRPr="00231CC7" w:rsidRDefault="009D14A9" w:rsidP="00E416EB">
            <w:pPr>
              <w:jc w:val="center"/>
              <w:rPr>
                <w:rFonts w:cs="Arial"/>
                <w:b w:val="0"/>
                <w:bCs w:val="0"/>
                <w:color w:val="FFFFFF" w:themeColor="background1"/>
                <w:sz w:val="22"/>
              </w:rPr>
            </w:pPr>
            <w:r w:rsidRPr="00231CC7">
              <w:rPr>
                <w:rFonts w:cs="Arial"/>
                <w:i/>
                <w:color w:val="FFFFFF" w:themeColor="background1"/>
                <w:sz w:val="22"/>
                <w:lang w:eastAsia="ar-SA"/>
              </w:rPr>
              <w:t xml:space="preserve"> </w:t>
            </w:r>
            <w:r w:rsidRPr="00231CC7">
              <w:rPr>
                <w:rFonts w:cs="Arial"/>
                <w:color w:val="FFFFFF" w:themeColor="background1"/>
                <w:sz w:val="22"/>
              </w:rPr>
              <w:t>Основни елементи</w:t>
            </w:r>
          </w:p>
        </w:tc>
        <w:tc>
          <w:tcPr>
            <w:tcW w:w="4013" w:type="dxa"/>
            <w:gridSpan w:val="2"/>
            <w:vAlign w:val="center"/>
            <w:hideMark/>
          </w:tcPr>
          <w:p w14:paraId="7C5F67AD" w14:textId="77777777"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rPr>
              <w:t>Стойност</w:t>
            </w:r>
          </w:p>
        </w:tc>
      </w:tr>
      <w:tr w:rsidR="009D14A9" w:rsidRPr="009F3AE9" w14:paraId="6B55872D" w14:textId="77777777" w:rsidTr="00231CC7">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4490" w:type="dxa"/>
            <w:vMerge/>
            <w:shd w:val="clear" w:color="auto" w:fill="FBD4B4" w:themeFill="accent6" w:themeFillTint="66"/>
            <w:vAlign w:val="center"/>
            <w:hideMark/>
          </w:tcPr>
          <w:p w14:paraId="2D1A6AA4" w14:textId="77777777" w:rsidR="009D14A9" w:rsidRPr="00231CC7" w:rsidRDefault="009D14A9" w:rsidP="00E416EB">
            <w:pPr>
              <w:spacing w:after="0" w:line="240" w:lineRule="auto"/>
              <w:rPr>
                <w:rFonts w:cs="Arial"/>
                <w:b w:val="0"/>
                <w:bCs w:val="0"/>
                <w:color w:val="000000"/>
                <w:sz w:val="22"/>
              </w:rPr>
            </w:pPr>
          </w:p>
        </w:tc>
        <w:tc>
          <w:tcPr>
            <w:tcW w:w="2040" w:type="dxa"/>
            <w:shd w:val="clear" w:color="auto" w:fill="FBD4B4" w:themeFill="accent6" w:themeFillTint="66"/>
            <w:vAlign w:val="center"/>
            <w:hideMark/>
          </w:tcPr>
          <w:p w14:paraId="6979F1D0" w14:textId="77777777" w:rsidR="009D14A9" w:rsidRPr="00231CC7" w:rsidRDefault="009D14A9"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Недисконтирани</w:t>
            </w:r>
          </w:p>
        </w:tc>
        <w:tc>
          <w:tcPr>
            <w:tcW w:w="1973" w:type="dxa"/>
            <w:shd w:val="clear" w:color="auto" w:fill="FBD4B4" w:themeFill="accent6" w:themeFillTint="66"/>
            <w:vAlign w:val="center"/>
            <w:hideMark/>
          </w:tcPr>
          <w:p w14:paraId="063EA969" w14:textId="77777777" w:rsidR="009D14A9" w:rsidRPr="00231CC7" w:rsidRDefault="009D14A9" w:rsidP="00231CC7">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 xml:space="preserve">Дисконтирани </w:t>
            </w:r>
          </w:p>
          <w:p w14:paraId="2CF5C363" w14:textId="67622E91" w:rsidR="009D14A9" w:rsidRPr="00231CC7" w:rsidRDefault="009D14A9" w:rsidP="00231CC7">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2"/>
              </w:rPr>
            </w:pPr>
            <w:r w:rsidRPr="00231CC7">
              <w:rPr>
                <w:rFonts w:cs="Arial"/>
                <w:b/>
                <w:bCs/>
                <w:color w:val="000000"/>
                <w:sz w:val="22"/>
              </w:rPr>
              <w:t>(</w:t>
            </w:r>
            <w:r w:rsidR="00F068C4" w:rsidRPr="00231CC7">
              <w:rPr>
                <w:rFonts w:cs="Arial"/>
                <w:b/>
                <w:bCs/>
                <w:color w:val="000000"/>
                <w:sz w:val="22"/>
              </w:rPr>
              <w:t>норма</w:t>
            </w:r>
            <w:r w:rsidRPr="00231CC7">
              <w:rPr>
                <w:rFonts w:cs="Arial"/>
                <w:b/>
                <w:bCs/>
                <w:color w:val="000000"/>
                <w:sz w:val="22"/>
              </w:rPr>
              <w:t xml:space="preserve"> 4%)</w:t>
            </w:r>
          </w:p>
        </w:tc>
      </w:tr>
      <w:tr w:rsidR="00015650" w:rsidRPr="009F3AE9" w14:paraId="4A8EDD9D"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4B2FBDDC" w14:textId="77777777" w:rsidR="00015650" w:rsidRPr="00231CC7" w:rsidRDefault="00015650" w:rsidP="00015650">
            <w:pPr>
              <w:spacing w:after="0" w:line="240" w:lineRule="auto"/>
              <w:rPr>
                <w:rFonts w:cs="Arial"/>
                <w:color w:val="000000"/>
                <w:sz w:val="22"/>
              </w:rPr>
            </w:pPr>
            <w:r w:rsidRPr="00231CC7">
              <w:rPr>
                <w:rFonts w:cs="Arial"/>
                <w:color w:val="000000"/>
                <w:sz w:val="22"/>
              </w:rPr>
              <w:t>A. Общи инвестиционни разходи</w:t>
            </w:r>
          </w:p>
        </w:tc>
        <w:tc>
          <w:tcPr>
            <w:tcW w:w="2040" w:type="dxa"/>
            <w:shd w:val="clear" w:color="auto" w:fill="auto"/>
            <w:noWrap/>
            <w:hideMark/>
          </w:tcPr>
          <w:p w14:paraId="01938C26" w14:textId="514D8770"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14 413 173,04</w:t>
            </w:r>
          </w:p>
        </w:tc>
        <w:tc>
          <w:tcPr>
            <w:tcW w:w="1973" w:type="dxa"/>
            <w:shd w:val="clear" w:color="auto" w:fill="auto"/>
            <w:noWrap/>
            <w:hideMark/>
          </w:tcPr>
          <w:p w14:paraId="14743E83" w14:textId="2651AC41"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13 288 077,33</w:t>
            </w:r>
          </w:p>
        </w:tc>
      </w:tr>
      <w:tr w:rsidR="00015650" w:rsidRPr="009F3AE9" w14:paraId="60347B4D"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65D8B3F3" w14:textId="77777777" w:rsidR="00015650" w:rsidRPr="00231CC7" w:rsidRDefault="00015650" w:rsidP="00015650">
            <w:pPr>
              <w:spacing w:after="0" w:line="240" w:lineRule="auto"/>
              <w:rPr>
                <w:rFonts w:cs="Arial"/>
                <w:color w:val="000000"/>
                <w:sz w:val="22"/>
              </w:rPr>
            </w:pPr>
            <w:r w:rsidRPr="00231CC7">
              <w:rPr>
                <w:rFonts w:cs="Arial"/>
                <w:color w:val="000000"/>
                <w:sz w:val="22"/>
              </w:rPr>
              <w:t>B. Остатъчна стойност</w:t>
            </w:r>
          </w:p>
        </w:tc>
        <w:tc>
          <w:tcPr>
            <w:tcW w:w="2040" w:type="dxa"/>
            <w:shd w:val="clear" w:color="auto" w:fill="auto"/>
            <w:noWrap/>
            <w:hideMark/>
          </w:tcPr>
          <w:p w14:paraId="457C669D" w14:textId="264A07EA"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8 176 155,03</w:t>
            </w:r>
          </w:p>
        </w:tc>
        <w:tc>
          <w:tcPr>
            <w:tcW w:w="1973" w:type="dxa"/>
            <w:shd w:val="clear" w:color="auto" w:fill="auto"/>
            <w:noWrap/>
            <w:hideMark/>
          </w:tcPr>
          <w:p w14:paraId="5079801B" w14:textId="011E6EBC"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3 067 013,13</w:t>
            </w:r>
          </w:p>
        </w:tc>
      </w:tr>
      <w:tr w:rsidR="00015650" w:rsidRPr="009F3AE9" w14:paraId="535436DC" w14:textId="77777777" w:rsidTr="009963CE">
        <w:trPr>
          <w:trHeight w:val="280"/>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586B1D9A" w14:textId="77777777" w:rsidR="00015650" w:rsidRPr="00231CC7" w:rsidRDefault="00015650" w:rsidP="00015650">
            <w:pPr>
              <w:spacing w:after="0" w:line="240" w:lineRule="auto"/>
              <w:rPr>
                <w:rFonts w:cs="Arial"/>
                <w:color w:val="000000"/>
                <w:sz w:val="22"/>
              </w:rPr>
            </w:pPr>
            <w:r w:rsidRPr="00231CC7">
              <w:rPr>
                <w:rFonts w:cs="Arial"/>
                <w:color w:val="000000"/>
                <w:sz w:val="22"/>
              </w:rPr>
              <w:t>C. Оперативни разходи за ЕиП</w:t>
            </w:r>
          </w:p>
        </w:tc>
        <w:tc>
          <w:tcPr>
            <w:tcW w:w="2040" w:type="dxa"/>
            <w:shd w:val="clear" w:color="auto" w:fill="auto"/>
            <w:noWrap/>
            <w:hideMark/>
          </w:tcPr>
          <w:p w14:paraId="205B749D" w14:textId="078AC3CB"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1 627 028,01</w:t>
            </w:r>
          </w:p>
        </w:tc>
        <w:tc>
          <w:tcPr>
            <w:tcW w:w="1973" w:type="dxa"/>
            <w:shd w:val="clear" w:color="auto" w:fill="auto"/>
            <w:noWrap/>
            <w:hideMark/>
          </w:tcPr>
          <w:p w14:paraId="6F957270" w14:textId="7185FDA3" w:rsidR="00015650" w:rsidRPr="009963CE" w:rsidRDefault="00015650" w:rsidP="00015650">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929 038,70</w:t>
            </w:r>
          </w:p>
        </w:tc>
      </w:tr>
      <w:tr w:rsidR="00015650" w:rsidRPr="009F3AE9" w14:paraId="16582D66"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60C97FA5" w14:textId="77777777" w:rsidR="00015650" w:rsidRPr="00231CC7" w:rsidRDefault="00015650" w:rsidP="00015650">
            <w:pPr>
              <w:spacing w:after="0" w:line="240" w:lineRule="auto"/>
              <w:rPr>
                <w:rFonts w:cs="Arial"/>
                <w:color w:val="000000"/>
                <w:sz w:val="22"/>
              </w:rPr>
            </w:pPr>
            <w:r w:rsidRPr="00231CC7">
              <w:rPr>
                <w:rFonts w:cs="Arial"/>
                <w:color w:val="000000"/>
                <w:sz w:val="22"/>
              </w:rPr>
              <w:t>F. Общо приходи</w:t>
            </w:r>
          </w:p>
        </w:tc>
        <w:tc>
          <w:tcPr>
            <w:tcW w:w="2040" w:type="dxa"/>
            <w:shd w:val="clear" w:color="auto" w:fill="auto"/>
            <w:noWrap/>
            <w:hideMark/>
          </w:tcPr>
          <w:p w14:paraId="2D32C219" w14:textId="3C605914"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174 005,59</w:t>
            </w:r>
          </w:p>
        </w:tc>
        <w:tc>
          <w:tcPr>
            <w:tcW w:w="1973" w:type="dxa"/>
            <w:shd w:val="clear" w:color="auto" w:fill="auto"/>
            <w:noWrap/>
            <w:hideMark/>
          </w:tcPr>
          <w:p w14:paraId="0F4CF4CE" w14:textId="57462410" w:rsidR="00015650" w:rsidRPr="009963CE" w:rsidRDefault="00015650" w:rsidP="00015650">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99 314,43</w:t>
            </w:r>
          </w:p>
        </w:tc>
      </w:tr>
      <w:tr w:rsidR="00815527" w:rsidRPr="009F3AE9" w14:paraId="396EB91A" w14:textId="77777777" w:rsidTr="00231CC7">
        <w:trPr>
          <w:trHeight w:val="276"/>
        </w:trPr>
        <w:tc>
          <w:tcPr>
            <w:cnfStyle w:val="001000000000" w:firstRow="0" w:lastRow="0" w:firstColumn="1" w:lastColumn="0" w:oddVBand="0" w:evenVBand="0" w:oddHBand="0" w:evenHBand="0" w:firstRowFirstColumn="0" w:firstRowLastColumn="0" w:lastRowFirstColumn="0" w:lastRowLastColumn="0"/>
            <w:tcW w:w="4490" w:type="dxa"/>
            <w:shd w:val="clear" w:color="auto" w:fill="auto"/>
            <w:noWrap/>
            <w:vAlign w:val="center"/>
            <w:hideMark/>
          </w:tcPr>
          <w:p w14:paraId="4FD25C20" w14:textId="77777777" w:rsidR="00815527" w:rsidRPr="00231CC7" w:rsidRDefault="00815527" w:rsidP="00815527">
            <w:pPr>
              <w:spacing w:after="0" w:line="240" w:lineRule="auto"/>
              <w:rPr>
                <w:rFonts w:cs="Arial"/>
                <w:color w:val="000000"/>
                <w:sz w:val="22"/>
              </w:rPr>
            </w:pPr>
            <w:r w:rsidRPr="00231CC7">
              <w:rPr>
                <w:rFonts w:cs="Arial"/>
                <w:color w:val="000000"/>
                <w:sz w:val="22"/>
              </w:rPr>
              <w:t>ДДС възстановимо и неприложимо</w:t>
            </w:r>
          </w:p>
        </w:tc>
        <w:tc>
          <w:tcPr>
            <w:tcW w:w="2040" w:type="dxa"/>
            <w:shd w:val="clear" w:color="auto" w:fill="auto"/>
            <w:noWrap/>
            <w:vAlign w:val="center"/>
            <w:hideMark/>
          </w:tcPr>
          <w:p w14:paraId="542508B2" w14:textId="399E8403" w:rsidR="00815527" w:rsidRPr="009F3AE9" w:rsidRDefault="00815527" w:rsidP="0081552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9F3AE9">
              <w:rPr>
                <w:rFonts w:cs="Arial"/>
                <w:color w:val="000000"/>
                <w:sz w:val="22"/>
              </w:rPr>
              <w:t>0,00</w:t>
            </w:r>
          </w:p>
        </w:tc>
        <w:tc>
          <w:tcPr>
            <w:tcW w:w="1973" w:type="dxa"/>
            <w:shd w:val="clear" w:color="auto" w:fill="auto"/>
            <w:noWrap/>
            <w:vAlign w:val="center"/>
            <w:hideMark/>
          </w:tcPr>
          <w:p w14:paraId="2BCB8309" w14:textId="113B28E1" w:rsidR="00815527" w:rsidRPr="009F3AE9" w:rsidRDefault="00815527" w:rsidP="00815527">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9F3AE9">
              <w:rPr>
                <w:rFonts w:cs="Arial"/>
                <w:color w:val="000000"/>
                <w:sz w:val="22"/>
              </w:rPr>
              <w:t>0,00</w:t>
            </w:r>
          </w:p>
        </w:tc>
      </w:tr>
    </w:tbl>
    <w:p w14:paraId="67BFE333" w14:textId="77777777" w:rsidR="009D14A9" w:rsidRPr="00231CC7" w:rsidRDefault="009D14A9" w:rsidP="009D14A9">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 xml:space="preserve">  Източник:</w:t>
      </w:r>
      <w:r w:rsidRPr="00231CC7">
        <w:rPr>
          <w:rFonts w:ascii="Times New Roman" w:eastAsia="Times New Roman" w:hAnsi="Times New Roman" w:cs="Times New Roman"/>
          <w:i/>
          <w:sz w:val="18"/>
          <w:szCs w:val="18"/>
          <w:lang w:eastAsia="ar-SA"/>
        </w:rPr>
        <w:tab/>
        <w:t>модел към Vademecum, 2021 и собствени изчисления</w:t>
      </w:r>
    </w:p>
    <w:p w14:paraId="477C03AD" w14:textId="77777777" w:rsidR="009D14A9" w:rsidRDefault="009D14A9" w:rsidP="009D14A9">
      <w:pPr>
        <w:suppressAutoHyphens/>
        <w:spacing w:line="240" w:lineRule="auto"/>
        <w:jc w:val="both"/>
        <w:rPr>
          <w:rFonts w:eastAsia="Times New Roman" w:cs="Arial"/>
          <w:lang w:eastAsia="ar-SA"/>
        </w:rPr>
      </w:pPr>
    </w:p>
    <w:p w14:paraId="7BA5F01E" w14:textId="0BDBEDFA" w:rsidR="009D14A9" w:rsidRDefault="009D14A9" w:rsidP="009D14A9">
      <w:pPr>
        <w:suppressAutoHyphens/>
        <w:spacing w:line="240" w:lineRule="auto"/>
        <w:jc w:val="both"/>
        <w:rPr>
          <w:rFonts w:eastAsia="Times New Roman" w:cs="Arial"/>
          <w:lang w:eastAsia="ar-SA"/>
        </w:rPr>
      </w:pPr>
      <w:r>
        <w:rPr>
          <w:rFonts w:eastAsia="Times New Roman" w:cs="Arial"/>
          <w:lang w:eastAsia="ar-SA"/>
        </w:rPr>
        <w:t>На база тези основни елементи са определени финансовите индикатори:</w:t>
      </w:r>
    </w:p>
    <w:p w14:paraId="27F99ACC" w14:textId="77777777" w:rsidR="009D14A9" w:rsidRPr="00765764" w:rsidRDefault="009D14A9" w:rsidP="009D14A9">
      <w:pPr>
        <w:tabs>
          <w:tab w:val="left" w:pos="1418"/>
        </w:tabs>
        <w:spacing w:before="60" w:after="60"/>
        <w:jc w:val="both"/>
        <w:rPr>
          <w:rFonts w:cs="Arial"/>
          <w:i/>
          <w:sz w:val="22"/>
        </w:rPr>
      </w:pPr>
      <w:bookmarkStart w:id="320" w:name="_Toc174099067"/>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9D14A9">
        <w:rPr>
          <w:rFonts w:eastAsia="Calibri" w:cs="Arial"/>
          <w:i/>
          <w:color w:val="000000"/>
          <w:sz w:val="22"/>
          <w:lang w:eastAsia="en-US"/>
        </w:rPr>
        <w:t>Финансови индикатори по проекта</w:t>
      </w:r>
      <w:bookmarkEnd w:id="320"/>
    </w:p>
    <w:tbl>
      <w:tblPr>
        <w:tblStyle w:val="LightList-Accent111"/>
        <w:tblW w:w="8988" w:type="dxa"/>
        <w:tblLook w:val="04A0" w:firstRow="1" w:lastRow="0" w:firstColumn="1" w:lastColumn="0" w:noHBand="0" w:noVBand="1"/>
      </w:tblPr>
      <w:tblGrid>
        <w:gridCol w:w="3050"/>
        <w:gridCol w:w="1549"/>
        <w:gridCol w:w="1291"/>
        <w:gridCol w:w="1464"/>
        <w:gridCol w:w="1634"/>
      </w:tblGrid>
      <w:tr w:rsidR="009D14A9" w:rsidRPr="009F3AE9" w14:paraId="149BBC01" w14:textId="77777777" w:rsidTr="00231CC7">
        <w:trPr>
          <w:cnfStyle w:val="100000000000" w:firstRow="1" w:lastRow="0" w:firstColumn="0" w:lastColumn="0" w:oddVBand="0" w:evenVBand="0" w:oddHBand="0"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3050" w:type="dxa"/>
            <w:noWrap/>
            <w:vAlign w:val="center"/>
            <w:hideMark/>
          </w:tcPr>
          <w:p w14:paraId="2DB44D2A" w14:textId="77777777" w:rsidR="009D14A9" w:rsidRPr="00231CC7" w:rsidRDefault="009D14A9" w:rsidP="009D14A9">
            <w:pPr>
              <w:jc w:val="center"/>
              <w:rPr>
                <w:rFonts w:cs="Arial"/>
                <w:b w:val="0"/>
                <w:bCs w:val="0"/>
                <w:color w:val="000000"/>
                <w:sz w:val="20"/>
                <w:szCs w:val="20"/>
              </w:rPr>
            </w:pPr>
            <w:r w:rsidRPr="00231CC7">
              <w:rPr>
                <w:rFonts w:cs="Arial"/>
                <w:color w:val="FFFFFF" w:themeColor="background1"/>
                <w:sz w:val="20"/>
                <w:szCs w:val="20"/>
              </w:rPr>
              <w:t>Финансови индикатори</w:t>
            </w:r>
          </w:p>
        </w:tc>
        <w:tc>
          <w:tcPr>
            <w:tcW w:w="2840" w:type="dxa"/>
            <w:gridSpan w:val="2"/>
            <w:vAlign w:val="center"/>
            <w:hideMark/>
          </w:tcPr>
          <w:p w14:paraId="474EC2D8" w14:textId="77777777" w:rsidR="009F3AE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 xml:space="preserve">Без помощ от </w:t>
            </w:r>
          </w:p>
          <w:p w14:paraId="790121EA" w14:textId="6D8FF8F5"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Е</w:t>
            </w:r>
            <w:r w:rsidR="00F068C4" w:rsidRPr="00231CC7">
              <w:rPr>
                <w:rFonts w:cs="Arial"/>
                <w:sz w:val="20"/>
                <w:szCs w:val="20"/>
              </w:rPr>
              <w:t>вропейски съюз</w:t>
            </w:r>
          </w:p>
        </w:tc>
        <w:tc>
          <w:tcPr>
            <w:tcW w:w="3098" w:type="dxa"/>
            <w:gridSpan w:val="2"/>
            <w:vAlign w:val="center"/>
            <w:hideMark/>
          </w:tcPr>
          <w:p w14:paraId="3B7F1029" w14:textId="007988D0" w:rsidR="009D14A9" w:rsidRPr="00231CC7" w:rsidRDefault="009D14A9"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sz w:val="20"/>
                <w:szCs w:val="20"/>
              </w:rPr>
            </w:pPr>
            <w:r w:rsidRPr="00231CC7">
              <w:rPr>
                <w:rFonts w:cs="Arial"/>
                <w:sz w:val="20"/>
                <w:szCs w:val="20"/>
              </w:rPr>
              <w:t xml:space="preserve">С помощ от </w:t>
            </w:r>
            <w:r w:rsidR="00F068C4" w:rsidRPr="00231CC7">
              <w:rPr>
                <w:rFonts w:cs="Arial"/>
                <w:sz w:val="20"/>
                <w:szCs w:val="20"/>
              </w:rPr>
              <w:t>Европейски съюз</w:t>
            </w:r>
          </w:p>
        </w:tc>
      </w:tr>
      <w:tr w:rsidR="00852B33" w:rsidRPr="009F3AE9" w14:paraId="4C6E31DD" w14:textId="77777777" w:rsidTr="00231CC7">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050" w:type="dxa"/>
            <w:vAlign w:val="center"/>
            <w:hideMark/>
          </w:tcPr>
          <w:p w14:paraId="3588344D" w14:textId="77777777" w:rsidR="00852B33" w:rsidRPr="00231CC7" w:rsidRDefault="00852B33" w:rsidP="00852B33">
            <w:pPr>
              <w:spacing w:after="0" w:line="240" w:lineRule="auto"/>
              <w:rPr>
                <w:rFonts w:cs="Arial"/>
                <w:sz w:val="20"/>
                <w:szCs w:val="20"/>
              </w:rPr>
            </w:pPr>
            <w:r w:rsidRPr="00231CC7">
              <w:rPr>
                <w:rFonts w:cs="Arial"/>
                <w:sz w:val="20"/>
                <w:szCs w:val="20"/>
              </w:rPr>
              <w:t>Финансова норма на възвращаемост в %</w:t>
            </w:r>
          </w:p>
        </w:tc>
        <w:tc>
          <w:tcPr>
            <w:tcW w:w="1549" w:type="dxa"/>
            <w:noWrap/>
            <w:vAlign w:val="center"/>
            <w:hideMark/>
          </w:tcPr>
          <w:p w14:paraId="454B41D1" w14:textId="4CB23285" w:rsidR="00852B33" w:rsidRPr="00231CC7" w:rsidRDefault="00852B33"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231CC7">
              <w:rPr>
                <w:rFonts w:cs="Arial"/>
                <w:sz w:val="20"/>
                <w:szCs w:val="20"/>
              </w:rPr>
              <w:t>-</w:t>
            </w:r>
            <w:r w:rsidRPr="00231CC7">
              <w:rPr>
                <w:rFonts w:cs="Arial"/>
                <w:sz w:val="20"/>
                <w:szCs w:val="20"/>
                <w:lang w:val="en-US"/>
              </w:rPr>
              <w:t>3</w:t>
            </w:r>
            <w:r w:rsidRPr="00231CC7">
              <w:rPr>
                <w:rFonts w:cs="Arial"/>
                <w:sz w:val="20"/>
                <w:szCs w:val="20"/>
              </w:rPr>
              <w:t>,</w:t>
            </w:r>
            <w:r w:rsidRPr="00231CC7">
              <w:rPr>
                <w:rFonts w:cs="Arial"/>
                <w:sz w:val="20"/>
                <w:szCs w:val="20"/>
                <w:lang w:val="en-US"/>
              </w:rPr>
              <w:t>2</w:t>
            </w:r>
            <w:r w:rsidRPr="00231CC7">
              <w:rPr>
                <w:rFonts w:cs="Arial"/>
                <w:sz w:val="20"/>
                <w:szCs w:val="20"/>
              </w:rPr>
              <w:t>%</w:t>
            </w:r>
          </w:p>
        </w:tc>
        <w:tc>
          <w:tcPr>
            <w:tcW w:w="1291" w:type="dxa"/>
            <w:noWrap/>
            <w:vAlign w:val="center"/>
            <w:hideMark/>
          </w:tcPr>
          <w:p w14:paraId="7328D294" w14:textId="25F2BFC9" w:rsidR="00852B33" w:rsidRPr="00231CC7" w:rsidRDefault="00852B33"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sidRPr="00231CC7">
              <w:rPr>
                <w:rFonts w:cs="Arial"/>
                <w:sz w:val="20"/>
                <w:szCs w:val="20"/>
              </w:rPr>
              <w:t>ФВНВ/И</w:t>
            </w:r>
          </w:p>
        </w:tc>
        <w:tc>
          <w:tcPr>
            <w:tcW w:w="1464" w:type="dxa"/>
            <w:noWrap/>
            <w:vAlign w:val="center"/>
            <w:hideMark/>
          </w:tcPr>
          <w:p w14:paraId="002367F0" w14:textId="38E264D0" w:rsidR="00852B33" w:rsidRPr="00231CC7" w:rsidRDefault="000F552D" w:rsidP="00852B33">
            <w:pPr>
              <w:spacing w:after="0"/>
              <w:jc w:val="center"/>
              <w:cnfStyle w:val="000000100000" w:firstRow="0" w:lastRow="0" w:firstColumn="0" w:lastColumn="0" w:oddVBand="0" w:evenVBand="0" w:oddHBand="1" w:evenHBand="0" w:firstRowFirstColumn="0" w:firstRowLastColumn="0" w:lastRowFirstColumn="0" w:lastRowLastColumn="0"/>
              <w:rPr>
                <w:rFonts w:cs="Arial"/>
                <w:sz w:val="20"/>
                <w:szCs w:val="20"/>
              </w:rPr>
            </w:pPr>
            <w:r>
              <w:rPr>
                <w:rFonts w:cs="Arial"/>
                <w:sz w:val="20"/>
                <w:szCs w:val="20"/>
              </w:rPr>
              <w:t>2,</w:t>
            </w:r>
            <w:r w:rsidR="00015650">
              <w:rPr>
                <w:rFonts w:cs="Arial"/>
                <w:sz w:val="20"/>
                <w:szCs w:val="20"/>
              </w:rPr>
              <w:t>37</w:t>
            </w:r>
            <w:r w:rsidR="00852B33" w:rsidRPr="009F3AE9">
              <w:rPr>
                <w:rFonts w:cs="Arial"/>
                <w:sz w:val="20"/>
                <w:szCs w:val="20"/>
              </w:rPr>
              <w:t>%</w:t>
            </w:r>
          </w:p>
        </w:tc>
        <w:tc>
          <w:tcPr>
            <w:tcW w:w="1634" w:type="dxa"/>
            <w:noWrap/>
            <w:vAlign w:val="center"/>
            <w:hideMark/>
          </w:tcPr>
          <w:p w14:paraId="69571284" w14:textId="593B71E2" w:rsidR="00852B33" w:rsidRPr="00231CC7" w:rsidRDefault="00852B33" w:rsidP="00852B33">
            <w:pPr>
              <w:spacing w:after="0" w:line="240" w:lineRule="auto"/>
              <w:jc w:val="center"/>
              <w:cnfStyle w:val="000000100000" w:firstRow="0" w:lastRow="0" w:firstColumn="0" w:lastColumn="0" w:oddVBand="0" w:evenVBand="0" w:oddHBand="1" w:evenHBand="0" w:firstRowFirstColumn="0" w:firstRowLastColumn="0" w:lastRowFirstColumn="0" w:lastRowLastColumn="0"/>
              <w:rPr>
                <w:sz w:val="20"/>
                <w:szCs w:val="20"/>
              </w:rPr>
            </w:pPr>
            <w:r w:rsidRPr="00231CC7">
              <w:rPr>
                <w:sz w:val="20"/>
                <w:szCs w:val="20"/>
              </w:rPr>
              <w:t>ФВНВ/К</w:t>
            </w:r>
          </w:p>
        </w:tc>
      </w:tr>
      <w:tr w:rsidR="00852B33" w:rsidRPr="009F3AE9" w14:paraId="68E4399E" w14:textId="77777777" w:rsidTr="00231CC7">
        <w:trPr>
          <w:trHeight w:val="300"/>
        </w:trPr>
        <w:tc>
          <w:tcPr>
            <w:cnfStyle w:val="001000000000" w:firstRow="0" w:lastRow="0" w:firstColumn="1" w:lastColumn="0" w:oddVBand="0" w:evenVBand="0" w:oddHBand="0" w:evenHBand="0" w:firstRowFirstColumn="0" w:firstRowLastColumn="0" w:lastRowFirstColumn="0" w:lastRowLastColumn="0"/>
            <w:tcW w:w="3050" w:type="dxa"/>
            <w:vAlign w:val="center"/>
            <w:hideMark/>
          </w:tcPr>
          <w:p w14:paraId="3A7BC054" w14:textId="0EFE6DC6" w:rsidR="00852B33" w:rsidRPr="00231CC7" w:rsidRDefault="00852B33" w:rsidP="00231CC7">
            <w:pPr>
              <w:spacing w:after="0" w:line="240" w:lineRule="auto"/>
              <w:rPr>
                <w:rFonts w:cs="Arial"/>
                <w:sz w:val="20"/>
                <w:szCs w:val="20"/>
              </w:rPr>
            </w:pPr>
            <w:r w:rsidRPr="00231CC7">
              <w:rPr>
                <w:rFonts w:cs="Arial"/>
                <w:sz w:val="20"/>
                <w:szCs w:val="20"/>
              </w:rPr>
              <w:t xml:space="preserve">Финансова нетна настояща стойност в </w:t>
            </w:r>
            <w:r w:rsidRPr="00231CC7">
              <w:rPr>
                <w:rFonts w:cs="Arial"/>
                <w:sz w:val="20"/>
                <w:szCs w:val="20"/>
                <w:lang w:val="en-US"/>
              </w:rPr>
              <w:t>EUR</w:t>
            </w:r>
            <w:r w:rsidRPr="00231CC7">
              <w:rPr>
                <w:rFonts w:cs="Arial"/>
                <w:sz w:val="20"/>
                <w:szCs w:val="20"/>
              </w:rPr>
              <w:t xml:space="preserve"> </w:t>
            </w:r>
          </w:p>
        </w:tc>
        <w:tc>
          <w:tcPr>
            <w:tcW w:w="1549" w:type="dxa"/>
            <w:noWrap/>
            <w:vAlign w:val="center"/>
            <w:hideMark/>
          </w:tcPr>
          <w:p w14:paraId="388E3693" w14:textId="604241B9" w:rsidR="00852B33" w:rsidRPr="00231CC7" w:rsidRDefault="00015650" w:rsidP="00852B33">
            <w:pPr>
              <w:spacing w:after="0"/>
              <w:jc w:val="center"/>
              <w:cnfStyle w:val="000000000000" w:firstRow="0" w:lastRow="0" w:firstColumn="0" w:lastColumn="0" w:oddVBand="0" w:evenVBand="0" w:oddHBand="0" w:evenHBand="0" w:firstRowFirstColumn="0" w:firstRowLastColumn="0" w:lastRowFirstColumn="0" w:lastRowLastColumn="0"/>
              <w:rPr>
                <w:rFonts w:cs="Arial"/>
                <w:sz w:val="20"/>
                <w:szCs w:val="20"/>
                <w:lang w:val="en-US"/>
              </w:rPr>
            </w:pPr>
            <w:r w:rsidRPr="00015650">
              <w:rPr>
                <w:rFonts w:cs="Arial"/>
                <w:sz w:val="20"/>
                <w:szCs w:val="20"/>
              </w:rPr>
              <w:t>-11 050 788</w:t>
            </w:r>
          </w:p>
        </w:tc>
        <w:tc>
          <w:tcPr>
            <w:tcW w:w="1291" w:type="dxa"/>
            <w:noWrap/>
            <w:vAlign w:val="center"/>
            <w:hideMark/>
          </w:tcPr>
          <w:p w14:paraId="42D079FF" w14:textId="6CB43AAA" w:rsidR="00852B33" w:rsidRPr="00231CC7" w:rsidRDefault="00852B33" w:rsidP="00852B33">
            <w:pPr>
              <w:spacing w:after="0"/>
              <w:jc w:val="center"/>
              <w:cnfStyle w:val="000000000000" w:firstRow="0" w:lastRow="0" w:firstColumn="0" w:lastColumn="0" w:oddVBand="0" w:evenVBand="0" w:oddHBand="0" w:evenHBand="0" w:firstRowFirstColumn="0" w:firstRowLastColumn="0" w:lastRowFirstColumn="0" w:lastRowLastColumn="0"/>
              <w:rPr>
                <w:rFonts w:cs="Arial"/>
                <w:sz w:val="20"/>
                <w:szCs w:val="20"/>
              </w:rPr>
            </w:pPr>
            <w:r w:rsidRPr="00231CC7">
              <w:rPr>
                <w:rFonts w:cs="Arial"/>
                <w:sz w:val="20"/>
                <w:szCs w:val="20"/>
              </w:rPr>
              <w:t>ФННС/И</w:t>
            </w:r>
          </w:p>
        </w:tc>
        <w:tc>
          <w:tcPr>
            <w:tcW w:w="1464" w:type="dxa"/>
            <w:noWrap/>
            <w:vAlign w:val="center"/>
            <w:hideMark/>
          </w:tcPr>
          <w:p w14:paraId="52E5083F" w14:textId="68E03EF4" w:rsidR="00852B33" w:rsidRPr="009963CE" w:rsidRDefault="004E3586" w:rsidP="00852B33">
            <w:pPr>
              <w:pStyle w:val="ListParagraph"/>
              <w:spacing w:after="0"/>
              <w:ind w:left="174"/>
              <w:cnfStyle w:val="000000000000" w:firstRow="0" w:lastRow="0" w:firstColumn="0" w:lastColumn="0" w:oddVBand="0" w:evenVBand="0" w:oddHBand="0" w:evenHBand="0" w:firstRowFirstColumn="0" w:firstRowLastColumn="0" w:lastRowFirstColumn="0" w:lastRowLastColumn="0"/>
              <w:rPr>
                <w:rFonts w:ascii="Arial" w:hAnsi="Arial" w:cs="Arial"/>
                <w:color w:val="000000"/>
                <w:sz w:val="20"/>
                <w:szCs w:val="20"/>
                <w:lang w:val="en-GB"/>
              </w:rPr>
            </w:pPr>
            <w:r w:rsidRPr="004E3586">
              <w:rPr>
                <w:rFonts w:ascii="Arial" w:hAnsi="Arial" w:cs="Arial"/>
                <w:color w:val="000000"/>
                <w:sz w:val="20"/>
                <w:szCs w:val="20"/>
              </w:rPr>
              <w:t>-1 111 674</w:t>
            </w:r>
          </w:p>
        </w:tc>
        <w:tc>
          <w:tcPr>
            <w:tcW w:w="1634" w:type="dxa"/>
            <w:noWrap/>
            <w:vAlign w:val="center"/>
          </w:tcPr>
          <w:p w14:paraId="377A4635" w14:textId="588CDB1E" w:rsidR="00852B33" w:rsidRPr="00231CC7" w:rsidRDefault="00852B33" w:rsidP="00852B33">
            <w:pPr>
              <w:spacing w:after="0" w:line="240" w:lineRule="auto"/>
              <w:jc w:val="center"/>
              <w:cnfStyle w:val="000000000000" w:firstRow="0" w:lastRow="0" w:firstColumn="0" w:lastColumn="0" w:oddVBand="0" w:evenVBand="0" w:oddHBand="0" w:evenHBand="0" w:firstRowFirstColumn="0" w:firstRowLastColumn="0" w:lastRowFirstColumn="0" w:lastRowLastColumn="0"/>
              <w:rPr>
                <w:sz w:val="20"/>
                <w:szCs w:val="20"/>
              </w:rPr>
            </w:pPr>
            <w:r w:rsidRPr="00231CC7">
              <w:rPr>
                <w:sz w:val="20"/>
                <w:szCs w:val="20"/>
              </w:rPr>
              <w:t>ФННС/К</w:t>
            </w:r>
          </w:p>
        </w:tc>
      </w:tr>
    </w:tbl>
    <w:p w14:paraId="751B4A7C" w14:textId="71EE4819" w:rsidR="009D14A9" w:rsidRPr="00231CC7" w:rsidRDefault="009D14A9" w:rsidP="008B058A">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 xml:space="preserve"> Източник: модел Vademecum и собствени изчисления</w:t>
      </w:r>
    </w:p>
    <w:p w14:paraId="330576E0" w14:textId="77777777" w:rsidR="00F42E46" w:rsidRPr="00A36BFC" w:rsidRDefault="00080D04" w:rsidP="00A36BFC">
      <w:pPr>
        <w:pStyle w:val="Heading2"/>
        <w:numPr>
          <w:ilvl w:val="1"/>
          <w:numId w:val="3"/>
        </w:numPr>
        <w:ind w:left="1080" w:hanging="540"/>
        <w:rPr>
          <w:szCs w:val="24"/>
          <w:lang w:val="bg-BG"/>
        </w:rPr>
      </w:pPr>
      <w:bookmarkStart w:id="321" w:name="_Toc143694197"/>
      <w:r w:rsidRPr="00A36BFC">
        <w:rPr>
          <w:szCs w:val="24"/>
          <w:lang w:val="bg-BG"/>
        </w:rPr>
        <w:t>Определяне на финансовия дефицит и Финансов план на проекта</w:t>
      </w:r>
      <w:bookmarkEnd w:id="321"/>
    </w:p>
    <w:p w14:paraId="73AE44B7" w14:textId="77777777" w:rsidR="00080D04" w:rsidRDefault="00080D04" w:rsidP="00080D04">
      <w:pPr>
        <w:autoSpaceDE w:val="0"/>
        <w:autoSpaceDN w:val="0"/>
        <w:adjustRightInd w:val="0"/>
        <w:spacing w:before="240"/>
        <w:jc w:val="both"/>
        <w:rPr>
          <w:rFonts w:cs="Arial"/>
        </w:rPr>
      </w:pPr>
      <w:r>
        <w:rPr>
          <w:rFonts w:cs="Arial"/>
        </w:rPr>
        <w:t xml:space="preserve">Поради приложения модел за изготвяне на АРП, във </w:t>
      </w:r>
      <w:r w:rsidRPr="00F672A4">
        <w:rPr>
          <w:rFonts w:cs="Arial"/>
          <w:i/>
        </w:rPr>
        <w:t xml:space="preserve">Vademecum </w:t>
      </w:r>
      <w:r>
        <w:rPr>
          <w:rFonts w:cs="Arial"/>
        </w:rPr>
        <w:t>няма специални указания за определяне размера на Финансовия дефицит, а той излиза като готова величина, която се прилага при определяне съотношението на финансиране между безвъзмездната помощ от ЕС, националното съ-финансиране и участието на Бенефициента.</w:t>
      </w:r>
    </w:p>
    <w:p w14:paraId="7F8F1C69" w14:textId="5F691802" w:rsidR="00080D04" w:rsidRDefault="00080D04" w:rsidP="00080D04">
      <w:pPr>
        <w:autoSpaceDE w:val="0"/>
        <w:autoSpaceDN w:val="0"/>
        <w:adjustRightInd w:val="0"/>
        <w:spacing w:before="240"/>
        <w:jc w:val="both"/>
        <w:rPr>
          <w:rFonts w:cs="Arial"/>
        </w:rPr>
      </w:pPr>
      <w:r>
        <w:rPr>
          <w:rFonts w:cs="Arial"/>
        </w:rPr>
        <w:t>В случая Финансовия дефицит е определен на 100% и при прилагане на максималния процент финансиране от ЕС по ПТС 2021-2027 г. се прилага 85%</w:t>
      </w:r>
      <w:r w:rsidR="009F3AE9">
        <w:rPr>
          <w:rFonts w:cs="Arial"/>
        </w:rPr>
        <w:t xml:space="preserve"> от допустимите разходи.</w:t>
      </w:r>
    </w:p>
    <w:p w14:paraId="3041D2C5" w14:textId="6D0DB0E2" w:rsidR="00080D04" w:rsidRDefault="00080D04" w:rsidP="00080D04">
      <w:pPr>
        <w:autoSpaceDE w:val="0"/>
        <w:autoSpaceDN w:val="0"/>
        <w:adjustRightInd w:val="0"/>
        <w:spacing w:before="240"/>
        <w:jc w:val="both"/>
        <w:rPr>
          <w:rFonts w:cs="Arial"/>
        </w:rPr>
      </w:pPr>
      <w:r>
        <w:rPr>
          <w:rFonts w:cs="Arial"/>
        </w:rPr>
        <w:t xml:space="preserve">При това разпределение на източниците за финансиране, Финансовия план </w:t>
      </w:r>
      <w:r w:rsidR="000F552D">
        <w:rPr>
          <w:rFonts w:cs="Arial"/>
        </w:rPr>
        <w:t>по проекта е следния</w:t>
      </w:r>
      <w:r>
        <w:rPr>
          <w:rFonts w:cs="Arial"/>
        </w:rPr>
        <w:t>:</w:t>
      </w:r>
    </w:p>
    <w:p w14:paraId="683F9553" w14:textId="32F12514" w:rsidR="00080D04" w:rsidRPr="009963CE" w:rsidRDefault="00080D04" w:rsidP="00080D04">
      <w:pPr>
        <w:tabs>
          <w:tab w:val="left" w:pos="1418"/>
        </w:tabs>
        <w:spacing w:before="60" w:after="60"/>
        <w:jc w:val="both"/>
        <w:rPr>
          <w:rFonts w:eastAsia="Calibri" w:cs="Arial"/>
          <w:i/>
          <w:color w:val="000000"/>
          <w:sz w:val="22"/>
          <w:lang w:eastAsia="en-US"/>
        </w:rPr>
      </w:pPr>
      <w:bookmarkStart w:id="322" w:name="_Toc17409906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231CC7">
        <w:rPr>
          <w:rFonts w:cs="Arial"/>
          <w:bCs/>
          <w:i/>
          <w:noProof/>
          <w:sz w:val="22"/>
        </w:rPr>
        <w:t>23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 план по източници</w:t>
      </w:r>
      <w:bookmarkEnd w:id="322"/>
      <w:r w:rsidR="00D423A8" w:rsidRPr="009963CE">
        <w:rPr>
          <w:rFonts w:eastAsia="Calibri" w:cs="Arial"/>
          <w:i/>
          <w:color w:val="000000"/>
          <w:sz w:val="22"/>
          <w:lang w:eastAsia="en-US"/>
        </w:rPr>
        <w:t xml:space="preserve"> </w:t>
      </w:r>
      <w:r w:rsidR="00D423A8">
        <w:rPr>
          <w:rFonts w:eastAsia="Calibri" w:cs="Arial"/>
          <w:i/>
          <w:color w:val="000000"/>
          <w:sz w:val="22"/>
          <w:lang w:eastAsia="en-US"/>
        </w:rPr>
        <w:t xml:space="preserve">в </w:t>
      </w:r>
      <w:r w:rsidR="00D423A8">
        <w:rPr>
          <w:rFonts w:eastAsia="Calibri" w:cs="Arial"/>
          <w:i/>
          <w:color w:val="000000"/>
          <w:sz w:val="22"/>
          <w:lang w:val="en-US" w:eastAsia="en-US"/>
        </w:rPr>
        <w:t>EUR</w:t>
      </w:r>
    </w:p>
    <w:tbl>
      <w:tblPr>
        <w:tblStyle w:val="LightList-Accent111"/>
        <w:tblW w:w="9612"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150"/>
        <w:gridCol w:w="1152"/>
        <w:gridCol w:w="1260"/>
        <w:gridCol w:w="1350"/>
        <w:gridCol w:w="1260"/>
        <w:gridCol w:w="1440"/>
      </w:tblGrid>
      <w:tr w:rsidR="00852B33" w:rsidRPr="00D566C2" w14:paraId="30EB7D04" w14:textId="77777777" w:rsidTr="00C35358">
        <w:trPr>
          <w:cnfStyle w:val="100000000000" w:firstRow="1" w:lastRow="0" w:firstColumn="0" w:lastColumn="0" w:oddVBand="0" w:evenVBand="0" w:oddHBand="0" w:evenHBand="0" w:firstRowFirstColumn="0" w:firstRowLastColumn="0" w:lastRowFirstColumn="0" w:lastRowLastColumn="0"/>
          <w:trHeight w:val="397"/>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6A506F1C" w14:textId="77777777" w:rsidR="00852B33" w:rsidRPr="00D566C2" w:rsidRDefault="00852B33" w:rsidP="00852B33">
            <w:pPr>
              <w:jc w:val="center"/>
              <w:rPr>
                <w:rFonts w:cs="Arial"/>
                <w:b w:val="0"/>
                <w:bCs w:val="0"/>
                <w:color w:val="000000"/>
                <w:sz w:val="22"/>
                <w:lang w:val="en-US"/>
              </w:rPr>
            </w:pPr>
            <w:r w:rsidRPr="00D566C2">
              <w:rPr>
                <w:rFonts w:cs="Arial"/>
                <w:sz w:val="22"/>
              </w:rPr>
              <w:t>Източници на финансиране</w:t>
            </w:r>
          </w:p>
        </w:tc>
        <w:tc>
          <w:tcPr>
            <w:tcW w:w="1152" w:type="dxa"/>
            <w:noWrap/>
            <w:vAlign w:val="center"/>
            <w:hideMark/>
          </w:tcPr>
          <w:p w14:paraId="2898D44B" w14:textId="3760FDC4"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2024</w:t>
            </w:r>
            <w:r w:rsidR="00231CC7">
              <w:rPr>
                <w:rFonts w:cs="Arial"/>
                <w:color w:val="FFFFFF" w:themeColor="background1"/>
                <w:sz w:val="22"/>
              </w:rPr>
              <w:t xml:space="preserve"> г.</w:t>
            </w:r>
          </w:p>
        </w:tc>
        <w:tc>
          <w:tcPr>
            <w:tcW w:w="1260" w:type="dxa"/>
            <w:noWrap/>
            <w:vAlign w:val="center"/>
            <w:hideMark/>
          </w:tcPr>
          <w:p w14:paraId="0A14FDB8" w14:textId="1EF413A9"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2025</w:t>
            </w:r>
            <w:r w:rsidR="00231CC7">
              <w:rPr>
                <w:rFonts w:cs="Arial"/>
                <w:color w:val="FFFFFF" w:themeColor="background1"/>
                <w:sz w:val="22"/>
              </w:rPr>
              <w:t xml:space="preserve"> г.</w:t>
            </w:r>
          </w:p>
        </w:tc>
        <w:tc>
          <w:tcPr>
            <w:tcW w:w="1350" w:type="dxa"/>
            <w:noWrap/>
            <w:vAlign w:val="center"/>
            <w:hideMark/>
          </w:tcPr>
          <w:p w14:paraId="62561F5C" w14:textId="14A2EA80"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lang w:val="en-US"/>
              </w:rPr>
            </w:pPr>
            <w:r w:rsidRPr="00231CC7">
              <w:rPr>
                <w:rFonts w:cs="Arial"/>
                <w:color w:val="FFFFFF" w:themeColor="background1"/>
                <w:sz w:val="22"/>
                <w:lang w:val="en-US"/>
              </w:rPr>
              <w:t>202</w:t>
            </w:r>
            <w:r w:rsidRPr="00231CC7">
              <w:rPr>
                <w:rFonts w:cs="Arial"/>
                <w:color w:val="FFFFFF" w:themeColor="background1"/>
                <w:sz w:val="22"/>
              </w:rPr>
              <w:t>6</w:t>
            </w:r>
            <w:r w:rsidR="00231CC7">
              <w:rPr>
                <w:rFonts w:cs="Arial"/>
                <w:color w:val="FFFFFF" w:themeColor="background1"/>
                <w:sz w:val="22"/>
              </w:rPr>
              <w:t xml:space="preserve"> г.</w:t>
            </w:r>
          </w:p>
        </w:tc>
        <w:tc>
          <w:tcPr>
            <w:tcW w:w="1260" w:type="dxa"/>
            <w:noWrap/>
            <w:vAlign w:val="center"/>
            <w:hideMark/>
          </w:tcPr>
          <w:p w14:paraId="1CFDEA03" w14:textId="490AFB81"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231CC7">
              <w:rPr>
                <w:rFonts w:cs="Arial"/>
                <w:color w:val="FFFFFF" w:themeColor="background1"/>
                <w:sz w:val="22"/>
                <w:lang w:val="en-US"/>
              </w:rPr>
              <w:t>202</w:t>
            </w:r>
            <w:r w:rsidRPr="00231CC7">
              <w:rPr>
                <w:rFonts w:cs="Arial"/>
                <w:color w:val="FFFFFF" w:themeColor="background1"/>
                <w:sz w:val="22"/>
                <w:lang w:val="en-GB"/>
              </w:rPr>
              <w:t>7</w:t>
            </w:r>
            <w:r w:rsidR="00231CC7">
              <w:rPr>
                <w:rFonts w:cs="Arial"/>
                <w:color w:val="FFFFFF" w:themeColor="background1"/>
                <w:sz w:val="22"/>
              </w:rPr>
              <w:t xml:space="preserve"> г.</w:t>
            </w:r>
          </w:p>
        </w:tc>
        <w:tc>
          <w:tcPr>
            <w:tcW w:w="1440" w:type="dxa"/>
            <w:vAlign w:val="center"/>
            <w:hideMark/>
          </w:tcPr>
          <w:p w14:paraId="5407238B" w14:textId="77777777" w:rsidR="00852B33" w:rsidRPr="00231CC7" w:rsidRDefault="00852B33" w:rsidP="00852B33">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lang w:val="en-US"/>
              </w:rPr>
            </w:pPr>
            <w:proofErr w:type="spellStart"/>
            <w:r w:rsidRPr="00231CC7">
              <w:rPr>
                <w:rFonts w:cs="Arial"/>
                <w:color w:val="FFFFFF" w:themeColor="background1"/>
                <w:sz w:val="22"/>
                <w:lang w:val="en-US"/>
              </w:rPr>
              <w:t>Общо</w:t>
            </w:r>
            <w:proofErr w:type="spellEnd"/>
            <w:r w:rsidRPr="00231CC7">
              <w:rPr>
                <w:rFonts w:cs="Arial"/>
                <w:color w:val="FFFFFF" w:themeColor="background1"/>
                <w:sz w:val="22"/>
                <w:lang w:val="en-US"/>
              </w:rPr>
              <w:t xml:space="preserve"> </w:t>
            </w:r>
            <w:proofErr w:type="spellStart"/>
            <w:r w:rsidRPr="00231CC7">
              <w:rPr>
                <w:rFonts w:cs="Arial"/>
                <w:color w:val="FFFFFF" w:themeColor="background1"/>
                <w:sz w:val="22"/>
                <w:lang w:val="en-US"/>
              </w:rPr>
              <w:t>по</w:t>
            </w:r>
            <w:proofErr w:type="spellEnd"/>
            <w:r w:rsidRPr="00231CC7">
              <w:rPr>
                <w:rFonts w:cs="Arial"/>
                <w:color w:val="FFFFFF" w:themeColor="background1"/>
                <w:sz w:val="22"/>
                <w:lang w:val="en-US"/>
              </w:rPr>
              <w:t xml:space="preserve"> </w:t>
            </w:r>
            <w:proofErr w:type="spellStart"/>
            <w:r w:rsidRPr="00231CC7">
              <w:rPr>
                <w:rFonts w:cs="Arial"/>
                <w:color w:val="FFFFFF" w:themeColor="background1"/>
                <w:sz w:val="22"/>
                <w:lang w:val="en-US"/>
              </w:rPr>
              <w:t>източници</w:t>
            </w:r>
            <w:proofErr w:type="spellEnd"/>
          </w:p>
        </w:tc>
      </w:tr>
      <w:tr w:rsidR="004E3586" w:rsidRPr="00D566C2" w14:paraId="0727B7A1" w14:textId="77777777" w:rsidTr="009963CE">
        <w:trPr>
          <w:cnfStyle w:val="000000100000" w:firstRow="0" w:lastRow="0" w:firstColumn="0" w:lastColumn="0" w:oddVBand="0" w:evenVBand="0" w:oddHBand="1" w:evenHBand="0" w:firstRowFirstColumn="0" w:firstRowLastColumn="0" w:lastRowFirstColumn="0" w:lastRowLastColumn="0"/>
          <w:trHeight w:val="301"/>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hideMark/>
          </w:tcPr>
          <w:p w14:paraId="5527BD0C" w14:textId="77777777" w:rsidR="004E3586" w:rsidRPr="00D566C2" w:rsidRDefault="004E3586" w:rsidP="004E3586">
            <w:pPr>
              <w:spacing w:after="0" w:line="240" w:lineRule="auto"/>
              <w:rPr>
                <w:rFonts w:cs="Arial"/>
                <w:color w:val="000000"/>
                <w:sz w:val="22"/>
                <w:lang w:val="en-US"/>
              </w:rPr>
            </w:pPr>
            <w:r w:rsidRPr="00D566C2">
              <w:rPr>
                <w:rFonts w:cs="Arial"/>
                <w:sz w:val="22"/>
              </w:rPr>
              <w:t>Помощ от ЕС</w:t>
            </w:r>
          </w:p>
        </w:tc>
        <w:tc>
          <w:tcPr>
            <w:tcW w:w="1152" w:type="dxa"/>
            <w:tcBorders>
              <w:top w:val="none" w:sz="0" w:space="0" w:color="auto"/>
              <w:bottom w:val="none" w:sz="0" w:space="0" w:color="auto"/>
            </w:tcBorders>
            <w:noWrap/>
            <w:vAlign w:val="center"/>
            <w:hideMark/>
          </w:tcPr>
          <w:p w14:paraId="5206665A" w14:textId="5C535E03" w:rsidR="004E3586" w:rsidRPr="00D566C2"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lang w:val="en-US"/>
              </w:rPr>
            </w:pPr>
            <w:r w:rsidRPr="00D566C2">
              <w:rPr>
                <w:rFonts w:cs="Arial"/>
                <w:color w:val="000000"/>
                <w:sz w:val="22"/>
              </w:rPr>
              <w:t> </w:t>
            </w:r>
          </w:p>
        </w:tc>
        <w:tc>
          <w:tcPr>
            <w:tcW w:w="1260" w:type="dxa"/>
            <w:tcBorders>
              <w:top w:val="none" w:sz="0" w:space="0" w:color="auto"/>
              <w:bottom w:val="none" w:sz="0" w:space="0" w:color="auto"/>
            </w:tcBorders>
            <w:shd w:val="clear" w:color="auto" w:fill="auto"/>
            <w:noWrap/>
            <w:hideMark/>
          </w:tcPr>
          <w:p w14:paraId="5A917C83" w14:textId="7DDC144B"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1 125 196</w:t>
            </w:r>
          </w:p>
        </w:tc>
        <w:tc>
          <w:tcPr>
            <w:tcW w:w="1350" w:type="dxa"/>
            <w:tcBorders>
              <w:top w:val="none" w:sz="0" w:space="0" w:color="auto"/>
              <w:bottom w:val="none" w:sz="0" w:space="0" w:color="auto"/>
            </w:tcBorders>
            <w:shd w:val="clear" w:color="auto" w:fill="auto"/>
            <w:noWrap/>
            <w:hideMark/>
          </w:tcPr>
          <w:p w14:paraId="1A62840F" w14:textId="7F03728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7 193 933</w:t>
            </w:r>
          </w:p>
        </w:tc>
        <w:tc>
          <w:tcPr>
            <w:tcW w:w="1260" w:type="dxa"/>
            <w:tcBorders>
              <w:top w:val="none" w:sz="0" w:space="0" w:color="auto"/>
              <w:bottom w:val="none" w:sz="0" w:space="0" w:color="auto"/>
            </w:tcBorders>
            <w:shd w:val="clear" w:color="auto" w:fill="auto"/>
            <w:noWrap/>
            <w:hideMark/>
          </w:tcPr>
          <w:p w14:paraId="5070FE74" w14:textId="424DE42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2 196 569</w:t>
            </w:r>
          </w:p>
        </w:tc>
        <w:tc>
          <w:tcPr>
            <w:tcW w:w="1440" w:type="dxa"/>
            <w:tcBorders>
              <w:top w:val="none" w:sz="0" w:space="0" w:color="auto"/>
              <w:bottom w:val="none" w:sz="0" w:space="0" w:color="auto"/>
              <w:right w:val="none" w:sz="0" w:space="0" w:color="auto"/>
            </w:tcBorders>
            <w:shd w:val="clear" w:color="auto" w:fill="auto"/>
            <w:noWrap/>
            <w:hideMark/>
          </w:tcPr>
          <w:p w14:paraId="19DE7B2A" w14:textId="4137C700"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10 515 698</w:t>
            </w:r>
          </w:p>
        </w:tc>
      </w:tr>
      <w:tr w:rsidR="004E3586" w:rsidRPr="00D566C2" w14:paraId="22D824F9" w14:textId="77777777" w:rsidTr="009963CE">
        <w:trPr>
          <w:trHeight w:val="288"/>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19BC45E6" w14:textId="77777777" w:rsidR="004E3586" w:rsidRPr="00D566C2" w:rsidRDefault="004E3586" w:rsidP="004E3586">
            <w:pPr>
              <w:spacing w:after="0" w:line="240" w:lineRule="auto"/>
              <w:rPr>
                <w:rFonts w:cs="Arial"/>
                <w:color w:val="000000"/>
                <w:sz w:val="22"/>
                <w:lang w:val="en-US"/>
              </w:rPr>
            </w:pPr>
            <w:r w:rsidRPr="00D566C2">
              <w:rPr>
                <w:rFonts w:cs="Arial"/>
                <w:sz w:val="22"/>
              </w:rPr>
              <w:t>Национално съ-финансиране</w:t>
            </w:r>
          </w:p>
        </w:tc>
        <w:tc>
          <w:tcPr>
            <w:tcW w:w="1152" w:type="dxa"/>
            <w:noWrap/>
            <w:vAlign w:val="center"/>
            <w:hideMark/>
          </w:tcPr>
          <w:p w14:paraId="2EFBDB0A" w14:textId="2CD2DA45" w:rsidR="004E3586" w:rsidRPr="00D566C2"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2"/>
                <w:lang w:val="en-US"/>
              </w:rPr>
            </w:pPr>
            <w:r w:rsidRPr="00D566C2">
              <w:rPr>
                <w:rFonts w:cs="Arial"/>
                <w:color w:val="000000"/>
                <w:sz w:val="22"/>
              </w:rPr>
              <w:t> </w:t>
            </w:r>
          </w:p>
        </w:tc>
        <w:tc>
          <w:tcPr>
            <w:tcW w:w="1260" w:type="dxa"/>
            <w:shd w:val="clear" w:color="auto" w:fill="auto"/>
            <w:noWrap/>
            <w:hideMark/>
          </w:tcPr>
          <w:p w14:paraId="0F0ED5E5" w14:textId="13DA225F" w:rsidR="004E3586" w:rsidRPr="009963CE" w:rsidRDefault="004E3586" w:rsidP="004E3586">
            <w:pPr>
              <w:spacing w:after="0" w:line="240" w:lineRule="auto"/>
              <w:ind w:hanging="18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198 564</w:t>
            </w:r>
          </w:p>
        </w:tc>
        <w:tc>
          <w:tcPr>
            <w:tcW w:w="1350" w:type="dxa"/>
            <w:shd w:val="clear" w:color="auto" w:fill="auto"/>
            <w:noWrap/>
            <w:hideMark/>
          </w:tcPr>
          <w:p w14:paraId="47305BB4" w14:textId="3265420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1 269 518</w:t>
            </w:r>
          </w:p>
        </w:tc>
        <w:tc>
          <w:tcPr>
            <w:tcW w:w="1260" w:type="dxa"/>
            <w:shd w:val="clear" w:color="auto" w:fill="auto"/>
            <w:noWrap/>
            <w:hideMark/>
          </w:tcPr>
          <w:p w14:paraId="253AD3FF" w14:textId="71A38E4A" w:rsidR="004E3586" w:rsidRPr="009963CE" w:rsidRDefault="004E3586" w:rsidP="004E3586">
            <w:pPr>
              <w:spacing w:after="0" w:line="240" w:lineRule="auto"/>
              <w:ind w:hanging="18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387 630</w:t>
            </w:r>
          </w:p>
        </w:tc>
        <w:tc>
          <w:tcPr>
            <w:tcW w:w="1440" w:type="dxa"/>
            <w:shd w:val="clear" w:color="auto" w:fill="auto"/>
            <w:noWrap/>
            <w:hideMark/>
          </w:tcPr>
          <w:p w14:paraId="5CE39BAD" w14:textId="2A96951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1 855 711</w:t>
            </w:r>
          </w:p>
        </w:tc>
      </w:tr>
      <w:tr w:rsidR="004E3586" w:rsidRPr="00D566C2" w14:paraId="3A800E15" w14:textId="77777777" w:rsidTr="009963CE">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tcPr>
          <w:p w14:paraId="15381386" w14:textId="783E3249" w:rsidR="004E3586" w:rsidRPr="00D578CE" w:rsidRDefault="004E3586" w:rsidP="004E3586">
            <w:pPr>
              <w:spacing w:after="0" w:line="240" w:lineRule="auto"/>
              <w:rPr>
                <w:rFonts w:cs="Arial"/>
                <w:sz w:val="22"/>
              </w:rPr>
            </w:pPr>
            <w:r>
              <w:rPr>
                <w:rFonts w:cs="Arial"/>
                <w:sz w:val="22"/>
              </w:rPr>
              <w:t>ДППИ Бенефициент</w:t>
            </w:r>
          </w:p>
        </w:tc>
        <w:tc>
          <w:tcPr>
            <w:tcW w:w="1152" w:type="dxa"/>
            <w:tcBorders>
              <w:top w:val="none" w:sz="0" w:space="0" w:color="auto"/>
              <w:bottom w:val="none" w:sz="0" w:space="0" w:color="auto"/>
            </w:tcBorders>
            <w:noWrap/>
            <w:vAlign w:val="center"/>
          </w:tcPr>
          <w:p w14:paraId="2351BCCB" w14:textId="77777777" w:rsidR="004E3586" w:rsidRPr="00D566C2"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2"/>
              </w:rPr>
            </w:pPr>
          </w:p>
        </w:tc>
        <w:tc>
          <w:tcPr>
            <w:tcW w:w="1260" w:type="dxa"/>
            <w:tcBorders>
              <w:top w:val="none" w:sz="0" w:space="0" w:color="auto"/>
              <w:bottom w:val="none" w:sz="0" w:space="0" w:color="auto"/>
            </w:tcBorders>
            <w:shd w:val="clear" w:color="auto" w:fill="auto"/>
            <w:noWrap/>
          </w:tcPr>
          <w:p w14:paraId="11C48BAB" w14:textId="6DE3201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230 696</w:t>
            </w:r>
          </w:p>
        </w:tc>
        <w:tc>
          <w:tcPr>
            <w:tcW w:w="1350" w:type="dxa"/>
            <w:tcBorders>
              <w:top w:val="none" w:sz="0" w:space="0" w:color="auto"/>
              <w:bottom w:val="none" w:sz="0" w:space="0" w:color="auto"/>
            </w:tcBorders>
            <w:shd w:val="clear" w:color="auto" w:fill="auto"/>
            <w:noWrap/>
          </w:tcPr>
          <w:p w14:paraId="3C2EE362" w14:textId="3D54340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1 345 725</w:t>
            </w:r>
          </w:p>
        </w:tc>
        <w:tc>
          <w:tcPr>
            <w:tcW w:w="1260" w:type="dxa"/>
            <w:tcBorders>
              <w:top w:val="none" w:sz="0" w:space="0" w:color="auto"/>
              <w:bottom w:val="none" w:sz="0" w:space="0" w:color="auto"/>
            </w:tcBorders>
            <w:shd w:val="clear" w:color="auto" w:fill="auto"/>
            <w:noWrap/>
          </w:tcPr>
          <w:p w14:paraId="6DD5EC48" w14:textId="625BF62F"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346 044</w:t>
            </w:r>
          </w:p>
        </w:tc>
        <w:tc>
          <w:tcPr>
            <w:tcW w:w="1440" w:type="dxa"/>
            <w:tcBorders>
              <w:top w:val="none" w:sz="0" w:space="0" w:color="auto"/>
              <w:bottom w:val="none" w:sz="0" w:space="0" w:color="auto"/>
              <w:right w:val="none" w:sz="0" w:space="0" w:color="auto"/>
            </w:tcBorders>
            <w:shd w:val="clear" w:color="auto" w:fill="auto"/>
            <w:noWrap/>
          </w:tcPr>
          <w:p w14:paraId="42D68383" w14:textId="1044637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1 922 464,68</w:t>
            </w:r>
          </w:p>
        </w:tc>
      </w:tr>
      <w:tr w:rsidR="004E3586" w:rsidRPr="00D566C2" w14:paraId="2EC3CDC2" w14:textId="77777777" w:rsidTr="009963CE">
        <w:trPr>
          <w:trHeight w:val="288"/>
        </w:trPr>
        <w:tc>
          <w:tcPr>
            <w:cnfStyle w:val="001000000000" w:firstRow="0" w:lastRow="0" w:firstColumn="1" w:lastColumn="0" w:oddVBand="0" w:evenVBand="0" w:oddHBand="0" w:evenHBand="0" w:firstRowFirstColumn="0" w:firstRowLastColumn="0" w:lastRowFirstColumn="0" w:lastRowLastColumn="0"/>
            <w:tcW w:w="3150" w:type="dxa"/>
            <w:noWrap/>
            <w:vAlign w:val="center"/>
            <w:hideMark/>
          </w:tcPr>
          <w:p w14:paraId="627EC67C" w14:textId="3F597333" w:rsidR="004E3586" w:rsidRPr="00D566C2" w:rsidRDefault="004E3586" w:rsidP="004E3586">
            <w:pPr>
              <w:spacing w:after="0" w:line="240" w:lineRule="auto"/>
              <w:rPr>
                <w:rFonts w:cs="Arial"/>
                <w:color w:val="000000"/>
                <w:sz w:val="22"/>
                <w:lang w:val="en-US"/>
              </w:rPr>
            </w:pPr>
            <w:r w:rsidRPr="00D566C2">
              <w:rPr>
                <w:rFonts w:cs="Arial"/>
                <w:sz w:val="22"/>
              </w:rPr>
              <w:t>Други източници OПTТИ 2014-2020</w:t>
            </w:r>
          </w:p>
        </w:tc>
        <w:tc>
          <w:tcPr>
            <w:tcW w:w="1152" w:type="dxa"/>
            <w:noWrap/>
            <w:vAlign w:val="center"/>
            <w:hideMark/>
          </w:tcPr>
          <w:p w14:paraId="4C8A89C0" w14:textId="5C77BE8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rFonts w:cs="Arial"/>
                <w:color w:val="000000"/>
                <w:sz w:val="20"/>
                <w:szCs w:val="20"/>
              </w:rPr>
              <w:t>119</w:t>
            </w:r>
            <w:r w:rsidRPr="009963CE">
              <w:rPr>
                <w:rFonts w:cs="Arial"/>
                <w:color w:val="000000"/>
                <w:sz w:val="20"/>
                <w:szCs w:val="20"/>
                <w:lang w:val="en-US"/>
              </w:rPr>
              <w:t xml:space="preserve"> </w:t>
            </w:r>
            <w:r w:rsidRPr="009963CE">
              <w:rPr>
                <w:rFonts w:cs="Arial"/>
                <w:color w:val="000000"/>
                <w:sz w:val="20"/>
                <w:szCs w:val="20"/>
              </w:rPr>
              <w:t>299</w:t>
            </w:r>
          </w:p>
        </w:tc>
        <w:tc>
          <w:tcPr>
            <w:tcW w:w="1260" w:type="dxa"/>
            <w:noWrap/>
          </w:tcPr>
          <w:p w14:paraId="79D36A6E" w14:textId="0931AEBE" w:rsidR="004E3586" w:rsidRPr="009963CE" w:rsidRDefault="004E3586" w:rsidP="004E3586">
            <w:pPr>
              <w:spacing w:after="0" w:line="240" w:lineRule="auto"/>
              <w:ind w:hanging="180"/>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350" w:type="dxa"/>
            <w:noWrap/>
          </w:tcPr>
          <w:p w14:paraId="3EA6FC71" w14:textId="520963C6"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260" w:type="dxa"/>
            <w:noWrap/>
          </w:tcPr>
          <w:p w14:paraId="272F45E8" w14:textId="4D4577F9" w:rsidR="004E3586" w:rsidRPr="009963CE" w:rsidRDefault="004E3586" w:rsidP="004E3586">
            <w:pPr>
              <w:spacing w:after="0" w:line="240" w:lineRule="auto"/>
              <w:ind w:hanging="180"/>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p>
        </w:tc>
        <w:tc>
          <w:tcPr>
            <w:tcW w:w="1440" w:type="dxa"/>
            <w:noWrap/>
            <w:hideMark/>
          </w:tcPr>
          <w:p w14:paraId="5B999A5D" w14:textId="2AA8815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119 299</w:t>
            </w:r>
          </w:p>
        </w:tc>
      </w:tr>
      <w:tr w:rsidR="004E3586" w:rsidRPr="00D566C2" w14:paraId="23304F54" w14:textId="77777777" w:rsidTr="009963CE">
        <w:trPr>
          <w:cnfStyle w:val="000000100000" w:firstRow="0" w:lastRow="0" w:firstColumn="0" w:lastColumn="0" w:oddVBand="0" w:evenVBand="0" w:oddHBand="1" w:evenHBand="0" w:firstRowFirstColumn="0" w:firstRowLastColumn="0" w:lastRowFirstColumn="0" w:lastRowLastColumn="0"/>
          <w:trHeight w:val="537"/>
        </w:trPr>
        <w:tc>
          <w:tcPr>
            <w:cnfStyle w:val="001000000000" w:firstRow="0" w:lastRow="0" w:firstColumn="1" w:lastColumn="0" w:oddVBand="0" w:evenVBand="0" w:oddHBand="0" w:evenHBand="0" w:firstRowFirstColumn="0" w:firstRowLastColumn="0" w:lastRowFirstColumn="0" w:lastRowLastColumn="0"/>
            <w:tcW w:w="3150" w:type="dxa"/>
            <w:tcBorders>
              <w:top w:val="none" w:sz="0" w:space="0" w:color="auto"/>
              <w:left w:val="none" w:sz="0" w:space="0" w:color="auto"/>
              <w:bottom w:val="none" w:sz="0" w:space="0" w:color="auto"/>
            </w:tcBorders>
            <w:noWrap/>
            <w:vAlign w:val="center"/>
            <w:hideMark/>
          </w:tcPr>
          <w:p w14:paraId="28B95B80" w14:textId="77777777" w:rsidR="004E3586" w:rsidRPr="00D566C2" w:rsidRDefault="004E3586" w:rsidP="004E3586">
            <w:pPr>
              <w:spacing w:after="0" w:line="240" w:lineRule="auto"/>
              <w:rPr>
                <w:rFonts w:cs="Arial"/>
                <w:color w:val="000000"/>
                <w:sz w:val="22"/>
                <w:lang w:val="en-US"/>
              </w:rPr>
            </w:pPr>
            <w:r w:rsidRPr="00D566C2">
              <w:rPr>
                <w:rFonts w:cs="Arial"/>
                <w:sz w:val="22"/>
              </w:rPr>
              <w:t>Общо по години</w:t>
            </w:r>
          </w:p>
        </w:tc>
        <w:tc>
          <w:tcPr>
            <w:tcW w:w="1152" w:type="dxa"/>
            <w:tcBorders>
              <w:top w:val="none" w:sz="0" w:space="0" w:color="auto"/>
              <w:bottom w:val="none" w:sz="0" w:space="0" w:color="auto"/>
            </w:tcBorders>
            <w:noWrap/>
            <w:vAlign w:val="center"/>
            <w:hideMark/>
          </w:tcPr>
          <w:p w14:paraId="6D98B6CB" w14:textId="78D5579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rFonts w:cs="Arial"/>
                <w:color w:val="000000"/>
                <w:sz w:val="20"/>
                <w:szCs w:val="20"/>
              </w:rPr>
              <w:t>119</w:t>
            </w:r>
            <w:r w:rsidRPr="009963CE">
              <w:rPr>
                <w:rFonts w:cs="Arial"/>
                <w:color w:val="000000"/>
                <w:sz w:val="20"/>
                <w:szCs w:val="20"/>
                <w:lang w:val="en-US"/>
              </w:rPr>
              <w:t xml:space="preserve"> </w:t>
            </w:r>
            <w:r w:rsidRPr="009963CE">
              <w:rPr>
                <w:rFonts w:cs="Arial"/>
                <w:color w:val="000000"/>
                <w:sz w:val="20"/>
                <w:szCs w:val="20"/>
              </w:rPr>
              <w:t>299</w:t>
            </w:r>
          </w:p>
        </w:tc>
        <w:tc>
          <w:tcPr>
            <w:tcW w:w="1260" w:type="dxa"/>
            <w:tcBorders>
              <w:top w:val="none" w:sz="0" w:space="0" w:color="auto"/>
              <w:bottom w:val="none" w:sz="0" w:space="0" w:color="auto"/>
            </w:tcBorders>
            <w:noWrap/>
            <w:hideMark/>
          </w:tcPr>
          <w:p w14:paraId="16A9739F" w14:textId="1D775195"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1 554 455</w:t>
            </w:r>
          </w:p>
        </w:tc>
        <w:tc>
          <w:tcPr>
            <w:tcW w:w="1350" w:type="dxa"/>
            <w:tcBorders>
              <w:top w:val="none" w:sz="0" w:space="0" w:color="auto"/>
              <w:bottom w:val="none" w:sz="0" w:space="0" w:color="auto"/>
            </w:tcBorders>
            <w:noWrap/>
            <w:hideMark/>
          </w:tcPr>
          <w:p w14:paraId="7DC5678F" w14:textId="05818C9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9 809 176</w:t>
            </w:r>
          </w:p>
        </w:tc>
        <w:tc>
          <w:tcPr>
            <w:tcW w:w="1260" w:type="dxa"/>
            <w:tcBorders>
              <w:top w:val="none" w:sz="0" w:space="0" w:color="auto"/>
              <w:bottom w:val="none" w:sz="0" w:space="0" w:color="auto"/>
            </w:tcBorders>
            <w:noWrap/>
            <w:hideMark/>
          </w:tcPr>
          <w:p w14:paraId="1922E01F" w14:textId="55FB0698" w:rsidR="004E3586" w:rsidRPr="009963CE" w:rsidRDefault="004E3586" w:rsidP="004E3586">
            <w:pPr>
              <w:spacing w:after="0" w:line="240" w:lineRule="auto"/>
              <w:ind w:hanging="18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2 930 242</w:t>
            </w:r>
          </w:p>
        </w:tc>
        <w:tc>
          <w:tcPr>
            <w:tcW w:w="1440" w:type="dxa"/>
            <w:tcBorders>
              <w:top w:val="none" w:sz="0" w:space="0" w:color="auto"/>
              <w:bottom w:val="none" w:sz="0" w:space="0" w:color="auto"/>
              <w:right w:val="none" w:sz="0" w:space="0" w:color="auto"/>
            </w:tcBorders>
            <w:noWrap/>
            <w:hideMark/>
          </w:tcPr>
          <w:p w14:paraId="69FCD2CF" w14:textId="1A38E69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14 413 173</w:t>
            </w:r>
          </w:p>
        </w:tc>
      </w:tr>
    </w:tbl>
    <w:p w14:paraId="0F601439" w14:textId="77777777" w:rsidR="00080D04" w:rsidRPr="00231CC7" w:rsidRDefault="00080D04" w:rsidP="00080D0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231CC7">
        <w:rPr>
          <w:rFonts w:ascii="Times New Roman" w:eastAsia="Times New Roman" w:hAnsi="Times New Roman" w:cs="Times New Roman"/>
          <w:i/>
          <w:sz w:val="18"/>
          <w:szCs w:val="18"/>
          <w:lang w:eastAsia="ar-SA"/>
        </w:rPr>
        <w:t>Източник:  собствени изчисления</w:t>
      </w:r>
    </w:p>
    <w:p w14:paraId="5A030024" w14:textId="77777777" w:rsidR="00C35358" w:rsidRDefault="00C35358" w:rsidP="00080D04">
      <w:pPr>
        <w:suppressAutoHyphens/>
        <w:spacing w:before="60" w:after="60"/>
        <w:jc w:val="both"/>
        <w:rPr>
          <w:rFonts w:cs="Arial"/>
        </w:rPr>
      </w:pPr>
    </w:p>
    <w:p w14:paraId="06BFF06A" w14:textId="31C1382C" w:rsidR="00080D04" w:rsidRDefault="00080D04" w:rsidP="00080D04">
      <w:pPr>
        <w:suppressAutoHyphens/>
        <w:spacing w:before="60" w:after="60"/>
        <w:jc w:val="both"/>
        <w:rPr>
          <w:rFonts w:cs="Arial"/>
        </w:rPr>
      </w:pPr>
      <w:r>
        <w:rPr>
          <w:rFonts w:cs="Arial"/>
        </w:rPr>
        <w:t>Сумите в 202</w:t>
      </w:r>
      <w:r w:rsidR="002B6F65" w:rsidRPr="009963CE">
        <w:rPr>
          <w:rFonts w:cs="Arial"/>
        </w:rPr>
        <w:t>4</w:t>
      </w:r>
      <w:r>
        <w:rPr>
          <w:rFonts w:cs="Arial"/>
        </w:rPr>
        <w:t xml:space="preserve"> г. </w:t>
      </w:r>
      <w:r w:rsidR="002B6F65">
        <w:rPr>
          <w:rFonts w:cs="Arial"/>
        </w:rPr>
        <w:t>са с</w:t>
      </w:r>
      <w:r w:rsidR="00C35358">
        <w:rPr>
          <w:rFonts w:cs="Arial"/>
        </w:rPr>
        <w:t>тойностите по ОПТТИ 2014-2020 г.</w:t>
      </w:r>
      <w:r w:rsidR="002B6F65">
        <w:rPr>
          <w:rFonts w:cs="Arial"/>
        </w:rPr>
        <w:t xml:space="preserve">, </w:t>
      </w:r>
      <w:r>
        <w:rPr>
          <w:rFonts w:cs="Arial"/>
        </w:rPr>
        <w:t>заплатени за подготовка на настоящия проект.</w:t>
      </w:r>
    </w:p>
    <w:p w14:paraId="5C94C88C" w14:textId="77777777" w:rsidR="00C35358" w:rsidRDefault="00C35358" w:rsidP="00080D04">
      <w:pPr>
        <w:suppressAutoHyphens/>
        <w:spacing w:before="60" w:after="60"/>
        <w:jc w:val="both"/>
        <w:rPr>
          <w:rFonts w:eastAsia="Times New Roman" w:cs="Arial"/>
          <w:sz w:val="22"/>
          <w:lang w:eastAsia="ar-SA"/>
        </w:rPr>
      </w:pPr>
    </w:p>
    <w:p w14:paraId="4203B853" w14:textId="27091F13" w:rsidR="00080D04" w:rsidRPr="00A36BFC" w:rsidRDefault="00080D04" w:rsidP="00A36BFC">
      <w:pPr>
        <w:pStyle w:val="Heading2"/>
        <w:numPr>
          <w:ilvl w:val="1"/>
          <w:numId w:val="3"/>
        </w:numPr>
        <w:ind w:left="1080" w:hanging="540"/>
        <w:rPr>
          <w:szCs w:val="24"/>
          <w:lang w:val="bg-BG"/>
        </w:rPr>
      </w:pPr>
      <w:bookmarkStart w:id="323" w:name="_Toc143694198"/>
      <w:r w:rsidRPr="00A36BFC">
        <w:rPr>
          <w:szCs w:val="24"/>
          <w:lang w:val="bg-BG"/>
        </w:rPr>
        <w:lastRenderedPageBreak/>
        <w:t xml:space="preserve">Финансова </w:t>
      </w:r>
      <w:r w:rsidR="00991080">
        <w:rPr>
          <w:szCs w:val="24"/>
          <w:lang w:val="bg-BG"/>
        </w:rPr>
        <w:t>устойчивост</w:t>
      </w:r>
      <w:r w:rsidRPr="00A36BFC">
        <w:rPr>
          <w:szCs w:val="24"/>
          <w:lang w:val="bg-BG"/>
        </w:rPr>
        <w:t xml:space="preserve"> на проекта</w:t>
      </w:r>
      <w:bookmarkEnd w:id="323"/>
    </w:p>
    <w:p w14:paraId="23C3230B" w14:textId="44EE275F" w:rsidR="00080D04" w:rsidRPr="004D31C4" w:rsidRDefault="00080D04" w:rsidP="00080D04">
      <w:pPr>
        <w:autoSpaceDE w:val="0"/>
        <w:autoSpaceDN w:val="0"/>
        <w:adjustRightInd w:val="0"/>
        <w:spacing w:before="240"/>
        <w:jc w:val="both"/>
        <w:rPr>
          <w:rFonts w:cs="Arial"/>
        </w:rPr>
      </w:pPr>
      <w:r w:rsidRPr="004D31C4">
        <w:rPr>
          <w:rFonts w:cs="Arial"/>
        </w:rPr>
        <w:t xml:space="preserve">Целта при определяне на финансовата </w:t>
      </w:r>
      <w:r w:rsidR="00991080">
        <w:rPr>
          <w:rFonts w:cs="Arial"/>
        </w:rPr>
        <w:t>устойчивост</w:t>
      </w:r>
      <w:r w:rsidRPr="004D31C4">
        <w:rPr>
          <w:rFonts w:cs="Arial"/>
        </w:rPr>
        <w:t xml:space="preserve"> е да се докаже, че дългосрочно е възможно да бъдат покривани всички разходи по проекта от идентифицирани източ</w:t>
      </w:r>
      <w:r>
        <w:rPr>
          <w:rFonts w:cs="Arial"/>
        </w:rPr>
        <w:t>ници. В случая те са определени</w:t>
      </w:r>
      <w:r w:rsidRPr="004D31C4">
        <w:rPr>
          <w:rFonts w:cs="Arial"/>
        </w:rPr>
        <w:t>, както следва:</w:t>
      </w:r>
    </w:p>
    <w:p w14:paraId="10241D23" w14:textId="77777777" w:rsidR="00080D04" w:rsidRPr="004D31C4" w:rsidRDefault="00080D04" w:rsidP="00AA673B">
      <w:pPr>
        <w:pStyle w:val="ListParagraph"/>
        <w:numPr>
          <w:ilvl w:val="0"/>
          <w:numId w:val="27"/>
        </w:numPr>
        <w:autoSpaceDE w:val="0"/>
        <w:autoSpaceDN w:val="0"/>
        <w:adjustRightInd w:val="0"/>
        <w:spacing w:before="240" w:after="160"/>
        <w:jc w:val="both"/>
        <w:rPr>
          <w:rFonts w:ascii="Arial" w:hAnsi="Arial" w:cs="Arial"/>
        </w:rPr>
      </w:pPr>
      <w:r w:rsidRPr="004D31C4">
        <w:rPr>
          <w:rFonts w:ascii="Arial" w:hAnsi="Arial" w:cs="Arial"/>
        </w:rPr>
        <w:t>Инвестиционните разходи се покриват от източниците за финансиране, съгласно Финансовия план на проекта;</w:t>
      </w:r>
    </w:p>
    <w:p w14:paraId="547E8DC6" w14:textId="77777777" w:rsidR="00080D04" w:rsidRPr="004D31C4" w:rsidRDefault="00BC6311" w:rsidP="00AA673B">
      <w:pPr>
        <w:pStyle w:val="ListParagraph"/>
        <w:numPr>
          <w:ilvl w:val="0"/>
          <w:numId w:val="27"/>
        </w:numPr>
        <w:autoSpaceDE w:val="0"/>
        <w:autoSpaceDN w:val="0"/>
        <w:adjustRightInd w:val="0"/>
        <w:spacing w:before="240" w:after="160"/>
        <w:jc w:val="both"/>
        <w:rPr>
          <w:rFonts w:ascii="Arial" w:hAnsi="Arial" w:cs="Arial"/>
        </w:rPr>
      </w:pPr>
      <w:r>
        <w:rPr>
          <w:rFonts w:ascii="Arial" w:hAnsi="Arial" w:cs="Arial"/>
        </w:rPr>
        <w:t xml:space="preserve">Недостигът за покриване на </w:t>
      </w:r>
      <w:r w:rsidR="00080D04" w:rsidRPr="004D31C4">
        <w:rPr>
          <w:rFonts w:ascii="Arial" w:hAnsi="Arial" w:cs="Arial"/>
        </w:rPr>
        <w:t xml:space="preserve">Разходите за експлоатация и поддръжка се покриват от държавна субсидия  </w:t>
      </w:r>
    </w:p>
    <w:p w14:paraId="01983C37" w14:textId="496C66C0" w:rsidR="00960BE5" w:rsidRPr="002E1E19" w:rsidRDefault="00080D04" w:rsidP="00BC24A8">
      <w:pPr>
        <w:suppressAutoHyphens/>
        <w:spacing w:before="60" w:after="60"/>
        <w:ind w:firstLine="540"/>
        <w:jc w:val="both"/>
        <w:rPr>
          <w:rFonts w:eastAsia="Times New Roman" w:cs="Arial"/>
          <w:sz w:val="22"/>
          <w:lang w:eastAsia="ar-SA"/>
        </w:rPr>
      </w:pPr>
      <w:r w:rsidRPr="004D31C4">
        <w:rPr>
          <w:rFonts w:cs="Arial"/>
        </w:rPr>
        <w:t>Кумулираните парични потоци за всяка една година от прогнозата на проекта трябва да са положителни, за да имаме Финансов</w:t>
      </w:r>
      <w:r>
        <w:rPr>
          <w:rFonts w:cs="Arial"/>
        </w:rPr>
        <w:t>а стабилност на проекта или ДППИ</w:t>
      </w:r>
      <w:r w:rsidRPr="004D31C4">
        <w:rPr>
          <w:rFonts w:cs="Arial"/>
        </w:rPr>
        <w:t>, в качеството й на</w:t>
      </w:r>
      <w:r>
        <w:rPr>
          <w:rFonts w:cs="Arial"/>
        </w:rPr>
        <w:t xml:space="preserve"> Бенефицент по проекта</w:t>
      </w:r>
      <w:r w:rsidRPr="004D31C4">
        <w:rPr>
          <w:rFonts w:cs="Arial"/>
        </w:rPr>
        <w:t xml:space="preserve">. В конкретния случай те са нулеви, защото размерът на изплащаната субсидия е равен на недостига, определен между размера на приходите от </w:t>
      </w:r>
      <w:r>
        <w:rPr>
          <w:rFonts w:cs="Arial"/>
        </w:rPr>
        <w:t xml:space="preserve">пристанищни такси и други услуги </w:t>
      </w:r>
      <w:r w:rsidRPr="004D31C4">
        <w:rPr>
          <w:rFonts w:cs="Arial"/>
        </w:rPr>
        <w:t>и разходите за експлоатация и поддръжка.</w:t>
      </w:r>
    </w:p>
    <w:p w14:paraId="484ACE2A" w14:textId="77777777" w:rsidR="00960BE5" w:rsidRPr="002E1E19" w:rsidRDefault="00960BE5" w:rsidP="00BC24A8">
      <w:pPr>
        <w:suppressAutoHyphens/>
        <w:spacing w:before="60" w:after="60"/>
        <w:ind w:firstLine="540"/>
        <w:jc w:val="both"/>
        <w:rPr>
          <w:rFonts w:eastAsia="Times New Roman" w:cs="Arial"/>
          <w:sz w:val="22"/>
          <w:lang w:eastAsia="ar-SA"/>
        </w:rPr>
        <w:sectPr w:rsidR="00960BE5" w:rsidRPr="002E1E19" w:rsidSect="00A975C0">
          <w:pgSz w:w="11907" w:h="16840" w:code="9"/>
          <w:pgMar w:top="1276" w:right="1134" w:bottom="1134" w:left="1276" w:header="425" w:footer="510" w:gutter="0"/>
          <w:cols w:space="708"/>
          <w:docGrid w:linePitch="360"/>
        </w:sectPr>
      </w:pPr>
    </w:p>
    <w:p w14:paraId="78D40656" w14:textId="77777777" w:rsidR="00701E62" w:rsidRDefault="00701E62" w:rsidP="00080D04">
      <w:pPr>
        <w:tabs>
          <w:tab w:val="left" w:pos="1418"/>
        </w:tabs>
        <w:spacing w:before="60" w:after="60"/>
        <w:jc w:val="both"/>
        <w:rPr>
          <w:rFonts w:cs="Arial"/>
          <w:bCs/>
          <w:i/>
          <w:sz w:val="22"/>
        </w:rPr>
      </w:pPr>
    </w:p>
    <w:p w14:paraId="7903F7D1" w14:textId="77777777" w:rsidR="00080D04" w:rsidRDefault="00080D04" w:rsidP="00080D04">
      <w:pPr>
        <w:tabs>
          <w:tab w:val="left" w:pos="1418"/>
        </w:tabs>
        <w:spacing w:before="60" w:after="60"/>
        <w:jc w:val="both"/>
        <w:rPr>
          <w:rFonts w:eastAsia="Calibri" w:cs="Arial"/>
          <w:i/>
          <w:color w:val="000000"/>
          <w:sz w:val="22"/>
          <w:lang w:eastAsia="en-US"/>
        </w:rPr>
      </w:pPr>
      <w:bookmarkStart w:id="324" w:name="_Toc17409906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567824">
        <w:rPr>
          <w:rFonts w:cs="Arial"/>
          <w:bCs/>
          <w:i/>
          <w:noProof/>
          <w:sz w:val="22"/>
        </w:rPr>
        <w:t>24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080D04">
        <w:rPr>
          <w:rFonts w:eastAsia="Calibri" w:cs="Arial"/>
          <w:i/>
          <w:color w:val="000000"/>
          <w:sz w:val="22"/>
          <w:lang w:eastAsia="en-US"/>
        </w:rPr>
        <w:t>Финансова устойчивост на проекта</w:t>
      </w:r>
      <w:bookmarkEnd w:id="324"/>
    </w:p>
    <w:p w14:paraId="28470064" w14:textId="3253F2F7" w:rsidR="00C913C7" w:rsidRDefault="004E3586" w:rsidP="00313DD8">
      <w:pPr>
        <w:tabs>
          <w:tab w:val="left" w:pos="1418"/>
        </w:tabs>
        <w:suppressAutoHyphens/>
        <w:spacing w:before="120" w:after="120" w:line="240" w:lineRule="auto"/>
        <w:rPr>
          <w:rFonts w:cs="Arial"/>
          <w:bCs/>
          <w:i/>
          <w:sz w:val="22"/>
        </w:rPr>
      </w:pPr>
      <w:r w:rsidRPr="004E3586">
        <w:rPr>
          <w:noProof/>
          <w:lang w:val="en-US" w:eastAsia="en-US"/>
        </w:rPr>
        <w:drawing>
          <wp:inline distT="0" distB="0" distL="0" distR="0" wp14:anchorId="093C8C5C" wp14:editId="5FD43A91">
            <wp:extent cx="9323070" cy="1420586"/>
            <wp:effectExtent l="0" t="0" r="0" b="8255"/>
            <wp:docPr id="974007717" name="Картина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9400411" cy="1432371"/>
                    </a:xfrm>
                    <a:prstGeom prst="rect">
                      <a:avLst/>
                    </a:prstGeom>
                    <a:noFill/>
                    <a:ln>
                      <a:noFill/>
                    </a:ln>
                  </pic:spPr>
                </pic:pic>
              </a:graphicData>
            </a:graphic>
          </wp:inline>
        </w:drawing>
      </w:r>
    </w:p>
    <w:p w14:paraId="46E6D2B8" w14:textId="77777777" w:rsidR="00BC327C" w:rsidRPr="00567824" w:rsidRDefault="00BC327C" w:rsidP="00313DD8">
      <w:pPr>
        <w:tabs>
          <w:tab w:val="left" w:pos="1134"/>
        </w:tabs>
        <w:suppressAutoHyphens/>
        <w:spacing w:after="120" w:line="240" w:lineRule="auto"/>
        <w:jc w:val="both"/>
        <w:rPr>
          <w:rFonts w:ascii="Times New Roman" w:eastAsia="Times New Roman" w:hAnsi="Times New Roman" w:cs="Times New Roman"/>
          <w:i/>
          <w:sz w:val="18"/>
          <w:szCs w:val="18"/>
          <w:lang w:eastAsia="ar-SA"/>
        </w:rPr>
      </w:pPr>
      <w:r w:rsidRPr="00567824">
        <w:rPr>
          <w:rFonts w:ascii="Times New Roman" w:eastAsia="Times New Roman" w:hAnsi="Times New Roman" w:cs="Times New Roman"/>
          <w:i/>
          <w:sz w:val="18"/>
          <w:szCs w:val="18"/>
          <w:lang w:eastAsia="ar-SA"/>
        </w:rPr>
        <w:t>Източник:</w:t>
      </w:r>
      <w:r w:rsidRPr="00567824">
        <w:rPr>
          <w:rFonts w:ascii="Times New Roman" w:eastAsia="Times New Roman" w:hAnsi="Times New Roman" w:cs="Times New Roman"/>
          <w:i/>
          <w:sz w:val="18"/>
          <w:szCs w:val="18"/>
          <w:lang w:eastAsia="ar-SA"/>
        </w:rPr>
        <w:tab/>
      </w:r>
      <w:r w:rsidR="00701E62" w:rsidRPr="00567824">
        <w:rPr>
          <w:rFonts w:ascii="Times New Roman" w:hAnsi="Times New Roman" w:cs="Times New Roman"/>
          <w:bCs/>
          <w:i/>
          <w:sz w:val="18"/>
          <w:szCs w:val="18"/>
        </w:rPr>
        <w:t>модел Vademecum и собствени изчисления</w:t>
      </w:r>
    </w:p>
    <w:p w14:paraId="202EC73F" w14:textId="77777777" w:rsidR="00623896" w:rsidRDefault="00623896" w:rsidP="00BC5B3F">
      <w:pPr>
        <w:suppressAutoHyphens/>
        <w:spacing w:before="120" w:after="120" w:line="240" w:lineRule="auto"/>
        <w:rPr>
          <w:rFonts w:eastAsia="Times New Roman" w:cs="Arial"/>
          <w:i/>
          <w:szCs w:val="24"/>
          <w:lang w:eastAsia="ar-SA"/>
        </w:rPr>
      </w:pPr>
    </w:p>
    <w:p w14:paraId="3D9E6CAA" w14:textId="77777777" w:rsidR="00937690" w:rsidRPr="002E1E19" w:rsidRDefault="00937690" w:rsidP="00BC5B3F">
      <w:pPr>
        <w:suppressAutoHyphens/>
        <w:spacing w:before="120" w:after="120" w:line="240" w:lineRule="auto"/>
        <w:rPr>
          <w:rFonts w:eastAsia="Times New Roman" w:cs="Arial"/>
          <w:i/>
          <w:szCs w:val="24"/>
          <w:lang w:eastAsia="ar-SA"/>
        </w:rPr>
        <w:sectPr w:rsidR="00937690" w:rsidRPr="002E1E19" w:rsidSect="00A975C0">
          <w:pgSz w:w="16840" w:h="11907" w:orient="landscape" w:code="9"/>
          <w:pgMar w:top="1412" w:right="1412" w:bottom="1412" w:left="1412" w:header="709" w:footer="709" w:gutter="0"/>
          <w:cols w:space="708"/>
          <w:docGrid w:linePitch="360"/>
        </w:sectPr>
      </w:pPr>
    </w:p>
    <w:p w14:paraId="01BB991E" w14:textId="77777777" w:rsidR="00911412" w:rsidRPr="009963CE" w:rsidRDefault="00911412" w:rsidP="00582614">
      <w:pPr>
        <w:pStyle w:val="Heading2"/>
        <w:spacing w:before="120"/>
        <w:ind w:left="1080"/>
        <w:rPr>
          <w:szCs w:val="24"/>
          <w:highlight w:val="magenta"/>
          <w:lang w:val="bg-BG"/>
        </w:rPr>
      </w:pPr>
    </w:p>
    <w:p w14:paraId="14EDC1D5" w14:textId="77777777" w:rsidR="00F42E46" w:rsidRPr="00226A2C" w:rsidRDefault="00F42E46" w:rsidP="00A36BFC">
      <w:pPr>
        <w:pStyle w:val="Heading1"/>
        <w:numPr>
          <w:ilvl w:val="0"/>
          <w:numId w:val="3"/>
        </w:numPr>
        <w:ind w:left="360" w:hanging="360"/>
        <w:jc w:val="both"/>
        <w:rPr>
          <w:lang w:val="bg-BG"/>
        </w:rPr>
      </w:pPr>
      <w:bookmarkStart w:id="325" w:name="_Toc434229772"/>
      <w:bookmarkStart w:id="326" w:name="_Toc143694199"/>
      <w:r w:rsidRPr="00226A2C">
        <w:rPr>
          <w:lang w:val="bg-BG"/>
        </w:rPr>
        <w:t>икономически анализ</w:t>
      </w:r>
      <w:bookmarkEnd w:id="325"/>
      <w:bookmarkEnd w:id="326"/>
    </w:p>
    <w:p w14:paraId="0031C920" w14:textId="77777777" w:rsidR="00F42E46" w:rsidRPr="00A36BFC" w:rsidRDefault="00582614" w:rsidP="00A36BFC">
      <w:pPr>
        <w:pStyle w:val="Heading2"/>
        <w:numPr>
          <w:ilvl w:val="1"/>
          <w:numId w:val="3"/>
        </w:numPr>
        <w:ind w:left="1080" w:hanging="540"/>
        <w:rPr>
          <w:szCs w:val="24"/>
          <w:lang w:val="bg-BG"/>
        </w:rPr>
      </w:pPr>
      <w:bookmarkStart w:id="327" w:name="_Toc143694200"/>
      <w:r w:rsidRPr="00A36BFC">
        <w:rPr>
          <w:szCs w:val="24"/>
          <w:lang w:val="bg-BG"/>
        </w:rPr>
        <w:t>Методология за определяне на икономическите индикатори</w:t>
      </w:r>
      <w:bookmarkEnd w:id="327"/>
    </w:p>
    <w:p w14:paraId="10FD7259" w14:textId="77777777" w:rsidR="00582614" w:rsidRDefault="00582614" w:rsidP="00CD0DCD">
      <w:pPr>
        <w:autoSpaceDE w:val="0"/>
        <w:autoSpaceDN w:val="0"/>
        <w:adjustRightInd w:val="0"/>
        <w:spacing w:before="120" w:after="120" w:line="240" w:lineRule="auto"/>
        <w:jc w:val="both"/>
        <w:rPr>
          <w:rFonts w:cs="Arial"/>
        </w:rPr>
      </w:pPr>
      <w:r>
        <w:rPr>
          <w:rFonts w:cs="Arial"/>
        </w:rPr>
        <w:t xml:space="preserve">В съответствие с указанията на </w:t>
      </w:r>
      <w:r w:rsidRPr="00677557">
        <w:rPr>
          <w:rFonts w:cs="Arial"/>
          <w:i/>
        </w:rPr>
        <w:t xml:space="preserve">Vademecum </w:t>
      </w:r>
      <w:r>
        <w:rPr>
          <w:rFonts w:cs="Arial"/>
        </w:rPr>
        <w:t xml:space="preserve">за периода 2021-2027 г. за проекти със стойност над 10 млн. евро, в сектор Воден транспорт, се изисква пълен АРП, което значи задължителен количествен Икономически анализ. </w:t>
      </w:r>
    </w:p>
    <w:p w14:paraId="661869C4" w14:textId="77777777" w:rsidR="00582614" w:rsidRDefault="00582614" w:rsidP="00CD0DCD">
      <w:pPr>
        <w:autoSpaceDE w:val="0"/>
        <w:autoSpaceDN w:val="0"/>
        <w:adjustRightInd w:val="0"/>
        <w:spacing w:before="120" w:line="240" w:lineRule="auto"/>
        <w:jc w:val="both"/>
        <w:rPr>
          <w:rFonts w:cs="Arial"/>
        </w:rPr>
      </w:pPr>
      <w:r>
        <w:rPr>
          <w:rFonts w:cs="Arial"/>
        </w:rPr>
        <w:t xml:space="preserve">За целта указанията препращат към </w:t>
      </w:r>
      <w:r w:rsidRPr="00677557">
        <w:rPr>
          <w:rFonts w:cs="Arial"/>
          <w:i/>
        </w:rPr>
        <w:t>Guide to Cost-Benefit Analysis (CBA) of Investment projects</w:t>
      </w:r>
      <w:r>
        <w:rPr>
          <w:rFonts w:cs="Arial"/>
          <w:i/>
        </w:rPr>
        <w:t xml:space="preserve">, 2014 г. </w:t>
      </w:r>
      <w:r w:rsidRPr="00677557">
        <w:rPr>
          <w:rFonts w:cs="Arial"/>
        </w:rPr>
        <w:t>П</w:t>
      </w:r>
      <w:r>
        <w:rPr>
          <w:rFonts w:cs="Arial"/>
        </w:rPr>
        <w:t>ри спазването на неговата методология първата стъпка е определянето на необходимите фискални корекции и цените в „сянка“. Чрез тези корекции се елиминира въздействието на трансферни плащания, данъци и такси, които остават вътре в страната и представляват прехвърляне на ресурси от една сфера в друга, без да допринасят за добавената стойност на инвестицията.</w:t>
      </w:r>
    </w:p>
    <w:p w14:paraId="519E7D91" w14:textId="77777777" w:rsidR="00582614" w:rsidRDefault="00BF782B" w:rsidP="00934B1C">
      <w:pPr>
        <w:autoSpaceDE w:val="0"/>
        <w:autoSpaceDN w:val="0"/>
        <w:adjustRightInd w:val="0"/>
        <w:spacing w:before="240" w:line="240" w:lineRule="auto"/>
        <w:jc w:val="both"/>
        <w:rPr>
          <w:rFonts w:cs="Arial"/>
        </w:rPr>
      </w:pPr>
      <w:r>
        <w:rPr>
          <w:rFonts w:cs="Arial"/>
        </w:rPr>
        <w:t>В такъв случай</w:t>
      </w:r>
      <w:r w:rsidR="00582614">
        <w:rPr>
          <w:rFonts w:cs="Arial"/>
        </w:rPr>
        <w:t xml:space="preserve"> се използват конверсионни фактори и те са показани в следващата таблица за стойността на инвестиционните разходи:</w:t>
      </w:r>
    </w:p>
    <w:p w14:paraId="48440F46" w14:textId="77777777" w:rsidR="00582614" w:rsidRDefault="00582614" w:rsidP="00582614">
      <w:pPr>
        <w:tabs>
          <w:tab w:val="left" w:pos="1418"/>
        </w:tabs>
        <w:spacing w:before="60" w:after="60"/>
        <w:jc w:val="both"/>
        <w:rPr>
          <w:rFonts w:eastAsia="Calibri" w:cs="Arial"/>
          <w:i/>
          <w:color w:val="000000"/>
          <w:sz w:val="22"/>
          <w:lang w:eastAsia="en-US"/>
        </w:rPr>
      </w:pPr>
      <w:bookmarkStart w:id="328" w:name="_Toc17409907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инвестициите</w:t>
      </w:r>
      <w:bookmarkEnd w:id="328"/>
    </w:p>
    <w:tbl>
      <w:tblPr>
        <w:tblStyle w:val="LightList-Accent111"/>
        <w:tblW w:w="5820" w:type="dxa"/>
        <w:tblLook w:val="04A0" w:firstRow="1" w:lastRow="0" w:firstColumn="1" w:lastColumn="0" w:noHBand="0" w:noVBand="1"/>
      </w:tblPr>
      <w:tblGrid>
        <w:gridCol w:w="4440"/>
        <w:gridCol w:w="1790"/>
      </w:tblGrid>
      <w:tr w:rsidR="009F3AE9" w:rsidRPr="009F3AE9" w14:paraId="0F028F63" w14:textId="77777777" w:rsidTr="00CD0DCD">
        <w:trPr>
          <w:cnfStyle w:val="100000000000" w:firstRow="1" w:lastRow="0" w:firstColumn="0" w:lastColumn="0" w:oddVBand="0" w:evenVBand="0" w:oddHBand="0"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noWrap/>
            <w:vAlign w:val="center"/>
            <w:hideMark/>
          </w:tcPr>
          <w:p w14:paraId="760AC3F9" w14:textId="77777777" w:rsidR="00582614" w:rsidRPr="00CD0DCD" w:rsidRDefault="00582614" w:rsidP="008B058A">
            <w:pPr>
              <w:jc w:val="center"/>
              <w:rPr>
                <w:rFonts w:cs="Arial"/>
                <w:b w:val="0"/>
                <w:bCs w:val="0"/>
                <w:color w:val="FFFFFF" w:themeColor="background1"/>
                <w:sz w:val="22"/>
              </w:rPr>
            </w:pPr>
            <w:r w:rsidRPr="00CD0DCD">
              <w:rPr>
                <w:rFonts w:cs="Arial"/>
                <w:color w:val="FFFFFF" w:themeColor="background1"/>
                <w:sz w:val="22"/>
              </w:rPr>
              <w:t>Видове инвестиционни разходи</w:t>
            </w:r>
          </w:p>
        </w:tc>
        <w:tc>
          <w:tcPr>
            <w:tcW w:w="1380" w:type="dxa"/>
            <w:noWrap/>
            <w:hideMark/>
          </w:tcPr>
          <w:p w14:paraId="160D159B" w14:textId="6F0E73CD" w:rsidR="00582614" w:rsidRPr="00CD0DCD" w:rsidRDefault="00F068C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Конверсионен фактор</w:t>
            </w:r>
          </w:p>
        </w:tc>
      </w:tr>
      <w:tr w:rsidR="00582614" w:rsidRPr="009F3AE9" w14:paraId="56D48F39"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704385A7" w14:textId="77777777" w:rsidR="00582614" w:rsidRPr="00CD0DCD" w:rsidRDefault="00582614" w:rsidP="00E416EB">
            <w:pPr>
              <w:spacing w:after="0" w:line="240" w:lineRule="auto"/>
              <w:rPr>
                <w:rFonts w:cs="Arial"/>
                <w:color w:val="000000"/>
                <w:sz w:val="22"/>
              </w:rPr>
            </w:pPr>
            <w:r w:rsidRPr="00CD0DCD">
              <w:rPr>
                <w:rFonts w:cs="Arial"/>
                <w:color w:val="000000"/>
                <w:sz w:val="22"/>
              </w:rPr>
              <w:t>Планиране и проектиране</w:t>
            </w:r>
          </w:p>
        </w:tc>
        <w:tc>
          <w:tcPr>
            <w:tcW w:w="1380" w:type="dxa"/>
            <w:shd w:val="clear" w:color="000000" w:fill="DDEBF7"/>
            <w:noWrap/>
            <w:hideMark/>
          </w:tcPr>
          <w:p w14:paraId="696B5CD0"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6D759B4F"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33875A9F" w14:textId="77777777" w:rsidR="00582614" w:rsidRPr="00CD0DCD" w:rsidRDefault="00582614" w:rsidP="00E416EB">
            <w:pPr>
              <w:spacing w:after="0" w:line="240" w:lineRule="auto"/>
              <w:rPr>
                <w:rFonts w:cs="Arial"/>
                <w:color w:val="000000"/>
                <w:sz w:val="22"/>
              </w:rPr>
            </w:pPr>
            <w:r w:rsidRPr="00CD0DCD">
              <w:rPr>
                <w:rFonts w:cs="Arial"/>
                <w:color w:val="000000"/>
                <w:sz w:val="22"/>
              </w:rPr>
              <w:t>Отчуждения</w:t>
            </w:r>
          </w:p>
        </w:tc>
        <w:tc>
          <w:tcPr>
            <w:tcW w:w="1380" w:type="dxa"/>
            <w:shd w:val="clear" w:color="000000" w:fill="DDEBF7"/>
            <w:noWrap/>
            <w:hideMark/>
          </w:tcPr>
          <w:p w14:paraId="6AAC423A"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1B7E68A7"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3D429A6" w14:textId="77777777" w:rsidR="00582614" w:rsidRPr="00CD0DCD" w:rsidRDefault="00582614" w:rsidP="00E416EB">
            <w:pPr>
              <w:spacing w:after="0" w:line="240" w:lineRule="auto"/>
              <w:rPr>
                <w:rFonts w:cs="Arial"/>
                <w:color w:val="000000"/>
                <w:sz w:val="22"/>
              </w:rPr>
            </w:pPr>
            <w:r w:rsidRPr="00CD0DCD">
              <w:rPr>
                <w:rFonts w:cs="Arial"/>
                <w:color w:val="000000"/>
                <w:sz w:val="22"/>
              </w:rPr>
              <w:t>Строителство</w:t>
            </w:r>
          </w:p>
        </w:tc>
        <w:tc>
          <w:tcPr>
            <w:tcW w:w="1380" w:type="dxa"/>
            <w:shd w:val="clear" w:color="000000" w:fill="DDEBF7"/>
            <w:noWrap/>
            <w:hideMark/>
          </w:tcPr>
          <w:p w14:paraId="0D4E9A34"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0,950</w:t>
            </w:r>
          </w:p>
        </w:tc>
      </w:tr>
      <w:tr w:rsidR="00582614" w:rsidRPr="009F3AE9" w14:paraId="5934988D"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B818524" w14:textId="77777777" w:rsidR="00582614" w:rsidRPr="00CD0DCD" w:rsidRDefault="00582614" w:rsidP="00E416EB">
            <w:pPr>
              <w:spacing w:after="0" w:line="240" w:lineRule="auto"/>
              <w:rPr>
                <w:rFonts w:cs="Arial"/>
                <w:color w:val="000000"/>
                <w:sz w:val="22"/>
              </w:rPr>
            </w:pPr>
            <w:r w:rsidRPr="00CD0DCD">
              <w:rPr>
                <w:rFonts w:cs="Arial"/>
                <w:color w:val="000000"/>
                <w:sz w:val="22"/>
              </w:rPr>
              <w:t>Машини и оборудване</w:t>
            </w:r>
          </w:p>
        </w:tc>
        <w:tc>
          <w:tcPr>
            <w:tcW w:w="1380" w:type="dxa"/>
            <w:shd w:val="clear" w:color="000000" w:fill="DDEBF7"/>
            <w:noWrap/>
            <w:hideMark/>
          </w:tcPr>
          <w:p w14:paraId="12DD91F1"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59F51184"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51CD366F" w14:textId="77777777" w:rsidR="00582614" w:rsidRPr="00CD0DCD" w:rsidRDefault="00582614" w:rsidP="00E416EB">
            <w:pPr>
              <w:spacing w:after="0" w:line="240" w:lineRule="auto"/>
              <w:rPr>
                <w:rFonts w:cs="Arial"/>
                <w:color w:val="000000"/>
                <w:sz w:val="22"/>
              </w:rPr>
            </w:pPr>
            <w:r w:rsidRPr="00CD0DCD">
              <w:rPr>
                <w:rFonts w:cs="Arial"/>
                <w:color w:val="000000"/>
                <w:sz w:val="22"/>
              </w:rPr>
              <w:t>Публичност</w:t>
            </w:r>
          </w:p>
        </w:tc>
        <w:tc>
          <w:tcPr>
            <w:tcW w:w="1380" w:type="dxa"/>
            <w:shd w:val="clear" w:color="000000" w:fill="DDEBF7"/>
            <w:noWrap/>
            <w:hideMark/>
          </w:tcPr>
          <w:p w14:paraId="48AE18AA"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48ADBD9B"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29ADD40A" w14:textId="77777777" w:rsidR="00582614" w:rsidRPr="00CD0DCD" w:rsidRDefault="00582614" w:rsidP="00E416EB">
            <w:pPr>
              <w:spacing w:after="0" w:line="240" w:lineRule="auto"/>
              <w:rPr>
                <w:rFonts w:cs="Arial"/>
                <w:color w:val="000000"/>
                <w:sz w:val="22"/>
              </w:rPr>
            </w:pPr>
            <w:r w:rsidRPr="00CD0DCD">
              <w:rPr>
                <w:rFonts w:cs="Arial"/>
                <w:color w:val="000000"/>
                <w:sz w:val="22"/>
              </w:rPr>
              <w:t>Надзор</w:t>
            </w:r>
          </w:p>
        </w:tc>
        <w:tc>
          <w:tcPr>
            <w:tcW w:w="1380" w:type="dxa"/>
            <w:shd w:val="clear" w:color="000000" w:fill="DDEBF7"/>
            <w:noWrap/>
            <w:hideMark/>
          </w:tcPr>
          <w:p w14:paraId="0CAC4A5E"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7C11C663"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4440" w:type="dxa"/>
            <w:shd w:val="clear" w:color="000000" w:fill="FFFFFF"/>
            <w:noWrap/>
            <w:hideMark/>
          </w:tcPr>
          <w:p w14:paraId="4C4FCBC2" w14:textId="77777777" w:rsidR="00582614" w:rsidRPr="00CD0DCD" w:rsidRDefault="00582614" w:rsidP="00E416EB">
            <w:pPr>
              <w:spacing w:after="0" w:line="240" w:lineRule="auto"/>
              <w:rPr>
                <w:rFonts w:cs="Arial"/>
                <w:color w:val="000000"/>
                <w:sz w:val="22"/>
              </w:rPr>
            </w:pPr>
            <w:r w:rsidRPr="00CD0DCD">
              <w:rPr>
                <w:rFonts w:cs="Arial"/>
                <w:color w:val="000000"/>
                <w:sz w:val="22"/>
              </w:rPr>
              <w:t>Техническа помощ</w:t>
            </w:r>
          </w:p>
        </w:tc>
        <w:tc>
          <w:tcPr>
            <w:tcW w:w="1380" w:type="dxa"/>
            <w:shd w:val="clear" w:color="000000" w:fill="DDEBF7"/>
            <w:noWrap/>
            <w:hideMark/>
          </w:tcPr>
          <w:p w14:paraId="2C48B342"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bl>
    <w:p w14:paraId="50F4B4E2" w14:textId="77777777" w:rsidR="00582614" w:rsidRPr="00CD0DCD" w:rsidRDefault="00582614" w:rsidP="0058261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CD0DCD">
        <w:rPr>
          <w:rFonts w:ascii="Times New Roman" w:eastAsia="Times New Roman" w:hAnsi="Times New Roman" w:cs="Times New Roman"/>
          <w:i/>
          <w:sz w:val="18"/>
          <w:szCs w:val="18"/>
          <w:lang w:eastAsia="ar-SA"/>
        </w:rPr>
        <w:t xml:space="preserve">Източник: модел Vademecum </w:t>
      </w:r>
    </w:p>
    <w:p w14:paraId="56CC11C0" w14:textId="77777777" w:rsidR="00582614" w:rsidRDefault="00582614" w:rsidP="00934B1C">
      <w:pPr>
        <w:autoSpaceDE w:val="0"/>
        <w:autoSpaceDN w:val="0"/>
        <w:adjustRightInd w:val="0"/>
        <w:spacing w:before="240" w:line="240" w:lineRule="auto"/>
        <w:jc w:val="both"/>
        <w:rPr>
          <w:rFonts w:cs="Arial"/>
        </w:rPr>
      </w:pPr>
      <w:r>
        <w:rPr>
          <w:rFonts w:cs="Arial"/>
        </w:rPr>
        <w:t>За разходите за ЕиП са използвани следните конверсионни фактори:</w:t>
      </w:r>
    </w:p>
    <w:p w14:paraId="6DD1CFCF" w14:textId="77777777" w:rsidR="00582614" w:rsidRDefault="00582614" w:rsidP="00582614">
      <w:pPr>
        <w:tabs>
          <w:tab w:val="left" w:pos="1418"/>
        </w:tabs>
        <w:spacing w:before="60" w:after="60"/>
        <w:jc w:val="both"/>
        <w:rPr>
          <w:rFonts w:eastAsia="Calibri" w:cs="Arial"/>
          <w:i/>
          <w:color w:val="000000"/>
          <w:sz w:val="22"/>
          <w:lang w:eastAsia="en-US"/>
        </w:rPr>
      </w:pPr>
      <w:bookmarkStart w:id="329" w:name="_Toc17409907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582614">
        <w:rPr>
          <w:rFonts w:eastAsia="Calibri" w:cs="Arial"/>
          <w:i/>
          <w:color w:val="000000"/>
          <w:sz w:val="22"/>
          <w:lang w:eastAsia="en-US"/>
        </w:rPr>
        <w:t>Конверсионен фактор за разходите за ЕиП</w:t>
      </w:r>
      <w:bookmarkEnd w:id="329"/>
    </w:p>
    <w:tbl>
      <w:tblPr>
        <w:tblStyle w:val="LightList-Accent111"/>
        <w:tblW w:w="6910" w:type="dxa"/>
        <w:tblLook w:val="04A0" w:firstRow="1" w:lastRow="0" w:firstColumn="1" w:lastColumn="0" w:noHBand="0" w:noVBand="1"/>
      </w:tblPr>
      <w:tblGrid>
        <w:gridCol w:w="5120"/>
        <w:gridCol w:w="1790"/>
      </w:tblGrid>
      <w:tr w:rsidR="009F3AE9" w:rsidRPr="009F3AE9" w14:paraId="25658B24" w14:textId="77777777" w:rsidTr="00CD0DCD">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5120" w:type="dxa"/>
            <w:vAlign w:val="center"/>
            <w:hideMark/>
          </w:tcPr>
          <w:p w14:paraId="251E28F8" w14:textId="77777777" w:rsidR="00582614" w:rsidRPr="00CD0DCD" w:rsidRDefault="00582614" w:rsidP="008B058A">
            <w:pPr>
              <w:jc w:val="center"/>
              <w:rPr>
                <w:rFonts w:cs="Arial"/>
                <w:b w:val="0"/>
                <w:bCs w:val="0"/>
                <w:color w:val="FFFFFF" w:themeColor="background1"/>
                <w:sz w:val="22"/>
              </w:rPr>
            </w:pPr>
            <w:r w:rsidRPr="00CD0DCD">
              <w:rPr>
                <w:rFonts w:cs="Arial"/>
                <w:color w:val="FFFFFF" w:themeColor="background1"/>
                <w:sz w:val="22"/>
              </w:rPr>
              <w:t>Видове разходи за ЕиП</w:t>
            </w:r>
          </w:p>
        </w:tc>
        <w:tc>
          <w:tcPr>
            <w:tcW w:w="1790" w:type="dxa"/>
            <w:noWrap/>
            <w:vAlign w:val="center"/>
            <w:hideMark/>
          </w:tcPr>
          <w:p w14:paraId="111673CF" w14:textId="187D6A9F" w:rsidR="00582614" w:rsidRPr="00CD0DCD" w:rsidRDefault="00F068C4" w:rsidP="008B058A">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Конверсионен фактор</w:t>
            </w:r>
          </w:p>
        </w:tc>
      </w:tr>
      <w:tr w:rsidR="00582614" w:rsidRPr="009F3AE9" w14:paraId="2D1AD101"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4397ADBC"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материали, без електроенергия</w:t>
            </w:r>
          </w:p>
        </w:tc>
        <w:tc>
          <w:tcPr>
            <w:tcW w:w="1790" w:type="dxa"/>
            <w:shd w:val="clear" w:color="000000" w:fill="DDEBF7"/>
            <w:noWrap/>
            <w:vAlign w:val="center"/>
            <w:hideMark/>
          </w:tcPr>
          <w:p w14:paraId="2CF0CDF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0AC0E7DA"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78D0DD64"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труд</w:t>
            </w:r>
          </w:p>
        </w:tc>
        <w:tc>
          <w:tcPr>
            <w:tcW w:w="1790" w:type="dxa"/>
            <w:shd w:val="clear" w:color="000000" w:fill="DDEBF7"/>
            <w:noWrap/>
            <w:vAlign w:val="center"/>
            <w:hideMark/>
          </w:tcPr>
          <w:p w14:paraId="7FCA30D9"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0,900</w:t>
            </w:r>
          </w:p>
        </w:tc>
      </w:tr>
      <w:tr w:rsidR="00582614" w:rsidRPr="009F3AE9" w14:paraId="579B52FB"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258B42C8"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електроенергия</w:t>
            </w:r>
          </w:p>
        </w:tc>
        <w:tc>
          <w:tcPr>
            <w:tcW w:w="1790" w:type="dxa"/>
            <w:shd w:val="clear" w:color="000000" w:fill="DDEBF7"/>
            <w:noWrap/>
            <w:vAlign w:val="center"/>
            <w:hideMark/>
          </w:tcPr>
          <w:p w14:paraId="6A8DA90D"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0,900</w:t>
            </w:r>
          </w:p>
        </w:tc>
      </w:tr>
      <w:tr w:rsidR="00582614" w:rsidRPr="009F3AE9" w14:paraId="23916DEC"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7CCB394D"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поддръжка</w:t>
            </w:r>
          </w:p>
        </w:tc>
        <w:tc>
          <w:tcPr>
            <w:tcW w:w="1790" w:type="dxa"/>
            <w:shd w:val="clear" w:color="000000" w:fill="DDEBF7"/>
            <w:noWrap/>
            <w:vAlign w:val="center"/>
            <w:hideMark/>
          </w:tcPr>
          <w:p w14:paraId="1B62422D"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4382F466" w14:textId="77777777" w:rsidTr="00CD0DCD">
        <w:trPr>
          <w:cnfStyle w:val="000000100000" w:firstRow="0" w:lastRow="0" w:firstColumn="0" w:lastColumn="0" w:oddVBand="0" w:evenVBand="0" w:oddHBand="1" w:evenHBand="0" w:firstRowFirstColumn="0" w:firstRowLastColumn="0" w:lastRowFirstColumn="0" w:lastRowLastColumn="0"/>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auto" w:fill="auto"/>
            <w:noWrap/>
            <w:vAlign w:val="center"/>
            <w:hideMark/>
          </w:tcPr>
          <w:p w14:paraId="1D32CBB5" w14:textId="77777777" w:rsidR="00582614" w:rsidRPr="00CD0DCD" w:rsidRDefault="00582614" w:rsidP="00E416EB">
            <w:pPr>
              <w:spacing w:after="0" w:line="240" w:lineRule="auto"/>
              <w:rPr>
                <w:rFonts w:cs="Arial"/>
                <w:color w:val="000000"/>
                <w:sz w:val="22"/>
              </w:rPr>
            </w:pPr>
            <w:r w:rsidRPr="00CD0DCD">
              <w:rPr>
                <w:rFonts w:cs="Arial"/>
                <w:color w:val="000000"/>
                <w:sz w:val="22"/>
              </w:rPr>
              <w:t>Административни разходи</w:t>
            </w:r>
          </w:p>
        </w:tc>
        <w:tc>
          <w:tcPr>
            <w:tcW w:w="1790" w:type="dxa"/>
            <w:shd w:val="clear" w:color="000000" w:fill="DDEBF7"/>
            <w:noWrap/>
            <w:vAlign w:val="center"/>
            <w:hideMark/>
          </w:tcPr>
          <w:p w14:paraId="40BD917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1,000</w:t>
            </w:r>
          </w:p>
        </w:tc>
      </w:tr>
      <w:tr w:rsidR="00582614" w:rsidRPr="009F3AE9" w14:paraId="6B86042C" w14:textId="77777777" w:rsidTr="00CD0DCD">
        <w:trPr>
          <w:trHeight w:val="285"/>
        </w:trPr>
        <w:tc>
          <w:tcPr>
            <w:cnfStyle w:val="001000000000" w:firstRow="0" w:lastRow="0" w:firstColumn="1" w:lastColumn="0" w:oddVBand="0" w:evenVBand="0" w:oddHBand="0" w:evenHBand="0" w:firstRowFirstColumn="0" w:firstRowLastColumn="0" w:lastRowFirstColumn="0" w:lastRowLastColumn="0"/>
            <w:tcW w:w="5120" w:type="dxa"/>
            <w:shd w:val="clear" w:color="000000" w:fill="FFFFFF"/>
            <w:vAlign w:val="center"/>
            <w:hideMark/>
          </w:tcPr>
          <w:p w14:paraId="11E6C94B" w14:textId="77777777" w:rsidR="00582614" w:rsidRPr="00CD0DCD" w:rsidRDefault="00582614" w:rsidP="00E416EB">
            <w:pPr>
              <w:spacing w:after="0" w:line="240" w:lineRule="auto"/>
              <w:rPr>
                <w:rFonts w:cs="Arial"/>
                <w:color w:val="000000"/>
                <w:sz w:val="22"/>
              </w:rPr>
            </w:pPr>
            <w:r w:rsidRPr="00CD0DCD">
              <w:rPr>
                <w:rFonts w:cs="Arial"/>
                <w:color w:val="000000"/>
                <w:sz w:val="22"/>
              </w:rPr>
              <w:t>Разходи за външни услуги</w:t>
            </w:r>
          </w:p>
        </w:tc>
        <w:tc>
          <w:tcPr>
            <w:tcW w:w="1790" w:type="dxa"/>
            <w:shd w:val="clear" w:color="000000" w:fill="DDEBF7"/>
            <w:noWrap/>
            <w:vAlign w:val="center"/>
            <w:hideMark/>
          </w:tcPr>
          <w:p w14:paraId="5DC50CB9" w14:textId="77777777" w:rsidR="00582614" w:rsidRPr="00CD0DCD" w:rsidRDefault="00582614" w:rsidP="00E416EB">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2"/>
              </w:rPr>
            </w:pPr>
            <w:r w:rsidRPr="00CD0DCD">
              <w:rPr>
                <w:rFonts w:cs="Arial"/>
                <w:color w:val="000000"/>
                <w:sz w:val="22"/>
              </w:rPr>
              <w:t>1,000</w:t>
            </w:r>
          </w:p>
        </w:tc>
      </w:tr>
    </w:tbl>
    <w:p w14:paraId="0F5B0C91" w14:textId="77777777" w:rsidR="00582614" w:rsidRPr="00CD0DCD" w:rsidRDefault="00582614" w:rsidP="00582614">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CD0DCD">
        <w:rPr>
          <w:rFonts w:ascii="Times New Roman" w:eastAsia="Times New Roman" w:hAnsi="Times New Roman" w:cs="Times New Roman"/>
          <w:i/>
          <w:sz w:val="18"/>
          <w:szCs w:val="18"/>
          <w:lang w:eastAsia="ar-SA"/>
        </w:rPr>
        <w:t>Източник: модел Vademecum и собствени изчисления</w:t>
      </w:r>
    </w:p>
    <w:p w14:paraId="4B5EEC1A" w14:textId="77777777" w:rsidR="00CD0DCD" w:rsidRDefault="00CD0DCD" w:rsidP="00582614">
      <w:pPr>
        <w:autoSpaceDE w:val="0"/>
        <w:autoSpaceDN w:val="0"/>
        <w:adjustRightInd w:val="0"/>
        <w:spacing w:before="240"/>
        <w:jc w:val="both"/>
        <w:rPr>
          <w:rFonts w:cs="Arial"/>
        </w:rPr>
      </w:pPr>
    </w:p>
    <w:p w14:paraId="4B80A004" w14:textId="77777777" w:rsidR="00582614" w:rsidRDefault="00582614" w:rsidP="00582614">
      <w:pPr>
        <w:autoSpaceDE w:val="0"/>
        <w:autoSpaceDN w:val="0"/>
        <w:adjustRightInd w:val="0"/>
        <w:spacing w:before="240"/>
        <w:jc w:val="both"/>
        <w:rPr>
          <w:rFonts w:cs="Arial"/>
        </w:rPr>
      </w:pPr>
      <w:r>
        <w:rPr>
          <w:rFonts w:cs="Arial"/>
        </w:rPr>
        <w:t>След финансовата корекция на разходите се преминава към определяне на ползите/външните разходи, за да се приложи инкременталния подход при определяне на нетните парични потоци и определяне на икономическите индикатори: Икономическа нетна настояща стойност (ИННС), Икономическа вътрешна норма на възвращаемост(ИВНВ) и коефициент Ползи/Разходи (К П/Р).</w:t>
      </w:r>
    </w:p>
    <w:p w14:paraId="2087898E" w14:textId="77777777" w:rsidR="00582614" w:rsidRDefault="00582614" w:rsidP="00582614">
      <w:pPr>
        <w:suppressAutoHyphens/>
        <w:spacing w:before="60" w:after="60"/>
        <w:jc w:val="both"/>
        <w:rPr>
          <w:rFonts w:cs="Arial"/>
        </w:rPr>
      </w:pPr>
      <w:r>
        <w:rPr>
          <w:rFonts w:cs="Arial"/>
        </w:rPr>
        <w:t>Един проект се смята за Икономически ефективен, ако ИННС &gt; 0, ИВНВ е &gt; от използваната дисконтова норма, а К П/Р</w:t>
      </w:r>
      <w:r w:rsidR="00095012">
        <w:rPr>
          <w:rFonts w:cs="Arial"/>
        </w:rPr>
        <w:t xml:space="preserve"> </w:t>
      </w:r>
      <w:r>
        <w:rPr>
          <w:rFonts w:cs="Arial"/>
        </w:rPr>
        <w:t>&gt; 1.0.</w:t>
      </w:r>
    </w:p>
    <w:p w14:paraId="0AB4C6BC" w14:textId="77777777" w:rsidR="00582614" w:rsidRDefault="00582614" w:rsidP="00582614">
      <w:pPr>
        <w:suppressAutoHyphens/>
        <w:spacing w:before="60" w:after="60"/>
        <w:jc w:val="both"/>
        <w:rPr>
          <w:rFonts w:eastAsia="Times New Roman" w:cs="Arial"/>
          <w:sz w:val="22"/>
          <w:lang w:eastAsia="ar-SA"/>
        </w:rPr>
      </w:pPr>
    </w:p>
    <w:p w14:paraId="5438CBF9" w14:textId="77777777" w:rsidR="00582614" w:rsidRPr="008B058A" w:rsidRDefault="00582614" w:rsidP="008B058A">
      <w:pPr>
        <w:pStyle w:val="Heading2"/>
        <w:numPr>
          <w:ilvl w:val="1"/>
          <w:numId w:val="3"/>
        </w:numPr>
        <w:ind w:left="1080" w:hanging="540"/>
        <w:rPr>
          <w:szCs w:val="24"/>
          <w:lang w:val="bg-BG"/>
        </w:rPr>
      </w:pPr>
      <w:bookmarkStart w:id="330" w:name="_Toc143694201"/>
      <w:r w:rsidRPr="008B058A">
        <w:rPr>
          <w:szCs w:val="24"/>
          <w:lang w:val="bg-BG"/>
        </w:rPr>
        <w:t>Основни допускания за икономическия анализ</w:t>
      </w:r>
      <w:bookmarkEnd w:id="330"/>
    </w:p>
    <w:p w14:paraId="21F5F9B5" w14:textId="77777777" w:rsidR="00582614" w:rsidRDefault="00582614" w:rsidP="00582614">
      <w:pPr>
        <w:autoSpaceDE w:val="0"/>
        <w:autoSpaceDN w:val="0"/>
        <w:adjustRightInd w:val="0"/>
        <w:jc w:val="both"/>
        <w:rPr>
          <w:rFonts w:cs="Arial"/>
        </w:rPr>
      </w:pPr>
      <w:r>
        <w:rPr>
          <w:rFonts w:cs="Arial"/>
        </w:rPr>
        <w:t xml:space="preserve">Въпреки препоръчваната Социална дисконтова норма от 3% за страни членки от ЕС, в този анализ е използвана препоръчваната в предишния програмен период </w:t>
      </w:r>
      <w:r w:rsidRPr="00C521EE">
        <w:rPr>
          <w:rFonts w:cs="Arial"/>
          <w:b/>
        </w:rPr>
        <w:t>норма от 5%,</w:t>
      </w:r>
      <w:r>
        <w:rPr>
          <w:rFonts w:cs="Arial"/>
        </w:rPr>
        <w:t xml:space="preserve"> поради липса на Национално или секторно проучване за размера на Икономическата дисконтова норма.</w:t>
      </w:r>
    </w:p>
    <w:p w14:paraId="74795DF5" w14:textId="77777777" w:rsidR="00582614" w:rsidRDefault="00582614" w:rsidP="00582614">
      <w:pPr>
        <w:autoSpaceDE w:val="0"/>
        <w:autoSpaceDN w:val="0"/>
        <w:adjustRightInd w:val="0"/>
        <w:jc w:val="both"/>
        <w:rPr>
          <w:rFonts w:cs="Arial"/>
        </w:rPr>
      </w:pPr>
      <w:r>
        <w:rPr>
          <w:rFonts w:cs="Arial"/>
        </w:rPr>
        <w:t>Направено е допускането, както в прогнозите, че товарите, които ще се реализират в пристанище Лом, след изпълнението  на проекта ще дойдат от прехвърлен трафик на тежкотоварни автомобили.</w:t>
      </w:r>
    </w:p>
    <w:p w14:paraId="6F166B99" w14:textId="189C447C" w:rsidR="00582614" w:rsidRDefault="00582614" w:rsidP="00582614">
      <w:pPr>
        <w:suppressAutoHyphens/>
        <w:spacing w:before="60" w:after="60"/>
        <w:jc w:val="both"/>
        <w:rPr>
          <w:rFonts w:eastAsia="Times New Roman" w:cs="Arial"/>
          <w:sz w:val="22"/>
          <w:lang w:eastAsia="ar-SA"/>
        </w:rPr>
      </w:pPr>
      <w:r>
        <w:rPr>
          <w:rFonts w:cs="Arial"/>
        </w:rPr>
        <w:t>Идентифицирани са ползи от намаляване на вредните газови емисии</w:t>
      </w:r>
      <w:r w:rsidR="00DD5341">
        <w:rPr>
          <w:rFonts w:cs="Arial"/>
        </w:rPr>
        <w:t>, замърсяване на въздуха</w:t>
      </w:r>
      <w:r>
        <w:rPr>
          <w:rFonts w:cs="Arial"/>
        </w:rPr>
        <w:t xml:space="preserve"> и броя на инцидентите с тежкотоварни автомобили.</w:t>
      </w:r>
    </w:p>
    <w:p w14:paraId="4A2AC67D" w14:textId="77777777" w:rsidR="00582614" w:rsidRPr="002E1E19" w:rsidRDefault="00582614" w:rsidP="001F46B9">
      <w:pPr>
        <w:suppressAutoHyphens/>
        <w:spacing w:before="60" w:after="60"/>
        <w:ind w:firstLine="540"/>
        <w:jc w:val="both"/>
        <w:rPr>
          <w:rFonts w:eastAsia="Times New Roman" w:cs="Arial"/>
          <w:sz w:val="22"/>
          <w:lang w:eastAsia="ar-SA"/>
        </w:rPr>
      </w:pPr>
    </w:p>
    <w:p w14:paraId="660D97A1" w14:textId="77777777" w:rsidR="00F42E46" w:rsidRPr="008B058A" w:rsidRDefault="00582614" w:rsidP="008B058A">
      <w:pPr>
        <w:pStyle w:val="Heading2"/>
        <w:numPr>
          <w:ilvl w:val="1"/>
          <w:numId w:val="3"/>
        </w:numPr>
        <w:ind w:left="1080" w:hanging="540"/>
        <w:rPr>
          <w:szCs w:val="24"/>
          <w:lang w:val="bg-BG"/>
        </w:rPr>
      </w:pPr>
      <w:bookmarkStart w:id="331" w:name="_Toc143694202"/>
      <w:r w:rsidRPr="008B058A">
        <w:rPr>
          <w:szCs w:val="24"/>
          <w:lang w:val="bg-BG"/>
        </w:rPr>
        <w:t>Определяне на икономическите ползи от проекта</w:t>
      </w:r>
      <w:bookmarkEnd w:id="331"/>
    </w:p>
    <w:p w14:paraId="327EDCBF" w14:textId="77777777" w:rsidR="00582614" w:rsidRDefault="00582614" w:rsidP="00582614">
      <w:pPr>
        <w:autoSpaceDE w:val="0"/>
        <w:autoSpaceDN w:val="0"/>
        <w:adjustRightInd w:val="0"/>
        <w:jc w:val="both"/>
        <w:rPr>
          <w:rFonts w:cs="Arial"/>
        </w:rPr>
      </w:pPr>
      <w:r>
        <w:rPr>
          <w:rFonts w:cs="Arial"/>
        </w:rPr>
        <w:t xml:space="preserve">За определяне на икономическите ползи от проекта са използвани единични цени от модела на </w:t>
      </w:r>
      <w:r w:rsidRPr="00677557">
        <w:rPr>
          <w:rFonts w:cs="Arial"/>
          <w:i/>
        </w:rPr>
        <w:t>Vademecum</w:t>
      </w:r>
      <w:r>
        <w:rPr>
          <w:rFonts w:cs="Arial"/>
        </w:rPr>
        <w:t>, както и коефициентите за еластичност и прогнози за БВП, заложени в самия модел.</w:t>
      </w:r>
    </w:p>
    <w:p w14:paraId="47E75C62" w14:textId="77777777" w:rsidR="00EF7CC6" w:rsidRDefault="00EF7CC6" w:rsidP="00EF7CC6">
      <w:pPr>
        <w:tabs>
          <w:tab w:val="left" w:pos="1418"/>
        </w:tabs>
        <w:spacing w:before="60" w:after="60"/>
        <w:jc w:val="both"/>
        <w:rPr>
          <w:rFonts w:eastAsia="Calibri" w:cs="Arial"/>
          <w:i/>
          <w:color w:val="000000"/>
          <w:sz w:val="22"/>
          <w:lang w:eastAsia="en-US"/>
        </w:rPr>
      </w:pPr>
      <w:bookmarkStart w:id="332" w:name="_Toc17409907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Единични стойности на външните разходи</w:t>
      </w:r>
      <w:bookmarkEnd w:id="332"/>
    </w:p>
    <w:tbl>
      <w:tblPr>
        <w:tblStyle w:val="LightList-Accent111"/>
        <w:tblW w:w="9394" w:type="dxa"/>
        <w:tblLook w:val="04A0" w:firstRow="1" w:lastRow="0" w:firstColumn="1" w:lastColumn="0" w:noHBand="0" w:noVBand="1"/>
      </w:tblPr>
      <w:tblGrid>
        <w:gridCol w:w="2350"/>
        <w:gridCol w:w="2348"/>
        <w:gridCol w:w="2348"/>
        <w:gridCol w:w="2348"/>
      </w:tblGrid>
      <w:tr w:rsidR="00DD5341" w:rsidRPr="009F3AE9" w14:paraId="053A2C7C" w14:textId="77777777" w:rsidTr="00CD0DCD">
        <w:trPr>
          <w:cnfStyle w:val="100000000000" w:firstRow="1" w:lastRow="0" w:firstColumn="0" w:lastColumn="0" w:oddVBand="0" w:evenVBand="0" w:oddHBand="0" w:evenHBand="0" w:firstRowFirstColumn="0" w:firstRowLastColumn="0" w:lastRowFirstColumn="0" w:lastRowLastColumn="0"/>
          <w:trHeight w:val="312"/>
        </w:trPr>
        <w:tc>
          <w:tcPr>
            <w:cnfStyle w:val="001000000000" w:firstRow="0" w:lastRow="0" w:firstColumn="1" w:lastColumn="0" w:oddVBand="0" w:evenVBand="0" w:oddHBand="0" w:evenHBand="0" w:firstRowFirstColumn="0" w:firstRowLastColumn="0" w:lastRowFirstColumn="0" w:lastRowLastColumn="0"/>
            <w:tcW w:w="2350" w:type="dxa"/>
            <w:vAlign w:val="center"/>
          </w:tcPr>
          <w:p w14:paraId="11D00301" w14:textId="77777777" w:rsidR="00582614" w:rsidRPr="00CD0DCD" w:rsidRDefault="00582614" w:rsidP="00E416EB">
            <w:pPr>
              <w:jc w:val="center"/>
              <w:rPr>
                <w:rFonts w:cs="Arial"/>
                <w:b w:val="0"/>
                <w:bCs w:val="0"/>
                <w:color w:val="FFFFFF" w:themeColor="background1"/>
                <w:sz w:val="22"/>
              </w:rPr>
            </w:pPr>
            <w:r w:rsidRPr="00CD0DCD">
              <w:rPr>
                <w:rFonts w:cs="Arial"/>
                <w:color w:val="FFFFFF" w:themeColor="background1"/>
                <w:sz w:val="22"/>
              </w:rPr>
              <w:t>Външни разходи</w:t>
            </w:r>
          </w:p>
        </w:tc>
        <w:tc>
          <w:tcPr>
            <w:tcW w:w="2348" w:type="dxa"/>
            <w:vAlign w:val="center"/>
          </w:tcPr>
          <w:p w14:paraId="74100A50"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Инциденти</w:t>
            </w:r>
          </w:p>
        </w:tc>
        <w:tc>
          <w:tcPr>
            <w:tcW w:w="2348" w:type="dxa"/>
            <w:vAlign w:val="center"/>
          </w:tcPr>
          <w:p w14:paraId="26688DCF"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Замърсявания на въздуха</w:t>
            </w:r>
          </w:p>
        </w:tc>
        <w:tc>
          <w:tcPr>
            <w:tcW w:w="2348" w:type="dxa"/>
            <w:vAlign w:val="center"/>
          </w:tcPr>
          <w:p w14:paraId="141503A9"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CD0DCD">
              <w:rPr>
                <w:rFonts w:cs="Arial"/>
                <w:color w:val="FFFFFF" w:themeColor="background1"/>
                <w:sz w:val="22"/>
              </w:rPr>
              <w:t>Влияние върху климата</w:t>
            </w:r>
          </w:p>
        </w:tc>
      </w:tr>
      <w:tr w:rsidR="00582614" w:rsidRPr="009F3AE9" w14:paraId="74933727" w14:textId="77777777" w:rsidTr="00CD0DCD">
        <w:trPr>
          <w:cnfStyle w:val="000000100000" w:firstRow="0" w:lastRow="0" w:firstColumn="0" w:lastColumn="0" w:oddVBand="0" w:evenVBand="0" w:oddHBand="1" w:evenHBand="0" w:firstRowFirstColumn="0" w:firstRowLastColumn="0" w:lastRowFirstColumn="0" w:lastRowLastColumn="0"/>
          <w:trHeight w:val="576"/>
        </w:trPr>
        <w:tc>
          <w:tcPr>
            <w:cnfStyle w:val="001000000000" w:firstRow="0" w:lastRow="0" w:firstColumn="1" w:lastColumn="0" w:oddVBand="0" w:evenVBand="0" w:oddHBand="0" w:evenHBand="0" w:firstRowFirstColumn="0" w:firstRowLastColumn="0" w:lastRowFirstColumn="0" w:lastRowLastColumn="0"/>
            <w:tcW w:w="0" w:type="dxa"/>
            <w:shd w:val="clear" w:color="000000" w:fill="FFFFFF"/>
            <w:vAlign w:val="center"/>
          </w:tcPr>
          <w:p w14:paraId="23C94C78" w14:textId="77777777" w:rsidR="00582614" w:rsidRPr="00CD0DCD" w:rsidRDefault="00582614" w:rsidP="00EF7CC6">
            <w:pPr>
              <w:spacing w:after="0" w:line="240" w:lineRule="auto"/>
              <w:jc w:val="center"/>
              <w:rPr>
                <w:rFonts w:cs="Arial"/>
                <w:color w:val="000000"/>
                <w:sz w:val="22"/>
              </w:rPr>
            </w:pPr>
            <w:r w:rsidRPr="00CD0DCD">
              <w:rPr>
                <w:rFonts w:cs="Arial"/>
                <w:color w:val="000000"/>
                <w:sz w:val="22"/>
              </w:rPr>
              <w:t>Стойност в евро цента на тнкм</w:t>
            </w:r>
          </w:p>
        </w:tc>
        <w:tc>
          <w:tcPr>
            <w:tcW w:w="0" w:type="dxa"/>
            <w:shd w:val="clear" w:color="000000" w:fill="FFFFFF"/>
            <w:vAlign w:val="center"/>
          </w:tcPr>
          <w:p w14:paraId="7C874CA4"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0,03</w:t>
            </w:r>
          </w:p>
        </w:tc>
        <w:tc>
          <w:tcPr>
            <w:tcW w:w="0" w:type="dxa"/>
            <w:shd w:val="clear" w:color="000000" w:fill="FFFFFF"/>
            <w:vAlign w:val="center"/>
          </w:tcPr>
          <w:p w14:paraId="6D94207E"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0,48</w:t>
            </w:r>
          </w:p>
        </w:tc>
        <w:tc>
          <w:tcPr>
            <w:tcW w:w="0" w:type="dxa"/>
            <w:shd w:val="clear" w:color="000000" w:fill="FFFFFF"/>
            <w:vAlign w:val="center"/>
          </w:tcPr>
          <w:p w14:paraId="66AF77C9" w14:textId="77777777" w:rsidR="00582614" w:rsidRPr="00CD0DCD" w:rsidRDefault="00582614" w:rsidP="00EF7CC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2"/>
              </w:rPr>
            </w:pPr>
            <w:r w:rsidRPr="00CD0DCD">
              <w:rPr>
                <w:rFonts w:cs="Arial"/>
                <w:color w:val="000000"/>
                <w:sz w:val="22"/>
              </w:rPr>
              <w:t>0,29</w:t>
            </w:r>
          </w:p>
        </w:tc>
      </w:tr>
    </w:tbl>
    <w:p w14:paraId="4EB7CAE7" w14:textId="77777777" w:rsidR="00582614" w:rsidRPr="00CD0DCD" w:rsidRDefault="00582614" w:rsidP="00582614">
      <w:pPr>
        <w:autoSpaceDE w:val="0"/>
        <w:autoSpaceDN w:val="0"/>
        <w:adjustRightInd w:val="0"/>
        <w:jc w:val="both"/>
        <w:rPr>
          <w:rFonts w:ascii="Times New Roman" w:hAnsi="Times New Roman" w:cs="Times New Roman"/>
          <w:i/>
          <w:sz w:val="18"/>
          <w:szCs w:val="18"/>
        </w:rPr>
      </w:pPr>
      <w:r w:rsidRPr="00CD0DCD">
        <w:rPr>
          <w:rFonts w:ascii="Times New Roman" w:hAnsi="Times New Roman" w:cs="Times New Roman"/>
          <w:i/>
          <w:sz w:val="18"/>
          <w:szCs w:val="18"/>
        </w:rPr>
        <w:t>Източник: модел Vademecum</w:t>
      </w:r>
    </w:p>
    <w:p w14:paraId="3D08A790" w14:textId="78BF2990" w:rsidR="00EF7CC6" w:rsidRDefault="00582614" w:rsidP="00CD0DCD">
      <w:pPr>
        <w:autoSpaceDE w:val="0"/>
        <w:autoSpaceDN w:val="0"/>
        <w:adjustRightInd w:val="0"/>
        <w:jc w:val="both"/>
        <w:rPr>
          <w:rFonts w:cs="Arial"/>
          <w:bCs/>
          <w:i/>
          <w:sz w:val="22"/>
        </w:rPr>
      </w:pPr>
      <w:r>
        <w:rPr>
          <w:rFonts w:cs="Arial"/>
        </w:rPr>
        <w:t>На база прогнозата за търсенето и единичните стойности е определен размерът на ползите.</w:t>
      </w:r>
      <w:r w:rsidR="00EF7CC6">
        <w:rPr>
          <w:rFonts w:cs="Arial"/>
          <w:bCs/>
          <w:i/>
          <w:sz w:val="22"/>
        </w:rPr>
        <w:br w:type="page"/>
      </w:r>
    </w:p>
    <w:p w14:paraId="1011017A" w14:textId="77777777" w:rsidR="00095012" w:rsidRDefault="00095012" w:rsidP="00EF7CC6">
      <w:pPr>
        <w:tabs>
          <w:tab w:val="left" w:pos="1418"/>
        </w:tabs>
        <w:spacing w:before="60" w:after="60"/>
        <w:jc w:val="both"/>
        <w:rPr>
          <w:rFonts w:cs="Arial"/>
          <w:bCs/>
          <w:i/>
          <w:sz w:val="22"/>
        </w:rPr>
      </w:pPr>
    </w:p>
    <w:p w14:paraId="777267B4" w14:textId="77777777" w:rsidR="00EF7CC6" w:rsidRDefault="00EF7CC6" w:rsidP="00EF7CC6">
      <w:pPr>
        <w:tabs>
          <w:tab w:val="left" w:pos="1418"/>
        </w:tabs>
        <w:spacing w:before="60" w:after="60"/>
        <w:jc w:val="both"/>
        <w:rPr>
          <w:rFonts w:eastAsia="Calibri" w:cs="Arial"/>
          <w:i/>
          <w:color w:val="000000"/>
          <w:sz w:val="22"/>
          <w:lang w:eastAsia="en-US"/>
        </w:rPr>
      </w:pPr>
      <w:bookmarkStart w:id="333" w:name="_Toc17409907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28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външните разходи</w:t>
      </w:r>
      <w:bookmarkEnd w:id="333"/>
    </w:p>
    <w:tbl>
      <w:tblPr>
        <w:tblStyle w:val="LightList-Accent111"/>
        <w:tblW w:w="9438" w:type="dxa"/>
        <w:tblLook w:val="04A0" w:firstRow="1" w:lastRow="0" w:firstColumn="1" w:lastColumn="0" w:noHBand="0" w:noVBand="1"/>
      </w:tblPr>
      <w:tblGrid>
        <w:gridCol w:w="3500"/>
        <w:gridCol w:w="1514"/>
        <w:gridCol w:w="1364"/>
        <w:gridCol w:w="1565"/>
        <w:gridCol w:w="1495"/>
      </w:tblGrid>
      <w:tr w:rsidR="00DD5341" w:rsidRPr="009F3AE9" w14:paraId="5B399582" w14:textId="77777777" w:rsidTr="00CD0DC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500" w:type="dxa"/>
            <w:vMerge w:val="restart"/>
            <w:noWrap/>
            <w:hideMark/>
          </w:tcPr>
          <w:p w14:paraId="7B01620B" w14:textId="77777777" w:rsidR="00582614" w:rsidRPr="00CD0DCD" w:rsidRDefault="00582614" w:rsidP="00E416EB">
            <w:pPr>
              <w:jc w:val="center"/>
              <w:rPr>
                <w:rFonts w:cs="Arial"/>
                <w:b w:val="0"/>
                <w:bCs w:val="0"/>
                <w:color w:val="FFFFFF" w:themeColor="background1"/>
                <w:sz w:val="20"/>
                <w:szCs w:val="20"/>
              </w:rPr>
            </w:pPr>
            <w:r w:rsidRPr="00CD0DCD">
              <w:rPr>
                <w:rFonts w:cs="Arial"/>
                <w:color w:val="FFFFFF" w:themeColor="background1"/>
                <w:sz w:val="20"/>
                <w:szCs w:val="20"/>
              </w:rPr>
              <w:t>Елементи на външните разходи</w:t>
            </w:r>
          </w:p>
        </w:tc>
        <w:tc>
          <w:tcPr>
            <w:tcW w:w="2878" w:type="dxa"/>
            <w:gridSpan w:val="2"/>
            <w:noWrap/>
            <w:hideMark/>
          </w:tcPr>
          <w:p w14:paraId="7F1B315C"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Недисконтирани</w:t>
            </w:r>
          </w:p>
        </w:tc>
        <w:tc>
          <w:tcPr>
            <w:tcW w:w="3060" w:type="dxa"/>
            <w:gridSpan w:val="2"/>
            <w:noWrap/>
            <w:hideMark/>
          </w:tcPr>
          <w:p w14:paraId="51418FE1" w14:textId="1E702603"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Дисконтирани (</w:t>
            </w:r>
            <w:r w:rsidR="00F068C4" w:rsidRPr="00CD0DCD">
              <w:rPr>
                <w:rFonts w:cs="Arial"/>
                <w:color w:val="FFFFFF" w:themeColor="background1"/>
                <w:sz w:val="20"/>
                <w:szCs w:val="20"/>
              </w:rPr>
              <w:t>норма</w:t>
            </w:r>
            <w:r w:rsidRPr="00CD0DCD">
              <w:rPr>
                <w:rFonts w:cs="Arial"/>
                <w:color w:val="FFFFFF" w:themeColor="background1"/>
                <w:sz w:val="20"/>
                <w:szCs w:val="20"/>
              </w:rPr>
              <w:t xml:space="preserve"> 5%)</w:t>
            </w:r>
          </w:p>
        </w:tc>
      </w:tr>
      <w:tr w:rsidR="009F3AE9" w:rsidRPr="009F3AE9" w14:paraId="495EDD9B"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00" w:type="dxa"/>
            <w:vMerge/>
            <w:hideMark/>
          </w:tcPr>
          <w:p w14:paraId="4B299636" w14:textId="77777777" w:rsidR="00582614" w:rsidRPr="00CD0DCD" w:rsidRDefault="00582614" w:rsidP="00E416EB">
            <w:pPr>
              <w:spacing w:after="0" w:line="240" w:lineRule="auto"/>
              <w:rPr>
                <w:rFonts w:cs="Arial"/>
                <w:b w:val="0"/>
                <w:bCs w:val="0"/>
                <w:color w:val="000000"/>
                <w:sz w:val="20"/>
                <w:szCs w:val="20"/>
              </w:rPr>
            </w:pPr>
          </w:p>
        </w:tc>
        <w:tc>
          <w:tcPr>
            <w:tcW w:w="1514" w:type="dxa"/>
            <w:noWrap/>
            <w:hideMark/>
          </w:tcPr>
          <w:p w14:paraId="1574645F"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364" w:type="dxa"/>
            <w:hideMark/>
          </w:tcPr>
          <w:p w14:paraId="2D3B405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c>
          <w:tcPr>
            <w:tcW w:w="1565" w:type="dxa"/>
            <w:noWrap/>
            <w:hideMark/>
          </w:tcPr>
          <w:p w14:paraId="551F38E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495" w:type="dxa"/>
            <w:hideMark/>
          </w:tcPr>
          <w:p w14:paraId="29D772E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r>
      <w:tr w:rsidR="00B02717" w:rsidRPr="009F3AE9" w14:paraId="55F99C11" w14:textId="77777777" w:rsidTr="00CD0DCD">
        <w:trPr>
          <w:trHeight w:val="276"/>
        </w:trPr>
        <w:tc>
          <w:tcPr>
            <w:cnfStyle w:val="001000000000" w:firstRow="0" w:lastRow="0" w:firstColumn="1" w:lastColumn="0" w:oddVBand="0" w:evenVBand="0" w:oddHBand="0" w:evenHBand="0" w:firstRowFirstColumn="0" w:firstRowLastColumn="0" w:lastRowFirstColumn="0" w:lastRowLastColumn="0"/>
            <w:tcW w:w="3500" w:type="dxa"/>
            <w:hideMark/>
          </w:tcPr>
          <w:p w14:paraId="5768622B" w14:textId="77777777" w:rsidR="00DD5341" w:rsidRPr="00CD0DCD" w:rsidRDefault="00DD5341" w:rsidP="00DD5341">
            <w:pPr>
              <w:spacing w:after="0" w:line="240" w:lineRule="auto"/>
              <w:jc w:val="both"/>
              <w:rPr>
                <w:rFonts w:cs="Arial"/>
                <w:color w:val="000000"/>
                <w:sz w:val="20"/>
                <w:szCs w:val="20"/>
              </w:rPr>
            </w:pPr>
            <w:r w:rsidRPr="00CD0DCD">
              <w:rPr>
                <w:rFonts w:cs="Arial"/>
                <w:color w:val="000000"/>
                <w:sz w:val="20"/>
                <w:szCs w:val="20"/>
              </w:rPr>
              <w:t>Инциденти</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14:paraId="5A8AE3CF" w14:textId="4B2DED26"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1 685 029,61</w:t>
            </w:r>
          </w:p>
        </w:tc>
        <w:tc>
          <w:tcPr>
            <w:tcW w:w="1364" w:type="dxa"/>
            <w:tcBorders>
              <w:top w:val="nil"/>
              <w:left w:val="nil"/>
              <w:bottom w:val="single" w:sz="4" w:space="0" w:color="auto"/>
              <w:right w:val="single" w:sz="4" w:space="0" w:color="auto"/>
            </w:tcBorders>
            <w:shd w:val="clear" w:color="auto" w:fill="auto"/>
            <w:noWrap/>
            <w:vAlign w:val="bottom"/>
            <w:hideMark/>
          </w:tcPr>
          <w:p w14:paraId="1D527463" w14:textId="3BEFA877"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5,74%</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7F47BAED" w14:textId="741EB90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845 812,09</w:t>
            </w:r>
          </w:p>
        </w:tc>
        <w:tc>
          <w:tcPr>
            <w:tcW w:w="1495" w:type="dxa"/>
            <w:tcBorders>
              <w:top w:val="single" w:sz="4" w:space="0" w:color="auto"/>
              <w:left w:val="nil"/>
              <w:bottom w:val="single" w:sz="4" w:space="0" w:color="auto"/>
              <w:right w:val="single" w:sz="4" w:space="0" w:color="auto"/>
            </w:tcBorders>
            <w:shd w:val="clear" w:color="auto" w:fill="auto"/>
            <w:noWrap/>
            <w:vAlign w:val="bottom"/>
            <w:hideMark/>
          </w:tcPr>
          <w:p w14:paraId="7DDB0271" w14:textId="59ACBBD9"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5,74%</w:t>
            </w:r>
          </w:p>
        </w:tc>
      </w:tr>
      <w:tr w:rsidR="009F3AE9" w:rsidRPr="009F3AE9" w14:paraId="4FA08751"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3500" w:type="dxa"/>
            <w:hideMark/>
          </w:tcPr>
          <w:p w14:paraId="63E50B1F" w14:textId="77777777" w:rsidR="00DD5341" w:rsidRPr="00CD0DCD" w:rsidRDefault="00DD5341" w:rsidP="00DD5341">
            <w:pPr>
              <w:spacing w:after="0" w:line="240" w:lineRule="auto"/>
              <w:jc w:val="both"/>
              <w:rPr>
                <w:rFonts w:cs="Arial"/>
                <w:color w:val="000000"/>
                <w:sz w:val="20"/>
                <w:szCs w:val="20"/>
              </w:rPr>
            </w:pPr>
            <w:r w:rsidRPr="00CD0DCD">
              <w:rPr>
                <w:rFonts w:cs="Arial"/>
                <w:color w:val="000000"/>
                <w:sz w:val="20"/>
                <w:szCs w:val="20"/>
              </w:rPr>
              <w:t>Замърсяване на въздуха</w:t>
            </w:r>
          </w:p>
        </w:tc>
        <w:tc>
          <w:tcPr>
            <w:tcW w:w="1514" w:type="dxa"/>
            <w:tcBorders>
              <w:top w:val="nil"/>
              <w:left w:val="single" w:sz="4" w:space="0" w:color="auto"/>
              <w:bottom w:val="single" w:sz="4" w:space="0" w:color="auto"/>
              <w:right w:val="single" w:sz="4" w:space="0" w:color="auto"/>
            </w:tcBorders>
            <w:shd w:val="clear" w:color="auto" w:fill="auto"/>
            <w:noWrap/>
            <w:vAlign w:val="bottom"/>
            <w:hideMark/>
          </w:tcPr>
          <w:p w14:paraId="64E88105" w14:textId="52AF552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27 661 962,76</w:t>
            </w:r>
          </w:p>
        </w:tc>
        <w:tc>
          <w:tcPr>
            <w:tcW w:w="1364" w:type="dxa"/>
            <w:tcBorders>
              <w:top w:val="nil"/>
              <w:left w:val="nil"/>
              <w:bottom w:val="single" w:sz="4" w:space="0" w:color="auto"/>
              <w:right w:val="single" w:sz="4" w:space="0" w:color="auto"/>
            </w:tcBorders>
            <w:shd w:val="clear" w:color="auto" w:fill="auto"/>
            <w:noWrap/>
            <w:vAlign w:val="bottom"/>
            <w:hideMark/>
          </w:tcPr>
          <w:p w14:paraId="46AA9813" w14:textId="2B63043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94,26%</w:t>
            </w:r>
          </w:p>
        </w:tc>
        <w:tc>
          <w:tcPr>
            <w:tcW w:w="1565" w:type="dxa"/>
            <w:tcBorders>
              <w:top w:val="nil"/>
              <w:left w:val="nil"/>
              <w:bottom w:val="single" w:sz="4" w:space="0" w:color="auto"/>
              <w:right w:val="single" w:sz="4" w:space="0" w:color="auto"/>
            </w:tcBorders>
            <w:shd w:val="clear" w:color="auto" w:fill="auto"/>
            <w:noWrap/>
            <w:vAlign w:val="bottom"/>
            <w:hideMark/>
          </w:tcPr>
          <w:p w14:paraId="1998E307" w14:textId="10A5E1FD"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13 885 110,67</w:t>
            </w:r>
          </w:p>
        </w:tc>
        <w:tc>
          <w:tcPr>
            <w:tcW w:w="1495" w:type="dxa"/>
            <w:tcBorders>
              <w:top w:val="nil"/>
              <w:left w:val="nil"/>
              <w:bottom w:val="single" w:sz="4" w:space="0" w:color="auto"/>
              <w:right w:val="single" w:sz="4" w:space="0" w:color="auto"/>
            </w:tcBorders>
            <w:shd w:val="clear" w:color="auto" w:fill="auto"/>
            <w:noWrap/>
            <w:vAlign w:val="bottom"/>
            <w:hideMark/>
          </w:tcPr>
          <w:p w14:paraId="194A3A05" w14:textId="46DB743C"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94,26%</w:t>
            </w:r>
          </w:p>
        </w:tc>
      </w:tr>
      <w:tr w:rsidR="009F3AE9" w:rsidRPr="009F3AE9" w14:paraId="5DF440BD" w14:textId="77777777" w:rsidTr="00CD0DCD">
        <w:trPr>
          <w:trHeight w:val="276"/>
        </w:trPr>
        <w:tc>
          <w:tcPr>
            <w:cnfStyle w:val="001000000000" w:firstRow="0" w:lastRow="0" w:firstColumn="1" w:lastColumn="0" w:oddVBand="0" w:evenVBand="0" w:oddHBand="0" w:evenHBand="0" w:firstRowFirstColumn="0" w:firstRowLastColumn="0" w:lastRowFirstColumn="0" w:lastRowLastColumn="0"/>
            <w:tcW w:w="3500" w:type="dxa"/>
            <w:hideMark/>
          </w:tcPr>
          <w:p w14:paraId="5C73FC6D" w14:textId="77777777" w:rsidR="00DD5341" w:rsidRPr="00CD0DCD" w:rsidRDefault="00DD5341" w:rsidP="00DD5341">
            <w:pPr>
              <w:spacing w:after="0" w:line="240" w:lineRule="auto"/>
              <w:rPr>
                <w:rFonts w:cs="Arial"/>
                <w:b w:val="0"/>
                <w:bCs w:val="0"/>
                <w:color w:val="000000"/>
                <w:sz w:val="20"/>
                <w:szCs w:val="20"/>
              </w:rPr>
            </w:pPr>
            <w:r w:rsidRPr="00CD0DCD">
              <w:rPr>
                <w:rFonts w:cs="Arial"/>
                <w:color w:val="000000"/>
                <w:sz w:val="20"/>
                <w:szCs w:val="20"/>
              </w:rPr>
              <w:t>Общо ползи от външни разходи</w:t>
            </w:r>
          </w:p>
        </w:tc>
        <w:tc>
          <w:tcPr>
            <w:tcW w:w="151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A7BECE" w14:textId="6C070D0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29 346 992,37</w:t>
            </w:r>
          </w:p>
        </w:tc>
        <w:tc>
          <w:tcPr>
            <w:tcW w:w="1364" w:type="dxa"/>
            <w:tcBorders>
              <w:top w:val="single" w:sz="4" w:space="0" w:color="auto"/>
              <w:left w:val="nil"/>
              <w:bottom w:val="single" w:sz="4" w:space="0" w:color="auto"/>
              <w:right w:val="single" w:sz="4" w:space="0" w:color="auto"/>
            </w:tcBorders>
            <w:shd w:val="clear" w:color="auto" w:fill="auto"/>
            <w:noWrap/>
            <w:vAlign w:val="bottom"/>
            <w:hideMark/>
          </w:tcPr>
          <w:p w14:paraId="064FE38B" w14:textId="658B4FE2"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c>
          <w:tcPr>
            <w:tcW w:w="1565" w:type="dxa"/>
            <w:tcBorders>
              <w:top w:val="single" w:sz="4" w:space="0" w:color="auto"/>
              <w:left w:val="nil"/>
              <w:bottom w:val="single" w:sz="4" w:space="0" w:color="auto"/>
              <w:right w:val="single" w:sz="4" w:space="0" w:color="auto"/>
            </w:tcBorders>
            <w:shd w:val="clear" w:color="auto" w:fill="auto"/>
            <w:noWrap/>
            <w:vAlign w:val="bottom"/>
            <w:hideMark/>
          </w:tcPr>
          <w:p w14:paraId="41D904E4" w14:textId="2C846DA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14 730 922,77</w:t>
            </w:r>
          </w:p>
        </w:tc>
        <w:tc>
          <w:tcPr>
            <w:tcW w:w="1495" w:type="dxa"/>
            <w:tcBorders>
              <w:top w:val="single" w:sz="4" w:space="0" w:color="auto"/>
              <w:left w:val="nil"/>
              <w:bottom w:val="single" w:sz="4" w:space="0" w:color="auto"/>
              <w:right w:val="single" w:sz="4" w:space="0" w:color="auto"/>
            </w:tcBorders>
            <w:shd w:val="clear" w:color="auto" w:fill="auto"/>
            <w:noWrap/>
            <w:vAlign w:val="bottom"/>
            <w:hideMark/>
          </w:tcPr>
          <w:p w14:paraId="3D9D7DEA" w14:textId="6F6EEC90"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r>
    </w:tbl>
    <w:p w14:paraId="7E647E7A" w14:textId="77777777" w:rsidR="00582614" w:rsidRPr="00CD0DCD" w:rsidRDefault="00582614" w:rsidP="0047567B">
      <w:pPr>
        <w:autoSpaceDE w:val="0"/>
        <w:autoSpaceDN w:val="0"/>
        <w:adjustRightInd w:val="0"/>
        <w:spacing w:after="120" w:line="240" w:lineRule="auto"/>
        <w:jc w:val="both"/>
        <w:rPr>
          <w:rFonts w:ascii="Times New Roman" w:hAnsi="Times New Roman" w:cs="Times New Roman"/>
          <w:i/>
          <w:sz w:val="18"/>
          <w:szCs w:val="18"/>
        </w:rPr>
      </w:pPr>
      <w:r w:rsidRPr="00CD0DCD">
        <w:rPr>
          <w:rFonts w:ascii="Times New Roman" w:hAnsi="Times New Roman" w:cs="Times New Roman"/>
          <w:i/>
          <w:sz w:val="18"/>
          <w:szCs w:val="18"/>
        </w:rPr>
        <w:t>Източник: модел Vademecum</w:t>
      </w:r>
    </w:p>
    <w:p w14:paraId="0C4B8349" w14:textId="77777777" w:rsidR="00EF7CC6" w:rsidRDefault="00EF7CC6" w:rsidP="00EF7CC6">
      <w:pPr>
        <w:tabs>
          <w:tab w:val="left" w:pos="1418"/>
        </w:tabs>
        <w:spacing w:before="60" w:after="60"/>
        <w:jc w:val="both"/>
        <w:rPr>
          <w:rFonts w:eastAsia="Calibri" w:cs="Arial"/>
          <w:i/>
          <w:color w:val="000000"/>
          <w:sz w:val="22"/>
          <w:lang w:eastAsia="en-US"/>
        </w:rPr>
      </w:pPr>
      <w:bookmarkStart w:id="334" w:name="_Toc17409907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D423A8">
        <w:rPr>
          <w:rFonts w:cs="Arial"/>
          <w:bCs/>
          <w:i/>
          <w:noProof/>
          <w:sz w:val="22"/>
        </w:rPr>
        <w:t>29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Определяне на ползите от намаляване влиянието върху климата</w:t>
      </w:r>
      <w:bookmarkEnd w:id="334"/>
    </w:p>
    <w:tbl>
      <w:tblPr>
        <w:tblStyle w:val="LightList-Accent111"/>
        <w:tblW w:w="9477" w:type="dxa"/>
        <w:tblLook w:val="04A0" w:firstRow="1" w:lastRow="0" w:firstColumn="1" w:lastColumn="0" w:noHBand="0" w:noVBand="1"/>
      </w:tblPr>
      <w:tblGrid>
        <w:gridCol w:w="3432"/>
        <w:gridCol w:w="1480"/>
        <w:gridCol w:w="1349"/>
        <w:gridCol w:w="1612"/>
        <w:gridCol w:w="1604"/>
      </w:tblGrid>
      <w:tr w:rsidR="00DD5341" w:rsidRPr="009F3AE9" w14:paraId="6E4BC4C1" w14:textId="77777777" w:rsidTr="00CD0DCD">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vMerge w:val="restart"/>
            <w:noWrap/>
            <w:hideMark/>
          </w:tcPr>
          <w:p w14:paraId="47F84A95" w14:textId="77777777" w:rsidR="00582614" w:rsidRPr="00CD0DCD" w:rsidRDefault="00582614" w:rsidP="00E416EB">
            <w:pPr>
              <w:jc w:val="center"/>
              <w:rPr>
                <w:rFonts w:cs="Arial"/>
                <w:b w:val="0"/>
                <w:bCs w:val="0"/>
                <w:color w:val="FFFFFF" w:themeColor="background1"/>
                <w:sz w:val="20"/>
                <w:szCs w:val="20"/>
              </w:rPr>
            </w:pPr>
            <w:r w:rsidRPr="00CD0DCD">
              <w:rPr>
                <w:rFonts w:cs="Arial"/>
                <w:color w:val="FFFFFF" w:themeColor="background1"/>
                <w:sz w:val="20"/>
                <w:szCs w:val="20"/>
              </w:rPr>
              <w:t>Елемент на влиянието върху климата</w:t>
            </w:r>
          </w:p>
        </w:tc>
        <w:tc>
          <w:tcPr>
            <w:tcW w:w="2829" w:type="dxa"/>
            <w:gridSpan w:val="2"/>
            <w:noWrap/>
            <w:hideMark/>
          </w:tcPr>
          <w:p w14:paraId="1B51FF69" w14:textId="77777777" w:rsidR="00582614" w:rsidRPr="00CD0DCD" w:rsidRDefault="00582614"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Недисконтирани</w:t>
            </w:r>
          </w:p>
        </w:tc>
        <w:tc>
          <w:tcPr>
            <w:tcW w:w="3216" w:type="dxa"/>
            <w:gridSpan w:val="2"/>
            <w:noWrap/>
            <w:hideMark/>
          </w:tcPr>
          <w:p w14:paraId="33C02B59" w14:textId="6703E49F" w:rsidR="00582614" w:rsidRPr="00CD0DCD" w:rsidRDefault="00582614" w:rsidP="00CD0DCD">
            <w:pP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Дисконтирани (</w:t>
            </w:r>
            <w:r w:rsidR="00F068C4" w:rsidRPr="00CD0DCD">
              <w:rPr>
                <w:rFonts w:cs="Arial"/>
                <w:color w:val="FFFFFF" w:themeColor="background1"/>
                <w:sz w:val="20"/>
                <w:szCs w:val="20"/>
              </w:rPr>
              <w:t>норма</w:t>
            </w:r>
            <w:r w:rsidRPr="00CD0DCD">
              <w:rPr>
                <w:rFonts w:cs="Arial"/>
                <w:color w:val="FFFFFF" w:themeColor="background1"/>
                <w:sz w:val="20"/>
                <w:szCs w:val="20"/>
              </w:rPr>
              <w:t xml:space="preserve"> 5%)</w:t>
            </w:r>
          </w:p>
        </w:tc>
      </w:tr>
      <w:tr w:rsidR="009F3AE9" w:rsidRPr="009F3AE9" w14:paraId="5F593F89" w14:textId="77777777" w:rsidTr="00CD0DCD">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vMerge/>
            <w:hideMark/>
          </w:tcPr>
          <w:p w14:paraId="6BC80EA1" w14:textId="77777777" w:rsidR="00582614" w:rsidRPr="00CD0DCD" w:rsidRDefault="00582614" w:rsidP="00E416EB">
            <w:pPr>
              <w:spacing w:after="0" w:line="240" w:lineRule="auto"/>
              <w:rPr>
                <w:rFonts w:cs="Arial"/>
                <w:b w:val="0"/>
                <w:bCs w:val="0"/>
                <w:color w:val="000000"/>
                <w:sz w:val="20"/>
                <w:szCs w:val="20"/>
              </w:rPr>
            </w:pPr>
          </w:p>
        </w:tc>
        <w:tc>
          <w:tcPr>
            <w:tcW w:w="1480" w:type="dxa"/>
            <w:noWrap/>
            <w:hideMark/>
          </w:tcPr>
          <w:p w14:paraId="74E633B1"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349" w:type="dxa"/>
            <w:hideMark/>
          </w:tcPr>
          <w:p w14:paraId="3E59FB39"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c>
          <w:tcPr>
            <w:tcW w:w="1612" w:type="dxa"/>
            <w:noWrap/>
            <w:hideMark/>
          </w:tcPr>
          <w:p w14:paraId="1D077F2B"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Общо</w:t>
            </w:r>
          </w:p>
        </w:tc>
        <w:tc>
          <w:tcPr>
            <w:tcW w:w="1604" w:type="dxa"/>
            <w:hideMark/>
          </w:tcPr>
          <w:p w14:paraId="43A656B5" w14:textId="77777777" w:rsidR="00582614" w:rsidRPr="00CD0DCD" w:rsidRDefault="00582614"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 общите</w:t>
            </w:r>
          </w:p>
        </w:tc>
      </w:tr>
      <w:tr w:rsidR="009F3AE9" w:rsidRPr="009F3AE9" w14:paraId="7490D6A9" w14:textId="77777777" w:rsidTr="00D423A8">
        <w:trPr>
          <w:trHeight w:val="276"/>
        </w:trPr>
        <w:tc>
          <w:tcPr>
            <w:cnfStyle w:val="001000000000" w:firstRow="0" w:lastRow="0" w:firstColumn="1" w:lastColumn="0" w:oddVBand="0" w:evenVBand="0" w:oddHBand="0" w:evenHBand="0" w:firstRowFirstColumn="0" w:firstRowLastColumn="0" w:lastRowFirstColumn="0" w:lastRowLastColumn="0"/>
            <w:tcW w:w="3432" w:type="dxa"/>
            <w:hideMark/>
          </w:tcPr>
          <w:p w14:paraId="7DE7462E" w14:textId="122D84A4" w:rsidR="00DD5341" w:rsidRPr="00CD0DCD" w:rsidRDefault="00D423A8" w:rsidP="00DD5341">
            <w:pPr>
              <w:spacing w:after="0" w:line="240" w:lineRule="auto"/>
              <w:rPr>
                <w:rFonts w:cs="Arial"/>
                <w:color w:val="000000"/>
                <w:sz w:val="20"/>
                <w:szCs w:val="20"/>
              </w:rPr>
            </w:pPr>
            <w:r>
              <w:rPr>
                <w:rFonts w:cs="Arial"/>
                <w:color w:val="000000"/>
                <w:sz w:val="20"/>
                <w:szCs w:val="20"/>
              </w:rPr>
              <w:t>СО2/</w:t>
            </w:r>
            <w:r w:rsidR="00DD5341" w:rsidRPr="00CD0DCD">
              <w:rPr>
                <w:rFonts w:cs="Arial"/>
                <w:color w:val="000000"/>
                <w:sz w:val="20"/>
                <w:szCs w:val="20"/>
              </w:rPr>
              <w:t>Въглеродни емисии</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7C43A1" w14:textId="3D0A9543" w:rsidR="00DD5341" w:rsidRPr="009F3AE9" w:rsidRDefault="00DD5341" w:rsidP="00D423A8">
            <w:pPr>
              <w:spacing w:after="0" w:line="240" w:lineRule="auto"/>
              <w:ind w:hanging="4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16 531 993,09</w:t>
            </w:r>
          </w:p>
        </w:tc>
        <w:tc>
          <w:tcPr>
            <w:tcW w:w="1349" w:type="dxa"/>
            <w:tcBorders>
              <w:top w:val="single" w:sz="4" w:space="0" w:color="auto"/>
              <w:left w:val="nil"/>
              <w:bottom w:val="single" w:sz="4" w:space="0" w:color="auto"/>
              <w:right w:val="single" w:sz="4" w:space="0" w:color="auto"/>
            </w:tcBorders>
            <w:shd w:val="clear" w:color="auto" w:fill="auto"/>
            <w:noWrap/>
            <w:vAlign w:val="center"/>
            <w:hideMark/>
          </w:tcPr>
          <w:p w14:paraId="363B4723" w14:textId="5A0CF5E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100,00%</w:t>
            </w:r>
          </w:p>
        </w:tc>
        <w:tc>
          <w:tcPr>
            <w:tcW w:w="1612" w:type="dxa"/>
            <w:tcBorders>
              <w:top w:val="single" w:sz="4" w:space="0" w:color="auto"/>
              <w:left w:val="nil"/>
              <w:bottom w:val="single" w:sz="4" w:space="0" w:color="auto"/>
              <w:right w:val="single" w:sz="4" w:space="0" w:color="auto"/>
            </w:tcBorders>
            <w:shd w:val="clear" w:color="auto" w:fill="auto"/>
            <w:noWrap/>
            <w:vAlign w:val="center"/>
            <w:hideMark/>
          </w:tcPr>
          <w:p w14:paraId="1B24E6C7" w14:textId="3E4221C4"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8 298 346,57</w:t>
            </w:r>
          </w:p>
        </w:tc>
        <w:tc>
          <w:tcPr>
            <w:tcW w:w="1604" w:type="dxa"/>
            <w:tcBorders>
              <w:top w:val="single" w:sz="4" w:space="0" w:color="auto"/>
              <w:left w:val="nil"/>
              <w:bottom w:val="single" w:sz="4" w:space="0" w:color="auto"/>
              <w:right w:val="single" w:sz="4" w:space="0" w:color="auto"/>
            </w:tcBorders>
            <w:shd w:val="clear" w:color="auto" w:fill="auto"/>
            <w:noWrap/>
            <w:vAlign w:val="center"/>
            <w:hideMark/>
          </w:tcPr>
          <w:p w14:paraId="71B62AB2" w14:textId="0A16324D" w:rsidR="00DD5341" w:rsidRPr="009F3AE9" w:rsidRDefault="00DD5341" w:rsidP="00DD534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100,00%</w:t>
            </w:r>
          </w:p>
        </w:tc>
      </w:tr>
      <w:tr w:rsidR="009F3AE9" w:rsidRPr="009F3AE9" w14:paraId="1029315A" w14:textId="77777777" w:rsidTr="00D423A8">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3432" w:type="dxa"/>
            <w:hideMark/>
          </w:tcPr>
          <w:p w14:paraId="73881617" w14:textId="77777777" w:rsidR="00DD5341" w:rsidRPr="00CD0DCD" w:rsidRDefault="00DD5341" w:rsidP="00DD5341">
            <w:pPr>
              <w:spacing w:after="0" w:line="240" w:lineRule="auto"/>
              <w:rPr>
                <w:rFonts w:cs="Arial"/>
                <w:b w:val="0"/>
                <w:bCs w:val="0"/>
                <w:color w:val="000000"/>
                <w:sz w:val="20"/>
                <w:szCs w:val="20"/>
              </w:rPr>
            </w:pPr>
            <w:r w:rsidRPr="00CD0DCD">
              <w:rPr>
                <w:rFonts w:cs="Arial"/>
                <w:color w:val="000000"/>
                <w:sz w:val="20"/>
                <w:szCs w:val="20"/>
              </w:rPr>
              <w:t>Общо ползи от намаляване влиянието върху климата</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6C46492" w14:textId="10945C23" w:rsidR="00DD5341" w:rsidRPr="009F3AE9" w:rsidRDefault="00DD5341" w:rsidP="00D423A8">
            <w:pPr>
              <w:spacing w:after="0" w:line="240" w:lineRule="auto"/>
              <w:ind w:hanging="40"/>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16 531 993,09</w:t>
            </w:r>
          </w:p>
        </w:tc>
        <w:tc>
          <w:tcPr>
            <w:tcW w:w="1349" w:type="dxa"/>
            <w:tcBorders>
              <w:top w:val="single" w:sz="4" w:space="0" w:color="auto"/>
              <w:left w:val="nil"/>
              <w:bottom w:val="single" w:sz="4" w:space="0" w:color="auto"/>
              <w:right w:val="single" w:sz="4" w:space="0" w:color="auto"/>
            </w:tcBorders>
            <w:shd w:val="clear" w:color="auto" w:fill="auto"/>
            <w:noWrap/>
            <w:vAlign w:val="center"/>
            <w:hideMark/>
          </w:tcPr>
          <w:p w14:paraId="77530463" w14:textId="269F6BFB"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c>
          <w:tcPr>
            <w:tcW w:w="1612" w:type="dxa"/>
            <w:tcBorders>
              <w:top w:val="single" w:sz="4" w:space="0" w:color="auto"/>
              <w:left w:val="nil"/>
              <w:bottom w:val="single" w:sz="4" w:space="0" w:color="auto"/>
              <w:right w:val="single" w:sz="4" w:space="0" w:color="auto"/>
            </w:tcBorders>
            <w:shd w:val="clear" w:color="auto" w:fill="auto"/>
            <w:noWrap/>
            <w:vAlign w:val="center"/>
            <w:hideMark/>
          </w:tcPr>
          <w:p w14:paraId="46DC3184" w14:textId="4CFE37AD"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8 298 346,57</w:t>
            </w:r>
          </w:p>
        </w:tc>
        <w:tc>
          <w:tcPr>
            <w:tcW w:w="1604" w:type="dxa"/>
            <w:tcBorders>
              <w:top w:val="single" w:sz="4" w:space="0" w:color="auto"/>
              <w:left w:val="nil"/>
              <w:bottom w:val="single" w:sz="4" w:space="0" w:color="auto"/>
              <w:right w:val="single" w:sz="4" w:space="0" w:color="auto"/>
            </w:tcBorders>
            <w:shd w:val="clear" w:color="auto" w:fill="auto"/>
            <w:noWrap/>
            <w:vAlign w:val="center"/>
            <w:hideMark/>
          </w:tcPr>
          <w:p w14:paraId="08646FFF" w14:textId="4FAACA3A" w:rsidR="00DD5341" w:rsidRPr="009F3AE9" w:rsidRDefault="00DD5341" w:rsidP="00DD534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100,00%</w:t>
            </w:r>
          </w:p>
        </w:tc>
      </w:tr>
    </w:tbl>
    <w:p w14:paraId="17570784" w14:textId="77777777" w:rsidR="00582614" w:rsidRPr="00CD0DCD" w:rsidRDefault="00582614" w:rsidP="00CD0DCD">
      <w:pPr>
        <w:suppressAutoHyphens/>
        <w:spacing w:after="120" w:line="240" w:lineRule="auto"/>
        <w:jc w:val="both"/>
        <w:rPr>
          <w:rFonts w:ascii="Times New Roman" w:eastAsia="Times New Roman" w:hAnsi="Times New Roman" w:cs="Times New Roman"/>
          <w:i/>
          <w:sz w:val="22"/>
          <w:lang w:eastAsia="ar-SA"/>
        </w:rPr>
      </w:pPr>
      <w:r w:rsidRPr="00CD0DCD">
        <w:rPr>
          <w:rFonts w:ascii="Times New Roman" w:hAnsi="Times New Roman" w:cs="Times New Roman"/>
          <w:i/>
          <w:sz w:val="18"/>
          <w:szCs w:val="18"/>
        </w:rPr>
        <w:t>Източник: модел Vademecum</w:t>
      </w:r>
    </w:p>
    <w:p w14:paraId="42618648" w14:textId="77777777" w:rsidR="003C3025" w:rsidRDefault="003C3025" w:rsidP="008B058A">
      <w:pPr>
        <w:pStyle w:val="Heading2"/>
        <w:numPr>
          <w:ilvl w:val="1"/>
          <w:numId w:val="3"/>
        </w:numPr>
        <w:ind w:left="1080" w:hanging="540"/>
        <w:rPr>
          <w:szCs w:val="24"/>
          <w:lang w:val="bg-BG"/>
        </w:rPr>
      </w:pPr>
      <w:bookmarkStart w:id="335" w:name="_Toc143607799"/>
      <w:bookmarkStart w:id="336" w:name="_Toc143694203"/>
      <w:r w:rsidRPr="009F4C2E">
        <w:rPr>
          <w:szCs w:val="24"/>
          <w:lang w:val="bg-BG"/>
        </w:rPr>
        <w:t>Определяне на количествата парникови газове</w:t>
      </w:r>
      <w:bookmarkEnd w:id="335"/>
      <w:bookmarkEnd w:id="336"/>
    </w:p>
    <w:p w14:paraId="326955AB" w14:textId="77777777" w:rsidR="003C3025" w:rsidRPr="003C3025" w:rsidRDefault="003C3025" w:rsidP="003C3025">
      <w:pPr>
        <w:spacing w:before="60" w:after="60"/>
        <w:jc w:val="both"/>
        <w:rPr>
          <w:rFonts w:eastAsia="Calibri" w:cs="Arial"/>
          <w:i/>
          <w:szCs w:val="24"/>
          <w:u w:val="single"/>
        </w:rPr>
      </w:pPr>
      <w:r w:rsidRPr="003C3025">
        <w:rPr>
          <w:rFonts w:eastAsia="Calibri" w:cs="Arial"/>
          <w:i/>
          <w:szCs w:val="24"/>
          <w:u w:val="single"/>
        </w:rPr>
        <w:t>Методология</w:t>
      </w:r>
    </w:p>
    <w:p w14:paraId="0E084EFA" w14:textId="77777777" w:rsidR="003C3025" w:rsidRPr="003C3025" w:rsidRDefault="003C3025" w:rsidP="003C3025">
      <w:pPr>
        <w:spacing w:before="60" w:after="60"/>
        <w:jc w:val="both"/>
        <w:rPr>
          <w:rFonts w:eastAsia="Calibri" w:cs="Arial"/>
          <w:szCs w:val="24"/>
        </w:rPr>
      </w:pPr>
      <w:r w:rsidRPr="003C3025">
        <w:rPr>
          <w:rFonts w:eastAsia="Calibri" w:cs="Arial"/>
          <w:szCs w:val="24"/>
        </w:rPr>
        <w:t>Тази оценка за определяне на количеството спестени газови емисии от реализацията на проекта е извършена на база на указанията в Technical guidance on the climate proofing of infrastructure in the period 2021-2027</w:t>
      </w:r>
      <w:r w:rsidRPr="003C3025">
        <w:rPr>
          <w:rStyle w:val="FootnoteReference"/>
          <w:rFonts w:eastAsia="Calibri" w:cs="Arial"/>
          <w:szCs w:val="24"/>
        </w:rPr>
        <w:footnoteReference w:id="23"/>
      </w:r>
      <w:r w:rsidRPr="003C3025">
        <w:rPr>
          <w:rFonts w:eastAsia="Calibri" w:cs="Arial"/>
          <w:szCs w:val="24"/>
        </w:rPr>
        <w:t>,коййто препраща към използването на “</w:t>
      </w:r>
      <w:r w:rsidRPr="003C3025">
        <w:rPr>
          <w:rFonts w:eastAsia="Calibri" w:cs="Arial"/>
          <w:szCs w:val="24"/>
          <w:lang w:val="en-GB"/>
        </w:rPr>
        <w:t>Methodologies</w:t>
      </w:r>
      <w:r w:rsidRPr="003C3025">
        <w:rPr>
          <w:rFonts w:eastAsia="Calibri" w:cs="Arial"/>
          <w:szCs w:val="24"/>
        </w:rPr>
        <w:t xml:space="preserve"> </w:t>
      </w:r>
      <w:r w:rsidRPr="003C3025">
        <w:rPr>
          <w:rFonts w:eastAsia="Calibri" w:cs="Arial"/>
          <w:szCs w:val="24"/>
          <w:lang w:val="en-GB"/>
        </w:rPr>
        <w:t>for</w:t>
      </w:r>
      <w:r w:rsidRPr="003C3025">
        <w:rPr>
          <w:rFonts w:eastAsia="Calibri" w:cs="Arial"/>
          <w:szCs w:val="24"/>
        </w:rPr>
        <w:t xml:space="preserve"> </w:t>
      </w:r>
      <w:r w:rsidRPr="003C3025">
        <w:rPr>
          <w:rFonts w:eastAsia="Calibri" w:cs="Arial"/>
          <w:szCs w:val="24"/>
          <w:lang w:val="en-GB"/>
        </w:rPr>
        <w:t>the</w:t>
      </w:r>
      <w:r w:rsidRPr="003C3025">
        <w:rPr>
          <w:rFonts w:eastAsia="Calibri" w:cs="Arial"/>
          <w:szCs w:val="24"/>
        </w:rPr>
        <w:t xml:space="preserve"> </w:t>
      </w:r>
      <w:r w:rsidRPr="003C3025">
        <w:rPr>
          <w:rFonts w:eastAsia="Calibri" w:cs="Arial"/>
          <w:szCs w:val="24"/>
          <w:lang w:val="en-GB"/>
        </w:rPr>
        <w:t>assessment</w:t>
      </w:r>
      <w:r w:rsidRPr="003C3025">
        <w:rPr>
          <w:rFonts w:eastAsia="Calibri" w:cs="Arial"/>
          <w:szCs w:val="24"/>
        </w:rPr>
        <w:t xml:space="preserve"> </w:t>
      </w:r>
      <w:r w:rsidRPr="003C3025">
        <w:rPr>
          <w:rFonts w:eastAsia="Calibri" w:cs="Arial"/>
          <w:szCs w:val="24"/>
          <w:lang w:val="en-GB"/>
        </w:rPr>
        <w:t>of</w:t>
      </w:r>
      <w:r w:rsidRPr="003C3025">
        <w:rPr>
          <w:rFonts w:eastAsia="Calibri" w:cs="Arial"/>
          <w:szCs w:val="24"/>
        </w:rPr>
        <w:t xml:space="preserve"> </w:t>
      </w:r>
      <w:r w:rsidRPr="003C3025">
        <w:rPr>
          <w:rFonts w:eastAsia="Calibri" w:cs="Arial"/>
          <w:szCs w:val="24"/>
          <w:lang w:val="en-GB"/>
        </w:rPr>
        <w:t>Project</w:t>
      </w:r>
      <w:r w:rsidRPr="003C3025">
        <w:rPr>
          <w:rFonts w:eastAsia="Calibri" w:cs="Arial"/>
          <w:szCs w:val="24"/>
        </w:rPr>
        <w:t xml:space="preserve"> </w:t>
      </w:r>
      <w:r w:rsidRPr="003C3025">
        <w:rPr>
          <w:rFonts w:eastAsia="Calibri" w:cs="Arial"/>
          <w:szCs w:val="24"/>
          <w:lang w:val="en-GB"/>
        </w:rPr>
        <w:t>GHG</w:t>
      </w:r>
      <w:r w:rsidRPr="003C3025">
        <w:rPr>
          <w:rFonts w:eastAsia="Calibri" w:cs="Arial"/>
          <w:szCs w:val="24"/>
        </w:rPr>
        <w:t xml:space="preserve"> </w:t>
      </w:r>
      <w:r w:rsidRPr="003C3025">
        <w:rPr>
          <w:rFonts w:eastAsia="Calibri" w:cs="Arial"/>
          <w:szCs w:val="24"/>
          <w:lang w:val="en-GB"/>
        </w:rPr>
        <w:t>Emissions</w:t>
      </w:r>
      <w:r w:rsidRPr="003C3025">
        <w:rPr>
          <w:rFonts w:eastAsia="Calibri" w:cs="Arial"/>
          <w:szCs w:val="24"/>
        </w:rPr>
        <w:t xml:space="preserve"> </w:t>
      </w:r>
      <w:r w:rsidRPr="003C3025">
        <w:rPr>
          <w:rFonts w:eastAsia="Calibri" w:cs="Arial"/>
          <w:szCs w:val="24"/>
          <w:lang w:val="en-GB"/>
        </w:rPr>
        <w:t>and</w:t>
      </w:r>
      <w:r w:rsidRPr="003C3025">
        <w:rPr>
          <w:rFonts w:eastAsia="Calibri" w:cs="Arial"/>
          <w:szCs w:val="24"/>
        </w:rPr>
        <w:t xml:space="preserve"> </w:t>
      </w:r>
      <w:r w:rsidRPr="003C3025">
        <w:rPr>
          <w:rFonts w:eastAsia="Calibri" w:cs="Arial"/>
          <w:szCs w:val="24"/>
          <w:lang w:val="en-GB"/>
        </w:rPr>
        <w:t>Emission</w:t>
      </w:r>
      <w:r w:rsidRPr="003C3025">
        <w:rPr>
          <w:rFonts w:eastAsia="Calibri" w:cs="Arial"/>
          <w:szCs w:val="24"/>
        </w:rPr>
        <w:t xml:space="preserve"> </w:t>
      </w:r>
      <w:r w:rsidRPr="003C3025">
        <w:rPr>
          <w:rFonts w:eastAsia="Calibri" w:cs="Arial"/>
          <w:szCs w:val="24"/>
          <w:lang w:val="en-GB"/>
        </w:rPr>
        <w:t>Variations</w:t>
      </w:r>
      <w:r w:rsidRPr="003C3025">
        <w:rPr>
          <w:rFonts w:eastAsia="Calibri" w:cs="Arial"/>
          <w:szCs w:val="24"/>
        </w:rPr>
        <w:t xml:space="preserve">“, </w:t>
      </w:r>
      <w:r w:rsidRPr="003C3025">
        <w:rPr>
          <w:rFonts w:eastAsia="Calibri" w:cs="Arial"/>
          <w:szCs w:val="24"/>
          <w:lang w:val="en-GB"/>
        </w:rPr>
        <w:t>EIB</w:t>
      </w:r>
      <w:r w:rsidRPr="003C3025">
        <w:rPr>
          <w:rFonts w:eastAsia="Calibri" w:cs="Arial"/>
          <w:szCs w:val="24"/>
        </w:rPr>
        <w:t xml:space="preserve">, </w:t>
      </w:r>
      <w:r w:rsidRPr="003C3025">
        <w:rPr>
          <w:rFonts w:eastAsia="Calibri" w:cs="Arial"/>
          <w:szCs w:val="24"/>
          <w:lang w:val="en-GB"/>
        </w:rPr>
        <w:t>July</w:t>
      </w:r>
      <w:r w:rsidRPr="003C3025">
        <w:rPr>
          <w:rFonts w:eastAsia="Calibri" w:cs="Arial"/>
          <w:szCs w:val="24"/>
        </w:rPr>
        <w:t xml:space="preserve"> 2020</w:t>
      </w:r>
      <w:r w:rsidRPr="003C3025">
        <w:rPr>
          <w:rFonts w:eastAsia="Calibri" w:cs="Arial"/>
          <w:szCs w:val="24"/>
          <w:vertAlign w:val="superscript"/>
        </w:rPr>
        <w:footnoteReference w:id="24"/>
      </w:r>
      <w:r w:rsidRPr="003C3025">
        <w:rPr>
          <w:rFonts w:eastAsia="Calibri" w:cs="Arial"/>
          <w:szCs w:val="24"/>
        </w:rPr>
        <w:t>, препоръчвана от JASPERS за проекти в сектор Транспорт, чувствителни към намаляване на вредните газови емисии.</w:t>
      </w:r>
    </w:p>
    <w:p w14:paraId="6FCA75BB" w14:textId="77777777" w:rsidR="003C3025" w:rsidRPr="003C3025" w:rsidRDefault="003C3025" w:rsidP="003C3025">
      <w:pPr>
        <w:spacing w:before="60" w:after="60"/>
        <w:jc w:val="both"/>
        <w:rPr>
          <w:rFonts w:eastAsia="Calibri" w:cs="Arial"/>
          <w:szCs w:val="24"/>
        </w:rPr>
      </w:pPr>
      <w:r w:rsidRPr="003C3025">
        <w:rPr>
          <w:rFonts w:eastAsia="Calibri" w:cs="Arial"/>
          <w:szCs w:val="24"/>
        </w:rPr>
        <w:t>Методологията е на основата на международно признатите насоки на IPCC, протокола WRI GHG и Хармонизирания подход на IFI към счетоводството на парниковите газове. При липса на специфични за проекта фактори, методологиите приемат IPCC фактор, приложим на глобално или транснационално ниво (наричано ниво 1 в IPCC). Развитието на методологиите е информирано и от ISO14064 части 1 и 2 и Проверения въглероден стандарт, които предоставят насоки за разработване на инвентаризации на парникови газове на корпоративно и проектно ниво.</w:t>
      </w:r>
    </w:p>
    <w:p w14:paraId="45136784" w14:textId="77777777" w:rsidR="003C3025" w:rsidRPr="003C3025" w:rsidRDefault="003C3025" w:rsidP="003C3025">
      <w:pPr>
        <w:spacing w:before="60" w:after="60"/>
        <w:jc w:val="both"/>
        <w:rPr>
          <w:rFonts w:eastAsia="Calibri" w:cs="Arial"/>
          <w:szCs w:val="24"/>
        </w:rPr>
      </w:pPr>
      <w:r w:rsidRPr="003C3025">
        <w:rPr>
          <w:rFonts w:eastAsia="Calibri" w:cs="Arial"/>
          <w:szCs w:val="24"/>
        </w:rPr>
        <w:t>Първата стъпка при използването на Методологията е Определяне на границите на проекта.</w:t>
      </w:r>
    </w:p>
    <w:p w14:paraId="1477120A" w14:textId="77777777" w:rsidR="003C3025" w:rsidRPr="003C3025" w:rsidRDefault="003C3025" w:rsidP="003C3025">
      <w:pPr>
        <w:spacing w:before="60" w:after="60"/>
        <w:jc w:val="both"/>
        <w:rPr>
          <w:rFonts w:eastAsia="Calibri" w:cs="Arial"/>
          <w:szCs w:val="24"/>
        </w:rPr>
      </w:pPr>
      <w:r w:rsidRPr="003C3025">
        <w:rPr>
          <w:rFonts w:eastAsia="Calibri" w:cs="Arial"/>
          <w:szCs w:val="24"/>
        </w:rPr>
        <w:t>Те определят какво точно ще влезе в изчисленията на Абсолютните и Сравнителните емисии. При определянето на границите на проекта се използва концепцията за „обхват“, базирана на дефиниции от протокола на WRI GHG „</w:t>
      </w:r>
      <w:r w:rsidRPr="003C3025">
        <w:rPr>
          <w:rFonts w:eastAsia="Calibri" w:cs="Arial"/>
          <w:szCs w:val="24"/>
          <w:lang w:val="en-GB"/>
        </w:rPr>
        <w:t>Protocol</w:t>
      </w:r>
      <w:r w:rsidRPr="003C3025">
        <w:rPr>
          <w:rFonts w:eastAsia="Calibri" w:cs="Arial"/>
          <w:szCs w:val="24"/>
        </w:rPr>
        <w:t xml:space="preserve"> </w:t>
      </w:r>
      <w:r w:rsidRPr="003C3025">
        <w:rPr>
          <w:rFonts w:eastAsia="Calibri" w:cs="Arial"/>
          <w:szCs w:val="24"/>
        </w:rPr>
        <w:lastRenderedPageBreak/>
        <w:t>‘</w:t>
      </w:r>
      <w:r w:rsidRPr="003C3025">
        <w:rPr>
          <w:rFonts w:eastAsia="Calibri" w:cs="Arial"/>
          <w:szCs w:val="24"/>
          <w:lang w:val="en-GB"/>
        </w:rPr>
        <w:t>Corporate</w:t>
      </w:r>
      <w:r w:rsidRPr="003C3025">
        <w:rPr>
          <w:rFonts w:eastAsia="Calibri" w:cs="Arial"/>
          <w:szCs w:val="24"/>
        </w:rPr>
        <w:t xml:space="preserve"> </w:t>
      </w:r>
      <w:r w:rsidRPr="003C3025">
        <w:rPr>
          <w:rFonts w:eastAsia="Calibri" w:cs="Arial"/>
          <w:szCs w:val="24"/>
          <w:lang w:val="en-GB"/>
        </w:rPr>
        <w:t>Accounting</w:t>
      </w:r>
      <w:r w:rsidRPr="003C3025">
        <w:rPr>
          <w:rFonts w:eastAsia="Calibri" w:cs="Arial"/>
          <w:szCs w:val="24"/>
        </w:rPr>
        <w:t xml:space="preserve"> </w:t>
      </w:r>
      <w:r w:rsidRPr="003C3025">
        <w:rPr>
          <w:rFonts w:eastAsia="Calibri" w:cs="Arial"/>
          <w:szCs w:val="24"/>
          <w:lang w:val="en-GB"/>
        </w:rPr>
        <w:t>and</w:t>
      </w:r>
      <w:r w:rsidRPr="003C3025">
        <w:rPr>
          <w:rFonts w:eastAsia="Calibri" w:cs="Arial"/>
          <w:szCs w:val="24"/>
        </w:rPr>
        <w:t xml:space="preserve"> </w:t>
      </w:r>
      <w:r w:rsidRPr="003C3025">
        <w:rPr>
          <w:rFonts w:eastAsia="Calibri" w:cs="Arial"/>
          <w:szCs w:val="24"/>
          <w:lang w:val="en-GB"/>
        </w:rPr>
        <w:t>Reporting</w:t>
      </w:r>
      <w:r w:rsidRPr="003C3025">
        <w:rPr>
          <w:rFonts w:eastAsia="Calibri" w:cs="Arial"/>
          <w:szCs w:val="24"/>
        </w:rPr>
        <w:t xml:space="preserve"> Standard’, който ги разделя на три основни групи, в зависимост от това какво трябва да бъде включено в изчислението на емисиите.</w:t>
      </w:r>
    </w:p>
    <w:p w14:paraId="36FBD05E"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Обхват 1: Директни газови емисии</w:t>
      </w:r>
    </w:p>
    <w:p w14:paraId="75756B9B" w14:textId="77777777" w:rsidR="003C3025" w:rsidRPr="003C3025" w:rsidRDefault="003C3025" w:rsidP="003C3025">
      <w:pPr>
        <w:spacing w:before="60" w:after="60"/>
        <w:jc w:val="both"/>
        <w:rPr>
          <w:rFonts w:eastAsia="Calibri" w:cs="Arial"/>
          <w:szCs w:val="24"/>
        </w:rPr>
      </w:pPr>
      <w:r w:rsidRPr="003C3025">
        <w:rPr>
          <w:rFonts w:eastAsia="Calibri" w:cs="Arial"/>
          <w:szCs w:val="24"/>
        </w:rPr>
        <w:t>Директните емисии на вредните газове физически се получават от източници, които произтичат от дейностите по проекта. Например емисии, произведени от изгарянето на изкопаеми горива, от промишлени процеси и от „скрити“ емисии, като хладилни агенти или изтичане на метан.</w:t>
      </w:r>
    </w:p>
    <w:p w14:paraId="34AE01C2"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Обхват 2: Индиректни газови емисии</w:t>
      </w:r>
    </w:p>
    <w:p w14:paraId="12865169" w14:textId="77777777" w:rsidR="003C3025" w:rsidRPr="003C3025" w:rsidRDefault="003C3025" w:rsidP="003C3025">
      <w:pPr>
        <w:spacing w:before="60" w:after="60"/>
        <w:jc w:val="both"/>
        <w:rPr>
          <w:rFonts w:eastAsia="Calibri" w:cs="Arial"/>
          <w:szCs w:val="24"/>
        </w:rPr>
      </w:pPr>
      <w:r w:rsidRPr="003C3025">
        <w:rPr>
          <w:rFonts w:eastAsia="Calibri" w:cs="Arial"/>
          <w:szCs w:val="24"/>
        </w:rPr>
        <w:t>Този обхват отчита непреките емисии на парникови газове, свързани с потреблението на енергия (електричество, отопление, охлаждане и пара), консумирани, но непроизведени от дейностите по проекта. Те се отчитат защото проектът има пряк контрол върху потреблението на енергия, например чрез подобряване с мерки за енергийна ефективност или преминаване към консумация на електроенергия от възобновяеми източници.</w:t>
      </w:r>
    </w:p>
    <w:p w14:paraId="45EDEC21" w14:textId="77777777" w:rsidR="003C3025" w:rsidRPr="003C3025" w:rsidRDefault="003C3025" w:rsidP="003C3025">
      <w:pPr>
        <w:spacing w:before="60" w:after="60"/>
        <w:jc w:val="both"/>
        <w:rPr>
          <w:rFonts w:eastAsia="Calibri" w:cs="Arial"/>
          <w:b/>
          <w:bCs/>
          <w:i/>
          <w:iCs/>
          <w:szCs w:val="24"/>
        </w:rPr>
      </w:pPr>
      <w:r w:rsidRPr="003C3025">
        <w:rPr>
          <w:rFonts w:eastAsia="Calibri" w:cs="Arial"/>
          <w:b/>
          <w:bCs/>
          <w:i/>
          <w:iCs/>
          <w:szCs w:val="24"/>
        </w:rPr>
        <w:t xml:space="preserve">Обхват 3: Други индиректни газови емисии </w:t>
      </w:r>
    </w:p>
    <w:p w14:paraId="538896AA"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Това са всички други косвени емисии, които могат да се считат, като за последица от дейностите по проекта (например емисии от производството или добива на суровини или суровини и емисии от превозни средства, от използването на пътна инфраструктура от превозните средства, включително емисии от потреблението на електроенергия на влакове и електрически превозни средства). </w:t>
      </w:r>
    </w:p>
    <w:p w14:paraId="3A08C815"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Следващата стъпка е определянето на тези граници при </w:t>
      </w:r>
      <w:r w:rsidRPr="003C3025">
        <w:rPr>
          <w:rFonts w:eastAsia="Calibri" w:cs="Arial"/>
          <w:szCs w:val="24"/>
          <w:u w:val="single"/>
        </w:rPr>
        <w:t>изчислението на Абсолютните и Сравнителните емисии,</w:t>
      </w:r>
      <w:r w:rsidRPr="003C3025">
        <w:rPr>
          <w:rFonts w:eastAsia="Calibri" w:cs="Arial"/>
          <w:szCs w:val="24"/>
        </w:rPr>
        <w:t xml:space="preserve"> защото в някои случаи тези граници в сценария СП и БП, респективно за двата вида емисии могат да бъдат различни.</w:t>
      </w:r>
    </w:p>
    <w:p w14:paraId="7DF09CAD" w14:textId="77777777" w:rsidR="003C3025" w:rsidRPr="003C3025" w:rsidRDefault="003C3025" w:rsidP="003C3025">
      <w:pPr>
        <w:spacing w:before="60" w:after="60"/>
        <w:jc w:val="both"/>
        <w:rPr>
          <w:rFonts w:eastAsia="Calibri" w:cs="Arial"/>
          <w:szCs w:val="24"/>
        </w:rPr>
      </w:pPr>
      <w:r w:rsidRPr="003C3025">
        <w:rPr>
          <w:rFonts w:eastAsia="Calibri" w:cs="Arial"/>
          <w:szCs w:val="24"/>
        </w:rPr>
        <w:t>В конкретния случай за проекта можем да определим, че границите са изцяло в обхват 3, защото и в сценария СП и в сценария БП ще се използва влиянието от газовите емисии, отделяни от съответните превозни средства, използващи двата вида на инфраструктура - пътна и пристанищна.</w:t>
      </w:r>
    </w:p>
    <w:p w14:paraId="12B78AE4"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Третата стъпка е </w:t>
      </w:r>
      <w:r w:rsidRPr="003C3025">
        <w:rPr>
          <w:rFonts w:eastAsia="Calibri" w:cs="Arial"/>
          <w:szCs w:val="24"/>
          <w:u w:val="single"/>
        </w:rPr>
        <w:t>определяне размера на вредните газови емисии</w:t>
      </w:r>
      <w:r w:rsidRPr="003C3025">
        <w:rPr>
          <w:rFonts w:eastAsia="Calibri" w:cs="Arial"/>
          <w:szCs w:val="24"/>
        </w:rPr>
        <w:t>.</w:t>
      </w:r>
    </w:p>
    <w:p w14:paraId="265811FD"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целта трябва да бъдат определени стойностите на Абсолютните и Сравнителните емисии по следната формула:</w:t>
      </w:r>
    </w:p>
    <w:p w14:paraId="1BB6E37D" w14:textId="77777777" w:rsidR="003C3025" w:rsidRPr="003C3025" w:rsidRDefault="003C3025" w:rsidP="003C3025">
      <w:pPr>
        <w:spacing w:before="60" w:after="60"/>
        <w:ind w:left="567"/>
        <w:jc w:val="both"/>
        <w:rPr>
          <w:rFonts w:eastAsia="Calibri" w:cs="Arial"/>
          <w:szCs w:val="24"/>
        </w:rPr>
      </w:pPr>
      <w:r w:rsidRPr="003C3025">
        <w:rPr>
          <w:rFonts w:eastAsia="Calibri" w:cs="Arial"/>
          <w:b/>
          <w:bCs/>
          <w:szCs w:val="24"/>
        </w:rPr>
        <w:t xml:space="preserve">Re= Аb – Be, </w:t>
      </w:r>
      <w:r w:rsidRPr="003C3025">
        <w:rPr>
          <w:rFonts w:eastAsia="Calibri" w:cs="Arial"/>
          <w:szCs w:val="24"/>
        </w:rPr>
        <w:t>където:</w:t>
      </w:r>
    </w:p>
    <w:p w14:paraId="5241FE50" w14:textId="77777777" w:rsidR="003C3025" w:rsidRPr="009963CE" w:rsidRDefault="003C3025" w:rsidP="003C3025">
      <w:pPr>
        <w:spacing w:before="60" w:after="60" w:line="240" w:lineRule="auto"/>
        <w:ind w:left="720"/>
        <w:jc w:val="both"/>
        <w:rPr>
          <w:rFonts w:eastAsia="Calibri" w:cs="Arial"/>
          <w:szCs w:val="24"/>
        </w:rPr>
      </w:pPr>
      <w:r w:rsidRPr="003C3025">
        <w:rPr>
          <w:rFonts w:eastAsia="Calibri" w:cs="Arial"/>
          <w:szCs w:val="24"/>
        </w:rPr>
        <w:t>Re е стойността на Сравнителните емисии</w:t>
      </w:r>
      <w:r w:rsidRPr="009963CE">
        <w:rPr>
          <w:rFonts w:eastAsia="Calibri" w:cs="Arial"/>
          <w:szCs w:val="24"/>
        </w:rPr>
        <w:t>;</w:t>
      </w:r>
    </w:p>
    <w:p w14:paraId="48C61CFA" w14:textId="77777777" w:rsidR="003C3025" w:rsidRPr="009963CE" w:rsidRDefault="003C3025" w:rsidP="003C3025">
      <w:pPr>
        <w:spacing w:before="60" w:after="60" w:line="240" w:lineRule="auto"/>
        <w:ind w:left="720"/>
        <w:jc w:val="both"/>
        <w:rPr>
          <w:rFonts w:eastAsia="Calibri" w:cs="Arial"/>
          <w:szCs w:val="24"/>
        </w:rPr>
      </w:pPr>
      <w:r w:rsidRPr="003C3025">
        <w:rPr>
          <w:rFonts w:eastAsia="Calibri" w:cs="Arial"/>
          <w:szCs w:val="24"/>
        </w:rPr>
        <w:t>Аb е стойността на Абсолютните емисии</w:t>
      </w:r>
      <w:r w:rsidRPr="009963CE">
        <w:rPr>
          <w:rFonts w:eastAsia="Calibri" w:cs="Arial"/>
          <w:szCs w:val="24"/>
        </w:rPr>
        <w:t>;</w:t>
      </w:r>
    </w:p>
    <w:p w14:paraId="73527B75" w14:textId="77777777" w:rsidR="003C3025" w:rsidRPr="003C3025" w:rsidRDefault="003C3025" w:rsidP="003C3025">
      <w:pPr>
        <w:spacing w:before="60" w:after="60" w:line="240" w:lineRule="auto"/>
        <w:ind w:left="720"/>
        <w:jc w:val="both"/>
        <w:rPr>
          <w:rFonts w:eastAsia="Calibri" w:cs="Arial"/>
          <w:szCs w:val="24"/>
        </w:rPr>
      </w:pPr>
      <w:r w:rsidRPr="003C3025">
        <w:rPr>
          <w:rFonts w:eastAsia="Calibri" w:cs="Arial"/>
          <w:szCs w:val="24"/>
        </w:rPr>
        <w:t>Be е стойността на Базовите емисии.</w:t>
      </w:r>
    </w:p>
    <w:p w14:paraId="3E573323" w14:textId="77777777" w:rsidR="003C3025" w:rsidRPr="003C3025" w:rsidRDefault="003C3025" w:rsidP="003C3025">
      <w:pPr>
        <w:spacing w:before="60" w:after="60"/>
        <w:jc w:val="both"/>
        <w:rPr>
          <w:rFonts w:eastAsia="Calibri" w:cs="Arial"/>
          <w:szCs w:val="24"/>
        </w:rPr>
      </w:pPr>
    </w:p>
    <w:p w14:paraId="32519477" w14:textId="77777777" w:rsidR="003C3025" w:rsidRPr="003C3025" w:rsidRDefault="003C3025" w:rsidP="003C3025">
      <w:pPr>
        <w:spacing w:before="60" w:after="60"/>
        <w:jc w:val="both"/>
        <w:rPr>
          <w:rFonts w:eastAsia="Calibri" w:cs="Arial"/>
          <w:szCs w:val="24"/>
        </w:rPr>
      </w:pPr>
      <w:r w:rsidRPr="003C3025">
        <w:rPr>
          <w:rFonts w:eastAsia="Calibri" w:cs="Arial"/>
          <w:szCs w:val="24"/>
        </w:rPr>
        <w:lastRenderedPageBreak/>
        <w:t>В използваната Методология се дефинират различни видове Емисионни фактори, с помощта на които може да бъде използвана методологията. За всеки конкретен проект биха могли да се използват и други Емисионни фактори, стига да отговарят на посочените по-горе основни принципи.</w:t>
      </w:r>
    </w:p>
    <w:p w14:paraId="7EB96F65"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Абсолютните емисии (Ab) представляват количеството отделяни газови емисии по време на една типична година от реализацията на проекта или това са емисиите, отделяни в сценария СП, за година, когато е достигнат пълния капацитет на активите, след въвеждане в експлоатация, през които няма планирани спирания за подмяна на машини и оборудване или планиран ремонт. </w:t>
      </w:r>
    </w:p>
    <w:p w14:paraId="2AF3718D" w14:textId="77777777" w:rsidR="003C3025" w:rsidRPr="003C3025" w:rsidRDefault="003C3025" w:rsidP="003C3025">
      <w:pPr>
        <w:spacing w:before="60" w:after="60"/>
        <w:jc w:val="both"/>
        <w:rPr>
          <w:rFonts w:eastAsia="Calibri" w:cs="Arial"/>
          <w:szCs w:val="24"/>
        </w:rPr>
      </w:pPr>
      <w:r w:rsidRPr="003C3025">
        <w:rPr>
          <w:rFonts w:eastAsia="Calibri" w:cs="Arial"/>
          <w:szCs w:val="24"/>
        </w:rPr>
        <w:t>Абсолютните емисии се изчисляват на база специфични данни за проекта. Когато в предварителните прочувания няма налични такива данни или те се определят още на фаза Предварителни проучвания, какъвто е конкретния случай, се препоръчва да се използват специфични за сектора данни. Такива данни могат да бъдат на национално и/или средно Европейски ниво, ако няма национални проучвания, изследвания или указания за техните параметри. В конкретния случай, тези фактори са отчетени в модела Vademecum.</w:t>
      </w:r>
    </w:p>
    <w:p w14:paraId="5857EB70" w14:textId="77777777" w:rsidR="003C3025" w:rsidRPr="003C3025" w:rsidRDefault="003C3025" w:rsidP="003C3025">
      <w:pPr>
        <w:spacing w:before="60" w:after="60"/>
        <w:jc w:val="both"/>
        <w:rPr>
          <w:rFonts w:eastAsia="Calibri" w:cs="Arial"/>
          <w:szCs w:val="24"/>
        </w:rPr>
      </w:pPr>
      <w:r w:rsidRPr="003C3025">
        <w:rPr>
          <w:rFonts w:eastAsia="Calibri" w:cs="Arial"/>
          <w:szCs w:val="24"/>
        </w:rPr>
        <w:t>Базовите емисии представляват количествата газови емисии, които биха продължили да се отделят, без реализацията на проекта, т.е. в сценария БП, за да може да се направи сравнението между двата сценария и да се получи желаната стойност на Сравнителните емисии. Тъй като обикновено проучванията са съсредоточени върху данни и информация за сценария СП, трябва да се внимава в допусканията и информацията за сценария БП, както и в използваните единични стойности, за да не се допусне значително ниво на несигурност в крайните резултати, но в конкретния случай, те вече са отчетени чрез  модела Vademecum.</w:t>
      </w:r>
    </w:p>
    <w:p w14:paraId="3FF010E3" w14:textId="77777777" w:rsidR="003C3025" w:rsidRPr="003C3025" w:rsidRDefault="003C3025" w:rsidP="003C3025">
      <w:pPr>
        <w:spacing w:before="60" w:after="60"/>
        <w:jc w:val="both"/>
        <w:rPr>
          <w:rFonts w:eastAsia="Calibri" w:cs="Arial"/>
          <w:szCs w:val="24"/>
        </w:rPr>
      </w:pPr>
      <w:r w:rsidRPr="003C3025">
        <w:rPr>
          <w:rFonts w:eastAsia="Calibri" w:cs="Arial"/>
          <w:szCs w:val="24"/>
        </w:rPr>
        <w:t xml:space="preserve">Сравнителните емисии са разликата между определените стойности на Абсолютните емисии и Базовите емисии за една типична година за проекта. Те могат да имат положителна стойност, когато ново изградените активи или дейности по проекта изискват по-енергоемки технологии или по-висок разход на горива, в сравнение със съществуващите или в случаи когато реализацията на проекта би довела до ръст на трафик, в сравнение със сценария БП. </w:t>
      </w:r>
    </w:p>
    <w:p w14:paraId="77C4AF33" w14:textId="77777777" w:rsidR="003C3025" w:rsidRPr="003C3025" w:rsidRDefault="003C3025" w:rsidP="003C3025">
      <w:pPr>
        <w:spacing w:before="60" w:after="60"/>
        <w:jc w:val="both"/>
        <w:rPr>
          <w:rFonts w:eastAsia="Calibri" w:cs="Arial"/>
          <w:szCs w:val="24"/>
        </w:rPr>
      </w:pPr>
      <w:r w:rsidRPr="003C3025">
        <w:rPr>
          <w:rFonts w:eastAsia="Calibri" w:cs="Arial"/>
          <w:szCs w:val="24"/>
        </w:rPr>
        <w:t>Когато стойността на Сравнителните емисии е отрицателна, без значение от основанието на получения резултат, казваме че проектът спестява/ намалява отделяните газови емисии, в сравнение със съществуващото положение. Когато се избират различни стратегически варианти, този индикатор би могъл да се използва в групата на екологичните такива за избор на най-подходящата алтернатива.</w:t>
      </w:r>
    </w:p>
    <w:p w14:paraId="690F474B" w14:textId="77777777" w:rsidR="003C3025" w:rsidRDefault="003C3025" w:rsidP="003C3025">
      <w:pPr>
        <w:spacing w:before="60" w:after="60"/>
        <w:jc w:val="both"/>
        <w:rPr>
          <w:rFonts w:eastAsia="Calibri" w:cs="Arial"/>
          <w:i/>
          <w:szCs w:val="24"/>
        </w:rPr>
      </w:pPr>
    </w:p>
    <w:p w14:paraId="0A2EFB44" w14:textId="77777777" w:rsidR="003C3025" w:rsidRDefault="003C3025" w:rsidP="003C3025">
      <w:pPr>
        <w:spacing w:before="60" w:after="60"/>
        <w:jc w:val="both"/>
        <w:rPr>
          <w:rFonts w:eastAsia="Calibri" w:cs="Arial"/>
          <w:i/>
          <w:szCs w:val="24"/>
        </w:rPr>
      </w:pPr>
    </w:p>
    <w:p w14:paraId="4F823675" w14:textId="77777777" w:rsidR="003C3025" w:rsidRPr="003C3025" w:rsidRDefault="003C3025" w:rsidP="003C3025">
      <w:pPr>
        <w:spacing w:before="60" w:after="60"/>
        <w:jc w:val="both"/>
        <w:rPr>
          <w:rFonts w:eastAsia="Calibri" w:cs="Arial"/>
          <w:i/>
          <w:szCs w:val="24"/>
        </w:rPr>
      </w:pPr>
      <w:r w:rsidRPr="003C3025">
        <w:rPr>
          <w:rFonts w:eastAsia="Calibri" w:cs="Arial"/>
          <w:i/>
          <w:szCs w:val="24"/>
        </w:rPr>
        <w:lastRenderedPageBreak/>
        <w:t>Основни допускания</w:t>
      </w:r>
    </w:p>
    <w:p w14:paraId="516FF4F4" w14:textId="77777777" w:rsidR="003C3025" w:rsidRPr="009963CE" w:rsidRDefault="003C3025" w:rsidP="003C3025">
      <w:pPr>
        <w:spacing w:before="60" w:after="60"/>
        <w:jc w:val="both"/>
        <w:rPr>
          <w:rFonts w:eastAsia="Calibri" w:cs="Arial"/>
          <w:szCs w:val="24"/>
        </w:rPr>
      </w:pPr>
      <w:r w:rsidRPr="003C3025">
        <w:rPr>
          <w:rFonts w:eastAsia="Calibri" w:cs="Arial"/>
          <w:szCs w:val="24"/>
        </w:rPr>
        <w:t>При определяне на ползите от намаляване на вредните газови емисии в модела Vademecum са отчетени абсолютните и базовите емисии и направо са показани резултатите от сравнителните емисии в стойност. За да се получат количествата парникови газове техните общи стойности за сравнителните емисии са разделени на единичните стойности на СО2, определени в Technical guidance on the climate proofing of infrastructure in the period 2021-2027</w:t>
      </w:r>
      <w:r w:rsidRPr="009963CE">
        <w:rPr>
          <w:rFonts w:eastAsia="Calibri" w:cs="Arial"/>
          <w:szCs w:val="24"/>
        </w:rPr>
        <w:t>.</w:t>
      </w:r>
    </w:p>
    <w:p w14:paraId="4F15154C"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определяне на количествата парникови газове, отчитайки резултатите от модела Vademecum са използвани:</w:t>
      </w:r>
    </w:p>
    <w:p w14:paraId="76DEEA95" w14:textId="77777777" w:rsidR="003C3025" w:rsidRPr="003C3025" w:rsidRDefault="003C3025" w:rsidP="00BF37F2">
      <w:pPr>
        <w:pStyle w:val="ListParagraph"/>
        <w:numPr>
          <w:ilvl w:val="0"/>
          <w:numId w:val="35"/>
        </w:numPr>
        <w:spacing w:after="60"/>
        <w:jc w:val="both"/>
        <w:rPr>
          <w:rFonts w:ascii="Arial" w:eastAsia="Calibri" w:hAnsi="Arial" w:cs="Arial"/>
          <w:szCs w:val="24"/>
          <w:lang w:eastAsia="bg-BG"/>
        </w:rPr>
      </w:pPr>
      <w:r w:rsidRPr="003C3025">
        <w:rPr>
          <w:rFonts w:ascii="Arial" w:eastAsia="Calibri" w:hAnsi="Arial" w:cs="Arial"/>
          <w:szCs w:val="24"/>
          <w:lang w:eastAsia="bg-BG"/>
        </w:rPr>
        <w:t>Определените референтни стойности за отделените GHG в избрана типична година за проекта</w:t>
      </w:r>
      <w:r w:rsidRPr="009963CE">
        <w:rPr>
          <w:rFonts w:ascii="Arial" w:eastAsia="Calibri" w:hAnsi="Arial" w:cs="Arial"/>
          <w:szCs w:val="24"/>
          <w:lang w:eastAsia="bg-BG"/>
        </w:rPr>
        <w:t>;</w:t>
      </w:r>
    </w:p>
    <w:p w14:paraId="60DA5E7F" w14:textId="77777777" w:rsidR="003C3025" w:rsidRPr="003C3025" w:rsidRDefault="003C3025" w:rsidP="00BF37F2">
      <w:pPr>
        <w:pStyle w:val="ListParagraph"/>
        <w:numPr>
          <w:ilvl w:val="0"/>
          <w:numId w:val="35"/>
        </w:numPr>
        <w:spacing w:after="60"/>
        <w:jc w:val="both"/>
        <w:rPr>
          <w:rFonts w:ascii="Arial" w:eastAsia="Calibri" w:hAnsi="Arial" w:cs="Arial"/>
          <w:szCs w:val="24"/>
          <w:lang w:eastAsia="bg-BG"/>
        </w:rPr>
      </w:pPr>
      <w:r w:rsidRPr="003C3025">
        <w:rPr>
          <w:rFonts w:ascii="Arial" w:eastAsia="Calibri" w:hAnsi="Arial" w:cs="Arial"/>
          <w:szCs w:val="24"/>
          <w:lang w:eastAsia="bg-BG"/>
        </w:rPr>
        <w:t>Единични стойности на СО2, посочени в Technical guidance on the climate proofing of infrastructure in the period 2021-2027</w:t>
      </w:r>
      <w:r w:rsidRPr="003C3025">
        <w:rPr>
          <w:rFonts w:ascii="Arial" w:eastAsia="Calibri" w:hAnsi="Arial" w:cs="Arial"/>
          <w:szCs w:val="24"/>
          <w:lang w:val="en-US" w:eastAsia="bg-BG"/>
        </w:rPr>
        <w:t>.</w:t>
      </w:r>
    </w:p>
    <w:p w14:paraId="34681E75" w14:textId="77777777" w:rsidR="003C3025" w:rsidRPr="003C3025" w:rsidRDefault="003C3025" w:rsidP="003C3025">
      <w:pPr>
        <w:pStyle w:val="ListParagraph"/>
        <w:spacing w:after="60"/>
        <w:jc w:val="both"/>
        <w:rPr>
          <w:rFonts w:ascii="Arial" w:eastAsia="Calibri" w:hAnsi="Arial" w:cs="Arial"/>
          <w:szCs w:val="24"/>
          <w:lang w:eastAsia="bg-BG"/>
        </w:rPr>
      </w:pPr>
    </w:p>
    <w:p w14:paraId="19652CB2" w14:textId="77777777" w:rsidR="003C3025" w:rsidRPr="003C3025" w:rsidRDefault="003C3025" w:rsidP="003C3025">
      <w:pPr>
        <w:spacing w:before="60" w:after="60"/>
        <w:jc w:val="both"/>
        <w:rPr>
          <w:rFonts w:eastAsia="Calibri" w:cs="Arial"/>
          <w:szCs w:val="24"/>
        </w:rPr>
      </w:pPr>
      <w:r w:rsidRPr="003C3025">
        <w:rPr>
          <w:rFonts w:eastAsia="Calibri" w:cs="Arial"/>
          <w:szCs w:val="24"/>
        </w:rPr>
        <w:t>Единичните стойности на СО2 са показани в следващата таблица:</w:t>
      </w:r>
    </w:p>
    <w:p w14:paraId="5970795C" w14:textId="77777777" w:rsidR="003C3025" w:rsidRPr="009963CE" w:rsidRDefault="003C3025" w:rsidP="003C3025">
      <w:pPr>
        <w:tabs>
          <w:tab w:val="left" w:pos="1418"/>
        </w:tabs>
        <w:spacing w:before="60" w:after="60"/>
        <w:jc w:val="both"/>
        <w:rPr>
          <w:rFonts w:eastAsia="Calibri" w:cs="Arial"/>
          <w:i/>
          <w:color w:val="000000"/>
          <w:sz w:val="22"/>
          <w:lang w:eastAsia="en-US"/>
        </w:rPr>
      </w:pPr>
      <w:bookmarkStart w:id="337" w:name="_Toc143607977"/>
      <w:bookmarkStart w:id="338" w:name="_Toc17409907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30</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Прогнозни единични стойности на СО2</w:t>
      </w:r>
      <w:bookmarkEnd w:id="337"/>
      <w:bookmarkEnd w:id="338"/>
    </w:p>
    <w:tbl>
      <w:tblPr>
        <w:tblStyle w:val="LightList-Accent111"/>
        <w:tblW w:w="8410" w:type="dxa"/>
        <w:tblLayout w:type="fixed"/>
        <w:tblLook w:val="04A0" w:firstRow="1" w:lastRow="0" w:firstColumn="1" w:lastColumn="0" w:noHBand="0" w:noVBand="1"/>
      </w:tblPr>
      <w:tblGrid>
        <w:gridCol w:w="1250"/>
        <w:gridCol w:w="1579"/>
        <w:gridCol w:w="1211"/>
        <w:gridCol w:w="1580"/>
        <w:gridCol w:w="1210"/>
        <w:gridCol w:w="1580"/>
      </w:tblGrid>
      <w:tr w:rsidR="003C3025" w:rsidRPr="00AD153C" w14:paraId="1310E8C7" w14:textId="77777777" w:rsidTr="00CD0DCD">
        <w:trPr>
          <w:cnfStyle w:val="100000000000" w:firstRow="1" w:lastRow="0" w:firstColumn="0" w:lastColumn="0" w:oddVBand="0" w:evenVBand="0" w:oddHBand="0" w:evenHBand="0" w:firstRowFirstColumn="0" w:firstRowLastColumn="0" w:lastRowFirstColumn="0" w:lastRowLastColumn="0"/>
          <w:trHeight w:val="348"/>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4AECB050" w14:textId="77777777" w:rsidR="003C3025" w:rsidRPr="003C3025" w:rsidRDefault="003C3025" w:rsidP="003C3025">
            <w:pPr>
              <w:jc w:val="center"/>
              <w:rPr>
                <w:rFonts w:cs="Arial"/>
                <w:b w:val="0"/>
                <w:bCs w:val="0"/>
                <w:color w:val="333333"/>
                <w:sz w:val="22"/>
              </w:rPr>
            </w:pPr>
            <w:r w:rsidRPr="003C3025">
              <w:rPr>
                <w:rFonts w:cs="Arial"/>
                <w:color w:val="333333"/>
                <w:sz w:val="22"/>
              </w:rPr>
              <w:t>Година</w:t>
            </w:r>
          </w:p>
        </w:tc>
        <w:tc>
          <w:tcPr>
            <w:tcW w:w="1579" w:type="dxa"/>
            <w:vAlign w:val="center"/>
            <w:hideMark/>
          </w:tcPr>
          <w:p w14:paraId="7534CA7F"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c>
          <w:tcPr>
            <w:tcW w:w="1211" w:type="dxa"/>
            <w:vAlign w:val="center"/>
            <w:hideMark/>
          </w:tcPr>
          <w:p w14:paraId="05495763"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Година</w:t>
            </w:r>
          </w:p>
        </w:tc>
        <w:tc>
          <w:tcPr>
            <w:tcW w:w="1580" w:type="dxa"/>
            <w:vAlign w:val="center"/>
            <w:hideMark/>
          </w:tcPr>
          <w:p w14:paraId="69AA1E25"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c>
          <w:tcPr>
            <w:tcW w:w="1210" w:type="dxa"/>
            <w:vAlign w:val="center"/>
            <w:hideMark/>
          </w:tcPr>
          <w:p w14:paraId="3E535F96"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Година</w:t>
            </w:r>
          </w:p>
        </w:tc>
        <w:tc>
          <w:tcPr>
            <w:tcW w:w="1580" w:type="dxa"/>
            <w:vAlign w:val="center"/>
            <w:hideMark/>
          </w:tcPr>
          <w:p w14:paraId="1F86D7C8" w14:textId="77777777" w:rsidR="003C3025" w:rsidRPr="003C3025"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333333"/>
                <w:sz w:val="22"/>
              </w:rPr>
            </w:pPr>
            <w:r w:rsidRPr="003C3025">
              <w:rPr>
                <w:rFonts w:cs="Arial"/>
                <w:color w:val="333333"/>
                <w:sz w:val="22"/>
              </w:rPr>
              <w:t>EUR/tCO</w:t>
            </w:r>
            <w:r w:rsidRPr="003C3025">
              <w:rPr>
                <w:rFonts w:cs="Arial"/>
                <w:color w:val="333333"/>
                <w:sz w:val="22"/>
                <w:vertAlign w:val="subscript"/>
              </w:rPr>
              <w:t>2</w:t>
            </w:r>
            <w:r w:rsidRPr="003C3025">
              <w:rPr>
                <w:rFonts w:cs="Arial"/>
                <w:color w:val="333333"/>
                <w:sz w:val="22"/>
              </w:rPr>
              <w:t>e</w:t>
            </w:r>
          </w:p>
        </w:tc>
      </w:tr>
      <w:tr w:rsidR="003C3025" w:rsidRPr="00AD153C" w14:paraId="41424BAB" w14:textId="77777777" w:rsidTr="00CD0DCD">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ABEDAF6"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2020</w:t>
            </w:r>
          </w:p>
        </w:tc>
        <w:tc>
          <w:tcPr>
            <w:tcW w:w="1579" w:type="dxa"/>
            <w:vAlign w:val="center"/>
            <w:hideMark/>
          </w:tcPr>
          <w:p w14:paraId="56E2B97A"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80</w:t>
            </w:r>
          </w:p>
        </w:tc>
        <w:tc>
          <w:tcPr>
            <w:tcW w:w="1211" w:type="dxa"/>
            <w:vAlign w:val="center"/>
            <w:hideMark/>
          </w:tcPr>
          <w:p w14:paraId="52F25A4E"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2030</w:t>
            </w:r>
          </w:p>
        </w:tc>
        <w:tc>
          <w:tcPr>
            <w:tcW w:w="1580" w:type="dxa"/>
            <w:vAlign w:val="center"/>
            <w:hideMark/>
          </w:tcPr>
          <w:p w14:paraId="367F4C23"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250</w:t>
            </w:r>
          </w:p>
        </w:tc>
        <w:tc>
          <w:tcPr>
            <w:tcW w:w="1210" w:type="dxa"/>
            <w:vAlign w:val="center"/>
            <w:hideMark/>
          </w:tcPr>
          <w:p w14:paraId="4C98A079"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2040</w:t>
            </w:r>
          </w:p>
        </w:tc>
        <w:tc>
          <w:tcPr>
            <w:tcW w:w="1580" w:type="dxa"/>
            <w:vAlign w:val="center"/>
            <w:hideMark/>
          </w:tcPr>
          <w:p w14:paraId="16511FEC"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525</w:t>
            </w:r>
          </w:p>
        </w:tc>
      </w:tr>
      <w:tr w:rsidR="003C3025" w:rsidRPr="00AD153C" w14:paraId="0062BE9B"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275DBC09"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2021</w:t>
            </w:r>
          </w:p>
        </w:tc>
        <w:tc>
          <w:tcPr>
            <w:tcW w:w="1579" w:type="dxa"/>
            <w:vAlign w:val="center"/>
            <w:hideMark/>
          </w:tcPr>
          <w:p w14:paraId="520361BC"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97</w:t>
            </w:r>
          </w:p>
        </w:tc>
        <w:tc>
          <w:tcPr>
            <w:tcW w:w="1211" w:type="dxa"/>
            <w:vAlign w:val="center"/>
            <w:hideMark/>
          </w:tcPr>
          <w:p w14:paraId="66C9598A"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2031</w:t>
            </w:r>
          </w:p>
        </w:tc>
        <w:tc>
          <w:tcPr>
            <w:tcW w:w="1580" w:type="dxa"/>
            <w:vAlign w:val="center"/>
            <w:hideMark/>
          </w:tcPr>
          <w:p w14:paraId="557CE0B8"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278</w:t>
            </w:r>
          </w:p>
        </w:tc>
        <w:tc>
          <w:tcPr>
            <w:tcW w:w="1210" w:type="dxa"/>
            <w:vAlign w:val="center"/>
            <w:hideMark/>
          </w:tcPr>
          <w:p w14:paraId="32C5C7AA"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2041</w:t>
            </w:r>
          </w:p>
        </w:tc>
        <w:tc>
          <w:tcPr>
            <w:tcW w:w="1580" w:type="dxa"/>
            <w:vAlign w:val="center"/>
            <w:hideMark/>
          </w:tcPr>
          <w:p w14:paraId="68898FE9"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552</w:t>
            </w:r>
          </w:p>
        </w:tc>
      </w:tr>
      <w:tr w:rsidR="003C3025" w:rsidRPr="00AD153C" w14:paraId="461E1111"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6736F56E"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2022</w:t>
            </w:r>
          </w:p>
        </w:tc>
        <w:tc>
          <w:tcPr>
            <w:tcW w:w="1579" w:type="dxa"/>
            <w:vAlign w:val="center"/>
            <w:hideMark/>
          </w:tcPr>
          <w:p w14:paraId="427274D9"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114</w:t>
            </w:r>
          </w:p>
        </w:tc>
        <w:tc>
          <w:tcPr>
            <w:tcW w:w="1211" w:type="dxa"/>
            <w:vAlign w:val="center"/>
            <w:hideMark/>
          </w:tcPr>
          <w:p w14:paraId="3BF982AC"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2032</w:t>
            </w:r>
          </w:p>
        </w:tc>
        <w:tc>
          <w:tcPr>
            <w:tcW w:w="1580" w:type="dxa"/>
            <w:vAlign w:val="center"/>
            <w:hideMark/>
          </w:tcPr>
          <w:p w14:paraId="6E16D227"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306</w:t>
            </w:r>
          </w:p>
        </w:tc>
        <w:tc>
          <w:tcPr>
            <w:tcW w:w="1210" w:type="dxa"/>
            <w:vAlign w:val="center"/>
            <w:hideMark/>
          </w:tcPr>
          <w:p w14:paraId="7C8921EB"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2042</w:t>
            </w:r>
          </w:p>
        </w:tc>
        <w:tc>
          <w:tcPr>
            <w:tcW w:w="1580" w:type="dxa"/>
            <w:vAlign w:val="center"/>
            <w:hideMark/>
          </w:tcPr>
          <w:p w14:paraId="33E72909"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579</w:t>
            </w:r>
          </w:p>
        </w:tc>
      </w:tr>
      <w:tr w:rsidR="003C3025" w:rsidRPr="00AD153C" w14:paraId="5E174CEE"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A818801"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2023</w:t>
            </w:r>
          </w:p>
        </w:tc>
        <w:tc>
          <w:tcPr>
            <w:tcW w:w="1579" w:type="dxa"/>
            <w:vAlign w:val="center"/>
            <w:hideMark/>
          </w:tcPr>
          <w:p w14:paraId="264B4523"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131</w:t>
            </w:r>
          </w:p>
        </w:tc>
        <w:tc>
          <w:tcPr>
            <w:tcW w:w="1211" w:type="dxa"/>
            <w:vAlign w:val="center"/>
            <w:hideMark/>
          </w:tcPr>
          <w:p w14:paraId="30A82117"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2033</w:t>
            </w:r>
          </w:p>
        </w:tc>
        <w:tc>
          <w:tcPr>
            <w:tcW w:w="1580" w:type="dxa"/>
            <w:vAlign w:val="center"/>
            <w:hideMark/>
          </w:tcPr>
          <w:p w14:paraId="3D0A2CDF"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334</w:t>
            </w:r>
          </w:p>
        </w:tc>
        <w:tc>
          <w:tcPr>
            <w:tcW w:w="1210" w:type="dxa"/>
            <w:vAlign w:val="center"/>
            <w:hideMark/>
          </w:tcPr>
          <w:p w14:paraId="4A6845B9"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2043</w:t>
            </w:r>
          </w:p>
        </w:tc>
        <w:tc>
          <w:tcPr>
            <w:tcW w:w="1580" w:type="dxa"/>
            <w:vAlign w:val="center"/>
            <w:hideMark/>
          </w:tcPr>
          <w:p w14:paraId="1D479477"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606</w:t>
            </w:r>
          </w:p>
        </w:tc>
      </w:tr>
      <w:tr w:rsidR="003C3025" w:rsidRPr="00AD153C" w14:paraId="7E80AA39"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EEF2D0A"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2024</w:t>
            </w:r>
          </w:p>
        </w:tc>
        <w:tc>
          <w:tcPr>
            <w:tcW w:w="1579" w:type="dxa"/>
            <w:vAlign w:val="center"/>
            <w:hideMark/>
          </w:tcPr>
          <w:p w14:paraId="789FA5A8"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148</w:t>
            </w:r>
          </w:p>
        </w:tc>
        <w:tc>
          <w:tcPr>
            <w:tcW w:w="1211" w:type="dxa"/>
            <w:vAlign w:val="center"/>
            <w:hideMark/>
          </w:tcPr>
          <w:p w14:paraId="1FA313BF"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2034</w:t>
            </w:r>
          </w:p>
        </w:tc>
        <w:tc>
          <w:tcPr>
            <w:tcW w:w="1580" w:type="dxa"/>
            <w:vAlign w:val="center"/>
            <w:hideMark/>
          </w:tcPr>
          <w:p w14:paraId="4E3947A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362</w:t>
            </w:r>
          </w:p>
        </w:tc>
        <w:tc>
          <w:tcPr>
            <w:tcW w:w="1210" w:type="dxa"/>
            <w:vAlign w:val="center"/>
            <w:hideMark/>
          </w:tcPr>
          <w:p w14:paraId="067E8D2A"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2044</w:t>
            </w:r>
          </w:p>
        </w:tc>
        <w:tc>
          <w:tcPr>
            <w:tcW w:w="1580" w:type="dxa"/>
            <w:vAlign w:val="center"/>
            <w:hideMark/>
          </w:tcPr>
          <w:p w14:paraId="3FFA4047"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633</w:t>
            </w:r>
          </w:p>
        </w:tc>
      </w:tr>
      <w:tr w:rsidR="003C3025" w:rsidRPr="00AD153C" w14:paraId="7DD57368"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290F4305"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2025</w:t>
            </w:r>
          </w:p>
        </w:tc>
        <w:tc>
          <w:tcPr>
            <w:tcW w:w="1579" w:type="dxa"/>
            <w:vAlign w:val="center"/>
            <w:hideMark/>
          </w:tcPr>
          <w:p w14:paraId="498AE97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165</w:t>
            </w:r>
          </w:p>
        </w:tc>
        <w:tc>
          <w:tcPr>
            <w:tcW w:w="1211" w:type="dxa"/>
            <w:vAlign w:val="center"/>
            <w:hideMark/>
          </w:tcPr>
          <w:p w14:paraId="712B3B1E"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2035</w:t>
            </w:r>
          </w:p>
        </w:tc>
        <w:tc>
          <w:tcPr>
            <w:tcW w:w="1580" w:type="dxa"/>
            <w:vAlign w:val="center"/>
            <w:hideMark/>
          </w:tcPr>
          <w:p w14:paraId="2287D347"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390</w:t>
            </w:r>
          </w:p>
        </w:tc>
        <w:tc>
          <w:tcPr>
            <w:tcW w:w="1210" w:type="dxa"/>
            <w:vAlign w:val="center"/>
            <w:hideMark/>
          </w:tcPr>
          <w:p w14:paraId="4FC11B7D"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2045</w:t>
            </w:r>
          </w:p>
        </w:tc>
        <w:tc>
          <w:tcPr>
            <w:tcW w:w="1580" w:type="dxa"/>
            <w:vAlign w:val="center"/>
            <w:hideMark/>
          </w:tcPr>
          <w:p w14:paraId="3E487C4D"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660</w:t>
            </w:r>
          </w:p>
        </w:tc>
      </w:tr>
      <w:tr w:rsidR="003C3025" w:rsidRPr="00AD153C" w14:paraId="5E4C6A9D"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00B94A08"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2026</w:t>
            </w:r>
          </w:p>
        </w:tc>
        <w:tc>
          <w:tcPr>
            <w:tcW w:w="1579" w:type="dxa"/>
            <w:vAlign w:val="center"/>
            <w:hideMark/>
          </w:tcPr>
          <w:p w14:paraId="5F59C21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182</w:t>
            </w:r>
          </w:p>
        </w:tc>
        <w:tc>
          <w:tcPr>
            <w:tcW w:w="1211" w:type="dxa"/>
            <w:vAlign w:val="center"/>
            <w:hideMark/>
          </w:tcPr>
          <w:p w14:paraId="1177B424"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2036</w:t>
            </w:r>
          </w:p>
        </w:tc>
        <w:tc>
          <w:tcPr>
            <w:tcW w:w="1580" w:type="dxa"/>
            <w:vAlign w:val="center"/>
            <w:hideMark/>
          </w:tcPr>
          <w:p w14:paraId="38468878"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417</w:t>
            </w:r>
          </w:p>
        </w:tc>
        <w:tc>
          <w:tcPr>
            <w:tcW w:w="1210" w:type="dxa"/>
            <w:vAlign w:val="center"/>
            <w:hideMark/>
          </w:tcPr>
          <w:p w14:paraId="04EE30B3"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2046</w:t>
            </w:r>
          </w:p>
        </w:tc>
        <w:tc>
          <w:tcPr>
            <w:tcW w:w="1580" w:type="dxa"/>
            <w:vAlign w:val="center"/>
            <w:hideMark/>
          </w:tcPr>
          <w:p w14:paraId="40CEF2FB"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688</w:t>
            </w:r>
          </w:p>
        </w:tc>
      </w:tr>
      <w:tr w:rsidR="003C3025" w:rsidRPr="00AD153C" w14:paraId="28FB7322"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4A2E44D"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2027</w:t>
            </w:r>
          </w:p>
        </w:tc>
        <w:tc>
          <w:tcPr>
            <w:tcW w:w="1579" w:type="dxa"/>
            <w:vAlign w:val="center"/>
            <w:hideMark/>
          </w:tcPr>
          <w:p w14:paraId="681D1A9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199</w:t>
            </w:r>
          </w:p>
        </w:tc>
        <w:tc>
          <w:tcPr>
            <w:tcW w:w="1211" w:type="dxa"/>
            <w:vAlign w:val="center"/>
            <w:hideMark/>
          </w:tcPr>
          <w:p w14:paraId="3F91EAAC"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2037</w:t>
            </w:r>
          </w:p>
        </w:tc>
        <w:tc>
          <w:tcPr>
            <w:tcW w:w="1580" w:type="dxa"/>
            <w:vAlign w:val="center"/>
            <w:hideMark/>
          </w:tcPr>
          <w:p w14:paraId="5BE49DD4"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444</w:t>
            </w:r>
          </w:p>
        </w:tc>
        <w:tc>
          <w:tcPr>
            <w:tcW w:w="1210" w:type="dxa"/>
            <w:vAlign w:val="center"/>
            <w:hideMark/>
          </w:tcPr>
          <w:p w14:paraId="6C87A395"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2047</w:t>
            </w:r>
          </w:p>
        </w:tc>
        <w:tc>
          <w:tcPr>
            <w:tcW w:w="1580" w:type="dxa"/>
            <w:vAlign w:val="center"/>
            <w:hideMark/>
          </w:tcPr>
          <w:p w14:paraId="2A9B759B"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716</w:t>
            </w:r>
          </w:p>
        </w:tc>
      </w:tr>
      <w:tr w:rsidR="003C3025" w:rsidRPr="00AD153C" w14:paraId="64CD786F" w14:textId="77777777" w:rsidTr="00CD0DCD">
        <w:trPr>
          <w:cnfStyle w:val="000000100000" w:firstRow="0" w:lastRow="0" w:firstColumn="0" w:lastColumn="0" w:oddVBand="0" w:evenVBand="0" w:oddHBand="1" w:evenHBand="0" w:firstRowFirstColumn="0" w:firstRowLastColumn="0" w:lastRowFirstColumn="0" w:lastRowLastColumn="0"/>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517C9F31"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2028</w:t>
            </w:r>
          </w:p>
        </w:tc>
        <w:tc>
          <w:tcPr>
            <w:tcW w:w="1579" w:type="dxa"/>
            <w:vAlign w:val="center"/>
            <w:hideMark/>
          </w:tcPr>
          <w:p w14:paraId="34F3EB5A"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216</w:t>
            </w:r>
          </w:p>
        </w:tc>
        <w:tc>
          <w:tcPr>
            <w:tcW w:w="1211" w:type="dxa"/>
            <w:vAlign w:val="center"/>
            <w:hideMark/>
          </w:tcPr>
          <w:p w14:paraId="0C98994A"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2038</w:t>
            </w:r>
          </w:p>
        </w:tc>
        <w:tc>
          <w:tcPr>
            <w:tcW w:w="1580" w:type="dxa"/>
            <w:vAlign w:val="center"/>
            <w:hideMark/>
          </w:tcPr>
          <w:p w14:paraId="553D6B32"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471</w:t>
            </w:r>
          </w:p>
        </w:tc>
        <w:tc>
          <w:tcPr>
            <w:tcW w:w="1210" w:type="dxa"/>
            <w:vAlign w:val="center"/>
            <w:hideMark/>
          </w:tcPr>
          <w:p w14:paraId="304649A9" w14:textId="77777777" w:rsidR="003C3025" w:rsidRPr="002D2161"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color w:val="333333"/>
                <w:sz w:val="22"/>
              </w:rPr>
            </w:pPr>
            <w:r w:rsidRPr="002D2161">
              <w:rPr>
                <w:rFonts w:cs="Arial"/>
                <w:b/>
                <w:color w:val="333333"/>
                <w:sz w:val="22"/>
              </w:rPr>
              <w:t>2048</w:t>
            </w:r>
          </w:p>
        </w:tc>
        <w:tc>
          <w:tcPr>
            <w:tcW w:w="1580" w:type="dxa"/>
            <w:vAlign w:val="center"/>
            <w:hideMark/>
          </w:tcPr>
          <w:p w14:paraId="1384B2D6" w14:textId="77777777" w:rsidR="003C3025" w:rsidRPr="003C3025" w:rsidRDefault="003C3025" w:rsidP="003C3025">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333333"/>
                <w:sz w:val="22"/>
              </w:rPr>
            </w:pPr>
            <w:r w:rsidRPr="003C3025">
              <w:rPr>
                <w:rFonts w:cs="Arial"/>
                <w:color w:val="333333"/>
                <w:sz w:val="22"/>
              </w:rPr>
              <w:t>744</w:t>
            </w:r>
          </w:p>
        </w:tc>
      </w:tr>
      <w:tr w:rsidR="003C3025" w:rsidRPr="00AD153C" w14:paraId="28A4AA8B" w14:textId="77777777" w:rsidTr="00CD0DCD">
        <w:trPr>
          <w:trHeight w:val="372"/>
        </w:trPr>
        <w:tc>
          <w:tcPr>
            <w:cnfStyle w:val="001000000000" w:firstRow="0" w:lastRow="0" w:firstColumn="1" w:lastColumn="0" w:oddVBand="0" w:evenVBand="0" w:oddHBand="0" w:evenHBand="0" w:firstRowFirstColumn="0" w:firstRowLastColumn="0" w:lastRowFirstColumn="0" w:lastRowLastColumn="0"/>
            <w:tcW w:w="1250" w:type="dxa"/>
            <w:vAlign w:val="center"/>
            <w:hideMark/>
          </w:tcPr>
          <w:p w14:paraId="3992191C" w14:textId="77777777" w:rsidR="003C3025" w:rsidRPr="003C3025" w:rsidRDefault="003C3025" w:rsidP="003C3025">
            <w:pPr>
              <w:spacing w:after="0" w:line="240" w:lineRule="auto"/>
              <w:jc w:val="center"/>
              <w:rPr>
                <w:rFonts w:cs="Arial"/>
                <w:color w:val="333333"/>
                <w:sz w:val="22"/>
              </w:rPr>
            </w:pPr>
            <w:r w:rsidRPr="003C3025">
              <w:rPr>
                <w:rFonts w:cs="Arial"/>
                <w:color w:val="333333"/>
                <w:sz w:val="22"/>
              </w:rPr>
              <w:t>2029</w:t>
            </w:r>
          </w:p>
        </w:tc>
        <w:tc>
          <w:tcPr>
            <w:tcW w:w="1579" w:type="dxa"/>
            <w:vAlign w:val="center"/>
            <w:hideMark/>
          </w:tcPr>
          <w:p w14:paraId="34DA1865"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233</w:t>
            </w:r>
          </w:p>
        </w:tc>
        <w:tc>
          <w:tcPr>
            <w:tcW w:w="1211" w:type="dxa"/>
            <w:vAlign w:val="center"/>
            <w:hideMark/>
          </w:tcPr>
          <w:p w14:paraId="2DE6B0A3"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2039</w:t>
            </w:r>
          </w:p>
        </w:tc>
        <w:tc>
          <w:tcPr>
            <w:tcW w:w="1580" w:type="dxa"/>
            <w:vAlign w:val="center"/>
            <w:hideMark/>
          </w:tcPr>
          <w:p w14:paraId="06131DCF"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498</w:t>
            </w:r>
          </w:p>
        </w:tc>
        <w:tc>
          <w:tcPr>
            <w:tcW w:w="1210" w:type="dxa"/>
            <w:vAlign w:val="center"/>
            <w:hideMark/>
          </w:tcPr>
          <w:p w14:paraId="266B3158" w14:textId="77777777" w:rsidR="003C3025" w:rsidRPr="002D2161"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b/>
                <w:color w:val="333333"/>
                <w:sz w:val="22"/>
              </w:rPr>
            </w:pPr>
            <w:r w:rsidRPr="002D2161">
              <w:rPr>
                <w:rFonts w:cs="Arial"/>
                <w:b/>
                <w:color w:val="333333"/>
                <w:sz w:val="22"/>
              </w:rPr>
              <w:t>2049</w:t>
            </w:r>
          </w:p>
        </w:tc>
        <w:tc>
          <w:tcPr>
            <w:tcW w:w="1580" w:type="dxa"/>
            <w:vAlign w:val="center"/>
            <w:hideMark/>
          </w:tcPr>
          <w:p w14:paraId="7950B7B6" w14:textId="77777777" w:rsidR="003C3025" w:rsidRPr="003C3025" w:rsidRDefault="003C3025" w:rsidP="003C3025">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333333"/>
                <w:sz w:val="22"/>
              </w:rPr>
            </w:pPr>
            <w:r w:rsidRPr="003C3025">
              <w:rPr>
                <w:rFonts w:cs="Arial"/>
                <w:color w:val="333333"/>
                <w:sz w:val="22"/>
              </w:rPr>
              <w:t>772</w:t>
            </w:r>
          </w:p>
        </w:tc>
      </w:tr>
    </w:tbl>
    <w:p w14:paraId="502F5FDA" w14:textId="77777777" w:rsidR="003C3025" w:rsidRDefault="003C3025" w:rsidP="003C3025">
      <w:pPr>
        <w:spacing w:before="60" w:after="60"/>
        <w:jc w:val="both"/>
        <w:rPr>
          <w:rFonts w:eastAsia="Calibri" w:cs="Arial"/>
        </w:rPr>
      </w:pPr>
    </w:p>
    <w:p w14:paraId="447D015E" w14:textId="77777777" w:rsidR="003C3025" w:rsidRPr="003C3025" w:rsidRDefault="003C3025" w:rsidP="003C3025">
      <w:pPr>
        <w:spacing w:before="60" w:after="60"/>
        <w:jc w:val="both"/>
        <w:rPr>
          <w:rFonts w:eastAsia="Calibri" w:cs="Arial"/>
          <w:szCs w:val="24"/>
        </w:rPr>
      </w:pPr>
      <w:r w:rsidRPr="003C3025">
        <w:rPr>
          <w:rFonts w:eastAsia="Calibri" w:cs="Arial"/>
          <w:szCs w:val="24"/>
        </w:rPr>
        <w:t>За  типична година за проекта е приета 2035</w:t>
      </w:r>
      <w:r w:rsidRPr="009963CE">
        <w:rPr>
          <w:rFonts w:eastAsia="Calibri" w:cs="Arial"/>
          <w:szCs w:val="24"/>
        </w:rPr>
        <w:t xml:space="preserve"> </w:t>
      </w:r>
      <w:r w:rsidRPr="003C3025">
        <w:rPr>
          <w:rFonts w:eastAsia="Calibri" w:cs="Arial"/>
          <w:szCs w:val="24"/>
        </w:rPr>
        <w:t>г., когато според прогнозите за трафика се постига стабилност на ръста на превозите.</w:t>
      </w:r>
    </w:p>
    <w:p w14:paraId="0AAA3E74" w14:textId="77777777" w:rsidR="003C3025" w:rsidRPr="003C3025" w:rsidRDefault="003C3025" w:rsidP="003C3025">
      <w:pPr>
        <w:spacing w:before="60" w:after="60"/>
        <w:jc w:val="both"/>
        <w:rPr>
          <w:rFonts w:eastAsia="Calibri" w:cs="Arial"/>
          <w:i/>
          <w:szCs w:val="24"/>
        </w:rPr>
      </w:pPr>
      <w:r w:rsidRPr="003C3025">
        <w:rPr>
          <w:rFonts w:eastAsia="Calibri" w:cs="Arial"/>
          <w:i/>
          <w:szCs w:val="24"/>
        </w:rPr>
        <w:t>Резултати от оценката на въздействието на проекта за намаляване на вредните газови емисии</w:t>
      </w:r>
    </w:p>
    <w:p w14:paraId="402AB0AC" w14:textId="77777777" w:rsidR="003C3025" w:rsidRDefault="003C3025" w:rsidP="003C3025">
      <w:pPr>
        <w:spacing w:before="60" w:after="60"/>
        <w:jc w:val="both"/>
        <w:rPr>
          <w:rFonts w:eastAsia="Calibri" w:cs="Arial"/>
          <w:szCs w:val="24"/>
        </w:rPr>
      </w:pPr>
      <w:r w:rsidRPr="003C3025">
        <w:rPr>
          <w:rFonts w:eastAsia="Calibri" w:cs="Arial"/>
          <w:szCs w:val="24"/>
        </w:rPr>
        <w:t>След прилагането на описаната методология резултатите са следните:</w:t>
      </w:r>
    </w:p>
    <w:p w14:paraId="23613A43" w14:textId="77777777" w:rsidR="003C3025" w:rsidRDefault="003C3025" w:rsidP="003C3025">
      <w:pPr>
        <w:spacing w:before="60" w:after="60"/>
        <w:jc w:val="both"/>
        <w:rPr>
          <w:rFonts w:ascii="Times New Roman" w:eastAsia="Calibri" w:hAnsi="Times New Roman" w:cs="Times New Roman"/>
          <w:szCs w:val="24"/>
        </w:rPr>
      </w:pPr>
    </w:p>
    <w:p w14:paraId="40C889BB" w14:textId="77777777" w:rsidR="003C3025" w:rsidRPr="00BD76F3" w:rsidRDefault="003C3025" w:rsidP="003C3025">
      <w:pPr>
        <w:spacing w:before="60" w:after="60"/>
        <w:jc w:val="both"/>
        <w:rPr>
          <w:rFonts w:ascii="Times New Roman" w:eastAsia="Calibri" w:hAnsi="Times New Roman" w:cs="Times New Roman"/>
          <w:szCs w:val="24"/>
        </w:rPr>
      </w:pPr>
      <w:bookmarkStart w:id="339" w:name="_Toc143607978"/>
      <w:bookmarkStart w:id="340" w:name="_Toc174099076"/>
      <w:r w:rsidRPr="002E1E19">
        <w:rPr>
          <w:rFonts w:cs="Arial"/>
          <w:bCs/>
          <w:i/>
          <w:sz w:val="22"/>
        </w:rPr>
        <w:lastRenderedPageBreak/>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31</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BD76F3">
        <w:rPr>
          <w:rFonts w:eastAsia="Calibri" w:cs="Arial"/>
          <w:i/>
          <w:color w:val="000000"/>
          <w:sz w:val="22"/>
          <w:lang w:eastAsia="en-US"/>
        </w:rPr>
        <w:t>Определяне количеството на парниковите газове</w:t>
      </w:r>
      <w:bookmarkEnd w:id="339"/>
      <w:bookmarkEnd w:id="340"/>
    </w:p>
    <w:tbl>
      <w:tblPr>
        <w:tblStyle w:val="LightList-Accent111"/>
        <w:tblW w:w="7279" w:type="dxa"/>
        <w:tblLook w:val="04A0" w:firstRow="1" w:lastRow="0" w:firstColumn="1" w:lastColumn="0" w:noHBand="0" w:noVBand="1"/>
      </w:tblPr>
      <w:tblGrid>
        <w:gridCol w:w="5935"/>
        <w:gridCol w:w="1344"/>
      </w:tblGrid>
      <w:tr w:rsidR="003E1CB7" w:rsidRPr="009F1DB5" w14:paraId="01065362" w14:textId="77777777" w:rsidTr="003E1CB7">
        <w:trPr>
          <w:cnfStyle w:val="100000000000" w:firstRow="1" w:lastRow="0" w:firstColumn="0" w:lastColumn="0" w:oddVBand="0" w:evenVBand="0" w:oddHBand="0"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5935" w:type="dxa"/>
            <w:noWrap/>
            <w:hideMark/>
          </w:tcPr>
          <w:p w14:paraId="68589D34" w14:textId="77777777" w:rsidR="003C3025" w:rsidRPr="00CD0DCD" w:rsidRDefault="003C3025" w:rsidP="003C3025">
            <w:pPr>
              <w:jc w:val="center"/>
              <w:rPr>
                <w:rFonts w:cs="Arial"/>
                <w:b w:val="0"/>
                <w:bCs w:val="0"/>
                <w:color w:val="FFFFFF" w:themeColor="background1"/>
                <w:sz w:val="20"/>
                <w:szCs w:val="20"/>
              </w:rPr>
            </w:pPr>
            <w:r w:rsidRPr="00CD0DCD">
              <w:rPr>
                <w:rFonts w:cs="Arial"/>
                <w:color w:val="FFFFFF" w:themeColor="background1"/>
                <w:sz w:val="20"/>
                <w:szCs w:val="20"/>
              </w:rPr>
              <w:t>Показатели</w:t>
            </w:r>
          </w:p>
        </w:tc>
        <w:tc>
          <w:tcPr>
            <w:tcW w:w="1344" w:type="dxa"/>
            <w:noWrap/>
            <w:hideMark/>
          </w:tcPr>
          <w:p w14:paraId="2A93BEAA" w14:textId="77777777" w:rsidR="003C3025" w:rsidRPr="00CD0DCD" w:rsidRDefault="003C3025" w:rsidP="003C302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Стойност</w:t>
            </w:r>
          </w:p>
        </w:tc>
      </w:tr>
      <w:tr w:rsidR="003C3025" w:rsidRPr="009F1DB5" w14:paraId="44A98E39" w14:textId="77777777" w:rsidTr="00CD0DC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6AB97EFC" w14:textId="77777777" w:rsidR="003C3025" w:rsidRPr="00CD0DCD" w:rsidRDefault="003C3025" w:rsidP="003C3025">
            <w:pPr>
              <w:spacing w:after="0" w:line="240" w:lineRule="auto"/>
              <w:rPr>
                <w:rFonts w:cs="Arial"/>
                <w:color w:val="000000"/>
                <w:sz w:val="20"/>
                <w:szCs w:val="20"/>
              </w:rPr>
            </w:pPr>
            <w:r w:rsidRPr="00CD0DCD">
              <w:rPr>
                <w:rFonts w:cs="Arial"/>
                <w:color w:val="000000"/>
                <w:sz w:val="20"/>
                <w:szCs w:val="20"/>
              </w:rPr>
              <w:t>Избрана типична година за проекта</w:t>
            </w:r>
          </w:p>
        </w:tc>
        <w:tc>
          <w:tcPr>
            <w:tcW w:w="0" w:type="dxa"/>
            <w:shd w:val="clear" w:color="000000" w:fill="FFFFFF"/>
            <w:hideMark/>
          </w:tcPr>
          <w:p w14:paraId="69498614" w14:textId="77777777" w:rsidR="003C3025" w:rsidRPr="00CD0DCD" w:rsidRDefault="003C3025" w:rsidP="003C3025">
            <w:pPr>
              <w:spacing w:after="0"/>
              <w:jc w:val="right"/>
              <w:cnfStyle w:val="000000100000" w:firstRow="0" w:lastRow="0" w:firstColumn="0" w:lastColumn="0" w:oddVBand="0" w:evenVBand="0" w:oddHBand="1" w:evenHBand="0" w:firstRowFirstColumn="0" w:firstRowLastColumn="0" w:lastRowFirstColumn="0" w:lastRowLastColumn="0"/>
              <w:rPr>
                <w:rFonts w:cs="Arial"/>
                <w:color w:val="333333"/>
                <w:sz w:val="20"/>
                <w:szCs w:val="20"/>
              </w:rPr>
            </w:pPr>
            <w:r w:rsidRPr="00CD0DCD">
              <w:rPr>
                <w:rFonts w:cs="Arial"/>
                <w:color w:val="333333"/>
                <w:sz w:val="20"/>
                <w:szCs w:val="20"/>
              </w:rPr>
              <w:t>2035</w:t>
            </w:r>
          </w:p>
        </w:tc>
      </w:tr>
      <w:tr w:rsidR="007E26F8" w:rsidRPr="009F1DB5" w14:paraId="779CBA63" w14:textId="77777777" w:rsidTr="00CD0DCD">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37C1FC32"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Стойност на отделените GHG в евро</w:t>
            </w:r>
          </w:p>
        </w:tc>
        <w:tc>
          <w:tcPr>
            <w:tcW w:w="0" w:type="dxa"/>
            <w:shd w:val="clear" w:color="auto" w:fill="auto"/>
            <w:noWrap/>
            <w:hideMark/>
          </w:tcPr>
          <w:p w14:paraId="27F4DBB0" w14:textId="04706E18" w:rsidR="007E26F8" w:rsidRPr="00CD0DCD" w:rsidRDefault="007E26F8" w:rsidP="007E26F8">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786 357</w:t>
            </w:r>
          </w:p>
        </w:tc>
      </w:tr>
      <w:tr w:rsidR="007E26F8" w:rsidRPr="009F1DB5" w14:paraId="7FE7384B" w14:textId="77777777" w:rsidTr="00CD0DCD">
        <w:trPr>
          <w:cnfStyle w:val="000000100000" w:firstRow="0" w:lastRow="0" w:firstColumn="0" w:lastColumn="0" w:oddVBand="0" w:evenVBand="0" w:oddHBand="1" w:evenHBand="0" w:firstRowFirstColumn="0" w:firstRowLastColumn="0" w:lastRowFirstColumn="0" w:lastRowLastColumn="0"/>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52A764CB"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Единична стойност на СО2 за типичната година</w:t>
            </w:r>
          </w:p>
        </w:tc>
        <w:tc>
          <w:tcPr>
            <w:tcW w:w="0" w:type="dxa"/>
            <w:shd w:val="clear" w:color="auto" w:fill="auto"/>
            <w:noWrap/>
            <w:hideMark/>
          </w:tcPr>
          <w:p w14:paraId="7AD2B142" w14:textId="683C42FB" w:rsidR="007E26F8" w:rsidRPr="00CD0DCD" w:rsidRDefault="007E26F8" w:rsidP="007E26F8">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CD0DCD">
              <w:rPr>
                <w:rFonts w:cs="Arial"/>
                <w:color w:val="000000"/>
                <w:sz w:val="20"/>
                <w:szCs w:val="20"/>
              </w:rPr>
              <w:t>390</w:t>
            </w:r>
          </w:p>
        </w:tc>
      </w:tr>
      <w:tr w:rsidR="007E26F8" w:rsidRPr="009F1DB5" w14:paraId="3AE8986A" w14:textId="77777777" w:rsidTr="00CD0DCD">
        <w:trPr>
          <w:trHeight w:val="288"/>
        </w:trPr>
        <w:tc>
          <w:tcPr>
            <w:cnfStyle w:val="001000000000" w:firstRow="0" w:lastRow="0" w:firstColumn="1" w:lastColumn="0" w:oddVBand="0" w:evenVBand="0" w:oddHBand="0" w:evenHBand="0" w:firstRowFirstColumn="0" w:firstRowLastColumn="0" w:lastRowFirstColumn="0" w:lastRowLastColumn="0"/>
            <w:tcW w:w="0" w:type="dxa"/>
            <w:shd w:val="clear" w:color="auto" w:fill="auto"/>
            <w:noWrap/>
            <w:hideMark/>
          </w:tcPr>
          <w:p w14:paraId="6467973F" w14:textId="77777777" w:rsidR="007E26F8" w:rsidRPr="00CD0DCD" w:rsidRDefault="007E26F8" w:rsidP="007E26F8">
            <w:pPr>
              <w:spacing w:after="0" w:line="240" w:lineRule="auto"/>
              <w:rPr>
                <w:rFonts w:cs="Arial"/>
                <w:color w:val="000000"/>
                <w:sz w:val="20"/>
                <w:szCs w:val="20"/>
              </w:rPr>
            </w:pPr>
            <w:r w:rsidRPr="00CD0DCD">
              <w:rPr>
                <w:rFonts w:cs="Arial"/>
                <w:color w:val="000000"/>
                <w:sz w:val="20"/>
                <w:szCs w:val="20"/>
              </w:rPr>
              <w:t>Количество GHG в тона годишно</w:t>
            </w:r>
          </w:p>
        </w:tc>
        <w:tc>
          <w:tcPr>
            <w:tcW w:w="0" w:type="dxa"/>
            <w:shd w:val="clear" w:color="auto" w:fill="auto"/>
            <w:noWrap/>
            <w:hideMark/>
          </w:tcPr>
          <w:p w14:paraId="75222B6B" w14:textId="6AE2787A" w:rsidR="007E26F8" w:rsidRPr="00CD0DCD" w:rsidRDefault="007E26F8" w:rsidP="007E26F8">
            <w:pPr>
              <w:spacing w:after="0"/>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CD0DCD">
              <w:rPr>
                <w:rFonts w:cs="Arial"/>
                <w:color w:val="000000"/>
                <w:sz w:val="20"/>
                <w:szCs w:val="20"/>
              </w:rPr>
              <w:t>2016,30</w:t>
            </w:r>
          </w:p>
        </w:tc>
      </w:tr>
    </w:tbl>
    <w:p w14:paraId="450DF77F" w14:textId="77777777" w:rsidR="003C3025" w:rsidRPr="00CD0DCD" w:rsidRDefault="003C3025" w:rsidP="003C3025">
      <w:pPr>
        <w:tabs>
          <w:tab w:val="left" w:pos="1134"/>
        </w:tabs>
        <w:spacing w:after="120" w:line="240" w:lineRule="auto"/>
        <w:rPr>
          <w:rFonts w:ascii="Times New Roman" w:eastAsia="Calibri" w:hAnsi="Times New Roman" w:cs="Times New Roman"/>
          <w:i/>
          <w:sz w:val="18"/>
          <w:szCs w:val="18"/>
        </w:rPr>
      </w:pPr>
      <w:bookmarkStart w:id="341" w:name="_Hlk73628008"/>
      <w:r w:rsidRPr="00CD0DCD">
        <w:rPr>
          <w:rFonts w:ascii="Times New Roman" w:eastAsia="Calibri" w:hAnsi="Times New Roman" w:cs="Times New Roman"/>
          <w:i/>
          <w:sz w:val="18"/>
          <w:szCs w:val="18"/>
        </w:rPr>
        <w:t xml:space="preserve">Източник: електронен модел Vademecum </w:t>
      </w:r>
    </w:p>
    <w:bookmarkEnd w:id="341"/>
    <w:p w14:paraId="43DC91E3" w14:textId="3AA9E232" w:rsidR="003C3025" w:rsidRPr="003C3025" w:rsidRDefault="003C3025" w:rsidP="003C3025">
      <w:pPr>
        <w:spacing w:before="60" w:after="60"/>
        <w:jc w:val="both"/>
        <w:rPr>
          <w:rFonts w:eastAsia="Calibri" w:cs="Arial"/>
        </w:rPr>
      </w:pPr>
      <w:r w:rsidRPr="003C3025">
        <w:rPr>
          <w:rFonts w:eastAsia="Calibri" w:cs="Arial"/>
        </w:rPr>
        <w:t>Видно от тези резултати, поради подобряване условията за акостиране на кораби в пристанищет</w:t>
      </w:r>
      <w:r w:rsidR="00794FF7">
        <w:rPr>
          <w:rFonts w:eastAsia="Calibri" w:cs="Arial"/>
        </w:rPr>
        <w:t>о, част от превозите извършвани</w:t>
      </w:r>
      <w:r w:rsidRPr="003C3025">
        <w:rPr>
          <w:rFonts w:eastAsia="Calibri" w:cs="Arial"/>
        </w:rPr>
        <w:t xml:space="preserve"> преди това с други видове транспорт, основно автомобилен, ще доведат да намаляване на парниковите газове за периода на проекта с </w:t>
      </w:r>
      <w:r w:rsidR="00DD5341">
        <w:rPr>
          <w:rFonts w:eastAsia="Calibri" w:cs="Arial"/>
        </w:rPr>
        <w:t>около 2000</w:t>
      </w:r>
      <w:r w:rsidRPr="003C3025">
        <w:rPr>
          <w:rFonts w:eastAsia="Calibri" w:cs="Arial"/>
        </w:rPr>
        <w:t xml:space="preserve"> тона. </w:t>
      </w:r>
    </w:p>
    <w:p w14:paraId="37633E53" w14:textId="77777777" w:rsidR="003C3025" w:rsidRDefault="003C3025" w:rsidP="0047567B">
      <w:pPr>
        <w:suppressAutoHyphens/>
        <w:spacing w:after="0" w:line="240" w:lineRule="auto"/>
        <w:ind w:firstLine="547"/>
        <w:jc w:val="both"/>
        <w:rPr>
          <w:rFonts w:eastAsia="Times New Roman" w:cs="Arial"/>
          <w:sz w:val="12"/>
          <w:szCs w:val="12"/>
          <w:lang w:eastAsia="ar-SA"/>
        </w:rPr>
      </w:pPr>
    </w:p>
    <w:p w14:paraId="3554F2B1" w14:textId="77777777" w:rsidR="003C3025" w:rsidRPr="0047567B" w:rsidRDefault="003C3025" w:rsidP="0047567B">
      <w:pPr>
        <w:suppressAutoHyphens/>
        <w:spacing w:after="0" w:line="240" w:lineRule="auto"/>
        <w:ind w:firstLine="547"/>
        <w:jc w:val="both"/>
        <w:rPr>
          <w:rFonts w:eastAsia="Times New Roman" w:cs="Arial"/>
          <w:sz w:val="12"/>
          <w:szCs w:val="12"/>
          <w:lang w:eastAsia="ar-SA"/>
        </w:rPr>
      </w:pPr>
    </w:p>
    <w:p w14:paraId="13D3E556" w14:textId="77777777" w:rsidR="00F42E46" w:rsidRPr="008B058A" w:rsidRDefault="00F42E46" w:rsidP="008B058A">
      <w:pPr>
        <w:pStyle w:val="Heading2"/>
        <w:numPr>
          <w:ilvl w:val="1"/>
          <w:numId w:val="3"/>
        </w:numPr>
        <w:ind w:left="1080" w:hanging="540"/>
        <w:rPr>
          <w:szCs w:val="24"/>
          <w:lang w:val="bg-BG"/>
        </w:rPr>
      </w:pPr>
      <w:bookmarkStart w:id="342" w:name="_Toc434229783"/>
      <w:bookmarkStart w:id="343" w:name="_Toc143694204"/>
      <w:r w:rsidRPr="008B058A">
        <w:rPr>
          <w:szCs w:val="24"/>
          <w:lang w:val="bg-BG"/>
        </w:rPr>
        <w:t>Определяне на икономическите индикатори</w:t>
      </w:r>
      <w:bookmarkEnd w:id="342"/>
      <w:bookmarkEnd w:id="343"/>
    </w:p>
    <w:p w14:paraId="4311C971" w14:textId="77777777" w:rsidR="00EF7CC6" w:rsidRDefault="00EF7CC6" w:rsidP="00EF7CC6">
      <w:pPr>
        <w:autoSpaceDE w:val="0"/>
        <w:autoSpaceDN w:val="0"/>
        <w:adjustRightInd w:val="0"/>
        <w:jc w:val="both"/>
        <w:rPr>
          <w:rFonts w:cs="Arial"/>
        </w:rPr>
      </w:pPr>
      <w:r w:rsidRPr="00EE0CB9">
        <w:rPr>
          <w:rFonts w:cs="Arial"/>
        </w:rPr>
        <w:t>В резултат на описаната методология</w:t>
      </w:r>
      <w:r>
        <w:rPr>
          <w:rFonts w:cs="Arial"/>
        </w:rPr>
        <w:t xml:space="preserve"> са изчислени основните елементи за определяне на икономическите индикатори и те са показани в следващата таблица:</w:t>
      </w:r>
    </w:p>
    <w:p w14:paraId="1C69D80C" w14:textId="77777777" w:rsidR="00EF7CC6" w:rsidRDefault="00EF7CC6" w:rsidP="00EF7CC6">
      <w:pPr>
        <w:tabs>
          <w:tab w:val="left" w:pos="1418"/>
        </w:tabs>
        <w:spacing w:before="60" w:after="60"/>
        <w:jc w:val="both"/>
        <w:rPr>
          <w:rFonts w:eastAsia="Calibri" w:cs="Arial"/>
          <w:i/>
          <w:color w:val="000000"/>
          <w:sz w:val="22"/>
          <w:lang w:eastAsia="en-US"/>
        </w:rPr>
      </w:pPr>
      <w:bookmarkStart w:id="344" w:name="_Toc174099077"/>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CD0DCD">
        <w:rPr>
          <w:rFonts w:cs="Arial"/>
          <w:bCs/>
          <w:i/>
          <w:noProof/>
          <w:sz w:val="22"/>
        </w:rPr>
        <w:t>32</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елементи за определяне на икономическите индикатори</w:t>
      </w:r>
      <w:bookmarkEnd w:id="344"/>
    </w:p>
    <w:tbl>
      <w:tblPr>
        <w:tblStyle w:val="LightList-Accent111"/>
        <w:tblW w:w="8442" w:type="dxa"/>
        <w:tblLook w:val="04A0" w:firstRow="1" w:lastRow="0" w:firstColumn="1" w:lastColumn="0" w:noHBand="0" w:noVBand="1"/>
      </w:tblPr>
      <w:tblGrid>
        <w:gridCol w:w="4760"/>
        <w:gridCol w:w="1874"/>
        <w:gridCol w:w="1808"/>
      </w:tblGrid>
      <w:tr w:rsidR="003E1CB7" w:rsidRPr="009F1DB5" w14:paraId="260C097A" w14:textId="77777777" w:rsidTr="007D77DA">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vMerge w:val="restart"/>
            <w:vAlign w:val="center"/>
            <w:hideMark/>
          </w:tcPr>
          <w:p w14:paraId="2391F404" w14:textId="77777777" w:rsidR="00EF7CC6" w:rsidRPr="00CD0DCD" w:rsidRDefault="00EF7CC6" w:rsidP="00E416EB">
            <w:pPr>
              <w:jc w:val="center"/>
              <w:rPr>
                <w:rFonts w:cs="Arial"/>
                <w:b w:val="0"/>
                <w:bCs w:val="0"/>
                <w:color w:val="FFFFFF" w:themeColor="background1"/>
                <w:sz w:val="20"/>
                <w:szCs w:val="20"/>
              </w:rPr>
            </w:pPr>
            <w:r w:rsidRPr="00CD0DCD">
              <w:rPr>
                <w:rFonts w:cs="Arial"/>
                <w:color w:val="FFFFFF" w:themeColor="background1"/>
                <w:sz w:val="20"/>
                <w:szCs w:val="20"/>
              </w:rPr>
              <w:t>Основни елементи</w:t>
            </w:r>
          </w:p>
        </w:tc>
        <w:tc>
          <w:tcPr>
            <w:tcW w:w="3682" w:type="dxa"/>
            <w:gridSpan w:val="2"/>
            <w:vAlign w:val="center"/>
            <w:hideMark/>
          </w:tcPr>
          <w:p w14:paraId="314B0503" w14:textId="77777777" w:rsidR="00EF7CC6" w:rsidRPr="00CD0DCD" w:rsidRDefault="00EF7CC6"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CD0DCD">
              <w:rPr>
                <w:rFonts w:cs="Arial"/>
                <w:color w:val="FFFFFF" w:themeColor="background1"/>
                <w:sz w:val="20"/>
                <w:szCs w:val="20"/>
              </w:rPr>
              <w:t>Обща стойност</w:t>
            </w:r>
          </w:p>
        </w:tc>
      </w:tr>
      <w:tr w:rsidR="00EF7CC6" w:rsidRPr="009F1DB5" w14:paraId="037DD445" w14:textId="77777777" w:rsidTr="007D77DA">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4760" w:type="dxa"/>
            <w:vMerge/>
            <w:shd w:val="clear" w:color="auto" w:fill="FBD4B4" w:themeFill="accent6" w:themeFillTint="66"/>
            <w:vAlign w:val="center"/>
            <w:hideMark/>
          </w:tcPr>
          <w:p w14:paraId="36D44871" w14:textId="77777777" w:rsidR="00EF7CC6" w:rsidRPr="00CD0DCD" w:rsidRDefault="00EF7CC6" w:rsidP="00E416EB">
            <w:pPr>
              <w:spacing w:after="0" w:line="240" w:lineRule="auto"/>
              <w:rPr>
                <w:rFonts w:cs="Arial"/>
                <w:b w:val="0"/>
                <w:bCs w:val="0"/>
                <w:color w:val="000000"/>
                <w:sz w:val="20"/>
                <w:szCs w:val="20"/>
              </w:rPr>
            </w:pPr>
          </w:p>
        </w:tc>
        <w:tc>
          <w:tcPr>
            <w:tcW w:w="1874" w:type="dxa"/>
            <w:shd w:val="clear" w:color="auto" w:fill="FBD4B4" w:themeFill="accent6" w:themeFillTint="66"/>
            <w:vAlign w:val="center"/>
            <w:hideMark/>
          </w:tcPr>
          <w:p w14:paraId="08EBD698" w14:textId="77777777" w:rsidR="00EF7CC6" w:rsidRPr="00CD0DCD" w:rsidRDefault="00EF7CC6" w:rsidP="00E416EB">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Недисконтирани</w:t>
            </w:r>
          </w:p>
        </w:tc>
        <w:tc>
          <w:tcPr>
            <w:tcW w:w="1808" w:type="dxa"/>
            <w:shd w:val="clear" w:color="auto" w:fill="FBD4B4" w:themeFill="accent6" w:themeFillTint="66"/>
            <w:vAlign w:val="center"/>
            <w:hideMark/>
          </w:tcPr>
          <w:p w14:paraId="5A9439E4" w14:textId="526079DD" w:rsidR="00EF7CC6" w:rsidRPr="00CD0DCD" w:rsidRDefault="00EF7CC6" w:rsidP="00CD0DCD">
            <w:pPr>
              <w:spacing w:before="0" w:after="0" w:line="240" w:lineRule="auto"/>
              <w:jc w:val="center"/>
              <w:cnfStyle w:val="000000100000" w:firstRow="0" w:lastRow="0" w:firstColumn="0" w:lastColumn="0" w:oddVBand="0" w:evenVBand="0" w:oddHBand="1" w:evenHBand="0" w:firstRowFirstColumn="0" w:firstRowLastColumn="0" w:lastRowFirstColumn="0" w:lastRowLastColumn="0"/>
              <w:rPr>
                <w:rFonts w:cs="Arial"/>
                <w:b/>
                <w:bCs/>
                <w:color w:val="000000"/>
                <w:sz w:val="20"/>
                <w:szCs w:val="20"/>
              </w:rPr>
            </w:pPr>
            <w:r w:rsidRPr="00CD0DCD">
              <w:rPr>
                <w:rFonts w:cs="Arial"/>
                <w:b/>
                <w:bCs/>
                <w:color w:val="000000"/>
                <w:sz w:val="20"/>
                <w:szCs w:val="20"/>
              </w:rPr>
              <w:t>Дисконтирани (</w:t>
            </w:r>
            <w:r w:rsidR="00F068C4" w:rsidRPr="00CD0DCD">
              <w:rPr>
                <w:rFonts w:cs="Arial"/>
                <w:b/>
                <w:bCs/>
                <w:color w:val="000000"/>
                <w:sz w:val="20"/>
                <w:szCs w:val="20"/>
              </w:rPr>
              <w:t>норма</w:t>
            </w:r>
            <w:r w:rsidRPr="00CD0DCD">
              <w:rPr>
                <w:rFonts w:cs="Arial"/>
                <w:b/>
                <w:bCs/>
                <w:color w:val="000000"/>
                <w:sz w:val="20"/>
                <w:szCs w:val="20"/>
              </w:rPr>
              <w:t xml:space="preserve"> 5%)</w:t>
            </w:r>
          </w:p>
        </w:tc>
      </w:tr>
      <w:tr w:rsidR="004E3586" w:rsidRPr="009F1DB5" w14:paraId="5397584C"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0D4518E3"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A.1. Икономически инвестиционни разходи</w:t>
            </w:r>
          </w:p>
        </w:tc>
        <w:tc>
          <w:tcPr>
            <w:tcW w:w="1874" w:type="dxa"/>
            <w:shd w:val="clear" w:color="auto" w:fill="auto"/>
            <w:noWrap/>
            <w:hideMark/>
          </w:tcPr>
          <w:p w14:paraId="2ED86A53" w14:textId="20B4EE0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14 413 173,04</w:t>
            </w:r>
          </w:p>
        </w:tc>
        <w:tc>
          <w:tcPr>
            <w:tcW w:w="1808" w:type="dxa"/>
            <w:shd w:val="clear" w:color="auto" w:fill="auto"/>
            <w:noWrap/>
            <w:hideMark/>
          </w:tcPr>
          <w:p w14:paraId="3F73ABEC" w14:textId="581C3259"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13 028 198,31</w:t>
            </w:r>
          </w:p>
        </w:tc>
      </w:tr>
      <w:tr w:rsidR="004E3586" w:rsidRPr="009F1DB5" w14:paraId="3F0A7B32"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0233419"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A.2. Общо разходи за подмяна</w:t>
            </w:r>
          </w:p>
        </w:tc>
        <w:tc>
          <w:tcPr>
            <w:tcW w:w="1874" w:type="dxa"/>
            <w:shd w:val="clear" w:color="auto" w:fill="auto"/>
            <w:noWrap/>
            <w:hideMark/>
          </w:tcPr>
          <w:p w14:paraId="119290C8" w14:textId="4CC455D3"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0,00</w:t>
            </w:r>
          </w:p>
        </w:tc>
        <w:tc>
          <w:tcPr>
            <w:tcW w:w="1808" w:type="dxa"/>
            <w:shd w:val="clear" w:color="auto" w:fill="auto"/>
            <w:noWrap/>
            <w:hideMark/>
          </w:tcPr>
          <w:p w14:paraId="3EC8F923" w14:textId="231D6329"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0,00</w:t>
            </w:r>
          </w:p>
        </w:tc>
      </w:tr>
      <w:tr w:rsidR="004E3586" w:rsidRPr="009F1DB5" w14:paraId="47B7E44C"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102511F2"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B. Икономическа Остатъчна стойност</w:t>
            </w:r>
          </w:p>
        </w:tc>
        <w:tc>
          <w:tcPr>
            <w:tcW w:w="1874" w:type="dxa"/>
            <w:shd w:val="clear" w:color="auto" w:fill="auto"/>
            <w:noWrap/>
            <w:hideMark/>
          </w:tcPr>
          <w:p w14:paraId="792E3026" w14:textId="3971D7C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7 971 751,15</w:t>
            </w:r>
          </w:p>
        </w:tc>
        <w:tc>
          <w:tcPr>
            <w:tcW w:w="1808" w:type="dxa"/>
            <w:shd w:val="clear" w:color="auto" w:fill="auto"/>
            <w:noWrap/>
            <w:hideMark/>
          </w:tcPr>
          <w:p w14:paraId="7BFA2DB1" w14:textId="5F6F32B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2 354 080,21</w:t>
            </w:r>
          </w:p>
        </w:tc>
      </w:tr>
      <w:tr w:rsidR="004E3586" w:rsidRPr="009F1DB5" w14:paraId="1C869594"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4BE2155"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C. Икономически разходи за ЕиП</w:t>
            </w:r>
          </w:p>
        </w:tc>
        <w:tc>
          <w:tcPr>
            <w:tcW w:w="1874" w:type="dxa"/>
            <w:shd w:val="clear" w:color="auto" w:fill="auto"/>
            <w:noWrap/>
            <w:hideMark/>
          </w:tcPr>
          <w:p w14:paraId="3D119F08" w14:textId="47F8D538"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1 627 028,01</w:t>
            </w:r>
          </w:p>
        </w:tc>
        <w:tc>
          <w:tcPr>
            <w:tcW w:w="1808" w:type="dxa"/>
            <w:shd w:val="clear" w:color="auto" w:fill="auto"/>
            <w:noWrap/>
            <w:hideMark/>
          </w:tcPr>
          <w:p w14:paraId="680ED823" w14:textId="3018972B"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817 138,85</w:t>
            </w:r>
          </w:p>
        </w:tc>
      </w:tr>
      <w:tr w:rsidR="004E3586" w:rsidRPr="009F1DB5" w14:paraId="7331D259"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4760" w:type="dxa"/>
            <w:shd w:val="clear" w:color="auto" w:fill="auto"/>
            <w:noWrap/>
            <w:vAlign w:val="center"/>
            <w:hideMark/>
          </w:tcPr>
          <w:p w14:paraId="72250097" w14:textId="77777777" w:rsidR="004E3586" w:rsidRPr="00CD0DCD" w:rsidRDefault="004E3586" w:rsidP="004E3586">
            <w:pPr>
              <w:spacing w:after="0" w:line="240" w:lineRule="auto"/>
              <w:rPr>
                <w:rFonts w:cs="Arial"/>
                <w:color w:val="000000"/>
                <w:sz w:val="20"/>
                <w:szCs w:val="20"/>
              </w:rPr>
            </w:pPr>
            <w:r w:rsidRPr="00CD0DCD">
              <w:rPr>
                <w:rFonts w:cs="Arial"/>
                <w:color w:val="000000"/>
                <w:sz w:val="20"/>
                <w:szCs w:val="20"/>
              </w:rPr>
              <w:t>Общо икономически ползи:</w:t>
            </w:r>
          </w:p>
        </w:tc>
        <w:tc>
          <w:tcPr>
            <w:tcW w:w="1874" w:type="dxa"/>
            <w:shd w:val="clear" w:color="auto" w:fill="auto"/>
            <w:noWrap/>
            <w:hideMark/>
          </w:tcPr>
          <w:p w14:paraId="1094990B" w14:textId="3A6C0D9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45 878 985,47</w:t>
            </w:r>
          </w:p>
        </w:tc>
        <w:tc>
          <w:tcPr>
            <w:tcW w:w="1808" w:type="dxa"/>
            <w:shd w:val="clear" w:color="auto" w:fill="auto"/>
            <w:noWrap/>
            <w:hideMark/>
          </w:tcPr>
          <w:p w14:paraId="2FBFFBF6" w14:textId="5E51F979"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23 029 269,34</w:t>
            </w:r>
          </w:p>
        </w:tc>
      </w:tr>
    </w:tbl>
    <w:p w14:paraId="595F9332" w14:textId="77777777" w:rsidR="00EF7CC6" w:rsidRPr="007D77DA" w:rsidRDefault="00EF7CC6" w:rsidP="00EF7CC6">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Източник: модел Vademecum</w:t>
      </w:r>
    </w:p>
    <w:p w14:paraId="429ED089" w14:textId="34B4E984" w:rsidR="00EF7CC6" w:rsidRDefault="00EF7CC6" w:rsidP="00EF7CC6">
      <w:pPr>
        <w:autoSpaceDE w:val="0"/>
        <w:autoSpaceDN w:val="0"/>
        <w:adjustRightInd w:val="0"/>
        <w:jc w:val="both"/>
        <w:rPr>
          <w:rFonts w:cs="Arial"/>
        </w:rPr>
      </w:pPr>
      <w:r w:rsidRPr="00CF4A23">
        <w:rPr>
          <w:rFonts w:cs="Arial"/>
        </w:rPr>
        <w:t>На база тези основни елементи са определени икономическите индикатори:</w:t>
      </w:r>
    </w:p>
    <w:p w14:paraId="61B2FCC5" w14:textId="77777777" w:rsidR="00EF7CC6" w:rsidRDefault="00EF7CC6" w:rsidP="00EF7CC6">
      <w:pPr>
        <w:tabs>
          <w:tab w:val="left" w:pos="1418"/>
        </w:tabs>
        <w:spacing w:before="60" w:after="60"/>
        <w:jc w:val="both"/>
        <w:rPr>
          <w:rFonts w:eastAsia="Calibri" w:cs="Arial"/>
          <w:i/>
          <w:color w:val="000000"/>
          <w:sz w:val="22"/>
          <w:lang w:eastAsia="en-US"/>
        </w:rPr>
      </w:pPr>
      <w:bookmarkStart w:id="345" w:name="_Toc174099078"/>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33</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F7CC6">
        <w:rPr>
          <w:rFonts w:eastAsia="Calibri" w:cs="Arial"/>
          <w:i/>
          <w:color w:val="000000"/>
          <w:sz w:val="22"/>
          <w:lang w:eastAsia="en-US"/>
        </w:rPr>
        <w:t>Основни икономически индикатори</w:t>
      </w:r>
      <w:bookmarkEnd w:id="345"/>
    </w:p>
    <w:tbl>
      <w:tblPr>
        <w:tblStyle w:val="LightList-Accent111"/>
        <w:tblW w:w="7370" w:type="dxa"/>
        <w:tblLook w:val="04A0" w:firstRow="1" w:lastRow="0" w:firstColumn="1" w:lastColumn="0" w:noHBand="0" w:noVBand="1"/>
      </w:tblPr>
      <w:tblGrid>
        <w:gridCol w:w="5480"/>
        <w:gridCol w:w="1890"/>
      </w:tblGrid>
      <w:tr w:rsidR="00DD5341" w:rsidRPr="009F1DB5" w14:paraId="6A6C81DB" w14:textId="77777777" w:rsidTr="00D423A8">
        <w:trPr>
          <w:cnfStyle w:val="100000000000" w:firstRow="1" w:lastRow="0" w:firstColumn="0" w:lastColumn="0" w:oddVBand="0" w:evenVBand="0" w:oddHBand="0"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480" w:type="dxa"/>
            <w:noWrap/>
            <w:hideMark/>
          </w:tcPr>
          <w:p w14:paraId="2A980C13" w14:textId="77777777" w:rsidR="00EF7CC6" w:rsidRPr="007D77DA" w:rsidRDefault="00EF7CC6" w:rsidP="00E416EB">
            <w:pPr>
              <w:jc w:val="center"/>
              <w:rPr>
                <w:rFonts w:cs="Arial"/>
                <w:b w:val="0"/>
                <w:bCs w:val="0"/>
                <w:color w:val="FFFFFF" w:themeColor="background1"/>
                <w:sz w:val="20"/>
                <w:szCs w:val="20"/>
              </w:rPr>
            </w:pPr>
            <w:r w:rsidRPr="007D77DA">
              <w:rPr>
                <w:rFonts w:cs="Arial"/>
                <w:color w:val="FFFFFF" w:themeColor="background1"/>
                <w:sz w:val="20"/>
                <w:szCs w:val="20"/>
              </w:rPr>
              <w:t>Икономически индикатори</w:t>
            </w:r>
          </w:p>
        </w:tc>
        <w:tc>
          <w:tcPr>
            <w:tcW w:w="1890" w:type="dxa"/>
            <w:noWrap/>
            <w:hideMark/>
          </w:tcPr>
          <w:p w14:paraId="26140E12" w14:textId="77777777" w:rsidR="00EF7CC6" w:rsidRPr="007D77DA" w:rsidRDefault="00EF7CC6"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Стойност</w:t>
            </w:r>
          </w:p>
        </w:tc>
      </w:tr>
      <w:tr w:rsidR="004E3586" w:rsidRPr="009F1DB5" w14:paraId="13BB377F" w14:textId="77777777" w:rsidTr="009963CE">
        <w:trPr>
          <w:cnfStyle w:val="000000100000" w:firstRow="0" w:lastRow="0" w:firstColumn="0" w:lastColumn="0" w:oddVBand="0" w:evenVBand="0" w:oddHBand="1" w:evenHBand="0" w:firstRowFirstColumn="0" w:firstRowLastColumn="0" w:lastRowFirstColumn="0" w:lastRowLastColumn="0"/>
          <w:trHeight w:val="207"/>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5FBEAD09" w14:textId="046EEC42"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Икономическа нетна настояща стойност</w:t>
            </w:r>
          </w:p>
        </w:tc>
        <w:tc>
          <w:tcPr>
            <w:tcW w:w="1890" w:type="dxa"/>
            <w:shd w:val="clear" w:color="auto" w:fill="auto"/>
            <w:noWrap/>
            <w:hideMark/>
          </w:tcPr>
          <w:p w14:paraId="3101237D" w14:textId="09DC89D3" w:rsidR="004E3586" w:rsidRPr="004E3586" w:rsidRDefault="004E3586" w:rsidP="004E3586">
            <w:pPr>
              <w:spacing w:after="0"/>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13 231 967,91</w:t>
            </w:r>
          </w:p>
        </w:tc>
      </w:tr>
      <w:tr w:rsidR="004E3586" w:rsidRPr="009F1DB5" w14:paraId="5394F0AF"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104CC8C0" w14:textId="3D2ABC2E"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Икономическа вътрешна норма на възвращаемост</w:t>
            </w:r>
          </w:p>
        </w:tc>
        <w:tc>
          <w:tcPr>
            <w:tcW w:w="1890" w:type="dxa"/>
            <w:shd w:val="clear" w:color="auto" w:fill="auto"/>
            <w:noWrap/>
            <w:hideMark/>
          </w:tcPr>
          <w:p w14:paraId="6CBE1768" w14:textId="154F736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12,07%</w:t>
            </w:r>
          </w:p>
        </w:tc>
      </w:tr>
      <w:tr w:rsidR="004E3586" w:rsidRPr="009F1DB5" w14:paraId="2523F99B"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5480" w:type="dxa"/>
            <w:shd w:val="clear" w:color="auto" w:fill="auto"/>
            <w:noWrap/>
            <w:vAlign w:val="center"/>
            <w:hideMark/>
          </w:tcPr>
          <w:p w14:paraId="13E245D0" w14:textId="3526A88E" w:rsidR="004E3586" w:rsidRPr="007D77DA" w:rsidRDefault="004E3586" w:rsidP="004E3586">
            <w:pPr>
              <w:spacing w:after="0" w:line="240" w:lineRule="auto"/>
              <w:rPr>
                <w:rFonts w:cs="Arial"/>
                <w:color w:val="000000"/>
                <w:sz w:val="20"/>
                <w:szCs w:val="20"/>
              </w:rPr>
            </w:pPr>
            <w:r w:rsidRPr="007D77DA">
              <w:rPr>
                <w:rFonts w:cs="Arial"/>
                <w:color w:val="000000"/>
                <w:sz w:val="20"/>
                <w:szCs w:val="20"/>
              </w:rPr>
              <w:t>Коефициент Ползи/Разходи</w:t>
            </w:r>
          </w:p>
        </w:tc>
        <w:tc>
          <w:tcPr>
            <w:tcW w:w="1890" w:type="dxa"/>
            <w:shd w:val="clear" w:color="auto" w:fill="auto"/>
            <w:noWrap/>
            <w:hideMark/>
          </w:tcPr>
          <w:p w14:paraId="6A9D070A" w14:textId="240A565D"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2,089</w:t>
            </w:r>
          </w:p>
        </w:tc>
      </w:tr>
    </w:tbl>
    <w:p w14:paraId="702B6328" w14:textId="77777777" w:rsidR="00EA20D3" w:rsidRPr="007D77DA" w:rsidRDefault="00EF7CC6" w:rsidP="0047567B">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Източник: модел Vademecum</w:t>
      </w:r>
    </w:p>
    <w:p w14:paraId="4B87EA0B" w14:textId="21E2949F" w:rsidR="009F1DB5" w:rsidRDefault="009F1DB5">
      <w:r>
        <w:br w:type="page"/>
      </w:r>
    </w:p>
    <w:p w14:paraId="7BEF6A72" w14:textId="77777777" w:rsidR="003C3025" w:rsidRPr="00680473" w:rsidRDefault="003C3025" w:rsidP="003C3025">
      <w:pPr>
        <w:rPr>
          <w:lang w:val="en-US" w:eastAsia="en-US"/>
        </w:rPr>
      </w:pPr>
    </w:p>
    <w:p w14:paraId="382A9338" w14:textId="77777777" w:rsidR="00547D8F" w:rsidRPr="0047567B" w:rsidRDefault="00547D8F" w:rsidP="008B058A">
      <w:pPr>
        <w:pStyle w:val="Heading1"/>
        <w:numPr>
          <w:ilvl w:val="0"/>
          <w:numId w:val="3"/>
        </w:numPr>
        <w:ind w:left="360" w:hanging="360"/>
        <w:jc w:val="both"/>
        <w:rPr>
          <w:lang w:val="bg-BG"/>
        </w:rPr>
      </w:pPr>
      <w:bookmarkStart w:id="346" w:name="_Toc143694205"/>
      <w:r w:rsidRPr="0047567B">
        <w:rPr>
          <w:lang w:val="bg-BG"/>
        </w:rPr>
        <w:t>АНАЛИЗ НА ЧУВСТВИТЕЛНОСТТА И ОЦЕНКА НА РИСКА</w:t>
      </w:r>
      <w:bookmarkEnd w:id="346"/>
    </w:p>
    <w:p w14:paraId="545EA269" w14:textId="77777777" w:rsidR="00AF44F1" w:rsidRPr="008B058A" w:rsidRDefault="00AF44F1" w:rsidP="008B058A">
      <w:pPr>
        <w:pStyle w:val="Heading2"/>
        <w:numPr>
          <w:ilvl w:val="1"/>
          <w:numId w:val="3"/>
        </w:numPr>
        <w:ind w:left="1080" w:hanging="540"/>
        <w:rPr>
          <w:szCs w:val="24"/>
          <w:lang w:val="bg-BG"/>
        </w:rPr>
      </w:pPr>
      <w:bookmarkStart w:id="347" w:name="_Toc23939353"/>
      <w:bookmarkStart w:id="348" w:name="_Toc24052010"/>
      <w:bookmarkStart w:id="349" w:name="_Toc24052062"/>
      <w:bookmarkStart w:id="350" w:name="_Toc24052134"/>
      <w:bookmarkStart w:id="351" w:name="_Toc24052187"/>
      <w:bookmarkStart w:id="352" w:name="_Toc24052241"/>
      <w:bookmarkStart w:id="353" w:name="_Toc24052295"/>
      <w:bookmarkStart w:id="354" w:name="_Toc25322726"/>
      <w:bookmarkStart w:id="355" w:name="_Toc25322800"/>
      <w:bookmarkStart w:id="356" w:name="_Toc25322874"/>
      <w:bookmarkStart w:id="357" w:name="_Toc25322945"/>
      <w:bookmarkStart w:id="358" w:name="_Toc25672145"/>
      <w:bookmarkStart w:id="359" w:name="_Toc26890037"/>
      <w:bookmarkStart w:id="360" w:name="_Toc26890138"/>
      <w:bookmarkStart w:id="361" w:name="_Toc26890373"/>
      <w:bookmarkStart w:id="362" w:name="_Toc26891633"/>
      <w:bookmarkStart w:id="363" w:name="_Toc27054084"/>
      <w:bookmarkStart w:id="364" w:name="_Toc27054289"/>
      <w:bookmarkStart w:id="365" w:name="_Toc27055607"/>
      <w:bookmarkStart w:id="366" w:name="_Toc27055712"/>
      <w:bookmarkStart w:id="367" w:name="_Toc27055813"/>
      <w:bookmarkStart w:id="368" w:name="_Toc27069063"/>
      <w:bookmarkStart w:id="369" w:name="_Toc27306835"/>
      <w:bookmarkStart w:id="370" w:name="_Toc27306958"/>
      <w:bookmarkStart w:id="371" w:name="_Toc27307066"/>
      <w:bookmarkStart w:id="372" w:name="_Toc27307171"/>
      <w:bookmarkStart w:id="373" w:name="_Toc27307275"/>
      <w:bookmarkStart w:id="374" w:name="_Toc27320057"/>
      <w:bookmarkStart w:id="375" w:name="_Toc27320436"/>
      <w:bookmarkStart w:id="376" w:name="_Toc30426185"/>
      <w:bookmarkStart w:id="377" w:name="_Toc49162880"/>
      <w:bookmarkStart w:id="378" w:name="_Toc49182485"/>
      <w:bookmarkStart w:id="379" w:name="_Toc49183118"/>
      <w:bookmarkStart w:id="380" w:name="_Toc56283124"/>
      <w:bookmarkStart w:id="381" w:name="_Toc56283320"/>
      <w:bookmarkStart w:id="382" w:name="_Toc56333125"/>
      <w:bookmarkStart w:id="383" w:name="_Toc56333412"/>
      <w:bookmarkStart w:id="384" w:name="_Toc56333476"/>
      <w:bookmarkStart w:id="385" w:name="_Toc56355022"/>
      <w:bookmarkStart w:id="386" w:name="_Toc143694206"/>
      <w:bookmarkStart w:id="387" w:name="_Toc409365093"/>
      <w:bookmarkStart w:id="388" w:name="_Toc423954240"/>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r w:rsidRPr="008B058A">
        <w:rPr>
          <w:szCs w:val="24"/>
          <w:lang w:val="bg-BG"/>
        </w:rPr>
        <w:t>Анализ на чувствителността</w:t>
      </w:r>
      <w:bookmarkEnd w:id="386"/>
      <w:r w:rsidRPr="008B058A">
        <w:rPr>
          <w:szCs w:val="24"/>
          <w:lang w:val="bg-BG"/>
        </w:rPr>
        <w:t xml:space="preserve"> </w:t>
      </w:r>
      <w:bookmarkEnd w:id="387"/>
      <w:bookmarkEnd w:id="388"/>
    </w:p>
    <w:p w14:paraId="4D897288" w14:textId="77777777" w:rsidR="00E416EB" w:rsidRDefault="00E416EB" w:rsidP="00E416EB">
      <w:pPr>
        <w:autoSpaceDE w:val="0"/>
        <w:autoSpaceDN w:val="0"/>
        <w:adjustRightInd w:val="0"/>
        <w:jc w:val="both"/>
        <w:rPr>
          <w:rFonts w:cs="Arial"/>
        </w:rPr>
      </w:pPr>
      <w:r>
        <w:rPr>
          <w:rFonts w:cs="Arial"/>
        </w:rPr>
        <w:t>За тестване на чувствителността е използван препоръчвания 1% изменение на всяка от изследваните променливи. Казваме, че една променлива е чувствителна и ще изследваме нейните стойности на превключване, ако изменението й от 1% води до повече от 1 % изменение на стойността на изследваните индикатори.</w:t>
      </w:r>
    </w:p>
    <w:p w14:paraId="2CFBA3D3" w14:textId="77777777" w:rsidR="00E416EB" w:rsidRDefault="00E416EB" w:rsidP="00E416EB">
      <w:pPr>
        <w:tabs>
          <w:tab w:val="left" w:pos="1418"/>
        </w:tabs>
        <w:spacing w:before="60" w:after="60"/>
        <w:jc w:val="both"/>
        <w:rPr>
          <w:rFonts w:eastAsia="Calibri" w:cs="Arial"/>
          <w:i/>
          <w:color w:val="000000"/>
          <w:sz w:val="22"/>
          <w:lang w:eastAsia="en-US"/>
        </w:rPr>
      </w:pPr>
      <w:bookmarkStart w:id="389" w:name="_Toc174099079"/>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34</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Финансовия анализ</w:t>
      </w:r>
      <w:bookmarkEnd w:id="389"/>
    </w:p>
    <w:tbl>
      <w:tblPr>
        <w:tblStyle w:val="LightList-Accent111"/>
        <w:tblW w:w="10207" w:type="dxa"/>
        <w:tblLook w:val="04A0" w:firstRow="1" w:lastRow="0" w:firstColumn="1" w:lastColumn="0" w:noHBand="0" w:noVBand="1"/>
      </w:tblPr>
      <w:tblGrid>
        <w:gridCol w:w="2448"/>
        <w:gridCol w:w="992"/>
        <w:gridCol w:w="1796"/>
        <w:gridCol w:w="1464"/>
        <w:gridCol w:w="1130"/>
        <w:gridCol w:w="1271"/>
        <w:gridCol w:w="1106"/>
      </w:tblGrid>
      <w:tr w:rsidR="008B38BF" w:rsidRPr="008B38BF" w14:paraId="50BCCAF6" w14:textId="77777777" w:rsidTr="004E3586">
        <w:trPr>
          <w:cnfStyle w:val="100000000000" w:firstRow="1" w:lastRow="0" w:firstColumn="0" w:lastColumn="0" w:oddVBand="0" w:evenVBand="0" w:oddHBand="0" w:evenHBand="0" w:firstRowFirstColumn="0" w:firstRowLastColumn="0" w:lastRowFirstColumn="0" w:lastRowLastColumn="0"/>
          <w:trHeight w:val="630"/>
        </w:trPr>
        <w:tc>
          <w:tcPr>
            <w:cnfStyle w:val="001000000000" w:firstRow="0" w:lastRow="0" w:firstColumn="1" w:lastColumn="0" w:oddVBand="0" w:evenVBand="0" w:oddHBand="0" w:evenHBand="0" w:firstRowFirstColumn="0" w:firstRowLastColumn="0" w:lastRowFirstColumn="0" w:lastRowLastColumn="0"/>
            <w:tcW w:w="2448" w:type="dxa"/>
            <w:vAlign w:val="center"/>
            <w:hideMark/>
          </w:tcPr>
          <w:p w14:paraId="4CC89604" w14:textId="77777777" w:rsidR="00E416EB" w:rsidRPr="007D77DA" w:rsidRDefault="00E416EB" w:rsidP="00E416EB">
            <w:pPr>
              <w:jc w:val="center"/>
              <w:rPr>
                <w:rFonts w:cs="Arial"/>
                <w:b w:val="0"/>
                <w:bCs w:val="0"/>
                <w:color w:val="FFFFFF" w:themeColor="background1"/>
                <w:sz w:val="18"/>
                <w:szCs w:val="18"/>
              </w:rPr>
            </w:pPr>
            <w:r w:rsidRPr="007D77DA">
              <w:rPr>
                <w:rFonts w:cs="Arial"/>
                <w:color w:val="FFFFFF" w:themeColor="background1"/>
                <w:sz w:val="18"/>
                <w:szCs w:val="18"/>
              </w:rPr>
              <w:t>Тествани променливи</w:t>
            </w:r>
          </w:p>
        </w:tc>
        <w:tc>
          <w:tcPr>
            <w:tcW w:w="992" w:type="dxa"/>
            <w:vAlign w:val="center"/>
            <w:hideMark/>
          </w:tcPr>
          <w:p w14:paraId="462FF26B" w14:textId="77777777"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промяна</w:t>
            </w:r>
          </w:p>
        </w:tc>
        <w:tc>
          <w:tcPr>
            <w:tcW w:w="1796" w:type="dxa"/>
            <w:vAlign w:val="center"/>
            <w:hideMark/>
          </w:tcPr>
          <w:p w14:paraId="3873B9FB" w14:textId="20DCF989" w:rsidR="00E416EB" w:rsidRPr="007D77DA" w:rsidRDefault="00762C7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ФННС</w:t>
            </w:r>
            <w:r w:rsidR="00E416EB" w:rsidRPr="007D77DA">
              <w:rPr>
                <w:rFonts w:cs="Arial"/>
                <w:color w:val="FFFFFF" w:themeColor="background1"/>
                <w:sz w:val="18"/>
                <w:szCs w:val="18"/>
              </w:rPr>
              <w:t xml:space="preserve"> (4%)</w:t>
            </w:r>
          </w:p>
        </w:tc>
        <w:tc>
          <w:tcPr>
            <w:tcW w:w="1464" w:type="dxa"/>
            <w:vAlign w:val="center"/>
            <w:hideMark/>
          </w:tcPr>
          <w:p w14:paraId="4AB2941F" w14:textId="585DC6B9"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ФННС</w:t>
            </w:r>
            <w:r w:rsidRPr="007D77DA">
              <w:rPr>
                <w:rFonts w:cs="Arial"/>
                <w:color w:val="FFFFFF" w:themeColor="background1"/>
                <w:sz w:val="18"/>
                <w:szCs w:val="18"/>
              </w:rPr>
              <w:t xml:space="preserve"> (4%)</w:t>
            </w:r>
          </w:p>
        </w:tc>
        <w:tc>
          <w:tcPr>
            <w:tcW w:w="1130" w:type="dxa"/>
            <w:vAlign w:val="center"/>
            <w:hideMark/>
          </w:tcPr>
          <w:p w14:paraId="3FE93D1B" w14:textId="209D8BC3" w:rsidR="00E416EB" w:rsidRPr="007D77DA" w:rsidRDefault="00762C7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ФВНВ</w:t>
            </w:r>
          </w:p>
        </w:tc>
        <w:tc>
          <w:tcPr>
            <w:tcW w:w="1271" w:type="dxa"/>
            <w:vAlign w:val="center"/>
            <w:hideMark/>
          </w:tcPr>
          <w:p w14:paraId="71DA1876" w14:textId="57078889"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ФВНВ</w:t>
            </w:r>
          </w:p>
        </w:tc>
        <w:tc>
          <w:tcPr>
            <w:tcW w:w="1106" w:type="dxa"/>
            <w:vAlign w:val="center"/>
            <w:hideMark/>
          </w:tcPr>
          <w:p w14:paraId="56E95709" w14:textId="77777777"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Критична ли е?</w:t>
            </w:r>
          </w:p>
        </w:tc>
      </w:tr>
      <w:tr w:rsidR="004E3586" w:rsidRPr="00550954" w14:paraId="5794936E"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75C31F46" w14:textId="77777777" w:rsidR="004E3586" w:rsidRPr="00550954" w:rsidRDefault="004E3586" w:rsidP="004E3586">
            <w:pPr>
              <w:spacing w:after="0" w:line="240" w:lineRule="auto"/>
              <w:rPr>
                <w:rFonts w:cs="Arial"/>
                <w:sz w:val="18"/>
                <w:szCs w:val="18"/>
              </w:rPr>
            </w:pPr>
            <w:r w:rsidRPr="00550954">
              <w:rPr>
                <w:rFonts w:cs="Arial"/>
                <w:sz w:val="18"/>
                <w:szCs w:val="18"/>
              </w:rPr>
              <w:t>A. Инвестиционни разходи</w:t>
            </w:r>
          </w:p>
        </w:tc>
        <w:tc>
          <w:tcPr>
            <w:tcW w:w="992" w:type="dxa"/>
            <w:shd w:val="clear" w:color="auto" w:fill="auto"/>
            <w:noWrap/>
            <w:vAlign w:val="center"/>
            <w:hideMark/>
          </w:tcPr>
          <w:p w14:paraId="5993AD73"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1171F9B5" w14:textId="3B9FE682"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-11 152 999,12</w:t>
            </w:r>
          </w:p>
        </w:tc>
        <w:tc>
          <w:tcPr>
            <w:tcW w:w="1464" w:type="dxa"/>
            <w:shd w:val="clear" w:color="auto" w:fill="auto"/>
            <w:noWrap/>
            <w:hideMark/>
          </w:tcPr>
          <w:p w14:paraId="5C8561EE" w14:textId="005ACFF7"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0,92%</w:t>
            </w:r>
          </w:p>
        </w:tc>
        <w:tc>
          <w:tcPr>
            <w:tcW w:w="1130" w:type="dxa"/>
            <w:shd w:val="clear" w:color="auto" w:fill="auto"/>
            <w:noWrap/>
            <w:vAlign w:val="center"/>
            <w:hideMark/>
          </w:tcPr>
          <w:p w14:paraId="040AC4C0"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2C2AB2B2"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7D16324C"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Не</w:t>
            </w:r>
          </w:p>
        </w:tc>
      </w:tr>
      <w:tr w:rsidR="004E3586" w:rsidRPr="00550954" w14:paraId="04C0520A"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vAlign w:val="center"/>
            <w:hideMark/>
          </w:tcPr>
          <w:p w14:paraId="79E8CCAE"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73013ABA"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1136D3CE" w14:textId="36E8D5D4"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-10 948 577,83</w:t>
            </w:r>
          </w:p>
        </w:tc>
        <w:tc>
          <w:tcPr>
            <w:tcW w:w="1464" w:type="dxa"/>
            <w:shd w:val="clear" w:color="auto" w:fill="auto"/>
            <w:noWrap/>
            <w:hideMark/>
          </w:tcPr>
          <w:p w14:paraId="7F683E67" w14:textId="1D5FE81B"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-0,92%</w:t>
            </w:r>
          </w:p>
        </w:tc>
        <w:tc>
          <w:tcPr>
            <w:tcW w:w="1130" w:type="dxa"/>
            <w:shd w:val="clear" w:color="auto" w:fill="auto"/>
            <w:noWrap/>
            <w:vAlign w:val="center"/>
            <w:hideMark/>
          </w:tcPr>
          <w:p w14:paraId="5D2EFAF0"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6E5DBD66"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1D37E7B2"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r w:rsidR="004E3586" w:rsidRPr="00550954" w14:paraId="6A934BAA"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6117E9DA" w14:textId="77777777" w:rsidR="004E3586" w:rsidRPr="00550954" w:rsidRDefault="004E3586" w:rsidP="004E3586">
            <w:pPr>
              <w:spacing w:after="0" w:line="240" w:lineRule="auto"/>
              <w:rPr>
                <w:rFonts w:cs="Arial"/>
                <w:sz w:val="18"/>
                <w:szCs w:val="18"/>
              </w:rPr>
            </w:pPr>
            <w:r w:rsidRPr="00550954">
              <w:rPr>
                <w:rFonts w:cs="Arial"/>
                <w:sz w:val="18"/>
                <w:szCs w:val="18"/>
              </w:rPr>
              <w:t>C. Разходи за ЕиП</w:t>
            </w:r>
          </w:p>
        </w:tc>
        <w:tc>
          <w:tcPr>
            <w:tcW w:w="992" w:type="dxa"/>
            <w:shd w:val="clear" w:color="auto" w:fill="auto"/>
            <w:noWrap/>
            <w:vAlign w:val="center"/>
            <w:hideMark/>
          </w:tcPr>
          <w:p w14:paraId="6D732E14"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76BBA5F4" w14:textId="03581D9E"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-11 060 078,86</w:t>
            </w:r>
          </w:p>
        </w:tc>
        <w:tc>
          <w:tcPr>
            <w:tcW w:w="1464" w:type="dxa"/>
            <w:shd w:val="clear" w:color="auto" w:fill="auto"/>
            <w:noWrap/>
            <w:hideMark/>
          </w:tcPr>
          <w:p w14:paraId="17DA890A" w14:textId="6674E6A6"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0,08%</w:t>
            </w:r>
          </w:p>
        </w:tc>
        <w:tc>
          <w:tcPr>
            <w:tcW w:w="1130" w:type="dxa"/>
            <w:shd w:val="clear" w:color="auto" w:fill="auto"/>
            <w:noWrap/>
            <w:vAlign w:val="center"/>
            <w:hideMark/>
          </w:tcPr>
          <w:p w14:paraId="35C800CD"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54D38CD7"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52CF022D"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Не</w:t>
            </w:r>
          </w:p>
        </w:tc>
      </w:tr>
      <w:tr w:rsidR="004E3586" w:rsidRPr="00550954" w14:paraId="5D27DC33"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shd w:val="clear" w:color="auto" w:fill="auto"/>
            <w:vAlign w:val="center"/>
            <w:hideMark/>
          </w:tcPr>
          <w:p w14:paraId="2FCAB85D"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0F0F8814"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61E414E5" w14:textId="2DC16D9C"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-11 041 498,09</w:t>
            </w:r>
          </w:p>
        </w:tc>
        <w:tc>
          <w:tcPr>
            <w:tcW w:w="1464" w:type="dxa"/>
            <w:shd w:val="clear" w:color="auto" w:fill="auto"/>
            <w:noWrap/>
            <w:hideMark/>
          </w:tcPr>
          <w:p w14:paraId="060286C9" w14:textId="7096C473"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-0,08%</w:t>
            </w:r>
          </w:p>
        </w:tc>
        <w:tc>
          <w:tcPr>
            <w:tcW w:w="1130" w:type="dxa"/>
            <w:shd w:val="clear" w:color="auto" w:fill="auto"/>
            <w:noWrap/>
            <w:vAlign w:val="center"/>
            <w:hideMark/>
          </w:tcPr>
          <w:p w14:paraId="29F98E95"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65DFC17E"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540EF708"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r w:rsidR="004E3586" w:rsidRPr="00550954" w14:paraId="241BC2D1"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48" w:type="dxa"/>
            <w:vMerge w:val="restart"/>
            <w:shd w:val="clear" w:color="auto" w:fill="auto"/>
            <w:vAlign w:val="center"/>
            <w:hideMark/>
          </w:tcPr>
          <w:p w14:paraId="5D3778C0" w14:textId="77777777" w:rsidR="004E3586" w:rsidRPr="00550954" w:rsidRDefault="004E3586" w:rsidP="004E3586">
            <w:pPr>
              <w:spacing w:after="0" w:line="240" w:lineRule="auto"/>
              <w:rPr>
                <w:rFonts w:cs="Arial"/>
                <w:sz w:val="18"/>
                <w:szCs w:val="18"/>
              </w:rPr>
            </w:pPr>
            <w:r w:rsidRPr="00550954">
              <w:rPr>
                <w:rFonts w:cs="Arial"/>
                <w:sz w:val="18"/>
                <w:szCs w:val="18"/>
              </w:rPr>
              <w:t>F. Оперативни приходи</w:t>
            </w:r>
          </w:p>
        </w:tc>
        <w:tc>
          <w:tcPr>
            <w:tcW w:w="992" w:type="dxa"/>
            <w:shd w:val="clear" w:color="auto" w:fill="auto"/>
            <w:noWrap/>
            <w:vAlign w:val="center"/>
            <w:hideMark/>
          </w:tcPr>
          <w:p w14:paraId="342050FE" w14:textId="77777777" w:rsidR="004E3586" w:rsidRPr="00794FF7"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56CFE1AF" w14:textId="62FB5441"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-11 049 795,33</w:t>
            </w:r>
          </w:p>
        </w:tc>
        <w:tc>
          <w:tcPr>
            <w:tcW w:w="1464" w:type="dxa"/>
            <w:shd w:val="clear" w:color="auto" w:fill="auto"/>
            <w:noWrap/>
            <w:hideMark/>
          </w:tcPr>
          <w:p w14:paraId="0011E65F" w14:textId="5EDC31C8" w:rsidR="004E3586" w:rsidRPr="004E3586"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-0,01%</w:t>
            </w:r>
          </w:p>
        </w:tc>
        <w:tc>
          <w:tcPr>
            <w:tcW w:w="1130" w:type="dxa"/>
            <w:shd w:val="clear" w:color="auto" w:fill="auto"/>
            <w:noWrap/>
            <w:vAlign w:val="center"/>
            <w:hideMark/>
          </w:tcPr>
          <w:p w14:paraId="49BF7E49" w14:textId="77777777" w:rsidR="004E3586" w:rsidRPr="00794FF7" w:rsidRDefault="004E3586" w:rsidP="004E3586">
            <w:pPr>
              <w:spacing w:after="0" w:line="240" w:lineRule="auto"/>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525CA411" w14:textId="77777777" w:rsidR="004E3586" w:rsidRPr="00794FF7"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restart"/>
            <w:shd w:val="clear" w:color="auto" w:fill="auto"/>
            <w:noWrap/>
            <w:vAlign w:val="center"/>
            <w:hideMark/>
          </w:tcPr>
          <w:p w14:paraId="470EF6B8" w14:textId="77777777" w:rsidR="004E3586" w:rsidRPr="00550954"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sz w:val="18"/>
                <w:szCs w:val="18"/>
              </w:rPr>
            </w:pPr>
            <w:r w:rsidRPr="00550954">
              <w:rPr>
                <w:rFonts w:cs="Arial"/>
                <w:sz w:val="18"/>
                <w:szCs w:val="18"/>
              </w:rPr>
              <w:t xml:space="preserve">Не </w:t>
            </w:r>
          </w:p>
        </w:tc>
      </w:tr>
      <w:tr w:rsidR="004E3586" w:rsidRPr="00550954" w14:paraId="4045A3B6"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448" w:type="dxa"/>
            <w:vMerge/>
            <w:vAlign w:val="center"/>
            <w:hideMark/>
          </w:tcPr>
          <w:p w14:paraId="580D9AD3" w14:textId="77777777" w:rsidR="004E3586" w:rsidRPr="00550954" w:rsidRDefault="004E3586" w:rsidP="004E3586">
            <w:pPr>
              <w:spacing w:after="0" w:line="240" w:lineRule="auto"/>
              <w:rPr>
                <w:rFonts w:cs="Arial"/>
                <w:sz w:val="18"/>
                <w:szCs w:val="18"/>
              </w:rPr>
            </w:pPr>
          </w:p>
        </w:tc>
        <w:tc>
          <w:tcPr>
            <w:tcW w:w="992" w:type="dxa"/>
            <w:shd w:val="clear" w:color="auto" w:fill="auto"/>
            <w:noWrap/>
            <w:vAlign w:val="center"/>
            <w:hideMark/>
          </w:tcPr>
          <w:p w14:paraId="1CF974C2" w14:textId="77777777" w:rsidR="004E3586" w:rsidRPr="00794FF7"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-1%</w:t>
            </w:r>
          </w:p>
        </w:tc>
        <w:tc>
          <w:tcPr>
            <w:tcW w:w="1796" w:type="dxa"/>
            <w:shd w:val="clear" w:color="auto" w:fill="auto"/>
            <w:noWrap/>
            <w:hideMark/>
          </w:tcPr>
          <w:p w14:paraId="290103BB" w14:textId="406E9C46"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-11 051 781,62</w:t>
            </w:r>
          </w:p>
        </w:tc>
        <w:tc>
          <w:tcPr>
            <w:tcW w:w="1464" w:type="dxa"/>
            <w:shd w:val="clear" w:color="auto" w:fill="auto"/>
            <w:noWrap/>
            <w:hideMark/>
          </w:tcPr>
          <w:p w14:paraId="26F8DAD4" w14:textId="6E6E025E" w:rsidR="004E3586" w:rsidRPr="004E3586"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0,01%</w:t>
            </w:r>
          </w:p>
        </w:tc>
        <w:tc>
          <w:tcPr>
            <w:tcW w:w="1130" w:type="dxa"/>
            <w:shd w:val="clear" w:color="auto" w:fill="auto"/>
            <w:noWrap/>
            <w:vAlign w:val="center"/>
            <w:hideMark/>
          </w:tcPr>
          <w:p w14:paraId="33EFABD7" w14:textId="77777777" w:rsidR="004E3586" w:rsidRPr="00794FF7"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No value</w:t>
            </w:r>
          </w:p>
        </w:tc>
        <w:tc>
          <w:tcPr>
            <w:tcW w:w="1271" w:type="dxa"/>
            <w:shd w:val="clear" w:color="auto" w:fill="auto"/>
            <w:noWrap/>
            <w:vAlign w:val="center"/>
            <w:hideMark/>
          </w:tcPr>
          <w:p w14:paraId="0CA0331F" w14:textId="77777777" w:rsidR="004E3586" w:rsidRPr="00794FF7"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rPr>
            </w:pPr>
            <w:r w:rsidRPr="00794FF7">
              <w:rPr>
                <w:rFonts w:cs="Arial"/>
                <w:color w:val="000000"/>
                <w:sz w:val="18"/>
                <w:szCs w:val="18"/>
              </w:rPr>
              <w:t>0,00%</w:t>
            </w:r>
          </w:p>
        </w:tc>
        <w:tc>
          <w:tcPr>
            <w:tcW w:w="1106" w:type="dxa"/>
            <w:vMerge/>
            <w:vAlign w:val="center"/>
            <w:hideMark/>
          </w:tcPr>
          <w:p w14:paraId="78D5E1D5" w14:textId="77777777" w:rsidR="004E3586" w:rsidRPr="00550954"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rPr>
            </w:pPr>
          </w:p>
        </w:tc>
      </w:tr>
    </w:tbl>
    <w:p w14:paraId="4AA6565B" w14:textId="77777777" w:rsidR="00E416EB" w:rsidRPr="007D77DA" w:rsidRDefault="00E416EB" w:rsidP="00E416EB">
      <w:pPr>
        <w:autoSpaceDE w:val="0"/>
        <w:autoSpaceDN w:val="0"/>
        <w:adjustRightInd w:val="0"/>
        <w:jc w:val="both"/>
        <w:rPr>
          <w:rFonts w:ascii="Times New Roman" w:hAnsi="Times New Roman" w:cs="Times New Roman"/>
          <w:i/>
          <w:sz w:val="18"/>
          <w:szCs w:val="18"/>
        </w:rPr>
      </w:pPr>
      <w:r w:rsidRPr="007D77DA">
        <w:rPr>
          <w:rFonts w:ascii="Times New Roman" w:hAnsi="Times New Roman" w:cs="Times New Roman"/>
          <w:i/>
          <w:sz w:val="18"/>
          <w:szCs w:val="18"/>
        </w:rPr>
        <w:t>Източник: модел Vademecum</w:t>
      </w:r>
    </w:p>
    <w:p w14:paraId="6A4BC7B5" w14:textId="57B9696F" w:rsidR="00E416EB" w:rsidRDefault="00E416EB" w:rsidP="00E416EB">
      <w:pPr>
        <w:autoSpaceDE w:val="0"/>
        <w:autoSpaceDN w:val="0"/>
        <w:adjustRightInd w:val="0"/>
        <w:jc w:val="both"/>
        <w:rPr>
          <w:rFonts w:cs="Arial"/>
        </w:rPr>
      </w:pPr>
      <w:r>
        <w:rPr>
          <w:rFonts w:cs="Arial"/>
        </w:rPr>
        <w:t>Видно във финансовия анализ няма критични променливи, защото още преди анализа ФННС&lt;0, а ФВНВ &lt; 4%.</w:t>
      </w:r>
    </w:p>
    <w:p w14:paraId="3A07952A" w14:textId="77777777" w:rsidR="00E54D99" w:rsidRDefault="00E54D99" w:rsidP="00E416EB">
      <w:pPr>
        <w:autoSpaceDE w:val="0"/>
        <w:autoSpaceDN w:val="0"/>
        <w:adjustRightInd w:val="0"/>
        <w:jc w:val="both"/>
        <w:rPr>
          <w:rFonts w:cs="Arial"/>
        </w:rPr>
        <w:sectPr w:rsidR="00E54D99" w:rsidSect="00A975C0">
          <w:headerReference w:type="default" r:id="rId37"/>
          <w:footerReference w:type="default" r:id="rId38"/>
          <w:pgSz w:w="11907" w:h="16840" w:code="9"/>
          <w:pgMar w:top="1276" w:right="1134" w:bottom="1134" w:left="1276" w:header="425" w:footer="510" w:gutter="0"/>
          <w:cols w:space="708"/>
          <w:docGrid w:linePitch="326"/>
        </w:sectPr>
      </w:pPr>
    </w:p>
    <w:p w14:paraId="7F0EB71D" w14:textId="0202A1D8" w:rsidR="00E54D99" w:rsidRDefault="00E54D99" w:rsidP="00E416EB">
      <w:pPr>
        <w:autoSpaceDE w:val="0"/>
        <w:autoSpaceDN w:val="0"/>
        <w:adjustRightInd w:val="0"/>
        <w:jc w:val="both"/>
        <w:rPr>
          <w:rFonts w:cs="Arial"/>
        </w:rPr>
      </w:pPr>
    </w:p>
    <w:p w14:paraId="7839651C" w14:textId="77777777" w:rsidR="00E416EB" w:rsidRDefault="00E416EB" w:rsidP="00E416EB">
      <w:pPr>
        <w:tabs>
          <w:tab w:val="left" w:pos="1418"/>
        </w:tabs>
        <w:spacing w:before="60" w:after="60"/>
        <w:jc w:val="both"/>
        <w:rPr>
          <w:rFonts w:eastAsia="Calibri" w:cs="Arial"/>
          <w:i/>
          <w:color w:val="000000"/>
          <w:sz w:val="22"/>
          <w:lang w:eastAsia="en-US"/>
        </w:rPr>
      </w:pPr>
      <w:bookmarkStart w:id="390" w:name="_Toc174099080"/>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35</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E416EB">
        <w:rPr>
          <w:rFonts w:eastAsia="Calibri" w:cs="Arial"/>
          <w:i/>
          <w:color w:val="000000"/>
          <w:sz w:val="22"/>
          <w:lang w:eastAsia="en-US"/>
        </w:rPr>
        <w:t>Чувствителност на променливите във Икономическия анализ</w:t>
      </w:r>
      <w:bookmarkEnd w:id="390"/>
    </w:p>
    <w:tbl>
      <w:tblPr>
        <w:tblStyle w:val="LightList-Accent111"/>
        <w:tblW w:w="14488" w:type="dxa"/>
        <w:tblLook w:val="04A0" w:firstRow="1" w:lastRow="0" w:firstColumn="1" w:lastColumn="0" w:noHBand="0" w:noVBand="1"/>
      </w:tblPr>
      <w:tblGrid>
        <w:gridCol w:w="2518"/>
        <w:gridCol w:w="1426"/>
        <w:gridCol w:w="1440"/>
        <w:gridCol w:w="992"/>
        <w:gridCol w:w="1512"/>
        <w:gridCol w:w="1343"/>
        <w:gridCol w:w="1365"/>
        <w:gridCol w:w="1343"/>
        <w:gridCol w:w="1206"/>
        <w:gridCol w:w="1343"/>
      </w:tblGrid>
      <w:tr w:rsidR="003E1CB7" w:rsidRPr="003E1CB7" w14:paraId="73C81F5B" w14:textId="77777777" w:rsidTr="004E3586">
        <w:trPr>
          <w:cnfStyle w:val="100000000000" w:firstRow="1" w:lastRow="0" w:firstColumn="0" w:lastColumn="0" w:oddVBand="0" w:evenVBand="0" w:oddHBand="0" w:evenHBand="0" w:firstRowFirstColumn="0" w:firstRowLastColumn="0" w:lastRowFirstColumn="0" w:lastRowLastColumn="0"/>
          <w:trHeight w:val="432"/>
        </w:trPr>
        <w:tc>
          <w:tcPr>
            <w:cnfStyle w:val="001000000000" w:firstRow="0" w:lastRow="0" w:firstColumn="1" w:lastColumn="0" w:oddVBand="0" w:evenVBand="0" w:oddHBand="0" w:evenHBand="0" w:firstRowFirstColumn="0" w:firstRowLastColumn="0" w:lastRowFirstColumn="0" w:lastRowLastColumn="0"/>
            <w:tcW w:w="2518" w:type="dxa"/>
            <w:vAlign w:val="center"/>
            <w:hideMark/>
          </w:tcPr>
          <w:p w14:paraId="4CE8D4C3" w14:textId="77777777" w:rsidR="00B8750F" w:rsidRPr="007D77DA" w:rsidRDefault="00B8750F" w:rsidP="00B8750F">
            <w:pPr>
              <w:jc w:val="center"/>
              <w:rPr>
                <w:rFonts w:ascii="Calibri" w:hAnsi="Calibri" w:cs="Calibri"/>
                <w:b w:val="0"/>
                <w:bCs w:val="0"/>
                <w:color w:val="FFFFFF" w:themeColor="background1"/>
                <w:sz w:val="20"/>
                <w:szCs w:val="20"/>
                <w:lang w:val="en-US"/>
              </w:rPr>
            </w:pPr>
            <w:r w:rsidRPr="007D77DA">
              <w:rPr>
                <w:rFonts w:cs="Arial"/>
                <w:color w:val="FFFFFF" w:themeColor="background1"/>
                <w:sz w:val="18"/>
                <w:szCs w:val="18"/>
              </w:rPr>
              <w:t>Тествани променливи</w:t>
            </w:r>
          </w:p>
        </w:tc>
        <w:tc>
          <w:tcPr>
            <w:tcW w:w="1426" w:type="dxa"/>
            <w:vAlign w:val="center"/>
            <w:hideMark/>
          </w:tcPr>
          <w:p w14:paraId="1B3724C5" w14:textId="6FC1F410" w:rsidR="00B8750F"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норма</w:t>
            </w:r>
            <w:r w:rsidR="00B8750F" w:rsidRPr="007D77DA">
              <w:rPr>
                <w:rFonts w:cs="Arial"/>
                <w:color w:val="FFFFFF" w:themeColor="background1"/>
                <w:sz w:val="18"/>
                <w:szCs w:val="18"/>
              </w:rPr>
              <w:t xml:space="preserve"> (5%)</w:t>
            </w:r>
          </w:p>
        </w:tc>
        <w:tc>
          <w:tcPr>
            <w:tcW w:w="1440" w:type="dxa"/>
            <w:vAlign w:val="center"/>
            <w:hideMark/>
          </w:tcPr>
          <w:p w14:paraId="2D8A4A92"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Сума</w:t>
            </w:r>
          </w:p>
        </w:tc>
        <w:tc>
          <w:tcPr>
            <w:tcW w:w="992" w:type="dxa"/>
            <w:vAlign w:val="center"/>
            <w:hideMark/>
          </w:tcPr>
          <w:p w14:paraId="2D5B94F0"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промяна</w:t>
            </w:r>
          </w:p>
        </w:tc>
        <w:tc>
          <w:tcPr>
            <w:tcW w:w="1512" w:type="dxa"/>
            <w:vAlign w:val="center"/>
            <w:hideMark/>
          </w:tcPr>
          <w:p w14:paraId="7DD218F5" w14:textId="77777777" w:rsidR="00762C71"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ИННС</w:t>
            </w:r>
          </w:p>
          <w:p w14:paraId="5D4BFE1F"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(5%)</w:t>
            </w:r>
          </w:p>
        </w:tc>
        <w:tc>
          <w:tcPr>
            <w:tcW w:w="1343" w:type="dxa"/>
            <w:vAlign w:val="center"/>
            <w:hideMark/>
          </w:tcPr>
          <w:p w14:paraId="4760DE80" w14:textId="265240F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И</w:t>
            </w:r>
            <w:r w:rsidRPr="007D77DA">
              <w:rPr>
                <w:rFonts w:cs="Arial"/>
                <w:color w:val="FFFFFF" w:themeColor="background1"/>
                <w:sz w:val="18"/>
                <w:szCs w:val="18"/>
              </w:rPr>
              <w:t xml:space="preserve">ННС </w:t>
            </w:r>
          </w:p>
        </w:tc>
        <w:tc>
          <w:tcPr>
            <w:tcW w:w="1365" w:type="dxa"/>
            <w:vAlign w:val="center"/>
            <w:hideMark/>
          </w:tcPr>
          <w:p w14:paraId="56F6011F" w14:textId="77777777" w:rsidR="00762C71" w:rsidRPr="007D77DA" w:rsidRDefault="00762C71" w:rsidP="00B8750F">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ИВНВ</w:t>
            </w:r>
          </w:p>
          <w:p w14:paraId="6A44BC46" w14:textId="393A42B3"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p>
        </w:tc>
        <w:tc>
          <w:tcPr>
            <w:tcW w:w="1343" w:type="dxa"/>
            <w:vAlign w:val="center"/>
            <w:hideMark/>
          </w:tcPr>
          <w:p w14:paraId="69F7B938" w14:textId="53F5740A" w:rsidR="00B8750F" w:rsidRPr="007D77DA" w:rsidRDefault="00B8750F" w:rsidP="007D77DA">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18"/>
                <w:szCs w:val="18"/>
              </w:rPr>
            </w:pPr>
            <w:r w:rsidRPr="007D77DA">
              <w:rPr>
                <w:rFonts w:cs="Arial"/>
                <w:color w:val="FFFFFF" w:themeColor="background1"/>
                <w:sz w:val="18"/>
                <w:szCs w:val="18"/>
              </w:rPr>
              <w:t xml:space="preserve">% промяна на </w:t>
            </w:r>
            <w:r w:rsidR="00762C71" w:rsidRPr="007D77DA">
              <w:rPr>
                <w:rFonts w:cs="Arial"/>
                <w:color w:val="FFFFFF" w:themeColor="background1"/>
                <w:sz w:val="18"/>
                <w:szCs w:val="18"/>
              </w:rPr>
              <w:t>ИВНВ</w:t>
            </w:r>
          </w:p>
        </w:tc>
        <w:tc>
          <w:tcPr>
            <w:tcW w:w="1206" w:type="dxa"/>
            <w:vAlign w:val="center"/>
            <w:hideMark/>
          </w:tcPr>
          <w:p w14:paraId="5F8999D8"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П/Р коеф.</w:t>
            </w:r>
          </w:p>
        </w:tc>
        <w:tc>
          <w:tcPr>
            <w:tcW w:w="1343" w:type="dxa"/>
            <w:vAlign w:val="center"/>
            <w:hideMark/>
          </w:tcPr>
          <w:p w14:paraId="3CDFE104" w14:textId="77777777" w:rsidR="00B8750F" w:rsidRPr="007D77DA" w:rsidRDefault="00B8750F" w:rsidP="00B8750F">
            <w:pPr>
              <w:jc w:val="center"/>
              <w:cnfStyle w:val="100000000000" w:firstRow="1" w:lastRow="0" w:firstColumn="0" w:lastColumn="0" w:oddVBand="0" w:evenVBand="0" w:oddHBand="0" w:evenHBand="0" w:firstRowFirstColumn="0" w:firstRowLastColumn="0" w:lastRowFirstColumn="0" w:lastRowLastColumn="0"/>
              <w:rPr>
                <w:rFonts w:ascii="Calibri" w:hAnsi="Calibri" w:cs="Calibri"/>
                <w:b w:val="0"/>
                <w:bCs w:val="0"/>
                <w:color w:val="FFFFFF" w:themeColor="background1"/>
                <w:sz w:val="20"/>
                <w:szCs w:val="20"/>
                <w:lang w:val="en-US"/>
              </w:rPr>
            </w:pPr>
            <w:r w:rsidRPr="007D77DA">
              <w:rPr>
                <w:rFonts w:cs="Arial"/>
                <w:color w:val="FFFFFF" w:themeColor="background1"/>
                <w:sz w:val="18"/>
                <w:szCs w:val="18"/>
              </w:rPr>
              <w:t>% промяна на П/Р коеф.</w:t>
            </w:r>
          </w:p>
        </w:tc>
      </w:tr>
      <w:tr w:rsidR="004E3586" w:rsidRPr="00B8750F" w14:paraId="0E86657E"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5F67DC25" w14:textId="77777777" w:rsidR="004E3586" w:rsidRPr="00B8750F" w:rsidRDefault="004E3586" w:rsidP="004E3586">
            <w:pPr>
              <w:spacing w:after="0" w:line="240" w:lineRule="auto"/>
              <w:rPr>
                <w:rFonts w:ascii="Calibri" w:hAnsi="Calibri" w:cs="Calibri"/>
                <w:sz w:val="20"/>
                <w:szCs w:val="20"/>
                <w:lang w:val="en-US"/>
              </w:rPr>
            </w:pPr>
            <w:r w:rsidRPr="00550954">
              <w:rPr>
                <w:rFonts w:cs="Arial"/>
                <w:sz w:val="18"/>
                <w:szCs w:val="18"/>
              </w:rPr>
              <w:t xml:space="preserve">A. </w:t>
            </w:r>
            <w:r>
              <w:rPr>
                <w:rFonts w:cs="Arial"/>
                <w:sz w:val="18"/>
                <w:szCs w:val="18"/>
              </w:rPr>
              <w:t>Инвести</w:t>
            </w:r>
            <w:r w:rsidRPr="00550954">
              <w:rPr>
                <w:rFonts w:cs="Arial"/>
                <w:sz w:val="18"/>
                <w:szCs w:val="18"/>
              </w:rPr>
              <w:t>ционни разходи</w:t>
            </w:r>
          </w:p>
        </w:tc>
        <w:tc>
          <w:tcPr>
            <w:tcW w:w="1426" w:type="dxa"/>
            <w:vMerge w:val="restart"/>
            <w:shd w:val="clear" w:color="auto" w:fill="auto"/>
            <w:noWrap/>
            <w:hideMark/>
          </w:tcPr>
          <w:p w14:paraId="301A167F" w14:textId="0D5DC14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13 028 198,31</w:t>
            </w:r>
          </w:p>
          <w:p w14:paraId="2E755B79" w14:textId="73FF9C3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20C6D86D" w14:textId="60CD1883"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14 413 173,04</w:t>
            </w:r>
          </w:p>
          <w:p w14:paraId="6742F73D" w14:textId="73DDD87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0F13C78A" w14:textId="37323142"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04DAAD96" w14:textId="434F256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13 142 166,28</w:t>
            </w:r>
          </w:p>
        </w:tc>
        <w:tc>
          <w:tcPr>
            <w:tcW w:w="1343" w:type="dxa"/>
            <w:shd w:val="clear" w:color="auto" w:fill="auto"/>
            <w:noWrap/>
            <w:hideMark/>
          </w:tcPr>
          <w:p w14:paraId="54420CA9" w14:textId="4E5B16D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-0,68%</w:t>
            </w:r>
          </w:p>
        </w:tc>
        <w:tc>
          <w:tcPr>
            <w:tcW w:w="1365" w:type="dxa"/>
            <w:shd w:val="clear" w:color="auto" w:fill="auto"/>
            <w:noWrap/>
            <w:hideMark/>
          </w:tcPr>
          <w:p w14:paraId="04EC9FF1" w14:textId="178927C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11,95%</w:t>
            </w:r>
          </w:p>
        </w:tc>
        <w:tc>
          <w:tcPr>
            <w:tcW w:w="1343" w:type="dxa"/>
            <w:shd w:val="clear" w:color="auto" w:fill="auto"/>
            <w:noWrap/>
            <w:hideMark/>
          </w:tcPr>
          <w:p w14:paraId="04C08D49" w14:textId="03C8C58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FF0000"/>
                <w:sz w:val="18"/>
                <w:szCs w:val="18"/>
                <w:lang w:val="en-US"/>
              </w:rPr>
            </w:pPr>
            <w:r w:rsidRPr="009963CE">
              <w:rPr>
                <w:color w:val="FF0000"/>
                <w:sz w:val="18"/>
                <w:szCs w:val="18"/>
              </w:rPr>
              <w:t>-1,03%</w:t>
            </w:r>
          </w:p>
        </w:tc>
        <w:tc>
          <w:tcPr>
            <w:tcW w:w="1206" w:type="dxa"/>
            <w:shd w:val="clear" w:color="auto" w:fill="auto"/>
            <w:noWrap/>
            <w:hideMark/>
          </w:tcPr>
          <w:p w14:paraId="69F8EDDA" w14:textId="484FA98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2,072</w:t>
            </w:r>
          </w:p>
        </w:tc>
        <w:tc>
          <w:tcPr>
            <w:tcW w:w="1343" w:type="dxa"/>
            <w:shd w:val="clear" w:color="auto" w:fill="auto"/>
            <w:noWrap/>
            <w:hideMark/>
          </w:tcPr>
          <w:p w14:paraId="0DC9B737" w14:textId="3326C0A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-0,83%</w:t>
            </w:r>
          </w:p>
        </w:tc>
      </w:tr>
      <w:tr w:rsidR="004E3586" w:rsidRPr="00B8750F" w14:paraId="770A2BC1"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518" w:type="dxa"/>
            <w:vMerge/>
            <w:vAlign w:val="center"/>
            <w:hideMark/>
          </w:tcPr>
          <w:p w14:paraId="54F04234"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20289DE8"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513E9F07"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6A67AFE6" w14:textId="70B9E477"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26D3FB06" w14:textId="267E979A"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13 321 769,53</w:t>
            </w:r>
          </w:p>
        </w:tc>
        <w:tc>
          <w:tcPr>
            <w:tcW w:w="1343" w:type="dxa"/>
            <w:shd w:val="clear" w:color="auto" w:fill="auto"/>
            <w:noWrap/>
            <w:hideMark/>
          </w:tcPr>
          <w:p w14:paraId="2D51E14F" w14:textId="618AB7D9"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0,68%</w:t>
            </w:r>
          </w:p>
        </w:tc>
        <w:tc>
          <w:tcPr>
            <w:tcW w:w="1365" w:type="dxa"/>
            <w:shd w:val="clear" w:color="auto" w:fill="auto"/>
            <w:noWrap/>
            <w:hideMark/>
          </w:tcPr>
          <w:p w14:paraId="393D5C28" w14:textId="21BBF5EC"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12,20%</w:t>
            </w:r>
          </w:p>
        </w:tc>
        <w:tc>
          <w:tcPr>
            <w:tcW w:w="1343" w:type="dxa"/>
            <w:shd w:val="clear" w:color="auto" w:fill="auto"/>
            <w:noWrap/>
            <w:hideMark/>
          </w:tcPr>
          <w:p w14:paraId="020536D0" w14:textId="42D61C67"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FF0000"/>
                <w:sz w:val="18"/>
                <w:szCs w:val="18"/>
                <w:lang w:val="en-US"/>
              </w:rPr>
            </w:pPr>
            <w:r w:rsidRPr="009963CE">
              <w:rPr>
                <w:color w:val="FF0000"/>
                <w:sz w:val="18"/>
                <w:szCs w:val="18"/>
              </w:rPr>
              <w:t>1,04%</w:t>
            </w:r>
          </w:p>
        </w:tc>
        <w:tc>
          <w:tcPr>
            <w:tcW w:w="1206" w:type="dxa"/>
            <w:shd w:val="clear" w:color="auto" w:fill="auto"/>
            <w:noWrap/>
            <w:hideMark/>
          </w:tcPr>
          <w:p w14:paraId="1D147998" w14:textId="2B0C61B4"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2,107</w:t>
            </w:r>
          </w:p>
        </w:tc>
        <w:tc>
          <w:tcPr>
            <w:tcW w:w="1343" w:type="dxa"/>
            <w:shd w:val="clear" w:color="auto" w:fill="auto"/>
            <w:noWrap/>
            <w:hideMark/>
          </w:tcPr>
          <w:p w14:paraId="35898042" w14:textId="150CF86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0,85%</w:t>
            </w:r>
          </w:p>
        </w:tc>
      </w:tr>
      <w:tr w:rsidR="004E3586" w:rsidRPr="00B8750F" w14:paraId="05BB89D8"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4027B366" w14:textId="4FFC36CA" w:rsidR="004E3586" w:rsidRPr="00B8750F" w:rsidRDefault="004E3586" w:rsidP="004E3586">
            <w:pPr>
              <w:spacing w:after="0" w:line="240" w:lineRule="auto"/>
              <w:rPr>
                <w:rFonts w:ascii="Calibri" w:hAnsi="Calibri" w:cs="Calibri"/>
                <w:sz w:val="20"/>
                <w:szCs w:val="20"/>
                <w:lang w:val="en-US"/>
              </w:rPr>
            </w:pPr>
            <w:r w:rsidRPr="00550954">
              <w:rPr>
                <w:rFonts w:cs="Arial"/>
                <w:sz w:val="18"/>
                <w:szCs w:val="18"/>
              </w:rPr>
              <w:t>C. Разходи за ЕиП</w:t>
            </w:r>
          </w:p>
        </w:tc>
        <w:tc>
          <w:tcPr>
            <w:tcW w:w="1426" w:type="dxa"/>
            <w:vMerge w:val="restart"/>
            <w:shd w:val="clear" w:color="auto" w:fill="auto"/>
            <w:noWrap/>
            <w:hideMark/>
          </w:tcPr>
          <w:p w14:paraId="1639DC1A" w14:textId="2DA2623C"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817 138,85</w:t>
            </w:r>
          </w:p>
          <w:p w14:paraId="4E1A17B0" w14:textId="4347028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380E0779" w14:textId="499F50F8"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1 627 028,01</w:t>
            </w:r>
          </w:p>
          <w:p w14:paraId="5A0B874A" w14:textId="44BD951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0751FF3F" w14:textId="7FF20445"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6FB9D3CC" w14:textId="029AC48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13 223 796,52</w:t>
            </w:r>
          </w:p>
        </w:tc>
        <w:tc>
          <w:tcPr>
            <w:tcW w:w="1343" w:type="dxa"/>
            <w:shd w:val="clear" w:color="auto" w:fill="auto"/>
            <w:noWrap/>
            <w:hideMark/>
          </w:tcPr>
          <w:p w14:paraId="46FF36FD" w14:textId="0672337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-0,06%</w:t>
            </w:r>
          </w:p>
        </w:tc>
        <w:tc>
          <w:tcPr>
            <w:tcW w:w="1365" w:type="dxa"/>
            <w:shd w:val="clear" w:color="auto" w:fill="auto"/>
            <w:noWrap/>
            <w:hideMark/>
          </w:tcPr>
          <w:p w14:paraId="47ED67BE" w14:textId="662CBCC3"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12,07%</w:t>
            </w:r>
          </w:p>
        </w:tc>
        <w:tc>
          <w:tcPr>
            <w:tcW w:w="1343" w:type="dxa"/>
            <w:shd w:val="clear" w:color="auto" w:fill="auto"/>
            <w:noWrap/>
            <w:hideMark/>
          </w:tcPr>
          <w:p w14:paraId="79B1CA13" w14:textId="5D526A9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-0,04%</w:t>
            </w:r>
          </w:p>
        </w:tc>
        <w:tc>
          <w:tcPr>
            <w:tcW w:w="1206" w:type="dxa"/>
            <w:shd w:val="clear" w:color="auto" w:fill="auto"/>
            <w:noWrap/>
            <w:hideMark/>
          </w:tcPr>
          <w:p w14:paraId="34A223E1" w14:textId="3DCFBA4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2,088</w:t>
            </w:r>
          </w:p>
        </w:tc>
        <w:tc>
          <w:tcPr>
            <w:tcW w:w="1343" w:type="dxa"/>
            <w:shd w:val="clear" w:color="auto" w:fill="auto"/>
            <w:noWrap/>
            <w:hideMark/>
          </w:tcPr>
          <w:p w14:paraId="4B4734A5" w14:textId="652B3CEB"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-0,07%</w:t>
            </w:r>
          </w:p>
        </w:tc>
      </w:tr>
      <w:tr w:rsidR="004E3586" w:rsidRPr="00B8750F" w14:paraId="6BA05FB8" w14:textId="77777777" w:rsidTr="009963CE">
        <w:trPr>
          <w:trHeight w:val="334"/>
        </w:trPr>
        <w:tc>
          <w:tcPr>
            <w:cnfStyle w:val="001000000000" w:firstRow="0" w:lastRow="0" w:firstColumn="1" w:lastColumn="0" w:oddVBand="0" w:evenVBand="0" w:oddHBand="0" w:evenHBand="0" w:firstRowFirstColumn="0" w:firstRowLastColumn="0" w:lastRowFirstColumn="0" w:lastRowLastColumn="0"/>
            <w:tcW w:w="2518" w:type="dxa"/>
            <w:vMerge/>
            <w:shd w:val="clear" w:color="auto" w:fill="auto"/>
            <w:vAlign w:val="center"/>
            <w:hideMark/>
          </w:tcPr>
          <w:p w14:paraId="06A3C62A"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53F5F08E"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1D1A5360"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15FD50E9" w14:textId="46CCE381"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3215B59D" w14:textId="3D40A76D"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13 240 139,29</w:t>
            </w:r>
          </w:p>
        </w:tc>
        <w:tc>
          <w:tcPr>
            <w:tcW w:w="1343" w:type="dxa"/>
            <w:shd w:val="clear" w:color="auto" w:fill="auto"/>
            <w:noWrap/>
            <w:hideMark/>
          </w:tcPr>
          <w:p w14:paraId="05E52001" w14:textId="7463D916"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0,06%</w:t>
            </w:r>
          </w:p>
        </w:tc>
        <w:tc>
          <w:tcPr>
            <w:tcW w:w="1365" w:type="dxa"/>
            <w:shd w:val="clear" w:color="auto" w:fill="auto"/>
            <w:noWrap/>
            <w:hideMark/>
          </w:tcPr>
          <w:p w14:paraId="42098348" w14:textId="358C0EB0"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12,08%</w:t>
            </w:r>
          </w:p>
        </w:tc>
        <w:tc>
          <w:tcPr>
            <w:tcW w:w="1343" w:type="dxa"/>
            <w:shd w:val="clear" w:color="auto" w:fill="auto"/>
            <w:noWrap/>
            <w:hideMark/>
          </w:tcPr>
          <w:p w14:paraId="01FE2E7D" w14:textId="591C4CC7"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0,04%</w:t>
            </w:r>
          </w:p>
        </w:tc>
        <w:tc>
          <w:tcPr>
            <w:tcW w:w="1206" w:type="dxa"/>
            <w:shd w:val="clear" w:color="auto" w:fill="auto"/>
            <w:noWrap/>
            <w:hideMark/>
          </w:tcPr>
          <w:p w14:paraId="0F4A0FE9" w14:textId="2DBA5C24"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2,090</w:t>
            </w:r>
          </w:p>
        </w:tc>
        <w:tc>
          <w:tcPr>
            <w:tcW w:w="1343" w:type="dxa"/>
            <w:shd w:val="clear" w:color="auto" w:fill="auto"/>
            <w:noWrap/>
            <w:hideMark/>
          </w:tcPr>
          <w:p w14:paraId="27510E5A" w14:textId="616D8F7E"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0,07%</w:t>
            </w:r>
          </w:p>
        </w:tc>
      </w:tr>
      <w:tr w:rsidR="004E3586" w:rsidRPr="00B8750F" w14:paraId="1BDD18A4" w14:textId="77777777" w:rsidTr="009963CE">
        <w:trPr>
          <w:cnfStyle w:val="000000100000" w:firstRow="0" w:lastRow="0" w:firstColumn="0" w:lastColumn="0" w:oddVBand="0" w:evenVBand="0" w:oddHBand="1" w:evenHBand="0" w:firstRowFirstColumn="0" w:firstRowLastColumn="0" w:lastRowFirstColumn="0" w:lastRowLastColumn="0"/>
          <w:trHeight w:val="262"/>
        </w:trPr>
        <w:tc>
          <w:tcPr>
            <w:cnfStyle w:val="001000000000" w:firstRow="0" w:lastRow="0" w:firstColumn="1" w:lastColumn="0" w:oddVBand="0" w:evenVBand="0" w:oddHBand="0" w:evenHBand="0" w:firstRowFirstColumn="0" w:firstRowLastColumn="0" w:lastRowFirstColumn="0" w:lastRowLastColumn="0"/>
            <w:tcW w:w="2518" w:type="dxa"/>
            <w:vMerge w:val="restart"/>
            <w:vAlign w:val="center"/>
            <w:hideMark/>
          </w:tcPr>
          <w:p w14:paraId="02850B8F" w14:textId="77777777" w:rsidR="004E3586" w:rsidRPr="00557799" w:rsidRDefault="004E3586" w:rsidP="004E3586">
            <w:pPr>
              <w:spacing w:after="0" w:line="240" w:lineRule="auto"/>
              <w:rPr>
                <w:rFonts w:ascii="Calibri" w:hAnsi="Calibri" w:cs="Calibri"/>
                <w:sz w:val="20"/>
                <w:szCs w:val="20"/>
              </w:rPr>
            </w:pPr>
            <w:r w:rsidRPr="00B8750F">
              <w:rPr>
                <w:rFonts w:ascii="Calibri" w:hAnsi="Calibri" w:cs="Calibri"/>
                <w:sz w:val="20"/>
                <w:szCs w:val="20"/>
                <w:lang w:val="en-US"/>
              </w:rPr>
              <w:t xml:space="preserve">G. </w:t>
            </w:r>
            <w:r>
              <w:rPr>
                <w:rFonts w:ascii="Calibri" w:hAnsi="Calibri" w:cs="Calibri"/>
                <w:sz w:val="20"/>
                <w:szCs w:val="20"/>
              </w:rPr>
              <w:t>Външни разходи</w:t>
            </w:r>
          </w:p>
        </w:tc>
        <w:tc>
          <w:tcPr>
            <w:tcW w:w="1426" w:type="dxa"/>
            <w:vMerge w:val="restart"/>
            <w:shd w:val="clear" w:color="auto" w:fill="auto"/>
            <w:noWrap/>
            <w:hideMark/>
          </w:tcPr>
          <w:p w14:paraId="6215EE3E" w14:textId="4326BA60"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14 730 922,77</w:t>
            </w:r>
          </w:p>
          <w:p w14:paraId="45192E36" w14:textId="6207D8D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035CFD16" w14:textId="3FC8DA67"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29 346 992,37</w:t>
            </w:r>
          </w:p>
          <w:p w14:paraId="720EAF79" w14:textId="7E61A752"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386EAE57" w14:textId="176F7FFB"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09232357" w14:textId="2B8D7C81"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13 379 277,13</w:t>
            </w:r>
          </w:p>
        </w:tc>
        <w:tc>
          <w:tcPr>
            <w:tcW w:w="1343" w:type="dxa"/>
            <w:shd w:val="clear" w:color="auto" w:fill="auto"/>
            <w:noWrap/>
            <w:hideMark/>
          </w:tcPr>
          <w:p w14:paraId="240F6B04" w14:textId="6DEE1CC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FF0000"/>
                <w:sz w:val="18"/>
                <w:szCs w:val="18"/>
                <w:lang w:val="en-US"/>
              </w:rPr>
            </w:pPr>
            <w:r w:rsidRPr="009963CE">
              <w:rPr>
                <w:color w:val="FF0000"/>
                <w:sz w:val="18"/>
                <w:szCs w:val="18"/>
              </w:rPr>
              <w:t>1,11%</w:t>
            </w:r>
          </w:p>
        </w:tc>
        <w:tc>
          <w:tcPr>
            <w:tcW w:w="1365" w:type="dxa"/>
            <w:shd w:val="clear" w:color="auto" w:fill="auto"/>
            <w:noWrap/>
            <w:hideMark/>
          </w:tcPr>
          <w:p w14:paraId="7E894AF2" w14:textId="62D3F0A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12,15%</w:t>
            </w:r>
          </w:p>
        </w:tc>
        <w:tc>
          <w:tcPr>
            <w:tcW w:w="1343" w:type="dxa"/>
            <w:shd w:val="clear" w:color="auto" w:fill="auto"/>
            <w:noWrap/>
            <w:hideMark/>
          </w:tcPr>
          <w:p w14:paraId="740D2597" w14:textId="77C47DE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0,68%</w:t>
            </w:r>
          </w:p>
        </w:tc>
        <w:tc>
          <w:tcPr>
            <w:tcW w:w="1206" w:type="dxa"/>
            <w:shd w:val="clear" w:color="auto" w:fill="auto"/>
            <w:noWrap/>
            <w:hideMark/>
          </w:tcPr>
          <w:p w14:paraId="3767FF7A" w14:textId="481EE015"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2,101</w:t>
            </w:r>
          </w:p>
        </w:tc>
        <w:tc>
          <w:tcPr>
            <w:tcW w:w="1343" w:type="dxa"/>
            <w:shd w:val="clear" w:color="auto" w:fill="auto"/>
            <w:noWrap/>
            <w:hideMark/>
          </w:tcPr>
          <w:p w14:paraId="2BC0BB45" w14:textId="63876576"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0,58%</w:t>
            </w:r>
          </w:p>
        </w:tc>
      </w:tr>
      <w:tr w:rsidR="004E3586" w:rsidRPr="00B8750F" w14:paraId="0D2EF80E" w14:textId="77777777" w:rsidTr="009963CE">
        <w:trPr>
          <w:trHeight w:val="172"/>
        </w:trPr>
        <w:tc>
          <w:tcPr>
            <w:cnfStyle w:val="001000000000" w:firstRow="0" w:lastRow="0" w:firstColumn="1" w:lastColumn="0" w:oddVBand="0" w:evenVBand="0" w:oddHBand="0" w:evenHBand="0" w:firstRowFirstColumn="0" w:firstRowLastColumn="0" w:lastRowFirstColumn="0" w:lastRowLastColumn="0"/>
            <w:tcW w:w="2518" w:type="dxa"/>
            <w:vMerge/>
            <w:shd w:val="clear" w:color="auto" w:fill="auto"/>
            <w:vAlign w:val="center"/>
            <w:hideMark/>
          </w:tcPr>
          <w:p w14:paraId="0C070580"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046AC2A4"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0EB9B777"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05C01851" w14:textId="5C4C45EB"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357184DD" w14:textId="75233158"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13 084 658,68</w:t>
            </w:r>
          </w:p>
        </w:tc>
        <w:tc>
          <w:tcPr>
            <w:tcW w:w="1343" w:type="dxa"/>
            <w:shd w:val="clear" w:color="auto" w:fill="auto"/>
            <w:noWrap/>
            <w:hideMark/>
          </w:tcPr>
          <w:p w14:paraId="5F02D6EB" w14:textId="6228E92A"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FF0000"/>
                <w:sz w:val="18"/>
                <w:szCs w:val="18"/>
                <w:lang w:val="en-US"/>
              </w:rPr>
            </w:pPr>
            <w:r w:rsidRPr="009963CE">
              <w:rPr>
                <w:color w:val="FF0000"/>
                <w:sz w:val="18"/>
                <w:szCs w:val="18"/>
              </w:rPr>
              <w:t>-1,11%</w:t>
            </w:r>
          </w:p>
        </w:tc>
        <w:tc>
          <w:tcPr>
            <w:tcW w:w="1365" w:type="dxa"/>
            <w:shd w:val="clear" w:color="auto" w:fill="auto"/>
            <w:noWrap/>
            <w:hideMark/>
          </w:tcPr>
          <w:p w14:paraId="0AFBDDE6" w14:textId="5685D52F"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11,99%</w:t>
            </w:r>
          </w:p>
        </w:tc>
        <w:tc>
          <w:tcPr>
            <w:tcW w:w="1343" w:type="dxa"/>
            <w:shd w:val="clear" w:color="auto" w:fill="auto"/>
            <w:noWrap/>
            <w:hideMark/>
          </w:tcPr>
          <w:p w14:paraId="7B7C82F0" w14:textId="67505F9D"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-0,69%</w:t>
            </w:r>
          </w:p>
        </w:tc>
        <w:tc>
          <w:tcPr>
            <w:tcW w:w="1206" w:type="dxa"/>
            <w:shd w:val="clear" w:color="auto" w:fill="auto"/>
            <w:noWrap/>
            <w:hideMark/>
          </w:tcPr>
          <w:p w14:paraId="72B82ED7" w14:textId="1170E753"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2,077</w:t>
            </w:r>
          </w:p>
        </w:tc>
        <w:tc>
          <w:tcPr>
            <w:tcW w:w="1343" w:type="dxa"/>
            <w:shd w:val="clear" w:color="auto" w:fill="auto"/>
            <w:noWrap/>
            <w:hideMark/>
          </w:tcPr>
          <w:p w14:paraId="1EE9DF79" w14:textId="33671419"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-0,58%</w:t>
            </w:r>
          </w:p>
        </w:tc>
      </w:tr>
      <w:tr w:rsidR="004E3586" w:rsidRPr="00B8750F" w14:paraId="4034F448" w14:textId="77777777" w:rsidTr="009963CE">
        <w:trPr>
          <w:cnfStyle w:val="000000100000" w:firstRow="0" w:lastRow="0" w:firstColumn="0" w:lastColumn="0" w:oddVBand="0" w:evenVBand="0" w:oddHBand="1" w:evenHBand="0" w:firstRowFirstColumn="0" w:firstRowLastColumn="0" w:lastRowFirstColumn="0" w:lastRowLastColumn="0"/>
          <w:trHeight w:val="243"/>
        </w:trPr>
        <w:tc>
          <w:tcPr>
            <w:cnfStyle w:val="001000000000" w:firstRow="0" w:lastRow="0" w:firstColumn="1" w:lastColumn="0" w:oddVBand="0" w:evenVBand="0" w:oddHBand="0" w:evenHBand="0" w:firstRowFirstColumn="0" w:firstRowLastColumn="0" w:lastRowFirstColumn="0" w:lastRowLastColumn="0"/>
            <w:tcW w:w="2518" w:type="dxa"/>
            <w:vMerge w:val="restart"/>
            <w:shd w:val="clear" w:color="auto" w:fill="auto"/>
            <w:vAlign w:val="center"/>
            <w:hideMark/>
          </w:tcPr>
          <w:p w14:paraId="5DEEF56B" w14:textId="77777777" w:rsidR="004E3586" w:rsidRPr="009963CE" w:rsidRDefault="004E3586" w:rsidP="004E3586">
            <w:pPr>
              <w:spacing w:after="0" w:line="240" w:lineRule="auto"/>
              <w:rPr>
                <w:rFonts w:ascii="Calibri" w:hAnsi="Calibri" w:cs="Calibri"/>
                <w:sz w:val="20"/>
                <w:szCs w:val="20"/>
              </w:rPr>
            </w:pPr>
            <w:r w:rsidRPr="00B8750F">
              <w:rPr>
                <w:rFonts w:ascii="Calibri" w:hAnsi="Calibri" w:cs="Calibri"/>
                <w:sz w:val="20"/>
                <w:szCs w:val="20"/>
                <w:lang w:val="en-US"/>
              </w:rPr>
              <w:t>H</w:t>
            </w:r>
            <w:r w:rsidRPr="009963CE">
              <w:rPr>
                <w:rFonts w:ascii="Calibri" w:hAnsi="Calibri" w:cs="Calibri"/>
                <w:sz w:val="20"/>
                <w:szCs w:val="20"/>
              </w:rPr>
              <w:t xml:space="preserve">. </w:t>
            </w:r>
            <w:r w:rsidRPr="00550954">
              <w:rPr>
                <w:rFonts w:cs="Arial"/>
                <w:sz w:val="18"/>
                <w:szCs w:val="18"/>
              </w:rPr>
              <w:t>Ползи от намаляване влиянието върху климата</w:t>
            </w:r>
          </w:p>
        </w:tc>
        <w:tc>
          <w:tcPr>
            <w:tcW w:w="1426" w:type="dxa"/>
            <w:vMerge w:val="restart"/>
            <w:shd w:val="clear" w:color="auto" w:fill="auto"/>
            <w:noWrap/>
            <w:hideMark/>
          </w:tcPr>
          <w:p w14:paraId="5531C5D9" w14:textId="147ADEB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8 298 346,57</w:t>
            </w:r>
          </w:p>
          <w:p w14:paraId="3349FCE3" w14:textId="73DBE01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1440" w:type="dxa"/>
            <w:vMerge w:val="restart"/>
            <w:shd w:val="clear" w:color="auto" w:fill="auto"/>
            <w:noWrap/>
            <w:hideMark/>
          </w:tcPr>
          <w:p w14:paraId="576D44E0" w14:textId="48BF184D"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r w:rsidRPr="009963CE">
              <w:rPr>
                <w:sz w:val="18"/>
                <w:szCs w:val="18"/>
              </w:rPr>
              <w:t>16 531 993,09</w:t>
            </w:r>
          </w:p>
          <w:p w14:paraId="38776356" w14:textId="718005D9"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sz w:val="18"/>
                <w:szCs w:val="18"/>
                <w:lang w:val="en-US"/>
              </w:rPr>
            </w:pPr>
          </w:p>
        </w:tc>
        <w:tc>
          <w:tcPr>
            <w:tcW w:w="992" w:type="dxa"/>
            <w:shd w:val="clear" w:color="auto" w:fill="auto"/>
            <w:noWrap/>
            <w:hideMark/>
          </w:tcPr>
          <w:p w14:paraId="572AB009" w14:textId="66142B8B" w:rsidR="004E3586" w:rsidRPr="009963CE" w:rsidRDefault="004E3586" w:rsidP="004E3586">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1BB02249" w14:textId="2ED77114"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13 314 951,37</w:t>
            </w:r>
          </w:p>
        </w:tc>
        <w:tc>
          <w:tcPr>
            <w:tcW w:w="1343" w:type="dxa"/>
            <w:shd w:val="clear" w:color="auto" w:fill="auto"/>
            <w:noWrap/>
            <w:hideMark/>
          </w:tcPr>
          <w:p w14:paraId="4F201C44" w14:textId="1A19D03A"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0,63%</w:t>
            </w:r>
          </w:p>
        </w:tc>
        <w:tc>
          <w:tcPr>
            <w:tcW w:w="1365" w:type="dxa"/>
            <w:shd w:val="clear" w:color="auto" w:fill="auto"/>
            <w:noWrap/>
            <w:hideMark/>
          </w:tcPr>
          <w:p w14:paraId="1DE93D10" w14:textId="6B56113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12,12%</w:t>
            </w:r>
          </w:p>
        </w:tc>
        <w:tc>
          <w:tcPr>
            <w:tcW w:w="1343" w:type="dxa"/>
            <w:shd w:val="clear" w:color="auto" w:fill="auto"/>
            <w:noWrap/>
            <w:hideMark/>
          </w:tcPr>
          <w:p w14:paraId="17D858EB" w14:textId="5FE05EF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0,39%</w:t>
            </w:r>
          </w:p>
        </w:tc>
        <w:tc>
          <w:tcPr>
            <w:tcW w:w="1206" w:type="dxa"/>
            <w:shd w:val="clear" w:color="auto" w:fill="auto"/>
            <w:noWrap/>
            <w:hideMark/>
          </w:tcPr>
          <w:p w14:paraId="61D7FB7F" w14:textId="3DA956FF"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2,096</w:t>
            </w:r>
          </w:p>
        </w:tc>
        <w:tc>
          <w:tcPr>
            <w:tcW w:w="1343" w:type="dxa"/>
            <w:shd w:val="clear" w:color="auto" w:fill="auto"/>
            <w:noWrap/>
            <w:hideMark/>
          </w:tcPr>
          <w:p w14:paraId="35D825F5" w14:textId="247B3FDE" w:rsidR="004E3586" w:rsidRPr="009963CE" w:rsidRDefault="004E3586" w:rsidP="004E3586">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18"/>
                <w:szCs w:val="18"/>
                <w:lang w:val="en-US"/>
              </w:rPr>
            </w:pPr>
            <w:r w:rsidRPr="009963CE">
              <w:rPr>
                <w:sz w:val="18"/>
                <w:szCs w:val="18"/>
              </w:rPr>
              <w:t>0,33%</w:t>
            </w:r>
          </w:p>
        </w:tc>
      </w:tr>
      <w:tr w:rsidR="004E3586" w:rsidRPr="00B8750F" w14:paraId="2F945090" w14:textId="77777777" w:rsidTr="009963CE">
        <w:trPr>
          <w:trHeight w:val="297"/>
        </w:trPr>
        <w:tc>
          <w:tcPr>
            <w:cnfStyle w:val="001000000000" w:firstRow="0" w:lastRow="0" w:firstColumn="1" w:lastColumn="0" w:oddVBand="0" w:evenVBand="0" w:oddHBand="0" w:evenHBand="0" w:firstRowFirstColumn="0" w:firstRowLastColumn="0" w:lastRowFirstColumn="0" w:lastRowLastColumn="0"/>
            <w:tcW w:w="2518" w:type="dxa"/>
            <w:vMerge/>
            <w:hideMark/>
          </w:tcPr>
          <w:p w14:paraId="4A8C448C" w14:textId="77777777" w:rsidR="004E3586" w:rsidRPr="00B8750F" w:rsidRDefault="004E3586" w:rsidP="004E3586">
            <w:pPr>
              <w:spacing w:after="0" w:line="240" w:lineRule="auto"/>
              <w:rPr>
                <w:rFonts w:ascii="Calibri" w:hAnsi="Calibri" w:cs="Calibri"/>
                <w:sz w:val="20"/>
                <w:szCs w:val="20"/>
                <w:lang w:val="en-US"/>
              </w:rPr>
            </w:pPr>
          </w:p>
        </w:tc>
        <w:tc>
          <w:tcPr>
            <w:tcW w:w="1426" w:type="dxa"/>
            <w:vMerge/>
            <w:hideMark/>
          </w:tcPr>
          <w:p w14:paraId="022E9943"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1440" w:type="dxa"/>
            <w:vMerge/>
            <w:hideMark/>
          </w:tcPr>
          <w:p w14:paraId="50BA501E" w14:textId="77777777" w:rsidR="004E3586" w:rsidRPr="009963CE" w:rsidRDefault="004E3586" w:rsidP="004E3586">
            <w:pPr>
              <w:spacing w:after="0" w:line="240" w:lineRule="auto"/>
              <w:cnfStyle w:val="000000000000" w:firstRow="0" w:lastRow="0" w:firstColumn="0" w:lastColumn="0" w:oddVBand="0" w:evenVBand="0" w:oddHBand="0" w:evenHBand="0" w:firstRowFirstColumn="0" w:firstRowLastColumn="0" w:lastRowFirstColumn="0" w:lastRowLastColumn="0"/>
              <w:rPr>
                <w:rFonts w:cs="Arial"/>
                <w:sz w:val="18"/>
                <w:szCs w:val="18"/>
                <w:lang w:val="en-US"/>
              </w:rPr>
            </w:pPr>
          </w:p>
        </w:tc>
        <w:tc>
          <w:tcPr>
            <w:tcW w:w="992" w:type="dxa"/>
            <w:shd w:val="clear" w:color="auto" w:fill="auto"/>
            <w:noWrap/>
            <w:hideMark/>
          </w:tcPr>
          <w:p w14:paraId="16A07242" w14:textId="274DE936" w:rsidR="004E3586" w:rsidRPr="009963CE" w:rsidRDefault="004E3586" w:rsidP="004E3586">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w:t>
            </w:r>
          </w:p>
        </w:tc>
        <w:tc>
          <w:tcPr>
            <w:tcW w:w="1512" w:type="dxa"/>
            <w:shd w:val="clear" w:color="auto" w:fill="auto"/>
            <w:noWrap/>
            <w:hideMark/>
          </w:tcPr>
          <w:p w14:paraId="244C12EA" w14:textId="72F893F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13 148 984,44</w:t>
            </w:r>
          </w:p>
        </w:tc>
        <w:tc>
          <w:tcPr>
            <w:tcW w:w="1343" w:type="dxa"/>
            <w:shd w:val="clear" w:color="auto" w:fill="auto"/>
            <w:noWrap/>
            <w:hideMark/>
          </w:tcPr>
          <w:p w14:paraId="157E52AF" w14:textId="4551FC72"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-0,63%</w:t>
            </w:r>
          </w:p>
        </w:tc>
        <w:tc>
          <w:tcPr>
            <w:tcW w:w="1365" w:type="dxa"/>
            <w:shd w:val="clear" w:color="auto" w:fill="auto"/>
            <w:noWrap/>
            <w:hideMark/>
          </w:tcPr>
          <w:p w14:paraId="2A36B57A" w14:textId="754E696B"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12,02%</w:t>
            </w:r>
          </w:p>
        </w:tc>
        <w:tc>
          <w:tcPr>
            <w:tcW w:w="1343" w:type="dxa"/>
            <w:shd w:val="clear" w:color="auto" w:fill="auto"/>
            <w:noWrap/>
            <w:hideMark/>
          </w:tcPr>
          <w:p w14:paraId="0FDCE21D" w14:textId="5C2F1D10"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-0,39%</w:t>
            </w:r>
          </w:p>
        </w:tc>
        <w:tc>
          <w:tcPr>
            <w:tcW w:w="1206" w:type="dxa"/>
            <w:shd w:val="clear" w:color="auto" w:fill="auto"/>
            <w:noWrap/>
            <w:hideMark/>
          </w:tcPr>
          <w:p w14:paraId="27DB2F61" w14:textId="167ADDEF"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2,082</w:t>
            </w:r>
          </w:p>
        </w:tc>
        <w:tc>
          <w:tcPr>
            <w:tcW w:w="1343" w:type="dxa"/>
            <w:shd w:val="clear" w:color="auto" w:fill="auto"/>
            <w:noWrap/>
            <w:hideMark/>
          </w:tcPr>
          <w:p w14:paraId="1EB56299" w14:textId="02A0DB9E" w:rsidR="004E3586" w:rsidRPr="009963CE" w:rsidRDefault="004E3586" w:rsidP="004E3586">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18"/>
                <w:szCs w:val="18"/>
                <w:lang w:val="en-US"/>
              </w:rPr>
            </w:pPr>
            <w:r w:rsidRPr="009963CE">
              <w:rPr>
                <w:sz w:val="18"/>
                <w:szCs w:val="18"/>
              </w:rPr>
              <w:t>-0,33%</w:t>
            </w:r>
          </w:p>
        </w:tc>
      </w:tr>
    </w:tbl>
    <w:p w14:paraId="67E37B01" w14:textId="77777777" w:rsidR="00E416EB" w:rsidRP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Източник: модел Vademecum </w:t>
      </w:r>
    </w:p>
    <w:p w14:paraId="7F947EE5" w14:textId="77777777" w:rsidR="00E54D99" w:rsidRPr="007D77DA" w:rsidRDefault="00E54D99" w:rsidP="00E416EB">
      <w:pPr>
        <w:autoSpaceDE w:val="0"/>
        <w:autoSpaceDN w:val="0"/>
        <w:adjustRightInd w:val="0"/>
        <w:spacing w:before="240"/>
        <w:jc w:val="both"/>
        <w:rPr>
          <w:rFonts w:ascii="Times New Roman" w:hAnsi="Times New Roman" w:cs="Times New Roman"/>
          <w:i/>
        </w:rPr>
        <w:sectPr w:rsidR="00E54D99" w:rsidRPr="007D77DA" w:rsidSect="00E54D99">
          <w:pgSz w:w="16840" w:h="11907" w:orient="landscape" w:code="9"/>
          <w:pgMar w:top="1276" w:right="1276" w:bottom="1134" w:left="1134" w:header="425" w:footer="510" w:gutter="0"/>
          <w:cols w:space="708"/>
          <w:docGrid w:linePitch="326"/>
        </w:sectPr>
      </w:pPr>
    </w:p>
    <w:p w14:paraId="12BEA8F2" w14:textId="77777777" w:rsidR="007D77DA" w:rsidRDefault="007D77DA" w:rsidP="00D10754">
      <w:pPr>
        <w:tabs>
          <w:tab w:val="left" w:pos="9387"/>
        </w:tabs>
        <w:autoSpaceDE w:val="0"/>
        <w:autoSpaceDN w:val="0"/>
        <w:adjustRightInd w:val="0"/>
        <w:spacing w:before="240" w:after="120" w:line="240" w:lineRule="auto"/>
        <w:jc w:val="both"/>
        <w:rPr>
          <w:rFonts w:cs="Arial"/>
        </w:rPr>
      </w:pPr>
    </w:p>
    <w:p w14:paraId="26210517" w14:textId="7F5F0F25" w:rsidR="00E416EB" w:rsidRDefault="00E416EB" w:rsidP="00D10754">
      <w:pPr>
        <w:tabs>
          <w:tab w:val="left" w:pos="9387"/>
        </w:tabs>
        <w:autoSpaceDE w:val="0"/>
        <w:autoSpaceDN w:val="0"/>
        <w:adjustRightInd w:val="0"/>
        <w:spacing w:before="240" w:after="120" w:line="240" w:lineRule="auto"/>
        <w:jc w:val="both"/>
        <w:rPr>
          <w:rFonts w:cs="Arial"/>
        </w:rPr>
      </w:pPr>
      <w:r>
        <w:rPr>
          <w:rFonts w:cs="Arial"/>
        </w:rPr>
        <w:t xml:space="preserve">Видно в Икономическия анализ </w:t>
      </w:r>
      <w:r w:rsidR="00E54D99">
        <w:rPr>
          <w:rFonts w:cs="Arial"/>
        </w:rPr>
        <w:t xml:space="preserve">критични </w:t>
      </w:r>
      <w:r>
        <w:rPr>
          <w:rFonts w:cs="Arial"/>
        </w:rPr>
        <w:t xml:space="preserve"> променливи</w:t>
      </w:r>
      <w:r w:rsidR="00E54D99">
        <w:rPr>
          <w:rFonts w:cs="Arial"/>
        </w:rPr>
        <w:t xml:space="preserve"> са инвестиционните разх</w:t>
      </w:r>
      <w:r w:rsidR="007D77DA">
        <w:rPr>
          <w:rFonts w:cs="Arial"/>
        </w:rPr>
        <w:t>оди и външните разходи и за тях</w:t>
      </w:r>
      <w:r>
        <w:rPr>
          <w:rFonts w:cs="Arial"/>
        </w:rPr>
        <w:t xml:space="preserve"> са определени превключващите стойности:</w:t>
      </w:r>
    </w:p>
    <w:p w14:paraId="5BCD01D8" w14:textId="77777777" w:rsidR="00DF5A51" w:rsidRDefault="00DF5A51" w:rsidP="00DF5A51">
      <w:pPr>
        <w:tabs>
          <w:tab w:val="left" w:pos="1418"/>
        </w:tabs>
        <w:spacing w:before="60" w:after="60"/>
        <w:jc w:val="both"/>
        <w:rPr>
          <w:rFonts w:eastAsia="Calibri" w:cs="Arial"/>
          <w:i/>
          <w:color w:val="000000"/>
          <w:sz w:val="22"/>
          <w:lang w:eastAsia="en-US"/>
        </w:rPr>
      </w:pPr>
      <w:bookmarkStart w:id="391" w:name="_Toc174099081"/>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36</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Превключващи стойности на критичните променливи</w:t>
      </w:r>
      <w:bookmarkEnd w:id="391"/>
    </w:p>
    <w:tbl>
      <w:tblPr>
        <w:tblStyle w:val="LightList-Accent111"/>
        <w:tblW w:w="9789" w:type="dxa"/>
        <w:tblLook w:val="04A0" w:firstRow="1" w:lastRow="0" w:firstColumn="1" w:lastColumn="0" w:noHBand="0" w:noVBand="1"/>
      </w:tblPr>
      <w:tblGrid>
        <w:gridCol w:w="2257"/>
        <w:gridCol w:w="2083"/>
        <w:gridCol w:w="1861"/>
        <w:gridCol w:w="1727"/>
        <w:gridCol w:w="1861"/>
      </w:tblGrid>
      <w:tr w:rsidR="003E1CB7" w:rsidRPr="003E1CB7" w14:paraId="329AACAA" w14:textId="77777777" w:rsidTr="007D77DA">
        <w:trPr>
          <w:cnfStyle w:val="100000000000" w:firstRow="1" w:lastRow="0" w:firstColumn="0" w:lastColumn="0" w:oddVBand="0" w:evenVBand="0" w:oddHBand="0" w:evenHBand="0" w:firstRowFirstColumn="0" w:firstRowLastColumn="0" w:lastRowFirstColumn="0" w:lastRowLastColumn="0"/>
          <w:trHeight w:val="982"/>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62CCA80A" w14:textId="77777777" w:rsidR="00E416EB" w:rsidRPr="007D77DA" w:rsidRDefault="00E416EB" w:rsidP="00E416EB">
            <w:pPr>
              <w:jc w:val="center"/>
              <w:rPr>
                <w:rFonts w:cs="Arial"/>
                <w:b w:val="0"/>
                <w:bCs w:val="0"/>
                <w:color w:val="FFFFFF" w:themeColor="background1"/>
                <w:sz w:val="20"/>
                <w:szCs w:val="20"/>
              </w:rPr>
            </w:pPr>
            <w:r w:rsidRPr="007D77DA">
              <w:rPr>
                <w:rFonts w:cs="Arial"/>
                <w:color w:val="FFFFFF" w:themeColor="background1"/>
                <w:sz w:val="20"/>
                <w:szCs w:val="20"/>
              </w:rPr>
              <w:t>Тествани променливи</w:t>
            </w:r>
          </w:p>
        </w:tc>
        <w:tc>
          <w:tcPr>
            <w:tcW w:w="2083" w:type="dxa"/>
            <w:vAlign w:val="center"/>
            <w:hideMark/>
          </w:tcPr>
          <w:p w14:paraId="6057690A" w14:textId="07161E5A" w:rsidR="00E416EB" w:rsidRPr="007D77DA" w:rsidRDefault="00DF5A51"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Максимум % промяна преди</w:t>
            </w:r>
            <w:r w:rsidR="00E416EB" w:rsidRPr="007D77DA">
              <w:rPr>
                <w:rFonts w:cs="Arial"/>
                <w:color w:val="FFFFFF" w:themeColor="background1"/>
                <w:sz w:val="20"/>
                <w:szCs w:val="20"/>
              </w:rPr>
              <w:t xml:space="preserve"> </w:t>
            </w:r>
            <w:r w:rsidR="00762C71" w:rsidRPr="007D77DA">
              <w:rPr>
                <w:rFonts w:cs="Arial"/>
                <w:color w:val="FFFFFF" w:themeColor="background1"/>
                <w:sz w:val="20"/>
                <w:szCs w:val="20"/>
              </w:rPr>
              <w:t>ИННС</w:t>
            </w:r>
            <w:r w:rsidR="00E416EB" w:rsidRPr="007D77DA">
              <w:rPr>
                <w:rFonts w:cs="Arial"/>
                <w:color w:val="FFFFFF" w:themeColor="background1"/>
                <w:sz w:val="20"/>
                <w:szCs w:val="20"/>
              </w:rPr>
              <w:t xml:space="preserve"> (5%) </w:t>
            </w:r>
            <w:r w:rsidRPr="007D77DA">
              <w:rPr>
                <w:rFonts w:cs="Arial"/>
                <w:color w:val="FFFFFF" w:themeColor="background1"/>
                <w:sz w:val="20"/>
                <w:szCs w:val="20"/>
              </w:rPr>
              <w:t>да</w:t>
            </w:r>
            <w:r w:rsidR="00E416EB" w:rsidRPr="007D77DA">
              <w:rPr>
                <w:rFonts w:cs="Arial"/>
                <w:color w:val="FFFFFF" w:themeColor="background1"/>
                <w:sz w:val="20"/>
                <w:szCs w:val="20"/>
              </w:rPr>
              <w:t xml:space="preserve"> стане ≥ 0</w:t>
            </w:r>
          </w:p>
        </w:tc>
        <w:tc>
          <w:tcPr>
            <w:tcW w:w="1861" w:type="dxa"/>
            <w:vAlign w:val="center"/>
            <w:hideMark/>
          </w:tcPr>
          <w:p w14:paraId="14658392" w14:textId="77777777" w:rsidR="00DF5A51"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Превключваща стойност  </w:t>
            </w:r>
          </w:p>
          <w:p w14:paraId="157530D6" w14:textId="7697077B"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w:t>
            </w:r>
            <w:r w:rsidR="00762C71" w:rsidRPr="007D77DA">
              <w:rPr>
                <w:rFonts w:cs="Arial"/>
                <w:color w:val="FFFFFF" w:themeColor="background1"/>
                <w:sz w:val="20"/>
                <w:szCs w:val="20"/>
              </w:rPr>
              <w:t>норма</w:t>
            </w:r>
            <w:r w:rsidRPr="007D77DA">
              <w:rPr>
                <w:rFonts w:cs="Arial"/>
                <w:color w:val="FFFFFF" w:themeColor="background1"/>
                <w:sz w:val="20"/>
                <w:szCs w:val="20"/>
              </w:rPr>
              <w:t xml:space="preserve"> 5%)</w:t>
            </w:r>
          </w:p>
        </w:tc>
        <w:tc>
          <w:tcPr>
            <w:tcW w:w="1727" w:type="dxa"/>
            <w:vAlign w:val="center"/>
            <w:hideMark/>
          </w:tcPr>
          <w:p w14:paraId="4BDF4F71" w14:textId="1B070102" w:rsidR="00E416EB" w:rsidRPr="007D77DA" w:rsidRDefault="00E416EB" w:rsidP="00DF5A51">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Максимум % промяна преди  </w:t>
            </w:r>
            <w:r w:rsidR="00762C71" w:rsidRPr="007D77DA">
              <w:rPr>
                <w:rFonts w:cs="Arial"/>
                <w:color w:val="FFFFFF" w:themeColor="background1"/>
                <w:sz w:val="20"/>
                <w:szCs w:val="20"/>
              </w:rPr>
              <w:t>ФННС</w:t>
            </w:r>
            <w:r w:rsidRPr="007D77DA">
              <w:rPr>
                <w:rFonts w:cs="Arial"/>
                <w:color w:val="FFFFFF" w:themeColor="background1"/>
                <w:sz w:val="20"/>
                <w:szCs w:val="20"/>
              </w:rPr>
              <w:t xml:space="preserve">  (4%) </w:t>
            </w:r>
            <w:r w:rsidR="00DF5A51" w:rsidRPr="007D77DA">
              <w:rPr>
                <w:rFonts w:cs="Arial"/>
                <w:color w:val="FFFFFF" w:themeColor="background1"/>
                <w:sz w:val="20"/>
                <w:szCs w:val="20"/>
              </w:rPr>
              <w:t>да стане</w:t>
            </w:r>
            <w:r w:rsidRPr="007D77DA">
              <w:rPr>
                <w:rFonts w:cs="Arial"/>
                <w:color w:val="FFFFFF" w:themeColor="background1"/>
                <w:sz w:val="20"/>
                <w:szCs w:val="20"/>
              </w:rPr>
              <w:t xml:space="preserve"> 0</w:t>
            </w:r>
          </w:p>
        </w:tc>
        <w:tc>
          <w:tcPr>
            <w:tcW w:w="1861" w:type="dxa"/>
            <w:vAlign w:val="center"/>
            <w:hideMark/>
          </w:tcPr>
          <w:p w14:paraId="50F789C0" w14:textId="77777777" w:rsidR="00DF5A51"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 xml:space="preserve">Превключваща стойност  </w:t>
            </w:r>
          </w:p>
          <w:p w14:paraId="436C7393" w14:textId="76BE5EFF" w:rsidR="00E416EB" w:rsidRPr="007D77DA" w:rsidRDefault="00E416EB" w:rsidP="00E416EB">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0"/>
                <w:szCs w:val="20"/>
              </w:rPr>
            </w:pPr>
            <w:r w:rsidRPr="007D77DA">
              <w:rPr>
                <w:rFonts w:cs="Arial"/>
                <w:color w:val="FFFFFF" w:themeColor="background1"/>
                <w:sz w:val="20"/>
                <w:szCs w:val="20"/>
              </w:rPr>
              <w:t>(</w:t>
            </w:r>
            <w:r w:rsidR="00762C71" w:rsidRPr="007D77DA">
              <w:rPr>
                <w:rFonts w:cs="Arial"/>
                <w:color w:val="FFFFFF" w:themeColor="background1"/>
                <w:sz w:val="20"/>
                <w:szCs w:val="20"/>
              </w:rPr>
              <w:t>норма</w:t>
            </w:r>
            <w:r w:rsidRPr="007D77DA">
              <w:rPr>
                <w:rFonts w:cs="Arial"/>
                <w:color w:val="FFFFFF" w:themeColor="background1"/>
                <w:sz w:val="20"/>
                <w:szCs w:val="20"/>
              </w:rPr>
              <w:t xml:space="preserve"> 4%)</w:t>
            </w:r>
          </w:p>
        </w:tc>
      </w:tr>
      <w:tr w:rsidR="00D471A1" w:rsidRPr="00DF5A51" w14:paraId="73A3DF27" w14:textId="77777777" w:rsidTr="009963CE">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72DEBC90" w14:textId="77777777" w:rsidR="00D471A1" w:rsidRPr="00DF5A51" w:rsidRDefault="00D471A1" w:rsidP="00D471A1">
            <w:pPr>
              <w:spacing w:after="0" w:line="240" w:lineRule="auto"/>
              <w:rPr>
                <w:rFonts w:cs="Arial"/>
                <w:color w:val="000000"/>
                <w:sz w:val="20"/>
                <w:szCs w:val="20"/>
              </w:rPr>
            </w:pPr>
            <w:r w:rsidRPr="00DF5A51">
              <w:rPr>
                <w:rFonts w:cs="Arial"/>
                <w:color w:val="000000"/>
                <w:sz w:val="20"/>
                <w:szCs w:val="20"/>
              </w:rPr>
              <w:t>А. Инвестиционни разходи</w:t>
            </w:r>
          </w:p>
        </w:tc>
        <w:tc>
          <w:tcPr>
            <w:tcW w:w="2083" w:type="dxa"/>
            <w:shd w:val="clear" w:color="auto" w:fill="auto"/>
            <w:noWrap/>
            <w:hideMark/>
          </w:tcPr>
          <w:p w14:paraId="65F4D31A" w14:textId="7015DBF1"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167,31%</w:t>
            </w:r>
          </w:p>
        </w:tc>
        <w:tc>
          <w:tcPr>
            <w:tcW w:w="1861" w:type="dxa"/>
            <w:shd w:val="clear" w:color="auto" w:fill="auto"/>
            <w:noWrap/>
            <w:hideMark/>
          </w:tcPr>
          <w:p w14:paraId="7C5370C5" w14:textId="4C1C53E9"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34 825 570,75</w:t>
            </w:r>
          </w:p>
        </w:tc>
        <w:tc>
          <w:tcPr>
            <w:tcW w:w="1727" w:type="dxa"/>
            <w:shd w:val="clear" w:color="auto" w:fill="auto"/>
            <w:noWrap/>
            <w:hideMark/>
          </w:tcPr>
          <w:p w14:paraId="281A3E16" w14:textId="75CBED34"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-107,45%</w:t>
            </w:r>
          </w:p>
        </w:tc>
        <w:tc>
          <w:tcPr>
            <w:tcW w:w="1861" w:type="dxa"/>
            <w:shd w:val="clear" w:color="auto" w:fill="auto"/>
            <w:noWrap/>
            <w:hideMark/>
          </w:tcPr>
          <w:p w14:paraId="11CCAA09" w14:textId="2B57E2BF" w:rsidR="00D471A1" w:rsidRPr="009963CE" w:rsidRDefault="00D471A1" w:rsidP="00D471A1">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cs="Arial"/>
                <w:color w:val="000000"/>
                <w:sz w:val="20"/>
                <w:szCs w:val="20"/>
              </w:rPr>
            </w:pPr>
            <w:r w:rsidRPr="009963CE">
              <w:rPr>
                <w:sz w:val="20"/>
                <w:szCs w:val="20"/>
              </w:rPr>
              <w:t>-989 578,28</w:t>
            </w:r>
          </w:p>
        </w:tc>
      </w:tr>
      <w:tr w:rsidR="00D471A1" w:rsidRPr="00DF5A51" w14:paraId="05C5B528" w14:textId="77777777" w:rsidTr="009963CE">
        <w:trPr>
          <w:trHeight w:val="276"/>
        </w:trPr>
        <w:tc>
          <w:tcPr>
            <w:cnfStyle w:val="001000000000" w:firstRow="0" w:lastRow="0" w:firstColumn="1" w:lastColumn="0" w:oddVBand="0" w:evenVBand="0" w:oddHBand="0" w:evenHBand="0" w:firstRowFirstColumn="0" w:firstRowLastColumn="0" w:lastRowFirstColumn="0" w:lastRowLastColumn="0"/>
            <w:tcW w:w="2257" w:type="dxa"/>
            <w:vAlign w:val="center"/>
          </w:tcPr>
          <w:p w14:paraId="5F1D1C82" w14:textId="77777777" w:rsidR="00D471A1" w:rsidRPr="00DF5A51" w:rsidRDefault="00D471A1" w:rsidP="00D471A1">
            <w:pPr>
              <w:spacing w:after="0" w:line="240" w:lineRule="auto"/>
              <w:rPr>
                <w:rFonts w:cs="Arial"/>
                <w:color w:val="000000"/>
                <w:sz w:val="20"/>
                <w:szCs w:val="20"/>
              </w:rPr>
            </w:pPr>
            <w:r w:rsidRPr="00DF5A51">
              <w:rPr>
                <w:rFonts w:cs="Arial"/>
                <w:color w:val="000000"/>
                <w:sz w:val="20"/>
                <w:szCs w:val="20"/>
              </w:rPr>
              <w:t>G. Външни разходи</w:t>
            </w:r>
          </w:p>
        </w:tc>
        <w:tc>
          <w:tcPr>
            <w:tcW w:w="2083" w:type="dxa"/>
            <w:noWrap/>
            <w:hideMark/>
          </w:tcPr>
          <w:p w14:paraId="7ADB8B54" w14:textId="65A280CB"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-94,46%</w:t>
            </w:r>
          </w:p>
        </w:tc>
        <w:tc>
          <w:tcPr>
            <w:tcW w:w="1861" w:type="dxa"/>
            <w:noWrap/>
            <w:hideMark/>
          </w:tcPr>
          <w:p w14:paraId="537D1498" w14:textId="2633C98F"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r w:rsidRPr="009963CE">
              <w:rPr>
                <w:sz w:val="20"/>
                <w:szCs w:val="20"/>
              </w:rPr>
              <w:t>816 757,63</w:t>
            </w:r>
          </w:p>
        </w:tc>
        <w:tc>
          <w:tcPr>
            <w:tcW w:w="1727" w:type="dxa"/>
            <w:noWrap/>
            <w:vAlign w:val="center"/>
            <w:hideMark/>
          </w:tcPr>
          <w:p w14:paraId="008BE776" w14:textId="77777777"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c>
          <w:tcPr>
            <w:tcW w:w="1861" w:type="dxa"/>
            <w:noWrap/>
            <w:vAlign w:val="center"/>
            <w:hideMark/>
          </w:tcPr>
          <w:p w14:paraId="123B3DFC" w14:textId="77777777" w:rsidR="00D471A1" w:rsidRPr="00D471A1" w:rsidRDefault="00D471A1" w:rsidP="00D471A1">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cs="Arial"/>
                <w:color w:val="000000"/>
                <w:sz w:val="20"/>
                <w:szCs w:val="20"/>
              </w:rPr>
            </w:pPr>
          </w:p>
        </w:tc>
      </w:tr>
    </w:tbl>
    <w:p w14:paraId="1467789A" w14:textId="77777777" w:rsid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Източник: модел Vademecum</w:t>
      </w:r>
    </w:p>
    <w:p w14:paraId="031A93B2" w14:textId="608A6C28" w:rsidR="00E416EB" w:rsidRPr="007D77DA" w:rsidRDefault="00E416EB" w:rsidP="00E416EB">
      <w:pPr>
        <w:tabs>
          <w:tab w:val="left" w:pos="1134"/>
        </w:tabs>
        <w:suppressAutoHyphens/>
        <w:spacing w:after="0" w:line="240" w:lineRule="auto"/>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 xml:space="preserve"> </w:t>
      </w:r>
    </w:p>
    <w:p w14:paraId="0C4F4CC4" w14:textId="77777777" w:rsidR="00AF44F1" w:rsidRPr="00794FF7" w:rsidRDefault="00AF44F1" w:rsidP="00794FF7">
      <w:pPr>
        <w:pStyle w:val="Heading2"/>
        <w:numPr>
          <w:ilvl w:val="1"/>
          <w:numId w:val="3"/>
        </w:numPr>
        <w:ind w:left="1080" w:hanging="540"/>
        <w:rPr>
          <w:szCs w:val="24"/>
          <w:lang w:val="bg-BG"/>
        </w:rPr>
      </w:pPr>
      <w:bookmarkStart w:id="392" w:name="_Toc143694207"/>
      <w:r w:rsidRPr="00794FF7">
        <w:rPr>
          <w:szCs w:val="24"/>
          <w:lang w:val="bg-BG"/>
        </w:rPr>
        <w:t>Анализ на сценариите</w:t>
      </w:r>
      <w:bookmarkEnd w:id="392"/>
    </w:p>
    <w:p w14:paraId="5940B17D" w14:textId="77777777" w:rsidR="00DF5A51" w:rsidRDefault="00DF5A51" w:rsidP="00DF5A51">
      <w:pPr>
        <w:autoSpaceDE w:val="0"/>
        <w:autoSpaceDN w:val="0"/>
        <w:adjustRightInd w:val="0"/>
        <w:jc w:val="both"/>
        <w:rPr>
          <w:rFonts w:eastAsia="Calibri" w:cs="Arial"/>
        </w:rPr>
      </w:pPr>
      <w:r w:rsidRPr="00704B1D">
        <w:rPr>
          <w:rFonts w:eastAsia="Calibri" w:cs="Arial"/>
        </w:rPr>
        <w:t xml:space="preserve">Тъй като определянето на превключващите стойности не ни дава информация за кумулативното въздействие на няколко индикатора едновременно, </w:t>
      </w:r>
      <w:r w:rsidR="00BF782B">
        <w:rPr>
          <w:rFonts w:eastAsia="Calibri" w:cs="Arial"/>
        </w:rPr>
        <w:t>са разработени и анализирани още два</w:t>
      </w:r>
      <w:r w:rsidRPr="00704B1D">
        <w:rPr>
          <w:rFonts w:eastAsia="Calibri" w:cs="Arial"/>
        </w:rPr>
        <w:t xml:space="preserve"> сценария на такова въздействие, наречени Оптимистичен</w:t>
      </w:r>
      <w:r>
        <w:rPr>
          <w:rFonts w:eastAsia="Calibri" w:cs="Arial"/>
        </w:rPr>
        <w:t xml:space="preserve"> и</w:t>
      </w:r>
      <w:r w:rsidRPr="00704B1D">
        <w:rPr>
          <w:rFonts w:eastAsia="Calibri" w:cs="Arial"/>
        </w:rPr>
        <w:t xml:space="preserve"> Песимистичен</w:t>
      </w:r>
      <w:r>
        <w:rPr>
          <w:rFonts w:eastAsia="Calibri" w:cs="Arial"/>
        </w:rPr>
        <w:t>.</w:t>
      </w:r>
    </w:p>
    <w:p w14:paraId="21E5E609" w14:textId="77777777" w:rsidR="00DF5A51" w:rsidRDefault="00DF5A51" w:rsidP="00DF5A51">
      <w:pPr>
        <w:tabs>
          <w:tab w:val="left" w:pos="1418"/>
        </w:tabs>
        <w:spacing w:before="60" w:after="60"/>
        <w:jc w:val="both"/>
        <w:rPr>
          <w:rFonts w:eastAsia="Calibri" w:cs="Arial"/>
          <w:i/>
          <w:color w:val="000000"/>
          <w:sz w:val="22"/>
          <w:lang w:eastAsia="en-US"/>
        </w:rPr>
      </w:pPr>
      <w:bookmarkStart w:id="393" w:name="_Toc174099082"/>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37</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Анализ на сценариите</w:t>
      </w:r>
      <w:bookmarkEnd w:id="393"/>
    </w:p>
    <w:tbl>
      <w:tblPr>
        <w:tblStyle w:val="LightList-Accent111"/>
        <w:tblW w:w="7788" w:type="dxa"/>
        <w:tblLook w:val="04A0" w:firstRow="1" w:lastRow="0" w:firstColumn="1" w:lastColumn="0" w:noHBand="0" w:noVBand="1"/>
      </w:tblPr>
      <w:tblGrid>
        <w:gridCol w:w="2400"/>
        <w:gridCol w:w="1801"/>
        <w:gridCol w:w="1777"/>
        <w:gridCol w:w="1810"/>
      </w:tblGrid>
      <w:tr w:rsidR="008B38BF" w:rsidRPr="009F1DB5" w14:paraId="5DB13158" w14:textId="77777777" w:rsidTr="007D77DA">
        <w:trPr>
          <w:cnfStyle w:val="100000000000" w:firstRow="1" w:lastRow="0" w:firstColumn="0" w:lastColumn="0" w:oddVBand="0" w:evenVBand="0" w:oddHBand="0" w:evenHBand="0" w:firstRowFirstColumn="0" w:firstRowLastColumn="0" w:lastRowFirstColumn="0" w:lastRowLastColumn="0"/>
          <w:trHeight w:val="370"/>
        </w:trPr>
        <w:tc>
          <w:tcPr>
            <w:cnfStyle w:val="001000000000" w:firstRow="0" w:lastRow="0" w:firstColumn="1" w:lastColumn="0" w:oddVBand="0" w:evenVBand="0" w:oddHBand="0" w:evenHBand="0" w:firstRowFirstColumn="0" w:firstRowLastColumn="0" w:lastRowFirstColumn="0" w:lastRowLastColumn="0"/>
            <w:tcW w:w="2400" w:type="dxa"/>
            <w:noWrap/>
            <w:hideMark/>
          </w:tcPr>
          <w:p w14:paraId="0BB6AC5B" w14:textId="77777777" w:rsidR="00A51205" w:rsidRPr="007D77DA" w:rsidRDefault="00A51205" w:rsidP="00A51205">
            <w:pPr>
              <w:jc w:val="center"/>
              <w:rPr>
                <w:rFonts w:cs="Arial"/>
                <w:b w:val="0"/>
                <w:bCs w:val="0"/>
                <w:color w:val="FFFFFF" w:themeColor="background1"/>
                <w:sz w:val="22"/>
              </w:rPr>
            </w:pPr>
            <w:r w:rsidRPr="007D77DA">
              <w:rPr>
                <w:rFonts w:cs="Arial"/>
                <w:color w:val="FFFFFF" w:themeColor="background1"/>
                <w:sz w:val="22"/>
              </w:rPr>
              <w:t>Показатели</w:t>
            </w:r>
          </w:p>
        </w:tc>
        <w:tc>
          <w:tcPr>
            <w:tcW w:w="1801" w:type="dxa"/>
            <w:noWrap/>
            <w:hideMark/>
          </w:tcPr>
          <w:p w14:paraId="79FEE4AA"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Песимистичен</w:t>
            </w:r>
          </w:p>
        </w:tc>
        <w:tc>
          <w:tcPr>
            <w:tcW w:w="1777" w:type="dxa"/>
            <w:hideMark/>
          </w:tcPr>
          <w:p w14:paraId="42974425"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Реалистичен</w:t>
            </w:r>
          </w:p>
        </w:tc>
        <w:tc>
          <w:tcPr>
            <w:tcW w:w="1810" w:type="dxa"/>
            <w:noWrap/>
            <w:hideMark/>
          </w:tcPr>
          <w:p w14:paraId="401E18FB" w14:textId="77777777" w:rsidR="00A51205" w:rsidRPr="007D77DA" w:rsidRDefault="00A51205" w:rsidP="00A51205">
            <w:pPr>
              <w:jc w:val="center"/>
              <w:cnfStyle w:val="100000000000" w:firstRow="1" w:lastRow="0" w:firstColumn="0" w:lastColumn="0" w:oddVBand="0" w:evenVBand="0" w:oddHBand="0" w:evenHBand="0" w:firstRowFirstColumn="0" w:firstRowLastColumn="0" w:lastRowFirstColumn="0" w:lastRowLastColumn="0"/>
              <w:rPr>
                <w:rFonts w:cs="Arial"/>
                <w:b w:val="0"/>
                <w:bCs w:val="0"/>
                <w:color w:val="FFFFFF" w:themeColor="background1"/>
                <w:sz w:val="22"/>
              </w:rPr>
            </w:pPr>
            <w:r w:rsidRPr="007D77DA">
              <w:rPr>
                <w:rFonts w:cs="Arial"/>
                <w:color w:val="FFFFFF" w:themeColor="background1"/>
                <w:sz w:val="22"/>
              </w:rPr>
              <w:t>Оптимистичен</w:t>
            </w:r>
          </w:p>
        </w:tc>
      </w:tr>
      <w:tr w:rsidR="00D471A1" w:rsidRPr="009F1DB5" w14:paraId="7962FFA8" w14:textId="77777777" w:rsidTr="007D77D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71BEE6D7"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ИННС</w:t>
            </w:r>
          </w:p>
        </w:tc>
        <w:tc>
          <w:tcPr>
            <w:tcW w:w="1801" w:type="dxa"/>
            <w:shd w:val="clear" w:color="auto" w:fill="auto"/>
            <w:noWrap/>
            <w:hideMark/>
          </w:tcPr>
          <w:p w14:paraId="43AAB932" w14:textId="2BC83650"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3 433 577</w:t>
            </w:r>
          </w:p>
        </w:tc>
        <w:tc>
          <w:tcPr>
            <w:tcW w:w="1777" w:type="dxa"/>
            <w:shd w:val="clear" w:color="auto" w:fill="auto"/>
            <w:noWrap/>
            <w:hideMark/>
          </w:tcPr>
          <w:p w14:paraId="078F8D02" w14:textId="3AD859DA"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13 231 968</w:t>
            </w:r>
          </w:p>
        </w:tc>
        <w:tc>
          <w:tcPr>
            <w:tcW w:w="1810" w:type="dxa"/>
            <w:shd w:val="clear" w:color="auto" w:fill="auto"/>
            <w:noWrap/>
            <w:hideMark/>
          </w:tcPr>
          <w:p w14:paraId="29213109" w14:textId="18FBE247"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15 280 136</w:t>
            </w:r>
          </w:p>
        </w:tc>
      </w:tr>
      <w:tr w:rsidR="00D471A1" w:rsidRPr="009F1DB5" w14:paraId="6EBA0D7C" w14:textId="77777777" w:rsidTr="007D77DA">
        <w:trPr>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65F6C49E"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ИВНВ</w:t>
            </w:r>
          </w:p>
        </w:tc>
        <w:tc>
          <w:tcPr>
            <w:tcW w:w="1801" w:type="dxa"/>
            <w:shd w:val="clear" w:color="auto" w:fill="auto"/>
            <w:noWrap/>
            <w:hideMark/>
          </w:tcPr>
          <w:p w14:paraId="46E1D384" w14:textId="12248EB8"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4,74%</w:t>
            </w:r>
          </w:p>
        </w:tc>
        <w:tc>
          <w:tcPr>
            <w:tcW w:w="1777" w:type="dxa"/>
            <w:shd w:val="clear" w:color="auto" w:fill="auto"/>
            <w:noWrap/>
            <w:hideMark/>
          </w:tcPr>
          <w:p w14:paraId="607C3AEE" w14:textId="1F83E2EA"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12,07%</w:t>
            </w:r>
          </w:p>
        </w:tc>
        <w:tc>
          <w:tcPr>
            <w:tcW w:w="1810" w:type="dxa"/>
            <w:shd w:val="clear" w:color="auto" w:fill="auto"/>
            <w:noWrap/>
            <w:hideMark/>
          </w:tcPr>
          <w:p w14:paraId="18ED9D59" w14:textId="21A4FC15"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12,44%</w:t>
            </w:r>
          </w:p>
        </w:tc>
      </w:tr>
      <w:tr w:rsidR="00D471A1" w:rsidRPr="009F1DB5" w14:paraId="3A578E61" w14:textId="77777777" w:rsidTr="007D77DA">
        <w:trPr>
          <w:cnfStyle w:val="000000100000" w:firstRow="0" w:lastRow="0" w:firstColumn="0" w:lastColumn="0" w:oddVBand="0" w:evenVBand="0" w:oddHBand="1" w:evenHBand="0" w:firstRowFirstColumn="0" w:firstRowLastColumn="0" w:lastRowFirstColumn="0" w:lastRowLastColumn="0"/>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hideMark/>
          </w:tcPr>
          <w:p w14:paraId="72A44A0D" w14:textId="77777777" w:rsidR="00D471A1" w:rsidRPr="007D77DA" w:rsidRDefault="00D471A1" w:rsidP="00D471A1">
            <w:pPr>
              <w:spacing w:after="0" w:line="240" w:lineRule="auto"/>
              <w:rPr>
                <w:rFonts w:cs="Arial"/>
                <w:b w:val="0"/>
                <w:bCs w:val="0"/>
                <w:color w:val="000000"/>
                <w:sz w:val="22"/>
              </w:rPr>
            </w:pPr>
            <w:proofErr w:type="spellStart"/>
            <w:r w:rsidRPr="007D77DA">
              <w:rPr>
                <w:rFonts w:cs="Arial"/>
                <w:color w:val="000000"/>
                <w:sz w:val="22"/>
                <w:lang w:val="en-US"/>
              </w:rPr>
              <w:t>Коефициент</w:t>
            </w:r>
            <w:proofErr w:type="spellEnd"/>
            <w:r w:rsidRPr="007D77DA">
              <w:rPr>
                <w:rFonts w:cs="Arial"/>
                <w:color w:val="000000"/>
                <w:sz w:val="22"/>
                <w:lang w:val="en-US"/>
              </w:rPr>
              <w:t xml:space="preserve"> </w:t>
            </w:r>
            <w:r w:rsidRPr="007D77DA">
              <w:rPr>
                <w:rFonts w:cs="Arial"/>
                <w:color w:val="000000"/>
                <w:sz w:val="22"/>
              </w:rPr>
              <w:t>П/Р</w:t>
            </w:r>
          </w:p>
        </w:tc>
        <w:tc>
          <w:tcPr>
            <w:tcW w:w="1801" w:type="dxa"/>
            <w:shd w:val="clear" w:color="auto" w:fill="auto"/>
            <w:noWrap/>
            <w:hideMark/>
          </w:tcPr>
          <w:p w14:paraId="23B9C63E" w14:textId="516779A2"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1,199</w:t>
            </w:r>
          </w:p>
        </w:tc>
        <w:tc>
          <w:tcPr>
            <w:tcW w:w="1777" w:type="dxa"/>
            <w:shd w:val="clear" w:color="auto" w:fill="auto"/>
            <w:noWrap/>
            <w:hideMark/>
          </w:tcPr>
          <w:p w14:paraId="28F6F332" w14:textId="09B22B0C"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2,089</w:t>
            </w:r>
          </w:p>
        </w:tc>
        <w:tc>
          <w:tcPr>
            <w:tcW w:w="1810" w:type="dxa"/>
            <w:shd w:val="clear" w:color="auto" w:fill="auto"/>
            <w:noWrap/>
            <w:hideMark/>
          </w:tcPr>
          <w:p w14:paraId="24DC8142" w14:textId="132A341E" w:rsidR="00D471A1" w:rsidRPr="009963CE" w:rsidRDefault="00D471A1" w:rsidP="00D471A1">
            <w:pPr>
              <w:spacing w:after="0" w:line="240" w:lineRule="auto"/>
              <w:jc w:val="right"/>
              <w:cnfStyle w:val="000000100000" w:firstRow="0" w:lastRow="0" w:firstColumn="0" w:lastColumn="0" w:oddVBand="0" w:evenVBand="0" w:oddHBand="1" w:evenHBand="0" w:firstRowFirstColumn="0" w:firstRowLastColumn="0" w:lastRowFirstColumn="0" w:lastRowLastColumn="0"/>
              <w:rPr>
                <w:rFonts w:cs="Arial"/>
                <w:color w:val="000000"/>
                <w:sz w:val="20"/>
                <w:szCs w:val="20"/>
                <w:lang w:val="en-US"/>
              </w:rPr>
            </w:pPr>
            <w:r w:rsidRPr="009963CE">
              <w:rPr>
                <w:sz w:val="20"/>
                <w:szCs w:val="20"/>
              </w:rPr>
              <w:t>2,150</w:t>
            </w:r>
          </w:p>
        </w:tc>
      </w:tr>
      <w:tr w:rsidR="00D471A1" w:rsidRPr="009F1DB5" w14:paraId="0EE66207" w14:textId="77777777" w:rsidTr="007D77DA">
        <w:trPr>
          <w:trHeight w:val="276"/>
        </w:trPr>
        <w:tc>
          <w:tcPr>
            <w:cnfStyle w:val="001000000000" w:firstRow="0" w:lastRow="0" w:firstColumn="1" w:lastColumn="0" w:oddVBand="0" w:evenVBand="0" w:oddHBand="0" w:evenHBand="0" w:firstRowFirstColumn="0" w:firstRowLastColumn="0" w:lastRowFirstColumn="0" w:lastRowLastColumn="0"/>
            <w:tcW w:w="2400" w:type="dxa"/>
            <w:shd w:val="clear" w:color="auto" w:fill="auto"/>
            <w:noWrap/>
            <w:hideMark/>
          </w:tcPr>
          <w:p w14:paraId="4BFDEB11" w14:textId="77777777" w:rsidR="00D471A1" w:rsidRPr="007D77DA" w:rsidRDefault="00D471A1" w:rsidP="00D471A1">
            <w:pPr>
              <w:spacing w:after="0" w:line="240" w:lineRule="auto"/>
              <w:rPr>
                <w:rFonts w:cs="Arial"/>
                <w:b w:val="0"/>
                <w:bCs w:val="0"/>
                <w:color w:val="000000"/>
                <w:sz w:val="22"/>
              </w:rPr>
            </w:pPr>
            <w:r w:rsidRPr="007D77DA">
              <w:rPr>
                <w:rFonts w:cs="Arial"/>
                <w:color w:val="000000"/>
                <w:sz w:val="22"/>
              </w:rPr>
              <w:t>ФННС</w:t>
            </w:r>
          </w:p>
        </w:tc>
        <w:tc>
          <w:tcPr>
            <w:tcW w:w="1801" w:type="dxa"/>
            <w:shd w:val="clear" w:color="auto" w:fill="auto"/>
            <w:noWrap/>
            <w:hideMark/>
          </w:tcPr>
          <w:p w14:paraId="672FBE1F" w14:textId="551E24AF"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-15 650 267</w:t>
            </w:r>
          </w:p>
        </w:tc>
        <w:tc>
          <w:tcPr>
            <w:tcW w:w="1777" w:type="dxa"/>
            <w:shd w:val="clear" w:color="auto" w:fill="auto"/>
            <w:noWrap/>
            <w:hideMark/>
          </w:tcPr>
          <w:p w14:paraId="2D9D8806" w14:textId="007239DA"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-11 050 788</w:t>
            </w:r>
          </w:p>
        </w:tc>
        <w:tc>
          <w:tcPr>
            <w:tcW w:w="1810" w:type="dxa"/>
            <w:shd w:val="clear" w:color="auto" w:fill="auto"/>
            <w:noWrap/>
            <w:hideMark/>
          </w:tcPr>
          <w:p w14:paraId="0F782314" w14:textId="3921FF5E" w:rsidR="00D471A1" w:rsidRPr="009963CE" w:rsidRDefault="00D471A1" w:rsidP="00D471A1">
            <w:pPr>
              <w:spacing w:after="0" w:line="240" w:lineRule="auto"/>
              <w:jc w:val="right"/>
              <w:cnfStyle w:val="000000000000" w:firstRow="0" w:lastRow="0" w:firstColumn="0" w:lastColumn="0" w:oddVBand="0" w:evenVBand="0" w:oddHBand="0" w:evenHBand="0" w:firstRowFirstColumn="0" w:firstRowLastColumn="0" w:lastRowFirstColumn="0" w:lastRowLastColumn="0"/>
              <w:rPr>
                <w:rFonts w:cs="Arial"/>
                <w:color w:val="000000"/>
                <w:sz w:val="20"/>
                <w:szCs w:val="20"/>
                <w:lang w:val="en-US"/>
              </w:rPr>
            </w:pPr>
            <w:r w:rsidRPr="009963CE">
              <w:rPr>
                <w:sz w:val="20"/>
                <w:szCs w:val="20"/>
              </w:rPr>
              <w:t>-12 072 895</w:t>
            </w:r>
          </w:p>
        </w:tc>
      </w:tr>
    </w:tbl>
    <w:p w14:paraId="374B5D04" w14:textId="77777777" w:rsidR="00DF5A51" w:rsidRPr="007D77DA" w:rsidRDefault="00DF5A51" w:rsidP="003C3025">
      <w:pPr>
        <w:spacing w:before="60" w:after="60"/>
        <w:jc w:val="both"/>
        <w:rPr>
          <w:rFonts w:ascii="Times New Roman" w:eastAsia="Times New Roman" w:hAnsi="Times New Roman" w:cs="Times New Roman"/>
          <w:i/>
          <w:sz w:val="18"/>
          <w:szCs w:val="18"/>
          <w:lang w:eastAsia="ar-SA"/>
        </w:rPr>
      </w:pPr>
      <w:r w:rsidRPr="007D77DA">
        <w:rPr>
          <w:rFonts w:ascii="Times New Roman" w:eastAsia="Times New Roman" w:hAnsi="Times New Roman" w:cs="Times New Roman"/>
          <w:i/>
          <w:sz w:val="18"/>
          <w:szCs w:val="18"/>
          <w:lang w:eastAsia="ar-SA"/>
        </w:rPr>
        <w:t>Източник: модел Vademecum</w:t>
      </w:r>
    </w:p>
    <w:p w14:paraId="15097179" w14:textId="43957144" w:rsidR="00BA0FDB" w:rsidRDefault="00BA0FDB" w:rsidP="003C3025">
      <w:pPr>
        <w:spacing w:before="60" w:after="60"/>
        <w:jc w:val="both"/>
        <w:rPr>
          <w:rFonts w:eastAsia="Times New Roman" w:cs="Arial"/>
          <w:szCs w:val="24"/>
          <w:lang w:eastAsia="ar-SA"/>
        </w:rPr>
      </w:pPr>
      <w:r w:rsidRPr="007D77DA">
        <w:rPr>
          <w:rFonts w:eastAsia="Times New Roman" w:cs="Arial"/>
          <w:szCs w:val="24"/>
          <w:lang w:eastAsia="ar-SA"/>
        </w:rPr>
        <w:t>При ръст на инвестициите от 45% и спад на ползите с 25%, проектът вече не е икономически ефективен.</w:t>
      </w:r>
    </w:p>
    <w:p w14:paraId="39642DEC" w14:textId="77777777" w:rsidR="007D77DA" w:rsidRPr="007D77DA" w:rsidRDefault="007D77DA" w:rsidP="003C3025">
      <w:pPr>
        <w:spacing w:before="60" w:after="60"/>
        <w:jc w:val="both"/>
        <w:rPr>
          <w:rFonts w:cs="Arial"/>
          <w:szCs w:val="24"/>
        </w:rPr>
      </w:pPr>
    </w:p>
    <w:p w14:paraId="5A52768A" w14:textId="77777777" w:rsidR="009B57B8" w:rsidRPr="00794FF7" w:rsidRDefault="00AF44F1" w:rsidP="00794FF7">
      <w:pPr>
        <w:pStyle w:val="Heading2"/>
        <w:numPr>
          <w:ilvl w:val="1"/>
          <w:numId w:val="3"/>
        </w:numPr>
        <w:ind w:left="1080" w:hanging="540"/>
        <w:rPr>
          <w:szCs w:val="24"/>
          <w:lang w:val="bg-BG"/>
        </w:rPr>
      </w:pPr>
      <w:bookmarkStart w:id="394" w:name="_Toc490650623"/>
      <w:bookmarkStart w:id="395" w:name="_Toc490652041"/>
      <w:bookmarkStart w:id="396" w:name="_Toc490650684"/>
      <w:bookmarkStart w:id="397" w:name="_Toc490652102"/>
      <w:bookmarkStart w:id="398" w:name="_Toc490650685"/>
      <w:bookmarkStart w:id="399" w:name="_Toc490652103"/>
      <w:bookmarkStart w:id="400" w:name="_Toc490650686"/>
      <w:bookmarkStart w:id="401" w:name="_Toc490652104"/>
      <w:bookmarkStart w:id="402" w:name="_Toc490650695"/>
      <w:bookmarkStart w:id="403" w:name="_Toc490652113"/>
      <w:bookmarkStart w:id="404" w:name="_Toc490650699"/>
      <w:bookmarkStart w:id="405" w:name="_Toc490652117"/>
      <w:bookmarkStart w:id="406" w:name="_Toc490650703"/>
      <w:bookmarkStart w:id="407" w:name="_Toc490652121"/>
      <w:bookmarkStart w:id="408" w:name="_Toc490650711"/>
      <w:bookmarkStart w:id="409" w:name="_Toc490652129"/>
      <w:bookmarkStart w:id="410" w:name="_Toc490650715"/>
      <w:bookmarkStart w:id="411" w:name="_Toc490652133"/>
      <w:bookmarkStart w:id="412" w:name="_Toc490650719"/>
      <w:bookmarkStart w:id="413" w:name="_Toc490652137"/>
      <w:bookmarkStart w:id="414" w:name="_Toc490650727"/>
      <w:bookmarkStart w:id="415" w:name="_Toc490652145"/>
      <w:bookmarkStart w:id="416" w:name="_Toc490650731"/>
      <w:bookmarkStart w:id="417" w:name="_Toc490652149"/>
      <w:bookmarkStart w:id="418" w:name="_Toc490650735"/>
      <w:bookmarkStart w:id="419" w:name="_Toc490652153"/>
      <w:bookmarkStart w:id="420" w:name="_Toc490650743"/>
      <w:bookmarkStart w:id="421" w:name="_Toc490652161"/>
      <w:bookmarkStart w:id="422" w:name="_Toc490650747"/>
      <w:bookmarkStart w:id="423" w:name="_Toc490652165"/>
      <w:bookmarkStart w:id="424" w:name="_Toc490650751"/>
      <w:bookmarkStart w:id="425" w:name="_Toc490652169"/>
      <w:bookmarkStart w:id="426" w:name="_Toc490650759"/>
      <w:bookmarkStart w:id="427" w:name="_Toc490652177"/>
      <w:bookmarkStart w:id="428" w:name="_Toc490650763"/>
      <w:bookmarkStart w:id="429" w:name="_Toc490652181"/>
      <w:bookmarkStart w:id="430" w:name="_Toc490650767"/>
      <w:bookmarkStart w:id="431" w:name="_Toc490652185"/>
      <w:bookmarkStart w:id="432" w:name="_Toc490650775"/>
      <w:bookmarkStart w:id="433" w:name="_Toc490652193"/>
      <w:bookmarkStart w:id="434" w:name="_Toc490650779"/>
      <w:bookmarkStart w:id="435" w:name="_Toc490652197"/>
      <w:bookmarkStart w:id="436" w:name="_Toc490650783"/>
      <w:bookmarkStart w:id="437" w:name="_Toc490652201"/>
      <w:bookmarkStart w:id="438" w:name="_Toc490650787"/>
      <w:bookmarkStart w:id="439" w:name="_Toc490652205"/>
      <w:bookmarkStart w:id="440" w:name="_Toc490650788"/>
      <w:bookmarkStart w:id="441" w:name="_Toc490652206"/>
      <w:bookmarkStart w:id="442" w:name="_Toc491178242"/>
      <w:bookmarkStart w:id="443" w:name="_Toc26449472"/>
      <w:bookmarkStart w:id="444" w:name="_Toc143694208"/>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r w:rsidRPr="00794FF7">
        <w:rPr>
          <w:szCs w:val="24"/>
          <w:lang w:val="bg-BG"/>
        </w:rPr>
        <w:t>О</w:t>
      </w:r>
      <w:r w:rsidR="009B57B8" w:rsidRPr="00794FF7">
        <w:rPr>
          <w:szCs w:val="24"/>
          <w:lang w:val="bg-BG"/>
        </w:rPr>
        <w:t>ценка на риска</w:t>
      </w:r>
      <w:bookmarkEnd w:id="443"/>
      <w:bookmarkEnd w:id="444"/>
    </w:p>
    <w:p w14:paraId="289A6BE5" w14:textId="77777777" w:rsidR="00DF5A51" w:rsidRPr="00D64233" w:rsidRDefault="00DF5A51" w:rsidP="00D10754">
      <w:pPr>
        <w:suppressAutoHyphens/>
        <w:spacing w:after="120" w:line="240" w:lineRule="auto"/>
        <w:jc w:val="both"/>
        <w:rPr>
          <w:rFonts w:eastAsia="Times New Roman" w:cs="Arial"/>
          <w:lang w:eastAsia="ar-SA"/>
        </w:rPr>
      </w:pPr>
      <w:r w:rsidRPr="00D64233">
        <w:rPr>
          <w:rFonts w:eastAsia="Times New Roman" w:cs="Arial"/>
          <w:lang w:eastAsia="ar-SA"/>
        </w:rPr>
        <w:t>За извършването на качествения анализ на риска са предприети следните стъпки:</w:t>
      </w:r>
    </w:p>
    <w:p w14:paraId="4729E8E9"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Идентификация на нежеланите събития, на които е изложен проекта;</w:t>
      </w:r>
    </w:p>
    <w:p w14:paraId="2DD91FBE"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Изготвяне на матрица на риска;</w:t>
      </w:r>
    </w:p>
    <w:p w14:paraId="7DA3817B" w14:textId="77777777" w:rsidR="00DF5A51" w:rsidRPr="00D64233"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Анализ на матрицата на риска;</w:t>
      </w:r>
    </w:p>
    <w:p w14:paraId="04AB3423" w14:textId="77777777" w:rsidR="00C247AE" w:rsidRDefault="00DF5A51" w:rsidP="00D10754">
      <w:pPr>
        <w:suppressAutoHyphens/>
        <w:spacing w:after="120" w:line="240" w:lineRule="auto"/>
        <w:ind w:firstLine="567"/>
        <w:jc w:val="both"/>
        <w:rPr>
          <w:rFonts w:eastAsia="Times New Roman" w:cs="Arial"/>
          <w:lang w:eastAsia="ar-SA"/>
        </w:rPr>
      </w:pPr>
      <w:r w:rsidRPr="00D64233">
        <w:rPr>
          <w:rFonts w:eastAsia="Times New Roman" w:cs="Arial"/>
          <w:lang w:eastAsia="ar-SA"/>
        </w:rPr>
        <w:t>- Мерки за нам</w:t>
      </w:r>
      <w:r w:rsidR="00C247AE">
        <w:rPr>
          <w:rFonts w:eastAsia="Times New Roman" w:cs="Arial"/>
          <w:lang w:eastAsia="ar-SA"/>
        </w:rPr>
        <w:t>аляване на съответните рискове.</w:t>
      </w:r>
    </w:p>
    <w:p w14:paraId="53428615" w14:textId="77777777" w:rsidR="007D77DA" w:rsidRDefault="007D77DA" w:rsidP="00D10754">
      <w:pPr>
        <w:suppressAutoHyphens/>
        <w:spacing w:after="120" w:line="240" w:lineRule="auto"/>
        <w:jc w:val="both"/>
        <w:rPr>
          <w:rFonts w:eastAsia="Times New Roman" w:cs="Arial"/>
          <w:lang w:eastAsia="ar-SA"/>
        </w:rPr>
      </w:pPr>
    </w:p>
    <w:p w14:paraId="3A1EBB2E" w14:textId="77777777" w:rsidR="007D77DA" w:rsidRDefault="007D77DA" w:rsidP="00D10754">
      <w:pPr>
        <w:suppressAutoHyphens/>
        <w:spacing w:after="120" w:line="240" w:lineRule="auto"/>
        <w:jc w:val="both"/>
        <w:rPr>
          <w:rFonts w:eastAsia="Times New Roman" w:cs="Arial"/>
          <w:lang w:eastAsia="ar-SA"/>
        </w:rPr>
      </w:pPr>
    </w:p>
    <w:p w14:paraId="36FBDE49" w14:textId="77777777" w:rsidR="00DF5A51" w:rsidRDefault="00DF5A51" w:rsidP="00D10754">
      <w:pPr>
        <w:suppressAutoHyphens/>
        <w:spacing w:after="120" w:line="240" w:lineRule="auto"/>
        <w:jc w:val="both"/>
        <w:rPr>
          <w:rFonts w:eastAsia="Times New Roman" w:cs="Arial"/>
          <w:lang w:eastAsia="ar-SA"/>
        </w:rPr>
      </w:pPr>
      <w:r w:rsidRPr="00D64233">
        <w:rPr>
          <w:rFonts w:eastAsia="Times New Roman" w:cs="Arial"/>
          <w:lang w:eastAsia="ar-SA"/>
        </w:rPr>
        <w:t>За класификацията на идентифицираните рискове в зависимост от нивото на риска е използвана следната скала:</w:t>
      </w:r>
    </w:p>
    <w:p w14:paraId="7CD50D2D" w14:textId="77777777" w:rsidR="007D77DA" w:rsidRDefault="007D77DA" w:rsidP="00D10754">
      <w:pPr>
        <w:suppressAutoHyphens/>
        <w:spacing w:after="120" w:line="240" w:lineRule="auto"/>
        <w:jc w:val="both"/>
        <w:rPr>
          <w:rFonts w:eastAsia="Times New Roman" w:cs="Arial"/>
          <w:lang w:eastAsia="ar-SA"/>
        </w:rPr>
      </w:pPr>
    </w:p>
    <w:tbl>
      <w:tblPr>
        <w:tblW w:w="1980" w:type="dxa"/>
        <w:tblInd w:w="637"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980"/>
      </w:tblGrid>
      <w:tr w:rsidR="00DF5A51" w:rsidRPr="00D64233" w14:paraId="63038887" w14:textId="77777777" w:rsidTr="00DE3B1B">
        <w:trPr>
          <w:trHeight w:val="300"/>
        </w:trPr>
        <w:tc>
          <w:tcPr>
            <w:tcW w:w="1980" w:type="dxa"/>
            <w:tcBorders>
              <w:top w:val="single" w:sz="18" w:space="0" w:color="auto"/>
            </w:tcBorders>
            <w:shd w:val="clear" w:color="auto" w:fill="BFBFBF"/>
            <w:noWrap/>
            <w:vAlign w:val="bottom"/>
          </w:tcPr>
          <w:p w14:paraId="37F5928A" w14:textId="77777777" w:rsidR="00DF5A51" w:rsidRPr="00D64233" w:rsidRDefault="00DF5A51" w:rsidP="00DE3B1B">
            <w:pPr>
              <w:suppressAutoHyphens/>
              <w:spacing w:after="0" w:line="240" w:lineRule="auto"/>
              <w:ind w:left="213"/>
              <w:rPr>
                <w:rFonts w:eastAsia="Times New Roman" w:cs="Arial"/>
                <w:b/>
                <w:bCs/>
                <w:color w:val="000000"/>
                <w:sz w:val="20"/>
                <w:szCs w:val="20"/>
                <w:lang w:eastAsia="ar-SA"/>
              </w:rPr>
            </w:pPr>
            <w:r w:rsidRPr="00D64233">
              <w:rPr>
                <w:rFonts w:eastAsia="Times New Roman" w:cs="Arial"/>
                <w:b/>
                <w:bCs/>
                <w:color w:val="000000"/>
                <w:sz w:val="20"/>
                <w:szCs w:val="20"/>
                <w:lang w:eastAsia="ar-SA"/>
              </w:rPr>
              <w:t>Ниво на риска</w:t>
            </w:r>
          </w:p>
        </w:tc>
      </w:tr>
      <w:tr w:rsidR="00DF5A51" w:rsidRPr="00D64233" w14:paraId="3585E028" w14:textId="77777777" w:rsidTr="00DE3B1B">
        <w:trPr>
          <w:trHeight w:val="255"/>
        </w:trPr>
        <w:tc>
          <w:tcPr>
            <w:tcW w:w="1980" w:type="dxa"/>
            <w:shd w:val="clear" w:color="000000" w:fill="92D050"/>
            <w:noWrap/>
            <w:vAlign w:val="center"/>
          </w:tcPr>
          <w:p w14:paraId="19999F6D"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Ниско</w:t>
            </w:r>
          </w:p>
        </w:tc>
      </w:tr>
      <w:tr w:rsidR="00DF5A51" w:rsidRPr="00D64233" w14:paraId="366FA97E" w14:textId="77777777" w:rsidTr="00DE3B1B">
        <w:trPr>
          <w:trHeight w:val="343"/>
        </w:trPr>
        <w:tc>
          <w:tcPr>
            <w:tcW w:w="1980" w:type="dxa"/>
            <w:shd w:val="clear" w:color="000000" w:fill="FFFF00"/>
            <w:noWrap/>
            <w:vAlign w:val="center"/>
          </w:tcPr>
          <w:p w14:paraId="6BF523EA" w14:textId="77777777" w:rsidR="00DF5A51" w:rsidRPr="00D64233" w:rsidRDefault="00F92CCB" w:rsidP="00DE3B1B">
            <w:pPr>
              <w:suppressAutoHyphens/>
              <w:spacing w:after="0" w:line="240" w:lineRule="auto"/>
              <w:ind w:left="213"/>
              <w:rPr>
                <w:rFonts w:eastAsia="Times New Roman" w:cs="Arial"/>
                <w:bCs/>
                <w:color w:val="000000"/>
                <w:sz w:val="20"/>
                <w:szCs w:val="20"/>
                <w:lang w:eastAsia="ar-SA"/>
              </w:rPr>
            </w:pPr>
            <w:r>
              <w:rPr>
                <w:rFonts w:eastAsia="Times New Roman" w:cs="Arial"/>
                <w:bCs/>
                <w:color w:val="000000"/>
                <w:sz w:val="20"/>
                <w:szCs w:val="20"/>
                <w:lang w:eastAsia="ar-SA"/>
              </w:rPr>
              <w:t>Средно</w:t>
            </w:r>
          </w:p>
        </w:tc>
      </w:tr>
      <w:tr w:rsidR="00DF5A51" w:rsidRPr="00D64233" w14:paraId="6BEFE5F8" w14:textId="77777777" w:rsidTr="00DE3B1B">
        <w:trPr>
          <w:trHeight w:val="263"/>
        </w:trPr>
        <w:tc>
          <w:tcPr>
            <w:tcW w:w="1980" w:type="dxa"/>
            <w:shd w:val="clear" w:color="000000" w:fill="FF0000"/>
            <w:noWrap/>
            <w:vAlign w:val="center"/>
          </w:tcPr>
          <w:p w14:paraId="74C60662"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Високо</w:t>
            </w:r>
          </w:p>
        </w:tc>
      </w:tr>
      <w:tr w:rsidR="00DF5A51" w:rsidRPr="00D64233" w14:paraId="2297DFC6" w14:textId="77777777" w:rsidTr="00DE3B1B">
        <w:trPr>
          <w:trHeight w:val="281"/>
        </w:trPr>
        <w:tc>
          <w:tcPr>
            <w:tcW w:w="1980" w:type="dxa"/>
            <w:tcBorders>
              <w:bottom w:val="single" w:sz="18" w:space="0" w:color="auto"/>
            </w:tcBorders>
            <w:shd w:val="clear" w:color="000000" w:fill="C00000"/>
            <w:noWrap/>
            <w:vAlign w:val="center"/>
          </w:tcPr>
          <w:p w14:paraId="6D564B69" w14:textId="77777777" w:rsidR="00DF5A51" w:rsidRPr="00D64233" w:rsidRDefault="00DF5A51" w:rsidP="00DE3B1B">
            <w:pPr>
              <w:suppressAutoHyphens/>
              <w:spacing w:after="0" w:line="240" w:lineRule="auto"/>
              <w:ind w:left="213"/>
              <w:rPr>
                <w:rFonts w:eastAsia="Times New Roman" w:cs="Arial"/>
                <w:bCs/>
                <w:color w:val="000000"/>
                <w:sz w:val="20"/>
                <w:szCs w:val="20"/>
                <w:lang w:eastAsia="ar-SA"/>
              </w:rPr>
            </w:pPr>
            <w:r w:rsidRPr="00D64233">
              <w:rPr>
                <w:rFonts w:eastAsia="Times New Roman" w:cs="Arial"/>
                <w:bCs/>
                <w:color w:val="000000"/>
                <w:sz w:val="20"/>
                <w:szCs w:val="20"/>
                <w:lang w:eastAsia="ar-SA"/>
              </w:rPr>
              <w:t>Неприемливо</w:t>
            </w:r>
          </w:p>
        </w:tc>
      </w:tr>
    </w:tbl>
    <w:p w14:paraId="377086AC" w14:textId="77777777" w:rsidR="00DF5A51" w:rsidRDefault="00DF5A51" w:rsidP="00DF5A51">
      <w:pPr>
        <w:suppressAutoHyphens/>
        <w:spacing w:after="0" w:line="240" w:lineRule="auto"/>
        <w:jc w:val="both"/>
        <w:rPr>
          <w:rFonts w:ascii="Times New Roman" w:eastAsia="Times New Roman" w:hAnsi="Times New Roman" w:cs="Times New Roman"/>
          <w:sz w:val="20"/>
          <w:szCs w:val="20"/>
          <w:lang w:eastAsia="ar-SA"/>
        </w:rPr>
      </w:pPr>
    </w:p>
    <w:p w14:paraId="72EB42DB" w14:textId="77777777" w:rsidR="00DF5A51" w:rsidRPr="00E6187A" w:rsidRDefault="00DF5A51" w:rsidP="00C247AE">
      <w:pPr>
        <w:autoSpaceDE w:val="0"/>
        <w:autoSpaceDN w:val="0"/>
        <w:adjustRightInd w:val="0"/>
        <w:jc w:val="both"/>
        <w:rPr>
          <w:rFonts w:eastAsia="Times New Roman" w:cs="Arial"/>
          <w:lang w:eastAsia="ar-SA"/>
        </w:rPr>
      </w:pPr>
      <w:r w:rsidRPr="00E6187A">
        <w:rPr>
          <w:rFonts w:eastAsia="Times New Roman" w:cs="Arial"/>
          <w:lang w:eastAsia="ar-SA"/>
        </w:rPr>
        <w:t xml:space="preserve">Тези резултати са получени като </w:t>
      </w:r>
      <w:r w:rsidRPr="00C247AE">
        <w:rPr>
          <w:rFonts w:eastAsia="Calibri" w:cs="Arial"/>
        </w:rPr>
        <w:t>умножаваме</w:t>
      </w:r>
      <w:r w:rsidRPr="00E6187A">
        <w:rPr>
          <w:rFonts w:eastAsia="Times New Roman" w:cs="Arial"/>
          <w:lang w:eastAsia="ar-SA"/>
        </w:rPr>
        <w:t xml:space="preserve"> вероятността по дефинираните тежести. </w:t>
      </w:r>
    </w:p>
    <w:p w14:paraId="704009D8" w14:textId="77777777" w:rsidR="00DF5A51" w:rsidRPr="00E6187A" w:rsidRDefault="00DF5A51" w:rsidP="00D10754">
      <w:pPr>
        <w:suppressAutoHyphens/>
        <w:spacing w:after="120" w:line="240" w:lineRule="auto"/>
        <w:jc w:val="both"/>
        <w:rPr>
          <w:rFonts w:eastAsia="Times New Roman" w:cs="Arial"/>
          <w:lang w:eastAsia="ar-SA"/>
        </w:rPr>
      </w:pPr>
      <w:r w:rsidRPr="00E6187A">
        <w:rPr>
          <w:rFonts w:eastAsia="Times New Roman" w:cs="Arial"/>
          <w:b/>
          <w:lang w:eastAsia="ar-SA"/>
        </w:rPr>
        <w:t>НР= ВхТ,</w:t>
      </w:r>
      <w:r w:rsidRPr="00E6187A">
        <w:rPr>
          <w:rFonts w:eastAsia="Times New Roman" w:cs="Arial"/>
          <w:lang w:eastAsia="ar-SA"/>
        </w:rPr>
        <w:t xml:space="preserve"> където</w:t>
      </w:r>
    </w:p>
    <w:p w14:paraId="52F857E5"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НР</w:t>
      </w:r>
      <w:r w:rsidRPr="00E6187A">
        <w:rPr>
          <w:rFonts w:eastAsia="Times New Roman" w:cs="Arial"/>
          <w:lang w:eastAsia="ar-SA"/>
        </w:rPr>
        <w:t xml:space="preserve"> е ниво на риска;</w:t>
      </w:r>
    </w:p>
    <w:p w14:paraId="1C50BF5D"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В</w:t>
      </w:r>
      <w:r w:rsidRPr="00E6187A">
        <w:rPr>
          <w:rFonts w:eastAsia="Times New Roman" w:cs="Arial"/>
          <w:lang w:eastAsia="ar-SA"/>
        </w:rPr>
        <w:t xml:space="preserve"> е вероятността;</w:t>
      </w:r>
    </w:p>
    <w:p w14:paraId="60CA1E16" w14:textId="77777777" w:rsidR="00DF5A51" w:rsidRPr="00E6187A" w:rsidRDefault="00DF5A51" w:rsidP="00DF5A51">
      <w:pPr>
        <w:suppressAutoHyphens/>
        <w:spacing w:after="0" w:line="240" w:lineRule="auto"/>
        <w:ind w:firstLine="567"/>
        <w:jc w:val="both"/>
        <w:rPr>
          <w:rFonts w:eastAsia="Times New Roman" w:cs="Arial"/>
          <w:lang w:eastAsia="ar-SA"/>
        </w:rPr>
      </w:pPr>
      <w:r w:rsidRPr="00E6187A">
        <w:rPr>
          <w:rFonts w:eastAsia="Times New Roman" w:cs="Arial"/>
          <w:b/>
          <w:lang w:eastAsia="ar-SA"/>
        </w:rPr>
        <w:t>Т</w:t>
      </w:r>
      <w:r w:rsidRPr="00E6187A">
        <w:rPr>
          <w:rFonts w:eastAsia="Times New Roman" w:cs="Arial"/>
          <w:lang w:eastAsia="ar-SA"/>
        </w:rPr>
        <w:t xml:space="preserve"> е тежестта на риска.</w:t>
      </w:r>
    </w:p>
    <w:p w14:paraId="44F120E3" w14:textId="77777777" w:rsidR="00DF5A51" w:rsidRPr="00E6187A" w:rsidRDefault="00DF5A51" w:rsidP="00DF5A51">
      <w:pPr>
        <w:suppressAutoHyphens/>
        <w:spacing w:after="0" w:line="240" w:lineRule="auto"/>
        <w:jc w:val="both"/>
        <w:rPr>
          <w:rFonts w:eastAsia="Times New Roman" w:cs="Arial"/>
          <w:lang w:eastAsia="ar-SA"/>
        </w:rPr>
      </w:pPr>
    </w:p>
    <w:p w14:paraId="718777B5" w14:textId="77777777" w:rsidR="00DF5A51" w:rsidRDefault="00DF5A51" w:rsidP="00D10754">
      <w:pPr>
        <w:suppressAutoHyphens/>
        <w:spacing w:after="120" w:line="240" w:lineRule="auto"/>
        <w:jc w:val="both"/>
        <w:rPr>
          <w:rFonts w:eastAsia="Times New Roman" w:cs="Arial"/>
          <w:lang w:eastAsia="ar-SA"/>
        </w:rPr>
      </w:pPr>
      <w:r w:rsidRPr="00E6187A">
        <w:rPr>
          <w:rFonts w:eastAsia="Times New Roman" w:cs="Arial"/>
          <w:lang w:eastAsia="ar-SA"/>
        </w:rPr>
        <w:t>Вероятностите са класифицирани в следните групи:</w:t>
      </w:r>
    </w:p>
    <w:p w14:paraId="47FFAE99" w14:textId="77777777" w:rsidR="007D77DA" w:rsidRDefault="007D77DA" w:rsidP="00D10754">
      <w:pPr>
        <w:suppressAutoHyphens/>
        <w:spacing w:after="120" w:line="240" w:lineRule="auto"/>
        <w:jc w:val="both"/>
        <w:rPr>
          <w:rFonts w:eastAsia="Times New Roman" w:cs="Arial"/>
          <w:lang w:eastAsia="ar-SA"/>
        </w:rPr>
      </w:pPr>
    </w:p>
    <w:p w14:paraId="5B73E7E3" w14:textId="77777777" w:rsidR="00DF5A51" w:rsidRDefault="00DF5A51" w:rsidP="00DF5A51">
      <w:pPr>
        <w:tabs>
          <w:tab w:val="left" w:pos="1418"/>
        </w:tabs>
        <w:spacing w:before="60" w:after="60"/>
        <w:jc w:val="both"/>
        <w:rPr>
          <w:rFonts w:eastAsia="Calibri" w:cs="Arial"/>
          <w:i/>
          <w:color w:val="000000"/>
          <w:sz w:val="22"/>
          <w:lang w:eastAsia="en-US"/>
        </w:rPr>
      </w:pPr>
      <w:bookmarkStart w:id="445" w:name="_Toc174099083"/>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38</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Класификация на вероятностите по групи</w:t>
      </w:r>
      <w:bookmarkEnd w:id="445"/>
    </w:p>
    <w:tbl>
      <w:tblPr>
        <w:tblStyle w:val="LightList-Accent111"/>
        <w:tblW w:w="6918" w:type="dxa"/>
        <w:tblLook w:val="00A0" w:firstRow="1" w:lastRow="0" w:firstColumn="1" w:lastColumn="0" w:noHBand="0" w:noVBand="0"/>
      </w:tblPr>
      <w:tblGrid>
        <w:gridCol w:w="539"/>
        <w:gridCol w:w="6455"/>
      </w:tblGrid>
      <w:tr w:rsidR="009F1DB5" w:rsidRPr="009F1DB5" w14:paraId="29C9798F" w14:textId="77777777" w:rsidTr="009F1D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6918" w:type="dxa"/>
            <w:gridSpan w:val="2"/>
            <w:noWrap/>
          </w:tcPr>
          <w:p w14:paraId="0893D11A" w14:textId="77777777" w:rsidR="00DF5A51" w:rsidRPr="007D77DA" w:rsidRDefault="00DF5A51" w:rsidP="00F92CCB">
            <w:pPr>
              <w:suppressAutoHyphens/>
              <w:spacing w:before="120" w:after="120"/>
              <w:jc w:val="center"/>
              <w:rPr>
                <w:rFonts w:cs="Arial"/>
                <w:b w:val="0"/>
                <w:bCs w:val="0"/>
                <w:color w:val="FFFFFF" w:themeColor="background1"/>
                <w:szCs w:val="24"/>
                <w:lang w:eastAsia="ar-SA"/>
              </w:rPr>
            </w:pPr>
            <w:r w:rsidRPr="007D77DA">
              <w:rPr>
                <w:rFonts w:cs="Arial"/>
                <w:color w:val="FFFFFF" w:themeColor="background1"/>
                <w:szCs w:val="24"/>
                <w:lang w:eastAsia="ar-SA"/>
              </w:rPr>
              <w:t>Класификация на вероятностите</w:t>
            </w:r>
          </w:p>
        </w:tc>
      </w:tr>
      <w:tr w:rsidR="00DF5A51" w:rsidRPr="00DF5A51" w14:paraId="691187C0" w14:textId="77777777" w:rsidTr="007D77D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463" w:type="dxa"/>
            <w:noWrap/>
          </w:tcPr>
          <w:p w14:paraId="314935BF"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A. </w:t>
            </w:r>
          </w:p>
        </w:tc>
        <w:tc>
          <w:tcPr>
            <w:cnfStyle w:val="000010000000" w:firstRow="0" w:lastRow="0" w:firstColumn="0" w:lastColumn="0" w:oddVBand="1" w:evenVBand="0" w:oddHBand="0" w:evenHBand="0" w:firstRowFirstColumn="0" w:firstRowLastColumn="0" w:lastRowFirstColumn="0" w:lastRowLastColumn="0"/>
            <w:tcW w:w="6455" w:type="dxa"/>
            <w:noWrap/>
          </w:tcPr>
          <w:p w14:paraId="609FAF36"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Много малко вероятно  (0–10 % вероятност)</w:t>
            </w:r>
          </w:p>
        </w:tc>
      </w:tr>
      <w:tr w:rsidR="00DF5A51" w:rsidRPr="00DF5A51" w14:paraId="4C8D02CE" w14:textId="77777777" w:rsidTr="007D77DA">
        <w:trPr>
          <w:trHeight w:val="173"/>
        </w:trPr>
        <w:tc>
          <w:tcPr>
            <w:cnfStyle w:val="001000000000" w:firstRow="0" w:lastRow="0" w:firstColumn="1" w:lastColumn="0" w:oddVBand="0" w:evenVBand="0" w:oddHBand="0" w:evenHBand="0" w:firstRowFirstColumn="0" w:firstRowLastColumn="0" w:lastRowFirstColumn="0" w:lastRowLastColumn="0"/>
            <w:tcW w:w="463" w:type="dxa"/>
            <w:noWrap/>
          </w:tcPr>
          <w:p w14:paraId="6091C87C"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B.</w:t>
            </w:r>
          </w:p>
        </w:tc>
        <w:tc>
          <w:tcPr>
            <w:cnfStyle w:val="000010000000" w:firstRow="0" w:lastRow="0" w:firstColumn="0" w:lastColumn="0" w:oddVBand="1" w:evenVBand="0" w:oddHBand="0" w:evenHBand="0" w:firstRowFirstColumn="0" w:firstRowLastColumn="0" w:lastRowFirstColumn="0" w:lastRowLastColumn="0"/>
            <w:tcW w:w="6455" w:type="dxa"/>
            <w:noWrap/>
          </w:tcPr>
          <w:p w14:paraId="53C520ED"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Малко вероятно (10–33 % вероятност)</w:t>
            </w:r>
          </w:p>
        </w:tc>
      </w:tr>
      <w:tr w:rsidR="00DF5A51" w:rsidRPr="00DF5A51" w14:paraId="5E820E77" w14:textId="77777777" w:rsidTr="007D77DA">
        <w:trPr>
          <w:cnfStyle w:val="000000100000" w:firstRow="0" w:lastRow="0" w:firstColumn="0" w:lastColumn="0" w:oddVBand="0" w:evenVBand="0" w:oddHBand="1" w:evenHBand="0" w:firstRowFirstColumn="0" w:firstRowLastColumn="0" w:lastRowFirstColumn="0" w:lastRowLastColumn="0"/>
          <w:trHeight w:val="405"/>
        </w:trPr>
        <w:tc>
          <w:tcPr>
            <w:cnfStyle w:val="001000000000" w:firstRow="0" w:lastRow="0" w:firstColumn="1" w:lastColumn="0" w:oddVBand="0" w:evenVBand="0" w:oddHBand="0" w:evenHBand="0" w:firstRowFirstColumn="0" w:firstRowLastColumn="0" w:lastRowFirstColumn="0" w:lastRowLastColumn="0"/>
            <w:tcW w:w="463" w:type="dxa"/>
            <w:noWrap/>
          </w:tcPr>
          <w:p w14:paraId="58B18974"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C. </w:t>
            </w:r>
          </w:p>
        </w:tc>
        <w:tc>
          <w:tcPr>
            <w:cnfStyle w:val="000010000000" w:firstRow="0" w:lastRow="0" w:firstColumn="0" w:lastColumn="0" w:oddVBand="1" w:evenVBand="0" w:oddHBand="0" w:evenHBand="0" w:firstRowFirstColumn="0" w:firstRowLastColumn="0" w:lastRowFirstColumn="0" w:lastRowLastColumn="0"/>
            <w:tcW w:w="6455" w:type="dxa"/>
            <w:noWrap/>
          </w:tcPr>
          <w:p w14:paraId="2DF30135"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Равна вероятност от настъпване и ненастъпване на събитието (33–66 % вероятност)</w:t>
            </w:r>
          </w:p>
        </w:tc>
      </w:tr>
      <w:tr w:rsidR="00DF5A51" w:rsidRPr="00DF5A51" w14:paraId="21DF9EBA" w14:textId="77777777" w:rsidTr="007D77DA">
        <w:trPr>
          <w:trHeight w:val="269"/>
        </w:trPr>
        <w:tc>
          <w:tcPr>
            <w:cnfStyle w:val="001000000000" w:firstRow="0" w:lastRow="0" w:firstColumn="1" w:lastColumn="0" w:oddVBand="0" w:evenVBand="0" w:oddHBand="0" w:evenHBand="0" w:firstRowFirstColumn="0" w:firstRowLastColumn="0" w:lastRowFirstColumn="0" w:lastRowLastColumn="0"/>
            <w:tcW w:w="463" w:type="dxa"/>
            <w:noWrap/>
          </w:tcPr>
          <w:p w14:paraId="3E71DE9F"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D. </w:t>
            </w:r>
          </w:p>
        </w:tc>
        <w:tc>
          <w:tcPr>
            <w:cnfStyle w:val="000010000000" w:firstRow="0" w:lastRow="0" w:firstColumn="0" w:lastColumn="0" w:oddVBand="1" w:evenVBand="0" w:oddHBand="0" w:evenHBand="0" w:firstRowFirstColumn="0" w:firstRowLastColumn="0" w:lastRowFirstColumn="0" w:lastRowLastColumn="0"/>
            <w:tcW w:w="6455" w:type="dxa"/>
            <w:noWrap/>
          </w:tcPr>
          <w:p w14:paraId="3176491D"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По скоро вероятно (66–90 % вероятност)</w:t>
            </w:r>
          </w:p>
        </w:tc>
      </w:tr>
      <w:tr w:rsidR="00DF5A51" w:rsidRPr="00DF5A51" w14:paraId="2DDBBDC4" w14:textId="77777777" w:rsidTr="007D77DA">
        <w:trPr>
          <w:cnfStyle w:val="000000100000" w:firstRow="0" w:lastRow="0" w:firstColumn="0" w:lastColumn="0" w:oddVBand="0" w:evenVBand="0" w:oddHBand="1" w:evenHBand="0" w:firstRowFirstColumn="0" w:firstRowLastColumn="0" w:lastRowFirstColumn="0" w:lastRowLastColumn="0"/>
          <w:trHeight w:val="217"/>
        </w:trPr>
        <w:tc>
          <w:tcPr>
            <w:cnfStyle w:val="001000000000" w:firstRow="0" w:lastRow="0" w:firstColumn="1" w:lastColumn="0" w:oddVBand="0" w:evenVBand="0" w:oddHBand="0" w:evenHBand="0" w:firstRowFirstColumn="0" w:firstRowLastColumn="0" w:lastRowFirstColumn="0" w:lastRowLastColumn="0"/>
            <w:tcW w:w="463" w:type="dxa"/>
            <w:noWrap/>
          </w:tcPr>
          <w:p w14:paraId="1AD8FA19" w14:textId="77777777" w:rsidR="00DF5A51" w:rsidRPr="00DF5A51" w:rsidRDefault="00DF5A51" w:rsidP="00F92CCB">
            <w:pPr>
              <w:suppressAutoHyphens/>
              <w:spacing w:before="120" w:after="120" w:line="240" w:lineRule="auto"/>
              <w:ind w:left="82"/>
              <w:jc w:val="center"/>
              <w:rPr>
                <w:rFonts w:cs="Arial"/>
                <w:color w:val="000000"/>
                <w:szCs w:val="24"/>
                <w:lang w:eastAsia="ar-SA"/>
              </w:rPr>
            </w:pPr>
            <w:r w:rsidRPr="00DF5A51">
              <w:rPr>
                <w:rFonts w:cs="Arial"/>
                <w:color w:val="000000"/>
                <w:szCs w:val="24"/>
                <w:lang w:eastAsia="ar-SA"/>
              </w:rPr>
              <w:t xml:space="preserve">E. </w:t>
            </w:r>
          </w:p>
        </w:tc>
        <w:tc>
          <w:tcPr>
            <w:cnfStyle w:val="000010000000" w:firstRow="0" w:lastRow="0" w:firstColumn="0" w:lastColumn="0" w:oddVBand="1" w:evenVBand="0" w:oddHBand="0" w:evenHBand="0" w:firstRowFirstColumn="0" w:firstRowLastColumn="0" w:lastRowFirstColumn="0" w:lastRowLastColumn="0"/>
            <w:tcW w:w="6455" w:type="dxa"/>
            <w:noWrap/>
          </w:tcPr>
          <w:p w14:paraId="10FF5139" w14:textId="77777777" w:rsidR="00DF5A51" w:rsidRPr="00DF5A51" w:rsidRDefault="00DF5A51" w:rsidP="00F92CCB">
            <w:pPr>
              <w:suppressAutoHyphens/>
              <w:spacing w:before="120" w:after="120" w:line="240" w:lineRule="auto"/>
              <w:ind w:left="227"/>
              <w:rPr>
                <w:rFonts w:cs="Arial"/>
                <w:color w:val="000000"/>
                <w:szCs w:val="24"/>
                <w:lang w:eastAsia="ar-SA"/>
              </w:rPr>
            </w:pPr>
            <w:r w:rsidRPr="00DF5A51">
              <w:rPr>
                <w:rFonts w:cs="Arial"/>
                <w:color w:val="000000"/>
                <w:szCs w:val="24"/>
                <w:lang w:eastAsia="ar-SA"/>
              </w:rPr>
              <w:t>Много вероятно  (90–100 % вероятност</w:t>
            </w:r>
          </w:p>
        </w:tc>
      </w:tr>
    </w:tbl>
    <w:p w14:paraId="620BDBAC" w14:textId="77777777" w:rsidR="00DF5A51" w:rsidRPr="00E6187A" w:rsidRDefault="00DF5A51" w:rsidP="00DF5A51">
      <w:pPr>
        <w:suppressAutoHyphens/>
        <w:spacing w:before="240" w:after="0" w:line="240" w:lineRule="auto"/>
        <w:jc w:val="both"/>
        <w:rPr>
          <w:rFonts w:eastAsia="Times New Roman" w:cs="Arial"/>
          <w:lang w:eastAsia="ar-SA"/>
        </w:rPr>
      </w:pPr>
      <w:r w:rsidRPr="00E6187A">
        <w:rPr>
          <w:rFonts w:eastAsia="Times New Roman" w:cs="Arial"/>
          <w:lang w:eastAsia="ar-SA"/>
        </w:rPr>
        <w:t>Стойностите на тези вероятности са определени в зависимост от стой</w:t>
      </w:r>
      <w:r>
        <w:rPr>
          <w:rFonts w:eastAsia="Times New Roman" w:cs="Arial"/>
          <w:lang w:eastAsia="ar-SA"/>
        </w:rPr>
        <w:t>ностите на реалистичния сценарий</w:t>
      </w:r>
      <w:r w:rsidRPr="00E6187A">
        <w:rPr>
          <w:rFonts w:eastAsia="Times New Roman" w:cs="Arial"/>
          <w:lang w:eastAsia="ar-SA"/>
        </w:rPr>
        <w:t xml:space="preserve"> при анализа на чувствителността. </w:t>
      </w:r>
    </w:p>
    <w:p w14:paraId="7BF73CA8" w14:textId="77777777" w:rsidR="00DF5A51" w:rsidRDefault="00DF5A51" w:rsidP="00DF5A51">
      <w:pPr>
        <w:suppressAutoHyphens/>
        <w:spacing w:before="240" w:after="0" w:line="240" w:lineRule="auto"/>
        <w:jc w:val="both"/>
        <w:rPr>
          <w:rFonts w:eastAsia="Times New Roman" w:cs="Arial"/>
          <w:lang w:eastAsia="ar-SA"/>
        </w:rPr>
      </w:pPr>
      <w:r w:rsidRPr="00E6187A">
        <w:rPr>
          <w:rFonts w:eastAsia="Times New Roman" w:cs="Arial"/>
          <w:lang w:eastAsia="ar-SA"/>
        </w:rPr>
        <w:t>Тежестите са дефинирани в следващата таблица:</w:t>
      </w:r>
    </w:p>
    <w:p w14:paraId="56DEFDCE" w14:textId="77777777" w:rsidR="00C247AE" w:rsidRDefault="00C247AE" w:rsidP="00DF5A51">
      <w:pPr>
        <w:suppressAutoHyphens/>
        <w:spacing w:before="240" w:after="0" w:line="240" w:lineRule="auto"/>
        <w:jc w:val="both"/>
        <w:rPr>
          <w:rFonts w:eastAsia="Times New Roman" w:cs="Arial"/>
          <w:lang w:eastAsia="ar-SA"/>
        </w:rPr>
      </w:pPr>
    </w:p>
    <w:p w14:paraId="53252A31" w14:textId="77777777" w:rsidR="007D77DA" w:rsidRDefault="007D77DA" w:rsidP="00DF5A51">
      <w:pPr>
        <w:suppressAutoHyphens/>
        <w:spacing w:before="240" w:after="0" w:line="240" w:lineRule="auto"/>
        <w:jc w:val="both"/>
        <w:rPr>
          <w:rFonts w:eastAsia="Times New Roman" w:cs="Arial"/>
          <w:lang w:eastAsia="ar-SA"/>
        </w:rPr>
      </w:pPr>
    </w:p>
    <w:p w14:paraId="43BB9C94" w14:textId="77777777" w:rsidR="00DF5A51" w:rsidRDefault="00DF5A51" w:rsidP="00DF5A51">
      <w:pPr>
        <w:tabs>
          <w:tab w:val="left" w:pos="1418"/>
        </w:tabs>
        <w:spacing w:before="60" w:after="60"/>
        <w:jc w:val="both"/>
        <w:rPr>
          <w:rFonts w:eastAsia="Calibri" w:cs="Arial"/>
          <w:i/>
          <w:color w:val="000000"/>
          <w:sz w:val="22"/>
          <w:lang w:eastAsia="en-US"/>
        </w:rPr>
      </w:pPr>
      <w:bookmarkStart w:id="446" w:name="_Toc174099084"/>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39</w:t>
      </w:r>
      <w:r w:rsidRPr="002E1E19">
        <w:rPr>
          <w:rFonts w:cs="Arial"/>
          <w:b/>
          <w:bCs/>
          <w:i/>
          <w:iCs/>
          <w:sz w:val="22"/>
        </w:rPr>
        <w:fldChar w:fldCharType="end"/>
      </w:r>
      <w:r>
        <w:rPr>
          <w:rFonts w:cs="Arial"/>
          <w:bCs/>
          <w:i/>
          <w:sz w:val="22"/>
        </w:rPr>
        <w:t xml:space="preserve"> </w:t>
      </w:r>
      <w:r>
        <w:rPr>
          <w:rFonts w:eastAsia="Calibri" w:cs="Arial"/>
          <w:i/>
          <w:color w:val="000000"/>
          <w:sz w:val="22"/>
          <w:lang w:eastAsia="en-US"/>
        </w:rPr>
        <w:t xml:space="preserve"> </w:t>
      </w:r>
      <w:r w:rsidRPr="00DF5A51">
        <w:rPr>
          <w:rFonts w:eastAsia="Calibri" w:cs="Arial"/>
          <w:i/>
          <w:color w:val="000000"/>
          <w:sz w:val="22"/>
          <w:lang w:eastAsia="en-US"/>
        </w:rPr>
        <w:t>Дефиниции на тежестта на въздействие</w:t>
      </w:r>
      <w:bookmarkEnd w:id="446"/>
    </w:p>
    <w:tbl>
      <w:tblPr>
        <w:tblStyle w:val="LightList-Accent111"/>
        <w:tblW w:w="8824" w:type="dxa"/>
        <w:tblLook w:val="00A0" w:firstRow="1" w:lastRow="0" w:firstColumn="1" w:lastColumn="0" w:noHBand="0" w:noVBand="0"/>
      </w:tblPr>
      <w:tblGrid>
        <w:gridCol w:w="1165"/>
        <w:gridCol w:w="7735"/>
      </w:tblGrid>
      <w:tr w:rsidR="009F1DB5" w:rsidRPr="009F1DB5" w14:paraId="6BF6B2D8" w14:textId="77777777" w:rsidTr="009F1DB5">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1089" w:type="dxa"/>
            <w:noWrap/>
          </w:tcPr>
          <w:p w14:paraId="40E21624" w14:textId="77777777" w:rsidR="00DF5A51" w:rsidRPr="007D77DA" w:rsidRDefault="00DF5A51" w:rsidP="00DE3B1B">
            <w:pPr>
              <w:suppressAutoHyphens/>
              <w:ind w:left="82"/>
              <w:rPr>
                <w:rFonts w:cs="Arial"/>
                <w:b w:val="0"/>
                <w:bCs w:val="0"/>
                <w:color w:val="FFFFFF" w:themeColor="background1"/>
                <w:szCs w:val="24"/>
                <w:lang w:eastAsia="ar-SA"/>
              </w:rPr>
            </w:pPr>
            <w:r w:rsidRPr="007D77DA">
              <w:rPr>
                <w:rFonts w:cs="Arial"/>
                <w:color w:val="FFFFFF" w:themeColor="background1"/>
                <w:szCs w:val="24"/>
                <w:lang w:eastAsia="ar-SA"/>
              </w:rPr>
              <w:t>Оценка</w:t>
            </w:r>
          </w:p>
        </w:tc>
        <w:tc>
          <w:tcPr>
            <w:cnfStyle w:val="000010000000" w:firstRow="0" w:lastRow="0" w:firstColumn="0" w:lastColumn="0" w:oddVBand="1" w:evenVBand="0" w:oddHBand="0" w:evenHBand="0" w:firstRowFirstColumn="0" w:firstRowLastColumn="0" w:lastRowFirstColumn="0" w:lastRowLastColumn="0"/>
            <w:tcW w:w="7735" w:type="dxa"/>
            <w:noWrap/>
          </w:tcPr>
          <w:p w14:paraId="3C783E31" w14:textId="77777777" w:rsidR="00DF5A51" w:rsidRPr="007D77DA" w:rsidRDefault="00DF5A51" w:rsidP="00DE3B1B">
            <w:pPr>
              <w:suppressAutoHyphens/>
              <w:ind w:left="22"/>
              <w:jc w:val="center"/>
              <w:rPr>
                <w:rFonts w:cs="Arial"/>
                <w:b w:val="0"/>
                <w:bCs w:val="0"/>
                <w:color w:val="FFFFFF" w:themeColor="background1"/>
                <w:szCs w:val="24"/>
                <w:lang w:eastAsia="ar-SA"/>
              </w:rPr>
            </w:pPr>
            <w:r w:rsidRPr="007D77DA">
              <w:rPr>
                <w:rFonts w:cs="Arial"/>
                <w:color w:val="FFFFFF" w:themeColor="background1"/>
                <w:szCs w:val="24"/>
                <w:lang w:eastAsia="ar-SA"/>
              </w:rPr>
              <w:t>Значение</w:t>
            </w:r>
          </w:p>
        </w:tc>
      </w:tr>
      <w:tr w:rsidR="00DF5A51" w:rsidRPr="00DF5A51" w14:paraId="6A94A4A4" w14:textId="77777777" w:rsidTr="007D77DA">
        <w:trPr>
          <w:cnfStyle w:val="000000100000" w:firstRow="0" w:lastRow="0" w:firstColumn="0" w:lastColumn="0" w:oddVBand="0" w:evenVBand="0" w:oddHBand="1"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1089" w:type="dxa"/>
            <w:noWrap/>
          </w:tcPr>
          <w:p w14:paraId="7237E886"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w:t>
            </w:r>
          </w:p>
        </w:tc>
        <w:tc>
          <w:tcPr>
            <w:cnfStyle w:val="000010000000" w:firstRow="0" w:lastRow="0" w:firstColumn="0" w:lastColumn="0" w:oddVBand="1" w:evenVBand="0" w:oddHBand="0" w:evenHBand="0" w:firstRowFirstColumn="0" w:firstRowLastColumn="0" w:lastRowFirstColumn="0" w:lastRowLastColumn="0"/>
            <w:tcW w:w="7735" w:type="dxa"/>
            <w:noWrap/>
          </w:tcPr>
          <w:p w14:paraId="65E057C9"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Няма значим ефект</w:t>
            </w:r>
            <w:r w:rsidRPr="00DF5A51">
              <w:rPr>
                <w:rFonts w:cs="Arial"/>
                <w:color w:val="000000"/>
                <w:szCs w:val="24"/>
                <w:lang w:eastAsia="ar-SA"/>
              </w:rPr>
              <w:t xml:space="preserve"> върху благосъстоянието на обществото, дори без коригиращи действия.</w:t>
            </w:r>
          </w:p>
        </w:tc>
      </w:tr>
      <w:tr w:rsidR="00DF5A51" w:rsidRPr="00DF5A51" w14:paraId="0FB22C52" w14:textId="77777777" w:rsidTr="007D77DA">
        <w:trPr>
          <w:trHeight w:val="555"/>
        </w:trPr>
        <w:tc>
          <w:tcPr>
            <w:cnfStyle w:val="001000000000" w:firstRow="0" w:lastRow="0" w:firstColumn="1" w:lastColumn="0" w:oddVBand="0" w:evenVBand="0" w:oddHBand="0" w:evenHBand="0" w:firstRowFirstColumn="0" w:firstRowLastColumn="0" w:lastRowFirstColumn="0" w:lastRowLastColumn="0"/>
            <w:tcW w:w="1089" w:type="dxa"/>
            <w:noWrap/>
          </w:tcPr>
          <w:p w14:paraId="637D139F"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II</w:t>
            </w:r>
          </w:p>
        </w:tc>
        <w:tc>
          <w:tcPr>
            <w:cnfStyle w:val="000010000000" w:firstRow="0" w:lastRow="0" w:firstColumn="0" w:lastColumn="0" w:oddVBand="1" w:evenVBand="0" w:oddHBand="0" w:evenHBand="0" w:firstRowFirstColumn="0" w:firstRowLastColumn="0" w:lastRowFirstColumn="0" w:lastRowLastColumn="0"/>
            <w:tcW w:w="7735" w:type="dxa"/>
          </w:tcPr>
          <w:p w14:paraId="5066B81E"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Минимално въздействие </w:t>
            </w:r>
            <w:r w:rsidRPr="00DF5A51">
              <w:rPr>
                <w:rFonts w:cs="Arial"/>
                <w:color w:val="000000"/>
                <w:szCs w:val="24"/>
                <w:lang w:eastAsia="ar-SA"/>
              </w:rPr>
              <w:t xml:space="preserve">върху благосъстоянието на обществото и минимално въздействие върху крайните положителни ефекти на проекта. Въпреки това се налагат коригиращи действия за намаляване влиянието </w:t>
            </w:r>
          </w:p>
        </w:tc>
      </w:tr>
      <w:tr w:rsidR="00DF5A51" w:rsidRPr="00DF5A51" w14:paraId="1FEC5B55" w14:textId="77777777" w:rsidTr="007D77DA">
        <w:trPr>
          <w:cnfStyle w:val="000000100000" w:firstRow="0" w:lastRow="0" w:firstColumn="0" w:lastColumn="0" w:oddVBand="0" w:evenVBand="0" w:oddHBand="1" w:evenHBand="0" w:firstRowFirstColumn="0" w:firstRowLastColumn="0" w:lastRowFirstColumn="0" w:lastRowLastColumn="0"/>
          <w:trHeight w:val="555"/>
        </w:trPr>
        <w:tc>
          <w:tcPr>
            <w:cnfStyle w:val="001000000000" w:firstRow="0" w:lastRow="0" w:firstColumn="1" w:lastColumn="0" w:oddVBand="0" w:evenVBand="0" w:oddHBand="0" w:evenHBand="0" w:firstRowFirstColumn="0" w:firstRowLastColumn="0" w:lastRowFirstColumn="0" w:lastRowLastColumn="0"/>
            <w:tcW w:w="1089" w:type="dxa"/>
            <w:noWrap/>
          </w:tcPr>
          <w:p w14:paraId="415AFBF6"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III</w:t>
            </w:r>
          </w:p>
        </w:tc>
        <w:tc>
          <w:tcPr>
            <w:cnfStyle w:val="000010000000" w:firstRow="0" w:lastRow="0" w:firstColumn="0" w:lastColumn="0" w:oddVBand="1" w:evenVBand="0" w:oddHBand="0" w:evenHBand="0" w:firstRowFirstColumn="0" w:firstRowLastColumn="0" w:lastRowFirstColumn="0" w:lastRowLastColumn="0"/>
            <w:tcW w:w="7735" w:type="dxa"/>
          </w:tcPr>
          <w:p w14:paraId="5A80F2B8"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Средно въздействие </w:t>
            </w:r>
            <w:r w:rsidRPr="00DF5A51">
              <w:rPr>
                <w:rFonts w:cs="Arial"/>
                <w:color w:val="000000"/>
                <w:szCs w:val="24"/>
                <w:lang w:eastAsia="ar-SA"/>
              </w:rPr>
              <w:t xml:space="preserve"> върху благосъстоянието на обществото. Основно може да доведе до финансови загуби, генерирано от този проект в средносрочен и дългосрочен план.Чрез коригиращи мерки трябва да се намали влиянието. </w:t>
            </w:r>
          </w:p>
        </w:tc>
      </w:tr>
      <w:tr w:rsidR="00DF5A51" w:rsidRPr="00DF5A51" w14:paraId="0C3C1198" w14:textId="77777777" w:rsidTr="007D77DA">
        <w:trPr>
          <w:trHeight w:val="765"/>
        </w:trPr>
        <w:tc>
          <w:tcPr>
            <w:cnfStyle w:val="001000000000" w:firstRow="0" w:lastRow="0" w:firstColumn="1" w:lastColumn="0" w:oddVBand="0" w:evenVBand="0" w:oddHBand="0" w:evenHBand="0" w:firstRowFirstColumn="0" w:firstRowLastColumn="0" w:lastRowFirstColumn="0" w:lastRowLastColumn="0"/>
            <w:tcW w:w="1089" w:type="dxa"/>
            <w:noWrap/>
          </w:tcPr>
          <w:p w14:paraId="4978813A"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IV</w:t>
            </w:r>
          </w:p>
        </w:tc>
        <w:tc>
          <w:tcPr>
            <w:cnfStyle w:val="000010000000" w:firstRow="0" w:lastRow="0" w:firstColumn="0" w:lastColumn="0" w:oddVBand="1" w:evenVBand="0" w:oddHBand="0" w:evenHBand="0" w:firstRowFirstColumn="0" w:firstRowLastColumn="0" w:lastRowFirstColumn="0" w:lastRowLastColumn="0"/>
            <w:tcW w:w="7735" w:type="dxa"/>
          </w:tcPr>
          <w:p w14:paraId="2F027480" w14:textId="77777777" w:rsidR="00DF5A51" w:rsidRPr="00DF5A51" w:rsidRDefault="00DF5A51" w:rsidP="00DE3B1B">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Критично въздействие </w:t>
            </w:r>
            <w:r w:rsidRPr="00DF5A51">
              <w:rPr>
                <w:rFonts w:cs="Arial"/>
                <w:bCs/>
                <w:color w:val="000000"/>
                <w:szCs w:val="24"/>
                <w:lang w:eastAsia="ar-SA"/>
              </w:rPr>
              <w:t>с висока степен на влияние</w:t>
            </w:r>
            <w:r w:rsidRPr="00DF5A51">
              <w:rPr>
                <w:rFonts w:cs="Arial"/>
                <w:b/>
                <w:bCs/>
                <w:color w:val="000000"/>
                <w:szCs w:val="24"/>
                <w:lang w:eastAsia="ar-SA"/>
              </w:rPr>
              <w:t xml:space="preserve"> </w:t>
            </w:r>
            <w:r w:rsidRPr="00DF5A51">
              <w:rPr>
                <w:rFonts w:cs="Arial"/>
                <w:color w:val="000000"/>
                <w:szCs w:val="24"/>
                <w:lang w:eastAsia="ar-SA"/>
              </w:rPr>
              <w:t>върху благосъстоянието на обществото, породено от този проект. Настъпването на събитията може да доведе до загуба на смисъла на проекта.  Коригиращите действия, дори в голям обхват не биха могли да променят изцяло влиянието на рисковите събития</w:t>
            </w:r>
          </w:p>
        </w:tc>
      </w:tr>
      <w:tr w:rsidR="00DF5A51" w:rsidRPr="00DF5A51" w14:paraId="1C4738EA" w14:textId="77777777" w:rsidTr="007D77DA">
        <w:trPr>
          <w:cnfStyle w:val="000000100000" w:firstRow="0" w:lastRow="0" w:firstColumn="0" w:lastColumn="0" w:oddVBand="0" w:evenVBand="0" w:oddHBand="1"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1089" w:type="dxa"/>
            <w:noWrap/>
          </w:tcPr>
          <w:p w14:paraId="777BA572" w14:textId="77777777" w:rsidR="00DF5A51" w:rsidRPr="00DF5A51" w:rsidRDefault="00DF5A51" w:rsidP="00DE3B1B">
            <w:pPr>
              <w:suppressAutoHyphens/>
              <w:spacing w:after="0" w:line="240" w:lineRule="auto"/>
              <w:ind w:left="82"/>
              <w:jc w:val="center"/>
              <w:rPr>
                <w:rFonts w:cs="Arial"/>
                <w:color w:val="000000"/>
                <w:szCs w:val="24"/>
                <w:lang w:eastAsia="ar-SA"/>
              </w:rPr>
            </w:pPr>
            <w:r w:rsidRPr="00DF5A51">
              <w:rPr>
                <w:rFonts w:cs="Arial"/>
                <w:color w:val="000000"/>
                <w:szCs w:val="24"/>
                <w:lang w:eastAsia="ar-SA"/>
              </w:rPr>
              <w:t>V</w:t>
            </w:r>
          </w:p>
        </w:tc>
        <w:tc>
          <w:tcPr>
            <w:cnfStyle w:val="000010000000" w:firstRow="0" w:lastRow="0" w:firstColumn="0" w:lastColumn="0" w:oddVBand="1" w:evenVBand="0" w:oddHBand="0" w:evenHBand="0" w:firstRowFirstColumn="0" w:firstRowLastColumn="0" w:lastRowFirstColumn="0" w:lastRowLastColumn="0"/>
            <w:tcW w:w="7735" w:type="dxa"/>
          </w:tcPr>
          <w:p w14:paraId="5D86ED37" w14:textId="32797DD7" w:rsidR="00DF5A51" w:rsidRPr="00DF5A51" w:rsidRDefault="00DF5A51" w:rsidP="00D85F6A">
            <w:pPr>
              <w:suppressAutoHyphens/>
              <w:spacing w:after="0" w:line="240" w:lineRule="auto"/>
              <w:ind w:left="11"/>
              <w:rPr>
                <w:rFonts w:cs="Arial"/>
                <w:color w:val="000000"/>
                <w:szCs w:val="24"/>
                <w:lang w:eastAsia="ar-SA"/>
              </w:rPr>
            </w:pPr>
            <w:r w:rsidRPr="00DF5A51">
              <w:rPr>
                <w:rFonts w:cs="Arial"/>
                <w:b/>
                <w:bCs/>
                <w:color w:val="000000"/>
                <w:szCs w:val="24"/>
                <w:lang w:eastAsia="ar-SA"/>
              </w:rPr>
              <w:t xml:space="preserve">Катастрофално, </w:t>
            </w:r>
            <w:r w:rsidRPr="00DF5A51">
              <w:rPr>
                <w:rFonts w:cs="Arial"/>
                <w:bCs/>
                <w:color w:val="000000"/>
                <w:szCs w:val="24"/>
                <w:lang w:eastAsia="ar-SA"/>
              </w:rPr>
              <w:t>което при</w:t>
            </w:r>
            <w:r w:rsidRPr="00DF5A51">
              <w:rPr>
                <w:rFonts w:cs="Arial"/>
                <w:b/>
                <w:bCs/>
                <w:color w:val="000000"/>
                <w:szCs w:val="24"/>
                <w:lang w:eastAsia="ar-SA"/>
              </w:rPr>
              <w:t xml:space="preserve"> </w:t>
            </w:r>
            <w:r w:rsidRPr="00DF5A51">
              <w:rPr>
                <w:rFonts w:cs="Arial"/>
                <w:color w:val="000000"/>
                <w:szCs w:val="24"/>
                <w:lang w:eastAsia="ar-SA"/>
              </w:rPr>
              <w:t xml:space="preserve"> н</w:t>
            </w:r>
            <w:r w:rsidRPr="00DF5A51">
              <w:rPr>
                <w:rFonts w:cs="Arial"/>
                <w:color w:val="222222"/>
                <w:szCs w:val="24"/>
                <w:lang w:eastAsia="ar-SA"/>
              </w:rPr>
              <w:t>еуспех на проекта, може да доведе до сериозни или дори до пълна загуба на функциите на проекта. Основните проектни ползи в средносрочен и дългосрочен план не могат да се материализират.</w:t>
            </w:r>
          </w:p>
        </w:tc>
      </w:tr>
    </w:tbl>
    <w:p w14:paraId="735F2BFE" w14:textId="77777777" w:rsidR="00DF5A51" w:rsidRPr="00E6187A" w:rsidRDefault="00DF5A51" w:rsidP="00DF5A51">
      <w:pPr>
        <w:suppressAutoHyphens/>
        <w:spacing w:after="0" w:line="240" w:lineRule="auto"/>
        <w:rPr>
          <w:rFonts w:ascii="Times New Roman" w:eastAsia="Times New Roman" w:hAnsi="Times New Roman" w:cs="Times New Roman"/>
          <w:szCs w:val="24"/>
          <w:lang w:eastAsia="ar-SA"/>
        </w:rPr>
      </w:pPr>
    </w:p>
    <w:p w14:paraId="0EAADB24" w14:textId="77777777" w:rsidR="0019160F" w:rsidRDefault="00DF5A51" w:rsidP="00C247AE">
      <w:pPr>
        <w:autoSpaceDE w:val="0"/>
        <w:autoSpaceDN w:val="0"/>
        <w:adjustRightInd w:val="0"/>
        <w:jc w:val="both"/>
        <w:rPr>
          <w:rFonts w:eastAsia="Calibri" w:cs="Arial"/>
        </w:rPr>
      </w:pPr>
      <w:r w:rsidRPr="00C247AE">
        <w:rPr>
          <w:rFonts w:eastAsia="Calibri" w:cs="Arial"/>
        </w:rPr>
        <w:t>В резултат от прилагането на последователните стъпки при качествената оценка на риска и изискванията за задължителните видове риск в съответствие с Регламент за изпълнение 207/2015 на ЕС, Приложение III, Таблица 2, сектор „Пътища, железопътни линии, обществен транспорт, летища, морски пристанища, интермодални терминали“ е изготвена матрицата за анализ на риска, като в нея са посочени коригиращите мерки за намаляване влиянието на отделните рискове.</w:t>
      </w:r>
      <w:r w:rsidR="0019160F">
        <w:rPr>
          <w:rFonts w:eastAsia="Calibri" w:cs="Arial"/>
        </w:rPr>
        <w:t xml:space="preserve">  </w:t>
      </w:r>
    </w:p>
    <w:p w14:paraId="250F40BA" w14:textId="77777777" w:rsidR="0019160F" w:rsidRDefault="0019160F" w:rsidP="00C247AE">
      <w:pPr>
        <w:autoSpaceDE w:val="0"/>
        <w:autoSpaceDN w:val="0"/>
        <w:adjustRightInd w:val="0"/>
        <w:jc w:val="both"/>
        <w:rPr>
          <w:rFonts w:eastAsia="Calibri" w:cs="Arial"/>
        </w:rPr>
        <w:sectPr w:rsidR="0019160F" w:rsidSect="00E54D99">
          <w:pgSz w:w="11907" w:h="16840" w:code="9"/>
          <w:pgMar w:top="1276" w:right="1134" w:bottom="1134" w:left="1276" w:header="425" w:footer="510" w:gutter="0"/>
          <w:cols w:space="708"/>
          <w:docGrid w:linePitch="326"/>
        </w:sectPr>
      </w:pPr>
    </w:p>
    <w:p w14:paraId="5D5ACD9C" w14:textId="77777777" w:rsidR="00794FF7" w:rsidRDefault="00794FF7" w:rsidP="006F41E7">
      <w:pPr>
        <w:tabs>
          <w:tab w:val="left" w:pos="1418"/>
        </w:tabs>
        <w:spacing w:before="60" w:after="60"/>
        <w:rPr>
          <w:rFonts w:cs="Arial"/>
          <w:bCs/>
          <w:i/>
          <w:sz w:val="22"/>
        </w:rPr>
      </w:pPr>
      <w:bookmarkStart w:id="447" w:name="_Toc491354535"/>
      <w:bookmarkStart w:id="448" w:name="_Toc491684057"/>
      <w:bookmarkStart w:id="449" w:name="_Toc491970800"/>
      <w:bookmarkStart w:id="450" w:name="_Toc491970879"/>
      <w:bookmarkStart w:id="451" w:name="_Toc492045758"/>
      <w:bookmarkStart w:id="452" w:name="_Toc492045837"/>
      <w:bookmarkStart w:id="453" w:name="_Toc492384104"/>
      <w:bookmarkStart w:id="454" w:name="_Toc492384185"/>
      <w:bookmarkStart w:id="455" w:name="_Toc492384422"/>
      <w:bookmarkStart w:id="456" w:name="_Toc492385699"/>
      <w:bookmarkStart w:id="457" w:name="_Toc492904359"/>
      <w:bookmarkStart w:id="458" w:name="_Toc492904448"/>
      <w:bookmarkStart w:id="459" w:name="_Toc493155596"/>
      <w:bookmarkStart w:id="460" w:name="_Toc497819627"/>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p>
    <w:p w14:paraId="5A3563DD" w14:textId="77777777" w:rsidR="009B57B8" w:rsidRPr="002E1E19" w:rsidRDefault="00E33433" w:rsidP="006F41E7">
      <w:pPr>
        <w:tabs>
          <w:tab w:val="left" w:pos="1418"/>
        </w:tabs>
        <w:spacing w:before="60" w:after="60"/>
        <w:rPr>
          <w:rFonts w:cs="Arial"/>
          <w:i/>
          <w:sz w:val="22"/>
        </w:rPr>
      </w:pPr>
      <w:bookmarkStart w:id="461" w:name="_Toc174099085"/>
      <w:r w:rsidRPr="002E1E19">
        <w:rPr>
          <w:rFonts w:cs="Arial"/>
          <w:bCs/>
          <w:i/>
          <w:sz w:val="22"/>
        </w:rPr>
        <w:t xml:space="preserve">Таблица </w:t>
      </w:r>
      <w:r w:rsidRPr="002E1E19">
        <w:rPr>
          <w:rFonts w:cs="Arial"/>
          <w:b/>
          <w:bCs/>
          <w:i/>
          <w:iCs/>
          <w:sz w:val="22"/>
        </w:rPr>
        <w:fldChar w:fldCharType="begin"/>
      </w:r>
      <w:r w:rsidRPr="002E1E19">
        <w:rPr>
          <w:rFonts w:cs="Arial"/>
          <w:bCs/>
          <w:i/>
          <w:sz w:val="22"/>
        </w:rPr>
        <w:instrText xml:space="preserve"> SEQ Таблица \* ARABIC </w:instrText>
      </w:r>
      <w:r w:rsidRPr="002E1E19">
        <w:rPr>
          <w:rFonts w:cs="Arial"/>
          <w:b/>
          <w:bCs/>
          <w:i/>
          <w:iCs/>
          <w:sz w:val="22"/>
        </w:rPr>
        <w:fldChar w:fldCharType="separate"/>
      </w:r>
      <w:r w:rsidR="007D77DA">
        <w:rPr>
          <w:rFonts w:cs="Arial"/>
          <w:bCs/>
          <w:i/>
          <w:noProof/>
          <w:sz w:val="22"/>
        </w:rPr>
        <w:t>40</w:t>
      </w:r>
      <w:r w:rsidRPr="002E1E19">
        <w:rPr>
          <w:rFonts w:cs="Arial"/>
          <w:b/>
          <w:bCs/>
          <w:i/>
          <w:iCs/>
          <w:sz w:val="22"/>
        </w:rPr>
        <w:fldChar w:fldCharType="end"/>
      </w:r>
      <w:r w:rsidRPr="002E1E19">
        <w:rPr>
          <w:rFonts w:cs="Arial"/>
          <w:i/>
          <w:sz w:val="22"/>
        </w:rPr>
        <w:tab/>
      </w:r>
      <w:r w:rsidR="00B44784" w:rsidRPr="002E1E19">
        <w:rPr>
          <w:rFonts w:cs="Arial"/>
          <w:i/>
          <w:sz w:val="22"/>
        </w:rPr>
        <w:t xml:space="preserve">Матрица </w:t>
      </w:r>
      <w:r w:rsidR="00F92CCB">
        <w:rPr>
          <w:rFonts w:cs="Arial"/>
          <w:i/>
          <w:sz w:val="22"/>
        </w:rPr>
        <w:t xml:space="preserve">за оценка </w:t>
      </w:r>
      <w:r w:rsidR="00B44784" w:rsidRPr="002E1E19">
        <w:rPr>
          <w:rFonts w:cs="Arial"/>
          <w:i/>
          <w:sz w:val="22"/>
        </w:rPr>
        <w:t>на риска</w:t>
      </w:r>
      <w:bookmarkEnd w:id="461"/>
    </w:p>
    <w:tbl>
      <w:tblPr>
        <w:tblW w:w="142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6"/>
        <w:gridCol w:w="1557"/>
        <w:gridCol w:w="1127"/>
        <w:gridCol w:w="1383"/>
        <w:gridCol w:w="960"/>
        <w:gridCol w:w="811"/>
        <w:gridCol w:w="4782"/>
        <w:gridCol w:w="1625"/>
      </w:tblGrid>
      <w:tr w:rsidR="00E33433" w:rsidRPr="002E1E19" w14:paraId="7BEEFC45" w14:textId="77777777" w:rsidTr="00FD11E3">
        <w:trPr>
          <w:trHeight w:val="934"/>
          <w:tblHeader/>
          <w:jc w:val="center"/>
        </w:trPr>
        <w:tc>
          <w:tcPr>
            <w:tcW w:w="1986" w:type="dxa"/>
            <w:shd w:val="clear" w:color="000000" w:fill="C4BD97"/>
            <w:noWrap/>
            <w:vAlign w:val="center"/>
            <w:hideMark/>
          </w:tcPr>
          <w:p w14:paraId="4D45033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Описание на риска</w:t>
            </w:r>
          </w:p>
        </w:tc>
        <w:tc>
          <w:tcPr>
            <w:tcW w:w="1557" w:type="dxa"/>
            <w:shd w:val="clear" w:color="000000" w:fill="C4BD97"/>
            <w:noWrap/>
            <w:vAlign w:val="center"/>
            <w:hideMark/>
          </w:tcPr>
          <w:p w14:paraId="6B98CDA3"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Променлива</w:t>
            </w:r>
          </w:p>
        </w:tc>
        <w:tc>
          <w:tcPr>
            <w:tcW w:w="1127" w:type="dxa"/>
            <w:shd w:val="clear" w:color="000000" w:fill="C4BD97"/>
            <w:noWrap/>
            <w:vAlign w:val="center"/>
            <w:hideMark/>
          </w:tcPr>
          <w:p w14:paraId="6015C7B2"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Ефект</w:t>
            </w:r>
          </w:p>
        </w:tc>
        <w:tc>
          <w:tcPr>
            <w:tcW w:w="1383" w:type="dxa"/>
            <w:shd w:val="clear" w:color="000000" w:fill="C4BD97"/>
            <w:noWrap/>
            <w:vAlign w:val="center"/>
            <w:hideMark/>
          </w:tcPr>
          <w:p w14:paraId="3E9ADDA4"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Вероятност</w:t>
            </w:r>
          </w:p>
        </w:tc>
        <w:tc>
          <w:tcPr>
            <w:tcW w:w="960" w:type="dxa"/>
            <w:shd w:val="clear" w:color="000000" w:fill="C4BD97"/>
            <w:noWrap/>
            <w:vAlign w:val="center"/>
            <w:hideMark/>
          </w:tcPr>
          <w:p w14:paraId="5635BE95"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Тежест</w:t>
            </w:r>
          </w:p>
        </w:tc>
        <w:tc>
          <w:tcPr>
            <w:tcW w:w="811" w:type="dxa"/>
            <w:shd w:val="clear" w:color="000000" w:fill="C4BD97"/>
            <w:vAlign w:val="center"/>
            <w:hideMark/>
          </w:tcPr>
          <w:p w14:paraId="66DD4A72"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w:t>
            </w:r>
          </w:p>
        </w:tc>
        <w:tc>
          <w:tcPr>
            <w:tcW w:w="4782" w:type="dxa"/>
            <w:shd w:val="clear" w:color="000000" w:fill="C4BD97"/>
            <w:noWrap/>
            <w:vAlign w:val="center"/>
            <w:hideMark/>
          </w:tcPr>
          <w:p w14:paraId="527DDBF8"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Коригиращи мерки</w:t>
            </w:r>
          </w:p>
        </w:tc>
        <w:tc>
          <w:tcPr>
            <w:tcW w:w="1625" w:type="dxa"/>
            <w:shd w:val="clear" w:color="000000" w:fill="C4BD97"/>
            <w:vAlign w:val="bottom"/>
            <w:hideMark/>
          </w:tcPr>
          <w:p w14:paraId="416C89CB" w14:textId="77777777" w:rsidR="00E33433" w:rsidRPr="002E1E19" w:rsidRDefault="00E33433" w:rsidP="007B1577">
            <w:pPr>
              <w:spacing w:after="0" w:line="240" w:lineRule="auto"/>
              <w:jc w:val="center"/>
              <w:rPr>
                <w:rFonts w:eastAsia="Times New Roman" w:cs="Arial"/>
                <w:b/>
                <w:bCs/>
                <w:color w:val="FFFFFF"/>
                <w:sz w:val="20"/>
                <w:szCs w:val="20"/>
                <w:lang w:eastAsia="en-US"/>
              </w:rPr>
            </w:pPr>
            <w:r w:rsidRPr="002E1E19">
              <w:rPr>
                <w:rFonts w:eastAsia="Times New Roman" w:cs="Arial"/>
                <w:b/>
                <w:bCs/>
                <w:color w:val="FFFFFF"/>
                <w:sz w:val="20"/>
                <w:szCs w:val="20"/>
                <w:lang w:eastAsia="en-US"/>
              </w:rPr>
              <w:t>Ниво на риска след прилагане на коригиращите мерки</w:t>
            </w:r>
          </w:p>
        </w:tc>
      </w:tr>
      <w:tr w:rsidR="00E33433" w:rsidRPr="002E1E19" w14:paraId="2CB5999B" w14:textId="77777777" w:rsidTr="00FD11E3">
        <w:trPr>
          <w:trHeight w:val="405"/>
          <w:jc w:val="center"/>
        </w:trPr>
        <w:tc>
          <w:tcPr>
            <w:tcW w:w="14231" w:type="dxa"/>
            <w:gridSpan w:val="8"/>
            <w:shd w:val="clear" w:color="000000" w:fill="FCD5B4"/>
            <w:noWrap/>
            <w:vAlign w:val="center"/>
            <w:hideMark/>
          </w:tcPr>
          <w:p w14:paraId="1A50E6DE" w14:textId="77777777" w:rsidR="00E33433" w:rsidRPr="002E1E19" w:rsidRDefault="009D2DA2"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w:t>
            </w:r>
            <w:r>
              <w:rPr>
                <w:rFonts w:eastAsia="Times New Roman" w:cs="Arial"/>
                <w:b/>
                <w:bCs/>
                <w:i/>
                <w:iCs/>
                <w:color w:val="000000"/>
                <w:sz w:val="20"/>
                <w:szCs w:val="20"/>
                <w:lang w:eastAsia="en-US"/>
              </w:rPr>
              <w:t>,</w:t>
            </w:r>
            <w:r w:rsidR="00E33433" w:rsidRPr="002E1E19">
              <w:rPr>
                <w:rFonts w:eastAsia="Times New Roman" w:cs="Arial"/>
                <w:b/>
                <w:bCs/>
                <w:i/>
                <w:iCs/>
                <w:color w:val="000000"/>
                <w:sz w:val="20"/>
                <w:szCs w:val="20"/>
                <w:lang w:eastAsia="en-US"/>
              </w:rPr>
              <w:t xml:space="preserve"> свързани с търсенето</w:t>
            </w:r>
          </w:p>
        </w:tc>
      </w:tr>
      <w:tr w:rsidR="00E33433" w:rsidRPr="002E1E19" w14:paraId="1CF4568B" w14:textId="77777777" w:rsidTr="00FD11E3">
        <w:trPr>
          <w:trHeight w:val="600"/>
          <w:jc w:val="center"/>
        </w:trPr>
        <w:tc>
          <w:tcPr>
            <w:tcW w:w="1986" w:type="dxa"/>
            <w:shd w:val="clear" w:color="auto" w:fill="auto"/>
            <w:vAlign w:val="bottom"/>
            <w:hideMark/>
          </w:tcPr>
          <w:p w14:paraId="4DD2A9AC" w14:textId="77777777" w:rsidR="00E33433" w:rsidRDefault="00B44784" w:rsidP="00247469">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w:t>
            </w:r>
            <w:r w:rsidR="00E33433" w:rsidRPr="002E1E19">
              <w:rPr>
                <w:rFonts w:eastAsia="Times New Roman" w:cs="Arial"/>
                <w:color w:val="000000"/>
                <w:sz w:val="18"/>
                <w:szCs w:val="18"/>
                <w:lang w:eastAsia="en-US"/>
              </w:rPr>
              <w:t>ъст</w:t>
            </w:r>
            <w:r w:rsidRPr="002E1E19">
              <w:rPr>
                <w:rFonts w:eastAsia="Times New Roman" w:cs="Arial"/>
                <w:color w:val="000000"/>
                <w:sz w:val="18"/>
                <w:szCs w:val="18"/>
                <w:lang w:eastAsia="en-US"/>
              </w:rPr>
              <w:t>ът</w:t>
            </w:r>
            <w:r w:rsidR="00E33433" w:rsidRPr="002E1E19">
              <w:rPr>
                <w:rFonts w:eastAsia="Times New Roman" w:cs="Arial"/>
                <w:color w:val="000000"/>
                <w:sz w:val="18"/>
                <w:szCs w:val="18"/>
                <w:lang w:eastAsia="en-US"/>
              </w:rPr>
              <w:t xml:space="preserve"> на БВП е под </w:t>
            </w:r>
            <w:r w:rsidR="00247469" w:rsidRPr="002E1E19">
              <w:rPr>
                <w:rFonts w:eastAsia="Times New Roman" w:cs="Arial"/>
                <w:color w:val="000000"/>
                <w:sz w:val="18"/>
                <w:szCs w:val="18"/>
                <w:lang w:eastAsia="en-US"/>
              </w:rPr>
              <w:t>п</w:t>
            </w:r>
            <w:r w:rsidR="00E33433" w:rsidRPr="002E1E19">
              <w:rPr>
                <w:rFonts w:eastAsia="Times New Roman" w:cs="Arial"/>
                <w:color w:val="000000"/>
                <w:sz w:val="18"/>
                <w:szCs w:val="18"/>
                <w:lang w:eastAsia="en-US"/>
              </w:rPr>
              <w:t>рогнозираните нива</w:t>
            </w:r>
          </w:p>
          <w:p w14:paraId="25C40793" w14:textId="77777777" w:rsidR="00A51205" w:rsidRPr="002E1E19" w:rsidRDefault="00A51205" w:rsidP="00247469">
            <w:pPr>
              <w:spacing w:after="0" w:line="240" w:lineRule="auto"/>
              <w:rPr>
                <w:rFonts w:eastAsia="Times New Roman" w:cs="Arial"/>
                <w:color w:val="000000"/>
                <w:sz w:val="18"/>
                <w:szCs w:val="18"/>
                <w:lang w:eastAsia="en-US"/>
              </w:rPr>
            </w:pPr>
          </w:p>
        </w:tc>
        <w:tc>
          <w:tcPr>
            <w:tcW w:w="1557" w:type="dxa"/>
            <w:shd w:val="clear" w:color="auto" w:fill="auto"/>
            <w:vAlign w:val="center"/>
            <w:hideMark/>
          </w:tcPr>
          <w:p w14:paraId="6C634EF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ползи</w:t>
            </w:r>
          </w:p>
        </w:tc>
        <w:tc>
          <w:tcPr>
            <w:tcW w:w="1127" w:type="dxa"/>
            <w:shd w:val="clear" w:color="auto" w:fill="auto"/>
            <w:vAlign w:val="center"/>
            <w:hideMark/>
          </w:tcPr>
          <w:p w14:paraId="38D86AC3"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6184946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A</w:t>
            </w:r>
          </w:p>
        </w:tc>
        <w:tc>
          <w:tcPr>
            <w:tcW w:w="960" w:type="dxa"/>
            <w:shd w:val="clear" w:color="auto" w:fill="auto"/>
            <w:noWrap/>
            <w:vAlign w:val="center"/>
            <w:hideMark/>
          </w:tcPr>
          <w:p w14:paraId="363D2967"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w:t>
            </w:r>
          </w:p>
        </w:tc>
        <w:tc>
          <w:tcPr>
            <w:tcW w:w="811" w:type="dxa"/>
            <w:shd w:val="clear" w:color="000000" w:fill="92D050"/>
            <w:noWrap/>
            <w:vAlign w:val="center"/>
            <w:hideMark/>
          </w:tcPr>
          <w:p w14:paraId="636A17ED"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c>
          <w:tcPr>
            <w:tcW w:w="4782" w:type="dxa"/>
            <w:shd w:val="clear" w:color="auto" w:fill="auto"/>
            <w:vAlign w:val="center"/>
            <w:hideMark/>
          </w:tcPr>
          <w:p w14:paraId="7824D22F" w14:textId="77777777" w:rsidR="00E33433" w:rsidRPr="002E1E19" w:rsidRDefault="00F92CCB" w:rsidP="00F92CCB">
            <w:pPr>
              <w:spacing w:after="0" w:line="240" w:lineRule="auto"/>
              <w:ind w:right="-97"/>
              <w:jc w:val="both"/>
              <w:rPr>
                <w:rFonts w:eastAsia="Times New Roman" w:cs="Arial"/>
                <w:color w:val="000000"/>
                <w:sz w:val="18"/>
                <w:szCs w:val="18"/>
                <w:lang w:eastAsia="en-US"/>
              </w:rPr>
            </w:pPr>
            <w:r w:rsidRPr="00DC271D">
              <w:rPr>
                <w:rFonts w:eastAsia="Times New Roman" w:cs="Arial"/>
                <w:color w:val="000000"/>
                <w:sz w:val="18"/>
                <w:szCs w:val="18"/>
              </w:rPr>
              <w:t>Направена е актуална прогноза за макро-индикаторите, вкл. влиянието на Ковид 19</w:t>
            </w:r>
            <w:r w:rsidR="00DF7A24">
              <w:rPr>
                <w:rFonts w:eastAsia="Times New Roman" w:cs="Arial"/>
                <w:color w:val="000000"/>
                <w:sz w:val="18"/>
                <w:szCs w:val="18"/>
              </w:rPr>
              <w:t>,</w:t>
            </w:r>
            <w:r w:rsidRPr="00DC271D">
              <w:rPr>
                <w:rFonts w:eastAsia="Times New Roman" w:cs="Arial"/>
                <w:color w:val="000000"/>
                <w:sz w:val="18"/>
                <w:szCs w:val="18"/>
              </w:rPr>
              <w:t xml:space="preserve"> енергийната криза</w:t>
            </w:r>
            <w:r w:rsidR="00DF7A24">
              <w:rPr>
                <w:rFonts w:eastAsia="Times New Roman" w:cs="Arial"/>
                <w:color w:val="000000"/>
                <w:sz w:val="18"/>
                <w:szCs w:val="18"/>
              </w:rPr>
              <w:t xml:space="preserve"> и войната в Украйна</w:t>
            </w:r>
            <w:r w:rsidRPr="00DC271D">
              <w:rPr>
                <w:rFonts w:eastAsia="Times New Roman" w:cs="Arial"/>
                <w:color w:val="000000"/>
                <w:sz w:val="18"/>
                <w:szCs w:val="18"/>
              </w:rPr>
              <w:t>. Постоянно наблюдение и бърза актуализация на резултатите, в случай на значителна промяна на БВП</w:t>
            </w:r>
            <w:r>
              <w:rPr>
                <w:rFonts w:eastAsia="Times New Roman" w:cs="Arial"/>
                <w:color w:val="000000"/>
                <w:sz w:val="18"/>
                <w:szCs w:val="18"/>
              </w:rPr>
              <w:t>.</w:t>
            </w:r>
          </w:p>
        </w:tc>
        <w:tc>
          <w:tcPr>
            <w:tcW w:w="1625" w:type="dxa"/>
            <w:shd w:val="clear" w:color="000000" w:fill="92D050"/>
            <w:noWrap/>
            <w:vAlign w:val="center"/>
            <w:hideMark/>
          </w:tcPr>
          <w:p w14:paraId="37A05547" w14:textId="77777777" w:rsidR="00E33433" w:rsidRPr="00E4638D" w:rsidRDefault="00E33433" w:rsidP="007B1577">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655C766E" w14:textId="77777777" w:rsidTr="00FD11E3">
        <w:trPr>
          <w:trHeight w:val="600"/>
          <w:jc w:val="center"/>
        </w:trPr>
        <w:tc>
          <w:tcPr>
            <w:tcW w:w="1986" w:type="dxa"/>
            <w:shd w:val="clear" w:color="auto" w:fill="auto"/>
            <w:vAlign w:val="bottom"/>
            <w:hideMark/>
          </w:tcPr>
          <w:p w14:paraId="64A8CC7D" w14:textId="77777777" w:rsidR="00E33433" w:rsidRPr="002E1E19" w:rsidRDefault="00F92CCB" w:rsidP="007B1577">
            <w:pPr>
              <w:spacing w:after="0" w:line="240" w:lineRule="auto"/>
              <w:rPr>
                <w:rFonts w:eastAsia="Times New Roman" w:cs="Arial"/>
                <w:color w:val="000000"/>
                <w:sz w:val="18"/>
                <w:szCs w:val="18"/>
                <w:lang w:eastAsia="en-US"/>
              </w:rPr>
            </w:pPr>
            <w:r w:rsidRPr="00DC271D">
              <w:rPr>
                <w:rFonts w:eastAsia="Times New Roman" w:cs="Arial"/>
                <w:color w:val="000000"/>
                <w:sz w:val="18"/>
                <w:szCs w:val="18"/>
              </w:rPr>
              <w:t>Прогнози за трафика под очакваните</w:t>
            </w:r>
          </w:p>
        </w:tc>
        <w:tc>
          <w:tcPr>
            <w:tcW w:w="1557" w:type="dxa"/>
            <w:shd w:val="clear" w:color="auto" w:fill="auto"/>
            <w:vAlign w:val="center"/>
            <w:hideMark/>
          </w:tcPr>
          <w:p w14:paraId="3AB9C7E1"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трафик</w:t>
            </w:r>
          </w:p>
        </w:tc>
        <w:tc>
          <w:tcPr>
            <w:tcW w:w="1127" w:type="dxa"/>
            <w:shd w:val="clear" w:color="auto" w:fill="auto"/>
            <w:vAlign w:val="center"/>
            <w:hideMark/>
          </w:tcPr>
          <w:p w14:paraId="0435CEDF"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1F4DE31B"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A0E4F17" w14:textId="77777777" w:rsidR="00E33433" w:rsidRPr="002E1E19" w:rsidRDefault="00E33433"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61FCD562" w14:textId="77777777" w:rsidR="00E33433" w:rsidRPr="002E1E19" w:rsidRDefault="00F92CCB" w:rsidP="007B1577">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noWrap/>
            <w:vAlign w:val="center"/>
            <w:hideMark/>
          </w:tcPr>
          <w:p w14:paraId="3B92FB00" w14:textId="77777777" w:rsidR="00E33433" w:rsidRPr="002E1E19" w:rsidRDefault="00DF7A24" w:rsidP="00226A2C">
            <w:pPr>
              <w:spacing w:after="0" w:line="240" w:lineRule="auto"/>
              <w:rPr>
                <w:rFonts w:eastAsia="Times New Roman" w:cs="Arial"/>
                <w:color w:val="000000"/>
                <w:sz w:val="18"/>
                <w:szCs w:val="18"/>
                <w:lang w:eastAsia="en-US"/>
              </w:rPr>
            </w:pPr>
            <w:r>
              <w:rPr>
                <w:rFonts w:eastAsia="Times New Roman" w:cs="Arial"/>
                <w:color w:val="000000"/>
                <w:sz w:val="18"/>
                <w:szCs w:val="18"/>
                <w:lang w:eastAsia="en-US"/>
              </w:rPr>
              <w:t>И</w:t>
            </w:r>
            <w:r w:rsidR="00E33433" w:rsidRPr="002E1E19">
              <w:rPr>
                <w:rFonts w:eastAsia="Times New Roman" w:cs="Arial"/>
                <w:color w:val="000000"/>
                <w:sz w:val="18"/>
                <w:szCs w:val="18"/>
                <w:lang w:eastAsia="en-US"/>
              </w:rPr>
              <w:t xml:space="preserve">зследване </w:t>
            </w:r>
            <w:r>
              <w:rPr>
                <w:rFonts w:eastAsia="Times New Roman" w:cs="Arial"/>
                <w:color w:val="000000"/>
                <w:sz w:val="18"/>
                <w:szCs w:val="18"/>
                <w:lang w:eastAsia="en-US"/>
              </w:rPr>
              <w:t>на влиянието на трафика</w:t>
            </w:r>
            <w:r w:rsidRPr="002E1E19" w:rsidDel="00DF7A24">
              <w:rPr>
                <w:rFonts w:eastAsia="Times New Roman" w:cs="Arial"/>
                <w:color w:val="000000"/>
                <w:sz w:val="18"/>
                <w:szCs w:val="18"/>
                <w:lang w:eastAsia="en-US"/>
              </w:rPr>
              <w:t xml:space="preserve"> </w:t>
            </w:r>
            <w:r w:rsidR="00E33433" w:rsidRPr="002E1E19">
              <w:rPr>
                <w:rFonts w:eastAsia="Times New Roman" w:cs="Arial"/>
                <w:color w:val="000000"/>
                <w:sz w:val="18"/>
                <w:szCs w:val="18"/>
                <w:lang w:eastAsia="en-US"/>
              </w:rPr>
              <w:t xml:space="preserve"> при </w:t>
            </w:r>
            <w:r>
              <w:rPr>
                <w:rFonts w:eastAsia="Times New Roman" w:cs="Arial"/>
                <w:color w:val="000000"/>
                <w:sz w:val="18"/>
                <w:szCs w:val="18"/>
                <w:lang w:eastAsia="en-US"/>
              </w:rPr>
              <w:t xml:space="preserve">анализа на чувствителността и </w:t>
            </w:r>
            <w:r w:rsidR="00E33433" w:rsidRPr="002E1E19">
              <w:rPr>
                <w:rFonts w:eastAsia="Times New Roman" w:cs="Arial"/>
                <w:color w:val="000000"/>
                <w:sz w:val="18"/>
                <w:szCs w:val="18"/>
                <w:lang w:eastAsia="en-US"/>
              </w:rPr>
              <w:t>оценката на риска под формата на анализ сценариите</w:t>
            </w:r>
            <w:r>
              <w:rPr>
                <w:rFonts w:eastAsia="Times New Roman" w:cs="Arial"/>
                <w:color w:val="000000"/>
                <w:sz w:val="18"/>
                <w:szCs w:val="18"/>
                <w:lang w:eastAsia="en-US"/>
              </w:rPr>
              <w:t xml:space="preserve"> </w:t>
            </w:r>
          </w:p>
        </w:tc>
        <w:tc>
          <w:tcPr>
            <w:tcW w:w="1625" w:type="dxa"/>
            <w:shd w:val="clear" w:color="000000" w:fill="92D050"/>
            <w:noWrap/>
            <w:vAlign w:val="center"/>
            <w:hideMark/>
          </w:tcPr>
          <w:p w14:paraId="10B40625" w14:textId="77777777" w:rsidR="00E33433" w:rsidRPr="00E4638D" w:rsidRDefault="00E33433" w:rsidP="007B1577">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37131880" w14:textId="77777777" w:rsidTr="00FD11E3">
        <w:trPr>
          <w:trHeight w:val="315"/>
          <w:jc w:val="center"/>
        </w:trPr>
        <w:tc>
          <w:tcPr>
            <w:tcW w:w="14231" w:type="dxa"/>
            <w:gridSpan w:val="8"/>
            <w:shd w:val="clear" w:color="000000" w:fill="FCD5B4"/>
            <w:vAlign w:val="bottom"/>
            <w:hideMark/>
          </w:tcPr>
          <w:p w14:paraId="2738549F"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 xml:space="preserve">Рискове при </w:t>
            </w:r>
            <w:r w:rsidR="009D2DA2">
              <w:rPr>
                <w:rFonts w:eastAsia="Times New Roman" w:cs="Arial"/>
                <w:b/>
                <w:bCs/>
                <w:i/>
                <w:iCs/>
                <w:color w:val="000000"/>
                <w:sz w:val="20"/>
                <w:szCs w:val="20"/>
                <w:lang w:eastAsia="en-US"/>
              </w:rPr>
              <w:t>подготовка</w:t>
            </w:r>
            <w:r w:rsidRPr="002E1E19">
              <w:rPr>
                <w:rFonts w:eastAsia="Times New Roman" w:cs="Arial"/>
                <w:b/>
                <w:bCs/>
                <w:i/>
                <w:iCs/>
                <w:color w:val="000000"/>
                <w:sz w:val="20"/>
                <w:szCs w:val="20"/>
                <w:lang w:eastAsia="en-US"/>
              </w:rPr>
              <w:t xml:space="preserve"> на проекта</w:t>
            </w:r>
          </w:p>
        </w:tc>
      </w:tr>
      <w:tr w:rsidR="00F92CCB" w:rsidRPr="002E1E19" w14:paraId="68FE2CD2" w14:textId="77777777" w:rsidTr="00DE3B1B">
        <w:trPr>
          <w:trHeight w:val="747"/>
          <w:jc w:val="center"/>
        </w:trPr>
        <w:tc>
          <w:tcPr>
            <w:tcW w:w="1986" w:type="dxa"/>
            <w:shd w:val="clear" w:color="auto" w:fill="auto"/>
            <w:vAlign w:val="center"/>
            <w:hideMark/>
          </w:tcPr>
          <w:p w14:paraId="729FBDF0"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проучвания и изследвания на обектите</w:t>
            </w:r>
          </w:p>
        </w:tc>
        <w:tc>
          <w:tcPr>
            <w:tcW w:w="1557" w:type="dxa"/>
            <w:shd w:val="clear" w:color="auto" w:fill="auto"/>
            <w:vAlign w:val="center"/>
            <w:hideMark/>
          </w:tcPr>
          <w:p w14:paraId="75469F6A"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315E8FD5"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13C0AEA1"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61F81E91"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IV</w:t>
            </w:r>
          </w:p>
        </w:tc>
        <w:tc>
          <w:tcPr>
            <w:tcW w:w="811" w:type="dxa"/>
            <w:shd w:val="clear" w:color="000000" w:fill="FFFF00"/>
            <w:noWrap/>
            <w:vAlign w:val="center"/>
            <w:hideMark/>
          </w:tcPr>
          <w:p w14:paraId="06B996D7" w14:textId="77777777"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18DC7ABE" w14:textId="77777777"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Проекта е прочуван на два пъти</w:t>
            </w:r>
            <w:r>
              <w:rPr>
                <w:rFonts w:eastAsia="Times New Roman" w:cs="Arial"/>
                <w:color w:val="000000"/>
                <w:sz w:val="18"/>
                <w:szCs w:val="18"/>
              </w:rPr>
              <w:t xml:space="preserve"> </w:t>
            </w:r>
            <w:r w:rsidRPr="00DC271D">
              <w:rPr>
                <w:rFonts w:eastAsia="Times New Roman" w:cs="Arial"/>
                <w:color w:val="000000"/>
                <w:sz w:val="18"/>
                <w:szCs w:val="18"/>
              </w:rPr>
              <w:t>- през 2010-2011</w:t>
            </w:r>
            <w:r>
              <w:rPr>
                <w:rFonts w:eastAsia="Times New Roman" w:cs="Arial"/>
                <w:color w:val="000000"/>
                <w:sz w:val="18"/>
                <w:szCs w:val="18"/>
              </w:rPr>
              <w:t xml:space="preserve"> г. и</w:t>
            </w:r>
            <w:r w:rsidRPr="00DC271D">
              <w:rPr>
                <w:rFonts w:eastAsia="Times New Roman" w:cs="Arial"/>
                <w:color w:val="000000"/>
                <w:sz w:val="18"/>
                <w:szCs w:val="18"/>
              </w:rPr>
              <w:t xml:space="preserve"> впоследствие през 2019</w:t>
            </w:r>
            <w:r>
              <w:rPr>
                <w:rFonts w:eastAsia="Times New Roman" w:cs="Arial"/>
                <w:color w:val="000000"/>
                <w:sz w:val="18"/>
                <w:szCs w:val="18"/>
              </w:rPr>
              <w:t xml:space="preserve"> </w:t>
            </w:r>
            <w:r w:rsidRPr="00DC271D">
              <w:rPr>
                <w:rFonts w:eastAsia="Times New Roman" w:cs="Arial"/>
                <w:color w:val="000000"/>
                <w:sz w:val="18"/>
                <w:szCs w:val="18"/>
              </w:rPr>
              <w:t>г.Резултатите от техническия проект са анализирани и обсъждани при изготвянето на ПП. Това намалява значително риска от проблеми в изследването на обектите</w:t>
            </w:r>
          </w:p>
        </w:tc>
        <w:tc>
          <w:tcPr>
            <w:tcW w:w="1625" w:type="dxa"/>
            <w:shd w:val="clear" w:color="000000" w:fill="92D050"/>
            <w:noWrap/>
            <w:vAlign w:val="center"/>
            <w:hideMark/>
          </w:tcPr>
          <w:p w14:paraId="5D5D8D2F"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F92CCB" w:rsidRPr="002E1E19" w14:paraId="4EC62C73" w14:textId="77777777" w:rsidTr="00FD11E3">
        <w:trPr>
          <w:trHeight w:val="720"/>
          <w:jc w:val="center"/>
        </w:trPr>
        <w:tc>
          <w:tcPr>
            <w:tcW w:w="1986" w:type="dxa"/>
            <w:shd w:val="clear" w:color="auto" w:fill="auto"/>
            <w:vAlign w:val="center"/>
            <w:hideMark/>
          </w:tcPr>
          <w:p w14:paraId="7A0A71F1" w14:textId="77777777" w:rsidR="00F92CCB" w:rsidRPr="002E1E19" w:rsidRDefault="00F92CCB" w:rsidP="00F92CCB">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Неадекватни оценки на разходите по изготвяне на проекта</w:t>
            </w:r>
          </w:p>
        </w:tc>
        <w:tc>
          <w:tcPr>
            <w:tcW w:w="1557" w:type="dxa"/>
            <w:shd w:val="clear" w:color="auto" w:fill="auto"/>
            <w:vAlign w:val="center"/>
            <w:hideMark/>
          </w:tcPr>
          <w:p w14:paraId="7DC21BD7"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1AB2F986"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5F1B4B3E"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D</w:t>
            </w:r>
          </w:p>
        </w:tc>
        <w:tc>
          <w:tcPr>
            <w:tcW w:w="960" w:type="dxa"/>
            <w:shd w:val="clear" w:color="auto" w:fill="auto"/>
            <w:noWrap/>
            <w:vAlign w:val="center"/>
            <w:hideMark/>
          </w:tcPr>
          <w:p w14:paraId="352260E4" w14:textId="77777777" w:rsidR="00F92CCB" w:rsidRPr="002E1E19" w:rsidRDefault="00F92CCB" w:rsidP="00F92CCB">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02EBDCBB" w14:textId="77777777" w:rsidR="00F92CCB" w:rsidRPr="002E1E19" w:rsidRDefault="00F92CCB" w:rsidP="00F92CCB">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2D7F9381" w14:textId="77777777" w:rsidR="00F92CCB" w:rsidRPr="002E1E19" w:rsidRDefault="00F92CCB" w:rsidP="00F92CCB">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Разходите по изготвянето на проекта са предварително лимитирани при възлагането на обществена поръчка "Осигуряване на техническа помощ за подготовка на проекти за следващия програмен период  2021-2027</w:t>
            </w:r>
            <w:r>
              <w:rPr>
                <w:rFonts w:eastAsia="Times New Roman" w:cs="Arial"/>
                <w:color w:val="000000"/>
                <w:sz w:val="18"/>
                <w:szCs w:val="18"/>
              </w:rPr>
              <w:t xml:space="preserve"> </w:t>
            </w:r>
            <w:r w:rsidRPr="00DC271D">
              <w:rPr>
                <w:rFonts w:eastAsia="Times New Roman" w:cs="Arial"/>
                <w:color w:val="000000"/>
                <w:sz w:val="18"/>
                <w:szCs w:val="18"/>
              </w:rPr>
              <w:t>г."</w:t>
            </w:r>
          </w:p>
        </w:tc>
        <w:tc>
          <w:tcPr>
            <w:tcW w:w="1625" w:type="dxa"/>
            <w:shd w:val="clear" w:color="000000" w:fill="92D050"/>
            <w:noWrap/>
            <w:vAlign w:val="center"/>
            <w:hideMark/>
          </w:tcPr>
          <w:p w14:paraId="124A7DBB" w14:textId="77777777" w:rsidR="00F92CCB" w:rsidRPr="00E4638D" w:rsidRDefault="00F92CCB" w:rsidP="00F92CCB">
            <w:pPr>
              <w:spacing w:after="0" w:line="240" w:lineRule="auto"/>
              <w:jc w:val="center"/>
              <w:rPr>
                <w:rFonts w:eastAsia="Times New Roman" w:cs="Arial"/>
                <w:color w:val="000000"/>
                <w:sz w:val="18"/>
                <w:szCs w:val="18"/>
                <w:lang w:eastAsia="en-US"/>
              </w:rPr>
            </w:pPr>
            <w:r w:rsidRPr="00E4638D">
              <w:rPr>
                <w:rFonts w:eastAsia="Times New Roman" w:cs="Arial"/>
                <w:color w:val="000000"/>
                <w:sz w:val="18"/>
                <w:szCs w:val="18"/>
                <w:lang w:eastAsia="en-US"/>
              </w:rPr>
              <w:t>ниско</w:t>
            </w:r>
          </w:p>
        </w:tc>
      </w:tr>
      <w:tr w:rsidR="00E33433" w:rsidRPr="002E1E19" w14:paraId="68FF83A9" w14:textId="77777777" w:rsidTr="00FD11E3">
        <w:trPr>
          <w:trHeight w:val="315"/>
          <w:jc w:val="center"/>
        </w:trPr>
        <w:tc>
          <w:tcPr>
            <w:tcW w:w="14231" w:type="dxa"/>
            <w:gridSpan w:val="8"/>
            <w:shd w:val="clear" w:color="000000" w:fill="FCD5B4"/>
            <w:vAlign w:val="bottom"/>
            <w:hideMark/>
          </w:tcPr>
          <w:p w14:paraId="23A4167D"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Административни рискове и рискове свързани с възлагането на обществени поръчки</w:t>
            </w:r>
          </w:p>
        </w:tc>
      </w:tr>
      <w:tr w:rsidR="00721344" w:rsidRPr="002E1E19" w14:paraId="1381180B" w14:textId="77777777" w:rsidTr="00FD11E3">
        <w:trPr>
          <w:trHeight w:val="454"/>
          <w:jc w:val="center"/>
        </w:trPr>
        <w:tc>
          <w:tcPr>
            <w:tcW w:w="1986" w:type="dxa"/>
            <w:shd w:val="clear" w:color="auto" w:fill="auto"/>
            <w:vAlign w:val="center"/>
            <w:hideMark/>
          </w:tcPr>
          <w:p w14:paraId="2D6AEAD3" w14:textId="77777777" w:rsidR="00721344" w:rsidRPr="002E1E19" w:rsidRDefault="00721344"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557" w:type="dxa"/>
            <w:shd w:val="clear" w:color="auto" w:fill="auto"/>
            <w:vAlign w:val="center"/>
            <w:hideMark/>
          </w:tcPr>
          <w:p w14:paraId="79BF60D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3DF3F1A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528B4932"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C</w:t>
            </w:r>
          </w:p>
        </w:tc>
        <w:tc>
          <w:tcPr>
            <w:tcW w:w="960" w:type="dxa"/>
            <w:shd w:val="clear" w:color="auto" w:fill="auto"/>
            <w:noWrap/>
            <w:vAlign w:val="center"/>
            <w:hideMark/>
          </w:tcPr>
          <w:p w14:paraId="4483EAB7"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13D0495F" w14:textId="77777777" w:rsidR="00721344"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00721344" w:rsidRPr="002E1E19">
              <w:rPr>
                <w:rFonts w:eastAsia="Times New Roman" w:cs="Arial"/>
                <w:color w:val="000000"/>
                <w:sz w:val="18"/>
                <w:szCs w:val="18"/>
                <w:lang w:eastAsia="en-US"/>
              </w:rPr>
              <w:t>исоко</w:t>
            </w:r>
          </w:p>
        </w:tc>
        <w:tc>
          <w:tcPr>
            <w:tcW w:w="4782" w:type="dxa"/>
            <w:shd w:val="clear" w:color="auto" w:fill="auto"/>
            <w:vAlign w:val="bottom"/>
            <w:hideMark/>
          </w:tcPr>
          <w:p w14:paraId="389B81A7" w14:textId="32310D2E" w:rsidR="00721344" w:rsidRPr="002E1E19" w:rsidRDefault="00F92CCB"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 xml:space="preserve">Проектът има издадено Разрешение за строеж № РС-17/09.03.2021 г. </w:t>
            </w:r>
            <w:r w:rsidR="00BA0FDB">
              <w:rPr>
                <w:rFonts w:eastAsia="Times New Roman" w:cs="Arial"/>
                <w:color w:val="000000"/>
                <w:sz w:val="18"/>
                <w:szCs w:val="18"/>
              </w:rPr>
              <w:t>Тръжната документация е изготвена и процедурата е обявена. О</w:t>
            </w:r>
            <w:r w:rsidRPr="00DC271D">
              <w:rPr>
                <w:rFonts w:eastAsia="Times New Roman" w:cs="Arial"/>
                <w:color w:val="000000"/>
                <w:sz w:val="18"/>
                <w:szCs w:val="18"/>
              </w:rPr>
              <w:t>става риска от обжалване на процедурата за строителство.</w:t>
            </w:r>
          </w:p>
        </w:tc>
        <w:tc>
          <w:tcPr>
            <w:tcW w:w="1625" w:type="dxa"/>
            <w:shd w:val="clear" w:color="000000" w:fill="FFFF00"/>
            <w:noWrap/>
            <w:vAlign w:val="center"/>
            <w:hideMark/>
          </w:tcPr>
          <w:p w14:paraId="40C9A9BA" w14:textId="77777777" w:rsidR="00721344" w:rsidRPr="002E1E19" w:rsidRDefault="00F92CCB"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721344" w:rsidRPr="002E1E19" w14:paraId="01C25047" w14:textId="77777777" w:rsidTr="00F92CCB">
        <w:trPr>
          <w:trHeight w:val="549"/>
          <w:jc w:val="center"/>
        </w:trPr>
        <w:tc>
          <w:tcPr>
            <w:tcW w:w="1986" w:type="dxa"/>
            <w:shd w:val="clear" w:color="auto" w:fill="auto"/>
            <w:vAlign w:val="center"/>
            <w:hideMark/>
          </w:tcPr>
          <w:p w14:paraId="5A841ECF" w14:textId="77777777" w:rsidR="00721344" w:rsidRPr="002E1E19" w:rsidRDefault="00721344"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Разрешителни за строителство</w:t>
            </w:r>
          </w:p>
        </w:tc>
        <w:tc>
          <w:tcPr>
            <w:tcW w:w="1557" w:type="dxa"/>
            <w:shd w:val="clear" w:color="auto" w:fill="auto"/>
            <w:vAlign w:val="center"/>
            <w:hideMark/>
          </w:tcPr>
          <w:p w14:paraId="199EC99D"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7BA93A6A"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2632DF0F"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8A40151" w14:textId="77777777" w:rsidR="00721344" w:rsidRPr="002E1E19" w:rsidRDefault="00721344" w:rsidP="00721344">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0000"/>
            <w:noWrap/>
            <w:vAlign w:val="center"/>
            <w:hideMark/>
          </w:tcPr>
          <w:p w14:paraId="16D3431D" w14:textId="77777777" w:rsidR="00721344"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00721344" w:rsidRPr="002E1E19">
              <w:rPr>
                <w:rFonts w:eastAsia="Times New Roman" w:cs="Arial"/>
                <w:color w:val="000000"/>
                <w:sz w:val="18"/>
                <w:szCs w:val="18"/>
                <w:lang w:eastAsia="en-US"/>
              </w:rPr>
              <w:t>исоко</w:t>
            </w:r>
          </w:p>
        </w:tc>
        <w:tc>
          <w:tcPr>
            <w:tcW w:w="4782" w:type="dxa"/>
            <w:shd w:val="clear" w:color="auto" w:fill="auto"/>
            <w:vAlign w:val="center"/>
            <w:hideMark/>
          </w:tcPr>
          <w:p w14:paraId="41C27C56" w14:textId="77777777" w:rsidR="00721344" w:rsidRPr="002E1E19" w:rsidRDefault="00F92CCB"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Проектът има издадено Разрешение за строеж № РС-17/09.03.2021 г</w:t>
            </w:r>
            <w:r>
              <w:rPr>
                <w:rFonts w:eastAsia="Times New Roman" w:cs="Arial"/>
                <w:color w:val="000000"/>
                <w:sz w:val="18"/>
                <w:szCs w:val="18"/>
              </w:rPr>
              <w:t>.</w:t>
            </w:r>
          </w:p>
        </w:tc>
        <w:tc>
          <w:tcPr>
            <w:tcW w:w="1625" w:type="dxa"/>
            <w:shd w:val="clear" w:color="auto" w:fill="92D050"/>
            <w:noWrap/>
            <w:vAlign w:val="center"/>
            <w:hideMark/>
          </w:tcPr>
          <w:p w14:paraId="5D28D00C" w14:textId="77777777" w:rsidR="00721344" w:rsidRPr="002E1E19" w:rsidRDefault="00F92CCB"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2516402A" w14:textId="77777777" w:rsidTr="00FD11E3">
        <w:trPr>
          <w:trHeight w:val="735"/>
          <w:jc w:val="center"/>
        </w:trPr>
        <w:tc>
          <w:tcPr>
            <w:tcW w:w="1986" w:type="dxa"/>
            <w:shd w:val="clear" w:color="auto" w:fill="auto"/>
            <w:vAlign w:val="center"/>
            <w:hideMark/>
          </w:tcPr>
          <w:p w14:paraId="168E6732" w14:textId="77777777" w:rsidR="00E33433" w:rsidRPr="002E1E19" w:rsidRDefault="00E33433"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Разрешителни за доставка на комунални услуги</w:t>
            </w:r>
          </w:p>
        </w:tc>
        <w:tc>
          <w:tcPr>
            <w:tcW w:w="12245" w:type="dxa"/>
            <w:gridSpan w:val="7"/>
            <w:shd w:val="clear" w:color="auto" w:fill="auto"/>
            <w:vAlign w:val="center"/>
            <w:hideMark/>
          </w:tcPr>
          <w:p w14:paraId="7019B3DE" w14:textId="77777777" w:rsidR="00E33433" w:rsidRPr="002E1E19" w:rsidRDefault="00B44784" w:rsidP="007B1577">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w:t>
            </w:r>
            <w:r w:rsidR="00E33433" w:rsidRPr="002E1E19">
              <w:rPr>
                <w:rFonts w:eastAsia="Times New Roman" w:cs="Arial"/>
                <w:color w:val="000000"/>
                <w:sz w:val="18"/>
                <w:szCs w:val="18"/>
                <w:lang w:eastAsia="en-US"/>
              </w:rPr>
              <w:t>еприложимо за този проект. Дейностите са СМР, а не доставка на услуги</w:t>
            </w:r>
          </w:p>
        </w:tc>
      </w:tr>
      <w:tr w:rsidR="00E33433" w:rsidRPr="002E1E19" w14:paraId="111665F8" w14:textId="77777777" w:rsidTr="00FD11E3">
        <w:trPr>
          <w:trHeight w:val="225"/>
          <w:jc w:val="center"/>
        </w:trPr>
        <w:tc>
          <w:tcPr>
            <w:tcW w:w="14231" w:type="dxa"/>
            <w:gridSpan w:val="8"/>
            <w:shd w:val="clear" w:color="000000" w:fill="FCD5B4"/>
            <w:noWrap/>
            <w:vAlign w:val="bottom"/>
            <w:hideMark/>
          </w:tcPr>
          <w:p w14:paraId="61A8501D"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закупуването на терени</w:t>
            </w:r>
          </w:p>
        </w:tc>
      </w:tr>
      <w:tr w:rsidR="00E4638D" w:rsidRPr="002E1E19" w14:paraId="633057CA" w14:textId="77777777" w:rsidTr="00E4638D">
        <w:trPr>
          <w:trHeight w:val="549"/>
          <w:jc w:val="center"/>
        </w:trPr>
        <w:tc>
          <w:tcPr>
            <w:tcW w:w="1986" w:type="dxa"/>
            <w:shd w:val="clear" w:color="auto" w:fill="auto"/>
            <w:vAlign w:val="center"/>
            <w:hideMark/>
          </w:tcPr>
          <w:p w14:paraId="2352911E" w14:textId="77777777" w:rsidR="00E4638D" w:rsidRPr="002E1E19" w:rsidRDefault="00E4638D" w:rsidP="007B1577">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Процедурни забавяния</w:t>
            </w:r>
          </w:p>
        </w:tc>
        <w:tc>
          <w:tcPr>
            <w:tcW w:w="12245" w:type="dxa"/>
            <w:gridSpan w:val="7"/>
            <w:shd w:val="clear" w:color="auto" w:fill="auto"/>
            <w:vAlign w:val="center"/>
            <w:hideMark/>
          </w:tcPr>
          <w:p w14:paraId="31960451"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4638D" w:rsidRPr="002E1E19" w14:paraId="484E0CFD" w14:textId="77777777" w:rsidTr="00E4638D">
        <w:trPr>
          <w:trHeight w:val="900"/>
          <w:jc w:val="center"/>
        </w:trPr>
        <w:tc>
          <w:tcPr>
            <w:tcW w:w="1986" w:type="dxa"/>
            <w:shd w:val="clear" w:color="auto" w:fill="auto"/>
            <w:vAlign w:val="center"/>
            <w:hideMark/>
          </w:tcPr>
          <w:p w14:paraId="50A4BB58"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Разходите за закупуване са по-високи от предвидените</w:t>
            </w:r>
          </w:p>
        </w:tc>
        <w:tc>
          <w:tcPr>
            <w:tcW w:w="12245" w:type="dxa"/>
            <w:gridSpan w:val="7"/>
            <w:shd w:val="clear" w:color="auto" w:fill="auto"/>
            <w:vAlign w:val="center"/>
          </w:tcPr>
          <w:p w14:paraId="5AB40C70" w14:textId="77777777"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закупуване на терени</w:t>
            </w:r>
          </w:p>
        </w:tc>
      </w:tr>
      <w:tr w:rsidR="00E33433" w:rsidRPr="002E1E19" w14:paraId="5CC9E4C4" w14:textId="77777777" w:rsidTr="00FD11E3">
        <w:trPr>
          <w:trHeight w:val="285"/>
          <w:jc w:val="center"/>
        </w:trPr>
        <w:tc>
          <w:tcPr>
            <w:tcW w:w="14231" w:type="dxa"/>
            <w:gridSpan w:val="8"/>
            <w:shd w:val="clear" w:color="000000" w:fill="FCD5B4"/>
            <w:noWrap/>
            <w:vAlign w:val="bottom"/>
            <w:hideMark/>
          </w:tcPr>
          <w:p w14:paraId="755519C1"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Рискове свързани със строителството</w:t>
            </w:r>
          </w:p>
        </w:tc>
      </w:tr>
      <w:tr w:rsidR="00E4638D" w:rsidRPr="002E1E19" w14:paraId="54616B90" w14:textId="77777777" w:rsidTr="007D77DA">
        <w:trPr>
          <w:trHeight w:val="990"/>
          <w:jc w:val="center"/>
        </w:trPr>
        <w:tc>
          <w:tcPr>
            <w:tcW w:w="1986" w:type="dxa"/>
            <w:shd w:val="clear" w:color="auto" w:fill="auto"/>
            <w:vAlign w:val="center"/>
            <w:hideMark/>
          </w:tcPr>
          <w:p w14:paraId="485A2385"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Превишаване на разходите по проекта</w:t>
            </w:r>
          </w:p>
        </w:tc>
        <w:tc>
          <w:tcPr>
            <w:tcW w:w="1557" w:type="dxa"/>
            <w:shd w:val="clear" w:color="auto" w:fill="auto"/>
            <w:vAlign w:val="center"/>
            <w:hideMark/>
          </w:tcPr>
          <w:p w14:paraId="451189D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4CE300B6" w14:textId="77777777" w:rsidR="00E4638D" w:rsidRPr="002E1E19" w:rsidRDefault="00E4638D" w:rsidP="00E4638D">
            <w:pPr>
              <w:spacing w:after="0" w:line="240" w:lineRule="auto"/>
              <w:ind w:hanging="75"/>
              <w:jc w:val="center"/>
              <w:rPr>
                <w:rFonts w:eastAsia="Times New Roman" w:cs="Arial"/>
                <w:color w:val="000000"/>
                <w:sz w:val="18"/>
                <w:szCs w:val="18"/>
                <w:lang w:eastAsia="en-US"/>
              </w:rPr>
            </w:pPr>
            <w:r w:rsidRPr="002E1E19">
              <w:rPr>
                <w:rFonts w:eastAsia="Times New Roman" w:cs="Arial"/>
                <w:color w:val="000000"/>
                <w:sz w:val="18"/>
                <w:szCs w:val="18"/>
                <w:lang w:eastAsia="en-US"/>
              </w:rPr>
              <w:t>финансови и иконом. резултати</w:t>
            </w:r>
          </w:p>
        </w:tc>
        <w:tc>
          <w:tcPr>
            <w:tcW w:w="1383" w:type="dxa"/>
            <w:shd w:val="clear" w:color="auto" w:fill="auto"/>
            <w:noWrap/>
            <w:vAlign w:val="center"/>
            <w:hideMark/>
          </w:tcPr>
          <w:p w14:paraId="3B9F11A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074C46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0000"/>
            <w:noWrap/>
            <w:vAlign w:val="center"/>
            <w:hideMark/>
          </w:tcPr>
          <w:p w14:paraId="7A9E841E"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в</w:t>
            </w:r>
            <w:r w:rsidRPr="002E1E19">
              <w:rPr>
                <w:rFonts w:eastAsia="Times New Roman" w:cs="Arial"/>
                <w:color w:val="000000"/>
                <w:sz w:val="18"/>
                <w:szCs w:val="18"/>
                <w:lang w:eastAsia="en-US"/>
              </w:rPr>
              <w:t>исоко</w:t>
            </w:r>
          </w:p>
        </w:tc>
        <w:tc>
          <w:tcPr>
            <w:tcW w:w="4782" w:type="dxa"/>
            <w:shd w:val="clear" w:color="auto" w:fill="auto"/>
            <w:vAlign w:val="center"/>
            <w:hideMark/>
          </w:tcPr>
          <w:p w14:paraId="2E3F6CA9" w14:textId="7FC2C9B7" w:rsidR="00E4638D" w:rsidRPr="002E1E19" w:rsidRDefault="00BA0FDB"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 xml:space="preserve">Процедурата вече е обявена и цените са актуализирани към дата на обява. </w:t>
            </w:r>
            <w:r w:rsidR="00E4638D" w:rsidRPr="00DC271D">
              <w:rPr>
                <w:rFonts w:eastAsia="Times New Roman" w:cs="Arial"/>
                <w:color w:val="000000"/>
                <w:sz w:val="18"/>
                <w:szCs w:val="18"/>
              </w:rPr>
              <w:t>По този начин са заложени</w:t>
            </w:r>
            <w:r w:rsidR="00E4638D">
              <w:rPr>
                <w:rFonts w:eastAsia="Times New Roman" w:cs="Arial"/>
                <w:color w:val="000000"/>
                <w:sz w:val="18"/>
                <w:szCs w:val="18"/>
              </w:rPr>
              <w:t xml:space="preserve"> реалистични стойности за СМР и</w:t>
            </w:r>
            <w:r w:rsidR="00E4638D" w:rsidRPr="00DC271D">
              <w:rPr>
                <w:rFonts w:eastAsia="Times New Roman" w:cs="Arial"/>
                <w:color w:val="000000"/>
                <w:sz w:val="18"/>
                <w:szCs w:val="18"/>
              </w:rPr>
              <w:t xml:space="preserve"> рязко се намалява риска от превишаване на разходите.</w:t>
            </w:r>
          </w:p>
        </w:tc>
        <w:tc>
          <w:tcPr>
            <w:tcW w:w="1625" w:type="dxa"/>
            <w:shd w:val="clear" w:color="000000" w:fill="FFFF00"/>
            <w:noWrap/>
            <w:vAlign w:val="center"/>
            <w:hideMark/>
          </w:tcPr>
          <w:p w14:paraId="52384950"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r>
      <w:tr w:rsidR="00E4638D" w:rsidRPr="002E1E19" w14:paraId="45D84BD4" w14:textId="77777777" w:rsidTr="00FD11E3">
        <w:trPr>
          <w:trHeight w:val="773"/>
          <w:jc w:val="center"/>
        </w:trPr>
        <w:tc>
          <w:tcPr>
            <w:tcW w:w="1986" w:type="dxa"/>
            <w:shd w:val="clear" w:color="auto" w:fill="auto"/>
            <w:vAlign w:val="center"/>
            <w:hideMark/>
          </w:tcPr>
          <w:p w14:paraId="38684390"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Наводнения, свлачища и др.</w:t>
            </w:r>
          </w:p>
        </w:tc>
        <w:tc>
          <w:tcPr>
            <w:tcW w:w="1557" w:type="dxa"/>
            <w:shd w:val="clear" w:color="auto" w:fill="auto"/>
            <w:vAlign w:val="center"/>
            <w:hideMark/>
          </w:tcPr>
          <w:p w14:paraId="12F4B36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5092F97D"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317A1B69"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347A4D4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52F49216"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bottom"/>
            <w:hideMark/>
          </w:tcPr>
          <w:p w14:paraId="0B952D4A" w14:textId="77777777"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Непредвидимостта на тези събития е намалена, чрез планирано включване за изискване за застраховка на обектите в договора с Изпълнителя и включване на непредвидени разходи в размер на 10% от общата стойност на СМР.</w:t>
            </w:r>
          </w:p>
        </w:tc>
        <w:tc>
          <w:tcPr>
            <w:tcW w:w="1625" w:type="dxa"/>
            <w:shd w:val="clear" w:color="000000" w:fill="92D050"/>
            <w:noWrap/>
            <w:vAlign w:val="center"/>
            <w:hideMark/>
          </w:tcPr>
          <w:p w14:paraId="74F71472"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4638D" w:rsidRPr="002E1E19" w14:paraId="0E113045" w14:textId="77777777" w:rsidTr="00E4638D">
        <w:trPr>
          <w:trHeight w:val="488"/>
          <w:jc w:val="center"/>
        </w:trPr>
        <w:tc>
          <w:tcPr>
            <w:tcW w:w="1986" w:type="dxa"/>
            <w:shd w:val="clear" w:color="auto" w:fill="auto"/>
            <w:vAlign w:val="center"/>
            <w:hideMark/>
          </w:tcPr>
          <w:p w14:paraId="15E1EBF2" w14:textId="77777777" w:rsidR="00E4638D" w:rsidRPr="002E1E19" w:rsidRDefault="00E4638D" w:rsidP="00721344">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Археологически находки</w:t>
            </w:r>
          </w:p>
        </w:tc>
        <w:tc>
          <w:tcPr>
            <w:tcW w:w="12245" w:type="dxa"/>
            <w:gridSpan w:val="7"/>
            <w:shd w:val="clear" w:color="auto" w:fill="auto"/>
            <w:vAlign w:val="center"/>
          </w:tcPr>
          <w:p w14:paraId="172553EC" w14:textId="77777777" w:rsidR="00E4638D" w:rsidRPr="002E1E19" w:rsidRDefault="00E4638D" w:rsidP="00721344">
            <w:pPr>
              <w:spacing w:after="0" w:line="240" w:lineRule="auto"/>
              <w:jc w:val="center"/>
              <w:rPr>
                <w:rFonts w:eastAsia="Times New Roman" w:cs="Arial"/>
                <w:color w:val="000000"/>
                <w:sz w:val="18"/>
                <w:szCs w:val="18"/>
                <w:lang w:eastAsia="en-US"/>
              </w:rPr>
            </w:pPr>
            <w:r>
              <w:rPr>
                <w:rFonts w:eastAsia="Times New Roman" w:cs="Arial"/>
                <w:color w:val="000000"/>
                <w:sz w:val="18"/>
                <w:szCs w:val="18"/>
              </w:rPr>
              <w:t>Н</w:t>
            </w:r>
            <w:r w:rsidRPr="00DC271D">
              <w:rPr>
                <w:rFonts w:eastAsia="Times New Roman" w:cs="Arial"/>
                <w:color w:val="000000"/>
                <w:sz w:val="18"/>
                <w:szCs w:val="18"/>
              </w:rPr>
              <w:t>еприложимо за този проект. Дейностите не включват археологически проучвания, защото реконструкцията се извършва на мястото на съществуващата кейова стена</w:t>
            </w:r>
          </w:p>
        </w:tc>
      </w:tr>
      <w:tr w:rsidR="00E4638D" w:rsidRPr="002E1E19" w14:paraId="0B61BCC3" w14:textId="77777777" w:rsidTr="00FD11E3">
        <w:trPr>
          <w:trHeight w:val="934"/>
          <w:jc w:val="center"/>
        </w:trPr>
        <w:tc>
          <w:tcPr>
            <w:tcW w:w="1986" w:type="dxa"/>
            <w:shd w:val="clear" w:color="auto" w:fill="auto"/>
            <w:vAlign w:val="center"/>
            <w:hideMark/>
          </w:tcPr>
          <w:p w14:paraId="44758EFF"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Рискове, свързани с изпълнителя (несъстоятелност, липса на ресурси и др.)</w:t>
            </w:r>
          </w:p>
        </w:tc>
        <w:tc>
          <w:tcPr>
            <w:tcW w:w="1557" w:type="dxa"/>
            <w:shd w:val="clear" w:color="auto" w:fill="auto"/>
            <w:vAlign w:val="center"/>
            <w:hideMark/>
          </w:tcPr>
          <w:p w14:paraId="6CFBB4D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всички </w:t>
            </w:r>
          </w:p>
        </w:tc>
        <w:tc>
          <w:tcPr>
            <w:tcW w:w="1127" w:type="dxa"/>
            <w:shd w:val="clear" w:color="auto" w:fill="auto"/>
            <w:vAlign w:val="center"/>
            <w:hideMark/>
          </w:tcPr>
          <w:p w14:paraId="0F564F2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забавяне</w:t>
            </w:r>
          </w:p>
        </w:tc>
        <w:tc>
          <w:tcPr>
            <w:tcW w:w="1383" w:type="dxa"/>
            <w:shd w:val="clear" w:color="auto" w:fill="auto"/>
            <w:noWrap/>
            <w:vAlign w:val="center"/>
            <w:hideMark/>
          </w:tcPr>
          <w:p w14:paraId="7D27BFD1"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78F6B2A7"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w:t>
            </w:r>
          </w:p>
        </w:tc>
        <w:tc>
          <w:tcPr>
            <w:tcW w:w="811" w:type="dxa"/>
            <w:shd w:val="clear" w:color="000000" w:fill="FFFF00"/>
            <w:noWrap/>
            <w:vAlign w:val="center"/>
            <w:hideMark/>
          </w:tcPr>
          <w:p w14:paraId="2B30A914"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04D33A36" w14:textId="77777777" w:rsidR="00E4638D" w:rsidRPr="002E1E19" w:rsidRDefault="00C247AE"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За нам</w:t>
            </w:r>
            <w:r w:rsidR="00E4638D" w:rsidRPr="00DC271D">
              <w:rPr>
                <w:rFonts w:eastAsia="Times New Roman" w:cs="Arial"/>
                <w:color w:val="000000"/>
                <w:sz w:val="18"/>
                <w:szCs w:val="18"/>
              </w:rPr>
              <w:t>аляване на този риск в тръжната документация ще има изисквания за финансова стабилност на потенциалните кандидати. Допълнително ще има изискване за банкова гаранция/застраховка, както и възможност за авансови плащания.</w:t>
            </w:r>
          </w:p>
        </w:tc>
        <w:tc>
          <w:tcPr>
            <w:tcW w:w="1625" w:type="dxa"/>
            <w:shd w:val="clear" w:color="000000" w:fill="92D050"/>
            <w:noWrap/>
            <w:vAlign w:val="center"/>
            <w:hideMark/>
          </w:tcPr>
          <w:p w14:paraId="366CEA3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0EFB208E" w14:textId="77777777" w:rsidTr="00FD11E3">
        <w:trPr>
          <w:trHeight w:val="285"/>
          <w:jc w:val="center"/>
        </w:trPr>
        <w:tc>
          <w:tcPr>
            <w:tcW w:w="14231" w:type="dxa"/>
            <w:gridSpan w:val="8"/>
            <w:shd w:val="clear" w:color="000000" w:fill="FCD5B4"/>
            <w:noWrap/>
            <w:vAlign w:val="bottom"/>
            <w:hideMark/>
          </w:tcPr>
          <w:p w14:paraId="3F933F95"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Оперативни рискове</w:t>
            </w:r>
          </w:p>
        </w:tc>
      </w:tr>
      <w:tr w:rsidR="00E4638D" w:rsidRPr="002E1E19" w14:paraId="4E4D6A8C" w14:textId="77777777" w:rsidTr="00FD11E3">
        <w:trPr>
          <w:trHeight w:val="1230"/>
          <w:jc w:val="center"/>
        </w:trPr>
        <w:tc>
          <w:tcPr>
            <w:tcW w:w="1986" w:type="dxa"/>
            <w:shd w:val="clear" w:color="auto" w:fill="auto"/>
            <w:vAlign w:val="center"/>
            <w:hideMark/>
          </w:tcPr>
          <w:p w14:paraId="531CB0DD"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lastRenderedPageBreak/>
              <w:t>Оперативните разходи и разходите за поддръжка са по-високи от предвидените</w:t>
            </w:r>
          </w:p>
        </w:tc>
        <w:tc>
          <w:tcPr>
            <w:tcW w:w="1557" w:type="dxa"/>
            <w:shd w:val="clear" w:color="auto" w:fill="auto"/>
            <w:vAlign w:val="center"/>
            <w:hideMark/>
          </w:tcPr>
          <w:p w14:paraId="0EBA00DB"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разходи за ЕиП</w:t>
            </w:r>
          </w:p>
        </w:tc>
        <w:tc>
          <w:tcPr>
            <w:tcW w:w="1127" w:type="dxa"/>
            <w:shd w:val="clear" w:color="auto" w:fill="auto"/>
            <w:vAlign w:val="center"/>
            <w:hideMark/>
          </w:tcPr>
          <w:p w14:paraId="10BF7A9F"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устойчивост на проекта</w:t>
            </w:r>
          </w:p>
        </w:tc>
        <w:tc>
          <w:tcPr>
            <w:tcW w:w="1383" w:type="dxa"/>
            <w:shd w:val="clear" w:color="auto" w:fill="auto"/>
            <w:noWrap/>
            <w:vAlign w:val="center"/>
            <w:hideMark/>
          </w:tcPr>
          <w:p w14:paraId="1CCFEDEC"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6FE72723"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11D55098"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3F8199D5" w14:textId="77777777"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Предварително ще се извърши проверка за достоверност на заложените разходи в АРП, при приемането на доклада. От друга страна държавата субсидира дейности на ДППИ, в които разходите за тяхното изпълнение са ангажимент на държавата и не могат да бъдат покрити от приходите от такси и други услуги, предоставяни от предприятието.</w:t>
            </w:r>
          </w:p>
        </w:tc>
        <w:tc>
          <w:tcPr>
            <w:tcW w:w="1625" w:type="dxa"/>
            <w:shd w:val="clear" w:color="000000" w:fill="92D050"/>
            <w:noWrap/>
            <w:vAlign w:val="center"/>
            <w:hideMark/>
          </w:tcPr>
          <w:p w14:paraId="69F7463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320E188E" w14:textId="77777777" w:rsidTr="00FD11E3">
        <w:trPr>
          <w:trHeight w:val="285"/>
          <w:jc w:val="center"/>
        </w:trPr>
        <w:tc>
          <w:tcPr>
            <w:tcW w:w="14231" w:type="dxa"/>
            <w:gridSpan w:val="8"/>
            <w:shd w:val="clear" w:color="000000" w:fill="FCD5B4"/>
            <w:noWrap/>
            <w:vAlign w:val="bottom"/>
            <w:hideMark/>
          </w:tcPr>
          <w:p w14:paraId="0AFD4A0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Финансови рискове</w:t>
            </w:r>
          </w:p>
        </w:tc>
      </w:tr>
      <w:tr w:rsidR="00E4638D" w:rsidRPr="002E1E19" w14:paraId="69AC7983" w14:textId="77777777" w:rsidTr="00E4638D">
        <w:trPr>
          <w:trHeight w:val="750"/>
          <w:jc w:val="center"/>
        </w:trPr>
        <w:tc>
          <w:tcPr>
            <w:tcW w:w="1986" w:type="dxa"/>
            <w:shd w:val="clear" w:color="auto" w:fill="auto"/>
            <w:vAlign w:val="center"/>
            <w:hideMark/>
          </w:tcPr>
          <w:p w14:paraId="61D0DEE5"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Събирането на  такси е по ниско от предвиденото</w:t>
            </w:r>
          </w:p>
        </w:tc>
        <w:tc>
          <w:tcPr>
            <w:tcW w:w="1557" w:type="dxa"/>
            <w:shd w:val="clear" w:color="auto" w:fill="auto"/>
            <w:vAlign w:val="center"/>
            <w:hideMark/>
          </w:tcPr>
          <w:p w14:paraId="2503D2D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приходи</w:t>
            </w:r>
          </w:p>
        </w:tc>
        <w:tc>
          <w:tcPr>
            <w:tcW w:w="1127" w:type="dxa"/>
            <w:shd w:val="clear" w:color="auto" w:fill="auto"/>
            <w:vAlign w:val="center"/>
            <w:hideMark/>
          </w:tcPr>
          <w:p w14:paraId="1EBBEE7A"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 xml:space="preserve">финансови резултати </w:t>
            </w:r>
          </w:p>
        </w:tc>
        <w:tc>
          <w:tcPr>
            <w:tcW w:w="1383" w:type="dxa"/>
            <w:shd w:val="clear" w:color="auto" w:fill="auto"/>
            <w:noWrap/>
            <w:vAlign w:val="center"/>
            <w:hideMark/>
          </w:tcPr>
          <w:p w14:paraId="2AB8818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034E15A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FFFF00"/>
            <w:noWrap/>
            <w:vAlign w:val="center"/>
            <w:hideMark/>
          </w:tcPr>
          <w:p w14:paraId="65A05F15" w14:textId="77777777" w:rsidR="00E4638D" w:rsidRPr="009E28B3" w:rsidRDefault="00E4638D" w:rsidP="00E4638D">
            <w:pPr>
              <w:spacing w:after="0" w:line="240" w:lineRule="auto"/>
              <w:jc w:val="center"/>
              <w:rPr>
                <w:rFonts w:eastAsia="Times New Roman" w:cs="Arial"/>
                <w:sz w:val="18"/>
                <w:szCs w:val="18"/>
                <w:lang w:eastAsia="en-US"/>
              </w:rPr>
            </w:pPr>
            <w:r>
              <w:rPr>
                <w:rFonts w:eastAsia="Times New Roman" w:cs="Arial"/>
                <w:sz w:val="18"/>
                <w:szCs w:val="18"/>
                <w:lang w:eastAsia="en-US"/>
              </w:rPr>
              <w:t>средно</w:t>
            </w:r>
          </w:p>
        </w:tc>
        <w:tc>
          <w:tcPr>
            <w:tcW w:w="4782" w:type="dxa"/>
            <w:shd w:val="clear" w:color="auto" w:fill="auto"/>
            <w:vAlign w:val="bottom"/>
            <w:hideMark/>
          </w:tcPr>
          <w:p w14:paraId="546C9F2B" w14:textId="73608F50" w:rsidR="00E4638D" w:rsidRPr="002E1E19" w:rsidRDefault="00E4638D" w:rsidP="00E4638D">
            <w:pPr>
              <w:spacing w:after="0" w:line="240" w:lineRule="auto"/>
              <w:jc w:val="both"/>
              <w:rPr>
                <w:rFonts w:eastAsia="Times New Roman" w:cs="Arial"/>
                <w:color w:val="000000"/>
                <w:sz w:val="18"/>
                <w:szCs w:val="18"/>
                <w:lang w:eastAsia="en-US"/>
              </w:rPr>
            </w:pPr>
            <w:r w:rsidRPr="00DC271D">
              <w:rPr>
                <w:rFonts w:eastAsia="Times New Roman" w:cs="Arial"/>
                <w:color w:val="000000"/>
                <w:sz w:val="18"/>
                <w:szCs w:val="18"/>
              </w:rPr>
              <w:t>За събирането на такси за пристанищните услуги, предоставяни от ДППИ има изградени системи за отчет и контрол на преминаващите кораби пре</w:t>
            </w:r>
            <w:r w:rsidR="00DF7A24">
              <w:rPr>
                <w:rFonts w:eastAsia="Times New Roman" w:cs="Arial"/>
                <w:color w:val="000000"/>
                <w:sz w:val="18"/>
                <w:szCs w:val="18"/>
              </w:rPr>
              <w:t>з</w:t>
            </w:r>
            <w:r w:rsidRPr="00DC271D">
              <w:rPr>
                <w:rFonts w:eastAsia="Times New Roman" w:cs="Arial"/>
                <w:color w:val="000000"/>
                <w:sz w:val="18"/>
                <w:szCs w:val="18"/>
              </w:rPr>
              <w:t xml:space="preserve"> </w:t>
            </w:r>
            <w:r w:rsidR="00933DE0" w:rsidRPr="00933DE0">
              <w:rPr>
                <w:rFonts w:eastAsia="Times New Roman" w:cs="Arial"/>
                <w:color w:val="000000"/>
                <w:sz w:val="18"/>
                <w:szCs w:val="18"/>
              </w:rPr>
              <w:t xml:space="preserve">пристанища  за обществен траспорт – държавна собственост </w:t>
            </w:r>
            <w:r w:rsidRPr="00DC271D">
              <w:rPr>
                <w:rFonts w:eastAsia="Times New Roman" w:cs="Arial"/>
                <w:color w:val="000000"/>
                <w:sz w:val="18"/>
                <w:szCs w:val="18"/>
              </w:rPr>
              <w:t>и дължимите от тях такси.</w:t>
            </w:r>
          </w:p>
        </w:tc>
        <w:tc>
          <w:tcPr>
            <w:tcW w:w="1625" w:type="dxa"/>
            <w:shd w:val="clear" w:color="auto" w:fill="92D050"/>
            <w:noWrap/>
            <w:vAlign w:val="center"/>
            <w:hideMark/>
          </w:tcPr>
          <w:p w14:paraId="66230CBC"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ниско</w:t>
            </w:r>
          </w:p>
        </w:tc>
      </w:tr>
      <w:tr w:rsidR="00E33433" w:rsidRPr="002E1E19" w14:paraId="5F8F7F3D" w14:textId="77777777" w:rsidTr="00FD11E3">
        <w:trPr>
          <w:trHeight w:val="285"/>
          <w:jc w:val="center"/>
        </w:trPr>
        <w:tc>
          <w:tcPr>
            <w:tcW w:w="14231" w:type="dxa"/>
            <w:gridSpan w:val="8"/>
            <w:shd w:val="clear" w:color="000000" w:fill="FCD5B4"/>
            <w:noWrap/>
            <w:vAlign w:val="bottom"/>
            <w:hideMark/>
          </w:tcPr>
          <w:p w14:paraId="18BE820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Регулаторни рискове</w:t>
            </w:r>
          </w:p>
        </w:tc>
      </w:tr>
      <w:tr w:rsidR="00E4638D" w:rsidRPr="002E1E19" w14:paraId="3E4FACB1" w14:textId="77777777" w:rsidTr="00DE3B1B">
        <w:trPr>
          <w:trHeight w:val="990"/>
          <w:jc w:val="center"/>
        </w:trPr>
        <w:tc>
          <w:tcPr>
            <w:tcW w:w="1986" w:type="dxa"/>
            <w:shd w:val="clear" w:color="auto" w:fill="auto"/>
            <w:vAlign w:val="center"/>
            <w:hideMark/>
          </w:tcPr>
          <w:p w14:paraId="1F113D8D" w14:textId="77777777" w:rsidR="00E4638D" w:rsidRPr="002E1E19" w:rsidRDefault="00E4638D" w:rsidP="00E4638D">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Промени в изискванията за опазване на околната среда</w:t>
            </w:r>
          </w:p>
        </w:tc>
        <w:tc>
          <w:tcPr>
            <w:tcW w:w="1557" w:type="dxa"/>
            <w:shd w:val="clear" w:color="auto" w:fill="auto"/>
            <w:vAlign w:val="center"/>
            <w:hideMark/>
          </w:tcPr>
          <w:p w14:paraId="7372FD65"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инвестиции</w:t>
            </w:r>
          </w:p>
        </w:tc>
        <w:tc>
          <w:tcPr>
            <w:tcW w:w="1127" w:type="dxa"/>
            <w:shd w:val="clear" w:color="auto" w:fill="auto"/>
            <w:vAlign w:val="center"/>
            <w:hideMark/>
          </w:tcPr>
          <w:p w14:paraId="1D700E38"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разходи</w:t>
            </w:r>
          </w:p>
        </w:tc>
        <w:tc>
          <w:tcPr>
            <w:tcW w:w="1383" w:type="dxa"/>
            <w:shd w:val="clear" w:color="auto" w:fill="auto"/>
            <w:noWrap/>
            <w:vAlign w:val="center"/>
            <w:hideMark/>
          </w:tcPr>
          <w:p w14:paraId="6EDE3E0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5EFD8706"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000000" w:fill="FFFF00"/>
            <w:noWrap/>
            <w:vAlign w:val="center"/>
            <w:hideMark/>
          </w:tcPr>
          <w:p w14:paraId="3F31E94A" w14:textId="77777777" w:rsidR="00E4638D" w:rsidRPr="002E1E19" w:rsidRDefault="00E4638D" w:rsidP="00E4638D">
            <w:pPr>
              <w:spacing w:after="0" w:line="240" w:lineRule="auto"/>
              <w:jc w:val="center"/>
              <w:rPr>
                <w:rFonts w:eastAsia="Times New Roman" w:cs="Arial"/>
                <w:color w:val="000000"/>
                <w:sz w:val="18"/>
                <w:szCs w:val="18"/>
                <w:lang w:eastAsia="en-US"/>
              </w:rPr>
            </w:pPr>
            <w:r>
              <w:rPr>
                <w:rFonts w:eastAsia="Times New Roman" w:cs="Arial"/>
                <w:color w:val="000000"/>
                <w:sz w:val="18"/>
                <w:szCs w:val="18"/>
                <w:lang w:eastAsia="en-US"/>
              </w:rPr>
              <w:t>средно</w:t>
            </w:r>
          </w:p>
        </w:tc>
        <w:tc>
          <w:tcPr>
            <w:tcW w:w="4782" w:type="dxa"/>
            <w:shd w:val="clear" w:color="auto" w:fill="auto"/>
            <w:vAlign w:val="center"/>
            <w:hideMark/>
          </w:tcPr>
          <w:p w14:paraId="78CF9C3D" w14:textId="77777777" w:rsidR="00E4638D" w:rsidRPr="002E1E19" w:rsidRDefault="00E4638D" w:rsidP="00E4638D">
            <w:pPr>
              <w:spacing w:after="0" w:line="240" w:lineRule="auto"/>
              <w:jc w:val="both"/>
              <w:rPr>
                <w:rFonts w:eastAsia="Times New Roman" w:cs="Arial"/>
                <w:color w:val="000000"/>
                <w:sz w:val="18"/>
                <w:szCs w:val="18"/>
                <w:lang w:eastAsia="en-US"/>
              </w:rPr>
            </w:pPr>
            <w:r>
              <w:rPr>
                <w:rFonts w:eastAsia="Times New Roman" w:cs="Arial"/>
                <w:color w:val="000000"/>
                <w:sz w:val="18"/>
                <w:szCs w:val="18"/>
              </w:rPr>
              <w:t>З</w:t>
            </w:r>
            <w:r w:rsidRPr="00DC271D">
              <w:rPr>
                <w:rFonts w:eastAsia="Times New Roman" w:cs="Arial"/>
                <w:color w:val="000000"/>
                <w:sz w:val="18"/>
                <w:szCs w:val="18"/>
              </w:rPr>
              <w:t>а проекта има Решение № 5.ПР/05.03.2020 г. за преценяване необходимостта от извършване на оценка въздействието върху околната среда. Отделно при изготвяне на ПП е направен Екологичен анализ и всички последни промени на екологичното законодателство са  отразени</w:t>
            </w:r>
          </w:p>
        </w:tc>
        <w:tc>
          <w:tcPr>
            <w:tcW w:w="1625" w:type="dxa"/>
            <w:shd w:val="clear" w:color="000000" w:fill="92D050"/>
            <w:noWrap/>
            <w:vAlign w:val="center"/>
            <w:hideMark/>
          </w:tcPr>
          <w:p w14:paraId="4FA9C0A0" w14:textId="77777777" w:rsidR="00E4638D" w:rsidRPr="002E1E19" w:rsidRDefault="00E4638D" w:rsidP="00E4638D">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r w:rsidR="00E33433" w:rsidRPr="002E1E19" w14:paraId="619A94B9" w14:textId="77777777" w:rsidTr="00FD11E3">
        <w:trPr>
          <w:trHeight w:val="285"/>
          <w:jc w:val="center"/>
        </w:trPr>
        <w:tc>
          <w:tcPr>
            <w:tcW w:w="14231" w:type="dxa"/>
            <w:gridSpan w:val="8"/>
            <w:shd w:val="clear" w:color="000000" w:fill="FCD5B4"/>
            <w:noWrap/>
            <w:vAlign w:val="bottom"/>
            <w:hideMark/>
          </w:tcPr>
          <w:p w14:paraId="11A0D1BA" w14:textId="77777777" w:rsidR="00E33433" w:rsidRPr="002E1E19" w:rsidRDefault="00E33433" w:rsidP="007B1577">
            <w:pPr>
              <w:spacing w:after="0" w:line="240" w:lineRule="auto"/>
              <w:rPr>
                <w:rFonts w:eastAsia="Times New Roman" w:cs="Arial"/>
                <w:b/>
                <w:bCs/>
                <w:i/>
                <w:iCs/>
                <w:color w:val="000000"/>
                <w:sz w:val="20"/>
                <w:szCs w:val="20"/>
                <w:lang w:eastAsia="en-US"/>
              </w:rPr>
            </w:pPr>
            <w:r w:rsidRPr="002E1E19">
              <w:rPr>
                <w:rFonts w:eastAsia="Times New Roman" w:cs="Arial"/>
                <w:b/>
                <w:bCs/>
                <w:i/>
                <w:iCs/>
                <w:color w:val="000000"/>
                <w:sz w:val="20"/>
                <w:szCs w:val="20"/>
                <w:lang w:eastAsia="en-US"/>
              </w:rPr>
              <w:t>Други рискове</w:t>
            </w:r>
          </w:p>
        </w:tc>
      </w:tr>
      <w:tr w:rsidR="00730E75" w:rsidRPr="002E1E19" w14:paraId="43B4AA07" w14:textId="77777777" w:rsidTr="00E4638D">
        <w:trPr>
          <w:trHeight w:val="684"/>
          <w:jc w:val="center"/>
        </w:trPr>
        <w:tc>
          <w:tcPr>
            <w:tcW w:w="1986" w:type="dxa"/>
            <w:shd w:val="clear" w:color="auto" w:fill="auto"/>
            <w:vAlign w:val="center"/>
            <w:hideMark/>
          </w:tcPr>
          <w:p w14:paraId="02487A57" w14:textId="77777777" w:rsidR="00730E75" w:rsidRPr="002E1E19" w:rsidRDefault="00730E75" w:rsidP="00730E75">
            <w:pPr>
              <w:spacing w:after="0" w:line="240" w:lineRule="auto"/>
              <w:rPr>
                <w:rFonts w:eastAsia="Times New Roman" w:cs="Arial"/>
                <w:color w:val="000000"/>
                <w:sz w:val="18"/>
                <w:szCs w:val="18"/>
                <w:lang w:eastAsia="en-US"/>
              </w:rPr>
            </w:pPr>
            <w:r w:rsidRPr="002E1E19">
              <w:rPr>
                <w:rFonts w:eastAsia="Times New Roman" w:cs="Arial"/>
                <w:color w:val="000000"/>
                <w:sz w:val="18"/>
                <w:szCs w:val="18"/>
                <w:lang w:eastAsia="en-US"/>
              </w:rPr>
              <w:t>Обществена съпротива</w:t>
            </w:r>
          </w:p>
        </w:tc>
        <w:tc>
          <w:tcPr>
            <w:tcW w:w="1557" w:type="dxa"/>
            <w:shd w:val="clear" w:color="auto" w:fill="auto"/>
            <w:vAlign w:val="center"/>
            <w:hideMark/>
          </w:tcPr>
          <w:p w14:paraId="318A1C1F"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начало на експлоатацията</w:t>
            </w:r>
          </w:p>
        </w:tc>
        <w:tc>
          <w:tcPr>
            <w:tcW w:w="1127" w:type="dxa"/>
            <w:shd w:val="clear" w:color="auto" w:fill="auto"/>
            <w:vAlign w:val="center"/>
            <w:hideMark/>
          </w:tcPr>
          <w:p w14:paraId="1A6593CE"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ниво на ползите</w:t>
            </w:r>
          </w:p>
        </w:tc>
        <w:tc>
          <w:tcPr>
            <w:tcW w:w="1383" w:type="dxa"/>
            <w:shd w:val="clear" w:color="auto" w:fill="auto"/>
            <w:noWrap/>
            <w:vAlign w:val="center"/>
            <w:hideMark/>
          </w:tcPr>
          <w:p w14:paraId="45E3F557"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B</w:t>
            </w:r>
          </w:p>
        </w:tc>
        <w:tc>
          <w:tcPr>
            <w:tcW w:w="960" w:type="dxa"/>
            <w:shd w:val="clear" w:color="auto" w:fill="auto"/>
            <w:noWrap/>
            <w:vAlign w:val="center"/>
            <w:hideMark/>
          </w:tcPr>
          <w:p w14:paraId="5547EA96"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III</w:t>
            </w:r>
          </w:p>
        </w:tc>
        <w:tc>
          <w:tcPr>
            <w:tcW w:w="811" w:type="dxa"/>
            <w:shd w:val="clear" w:color="auto" w:fill="92D050"/>
            <w:noWrap/>
            <w:vAlign w:val="center"/>
            <w:hideMark/>
          </w:tcPr>
          <w:p w14:paraId="42FF707B" w14:textId="77777777" w:rsidR="00730E75" w:rsidRPr="002E1E19" w:rsidRDefault="00E4638D" w:rsidP="00730E75">
            <w:pPr>
              <w:spacing w:after="0" w:line="240" w:lineRule="auto"/>
              <w:jc w:val="center"/>
              <w:rPr>
                <w:rFonts w:eastAsia="Times New Roman" w:cs="Arial"/>
                <w:sz w:val="18"/>
                <w:szCs w:val="18"/>
                <w:lang w:eastAsia="en-US"/>
              </w:rPr>
            </w:pPr>
            <w:r>
              <w:rPr>
                <w:rFonts w:eastAsia="Times New Roman" w:cs="Arial"/>
                <w:color w:val="000000"/>
                <w:sz w:val="18"/>
                <w:szCs w:val="18"/>
                <w:lang w:eastAsia="en-US"/>
              </w:rPr>
              <w:t>ниско</w:t>
            </w:r>
          </w:p>
        </w:tc>
        <w:tc>
          <w:tcPr>
            <w:tcW w:w="4782" w:type="dxa"/>
            <w:shd w:val="clear" w:color="auto" w:fill="auto"/>
            <w:vAlign w:val="bottom"/>
            <w:hideMark/>
          </w:tcPr>
          <w:p w14:paraId="5C8AFF6A" w14:textId="77777777" w:rsidR="00730E75" w:rsidRPr="002E1E19" w:rsidRDefault="00E4638D" w:rsidP="00E4638D">
            <w:pPr>
              <w:spacing w:after="0" w:line="240" w:lineRule="auto"/>
              <w:jc w:val="both"/>
              <w:rPr>
                <w:rFonts w:eastAsia="Times New Roman" w:cs="Arial"/>
                <w:sz w:val="18"/>
                <w:szCs w:val="18"/>
                <w:lang w:eastAsia="en-US"/>
              </w:rPr>
            </w:pPr>
            <w:r w:rsidRPr="00DC271D">
              <w:rPr>
                <w:rFonts w:eastAsia="Times New Roman" w:cs="Arial"/>
                <w:color w:val="000000"/>
                <w:sz w:val="18"/>
                <w:szCs w:val="18"/>
              </w:rPr>
              <w:t>Предвид реакацията на населението при разливите през 2006</w:t>
            </w:r>
            <w:r>
              <w:rPr>
                <w:rFonts w:eastAsia="Times New Roman" w:cs="Arial"/>
                <w:color w:val="000000"/>
                <w:sz w:val="18"/>
                <w:szCs w:val="18"/>
              </w:rPr>
              <w:t xml:space="preserve"> г. п</w:t>
            </w:r>
            <w:r w:rsidRPr="00DC271D">
              <w:rPr>
                <w:rFonts w:eastAsia="Times New Roman" w:cs="Arial"/>
                <w:color w:val="000000"/>
                <w:sz w:val="18"/>
                <w:szCs w:val="18"/>
              </w:rPr>
              <w:t>роектът е горещо подкрепян от местната общност и не се очаква обществена съпротива.</w:t>
            </w:r>
          </w:p>
        </w:tc>
        <w:tc>
          <w:tcPr>
            <w:tcW w:w="1625" w:type="dxa"/>
            <w:shd w:val="clear" w:color="000000" w:fill="92D050"/>
            <w:noWrap/>
            <w:vAlign w:val="center"/>
            <w:hideMark/>
          </w:tcPr>
          <w:p w14:paraId="5B757274" w14:textId="77777777" w:rsidR="00730E75" w:rsidRPr="002E1E19" w:rsidRDefault="00730E75" w:rsidP="00730E75">
            <w:pPr>
              <w:spacing w:after="0" w:line="240" w:lineRule="auto"/>
              <w:jc w:val="center"/>
              <w:rPr>
                <w:rFonts w:eastAsia="Times New Roman" w:cs="Arial"/>
                <w:color w:val="000000"/>
                <w:sz w:val="18"/>
                <w:szCs w:val="18"/>
                <w:lang w:eastAsia="en-US"/>
              </w:rPr>
            </w:pPr>
            <w:r w:rsidRPr="002E1E19">
              <w:rPr>
                <w:rFonts w:eastAsia="Times New Roman" w:cs="Arial"/>
                <w:color w:val="000000"/>
                <w:sz w:val="18"/>
                <w:szCs w:val="18"/>
                <w:lang w:eastAsia="en-US"/>
              </w:rPr>
              <w:t>ниско</w:t>
            </w:r>
          </w:p>
        </w:tc>
      </w:tr>
    </w:tbl>
    <w:p w14:paraId="04EB98E0" w14:textId="77777777" w:rsidR="00EF47AE" w:rsidRPr="002E1E19" w:rsidRDefault="00EF47AE" w:rsidP="00E33433">
      <w:pPr>
        <w:spacing w:after="0"/>
        <w:rPr>
          <w:rFonts w:cs="Arial"/>
          <w:i/>
          <w:sz w:val="22"/>
          <w:highlight w:val="yellow"/>
        </w:rPr>
        <w:sectPr w:rsidR="00EF47AE" w:rsidRPr="002E1E19" w:rsidSect="00934B1C">
          <w:pgSz w:w="16840" w:h="11907" w:orient="landscape" w:code="9"/>
          <w:pgMar w:top="1276" w:right="1276" w:bottom="1134" w:left="1134" w:header="709" w:footer="709" w:gutter="0"/>
          <w:cols w:space="708"/>
          <w:docGrid w:linePitch="326"/>
        </w:sectPr>
      </w:pPr>
    </w:p>
    <w:p w14:paraId="29F477C3" w14:textId="77777777" w:rsidR="00D10754" w:rsidRDefault="00D10754" w:rsidP="00D10754">
      <w:pPr>
        <w:jc w:val="both"/>
        <w:rPr>
          <w:rFonts w:cs="Arial"/>
        </w:rPr>
      </w:pPr>
    </w:p>
    <w:p w14:paraId="75609A33" w14:textId="77777777" w:rsidR="00D10754" w:rsidRPr="00D10754" w:rsidRDefault="00D10754" w:rsidP="00D10754">
      <w:pPr>
        <w:jc w:val="both"/>
        <w:rPr>
          <w:rFonts w:cs="Arial"/>
        </w:rPr>
      </w:pPr>
      <w:r w:rsidRPr="00D10754">
        <w:rPr>
          <w:rFonts w:cs="Arial"/>
        </w:rPr>
        <w:t>Идентифицираните Остатъчни рискове са следните:</w:t>
      </w:r>
    </w:p>
    <w:p w14:paraId="160891A3" w14:textId="77777777" w:rsidR="00D10754" w:rsidRPr="00D10754" w:rsidRDefault="00D10754" w:rsidP="00BF37F2">
      <w:pPr>
        <w:pStyle w:val="ListParagraph"/>
        <w:numPr>
          <w:ilvl w:val="0"/>
          <w:numId w:val="36"/>
        </w:numPr>
        <w:jc w:val="both"/>
        <w:rPr>
          <w:rFonts w:ascii="Arial" w:hAnsi="Arial" w:cs="Arial"/>
        </w:rPr>
      </w:pPr>
      <w:r w:rsidRPr="00D10754">
        <w:rPr>
          <w:rFonts w:ascii="Arial" w:hAnsi="Arial" w:cs="Arial"/>
        </w:rPr>
        <w:t>Процедурни забавяния при провеждане на обществените поръчки, поради опасност от обжалване на тръжните процедури и резултатите от тях</w:t>
      </w:r>
      <w:r w:rsidRPr="009963CE">
        <w:rPr>
          <w:rFonts w:ascii="Arial" w:hAnsi="Arial" w:cs="Arial"/>
        </w:rPr>
        <w:t>;</w:t>
      </w:r>
    </w:p>
    <w:p w14:paraId="4BAEB401" w14:textId="77777777" w:rsidR="00D10754" w:rsidRPr="00D10754" w:rsidRDefault="00D10754" w:rsidP="00BF37F2">
      <w:pPr>
        <w:pStyle w:val="ListParagraph"/>
        <w:numPr>
          <w:ilvl w:val="0"/>
          <w:numId w:val="36"/>
        </w:numPr>
        <w:jc w:val="both"/>
        <w:rPr>
          <w:rFonts w:ascii="Arial" w:hAnsi="Arial" w:cs="Arial"/>
        </w:rPr>
      </w:pPr>
      <w:r w:rsidRPr="00D10754">
        <w:rPr>
          <w:rFonts w:ascii="Arial" w:hAnsi="Arial" w:cs="Arial"/>
        </w:rPr>
        <w:t>Превишаване на разходите по проекта, поради влиянието на макро икономическите условия в страната и Европа</w:t>
      </w:r>
      <w:r w:rsidRPr="009963CE">
        <w:rPr>
          <w:rFonts w:ascii="Arial" w:hAnsi="Arial" w:cs="Arial"/>
        </w:rPr>
        <w:t>.</w:t>
      </w:r>
    </w:p>
    <w:p w14:paraId="083C615C" w14:textId="21F5203D" w:rsidR="00D10754" w:rsidRPr="00D10754" w:rsidRDefault="00D10754" w:rsidP="00D10754">
      <w:pPr>
        <w:jc w:val="both"/>
        <w:rPr>
          <w:rFonts w:cs="Arial"/>
        </w:rPr>
      </w:pPr>
      <w:r w:rsidRPr="00D10754">
        <w:rPr>
          <w:rFonts w:cs="Arial"/>
        </w:rPr>
        <w:t>За преодоляване на първия остатъчен риск са предприети мерки</w:t>
      </w:r>
      <w:r w:rsidR="00B00012">
        <w:rPr>
          <w:rFonts w:cs="Arial"/>
        </w:rPr>
        <w:t>,</w:t>
      </w:r>
      <w:r w:rsidRPr="00D10754">
        <w:rPr>
          <w:rFonts w:cs="Arial"/>
        </w:rPr>
        <w:t xml:space="preserve"> чрез възлагането на Консултант</w:t>
      </w:r>
      <w:r w:rsidR="00B00012">
        <w:rPr>
          <w:rFonts w:cs="Arial"/>
        </w:rPr>
        <w:t xml:space="preserve"> за изготвяне</w:t>
      </w:r>
      <w:r w:rsidRPr="00D10754">
        <w:rPr>
          <w:rFonts w:cs="Arial"/>
        </w:rPr>
        <w:t xml:space="preserve"> на тръж</w:t>
      </w:r>
      <w:r>
        <w:rPr>
          <w:rFonts w:cs="Arial"/>
        </w:rPr>
        <w:t>н</w:t>
      </w:r>
      <w:r w:rsidRPr="00D10754">
        <w:rPr>
          <w:rFonts w:cs="Arial"/>
        </w:rPr>
        <w:t xml:space="preserve">ата документация, но остава риска от обжалване на избора на изпълнителите. </w:t>
      </w:r>
      <w:r w:rsidR="00BA0FDB">
        <w:rPr>
          <w:rFonts w:cs="Arial"/>
        </w:rPr>
        <w:t>Тръжната документация е вече изготвена и одобрена, а обявяването е предстоящо всеки момент</w:t>
      </w:r>
      <w:r w:rsidRPr="00D10754">
        <w:rPr>
          <w:rFonts w:cs="Arial"/>
        </w:rPr>
        <w:t>.</w:t>
      </w:r>
    </w:p>
    <w:p w14:paraId="1A1635DB" w14:textId="53971B54" w:rsidR="00BA0FDB" w:rsidRDefault="00D10754" w:rsidP="00D10754">
      <w:pPr>
        <w:jc w:val="both"/>
        <w:rPr>
          <w:rFonts w:cs="Arial"/>
        </w:rPr>
      </w:pPr>
      <w:r w:rsidRPr="00D10754">
        <w:rPr>
          <w:rFonts w:cs="Arial"/>
        </w:rPr>
        <w:t>Рискът от превишаване на разходите по проекта е коригиран</w:t>
      </w:r>
      <w:r>
        <w:rPr>
          <w:rFonts w:cs="Arial"/>
        </w:rPr>
        <w:t>,</w:t>
      </w:r>
      <w:r w:rsidRPr="00D10754">
        <w:rPr>
          <w:rFonts w:cs="Arial"/>
        </w:rPr>
        <w:t xml:space="preserve"> чрез планиране на 10% непредвидени разходи</w:t>
      </w:r>
      <w:r w:rsidR="002E7266">
        <w:rPr>
          <w:rFonts w:cs="Arial"/>
        </w:rPr>
        <w:t>.</w:t>
      </w:r>
    </w:p>
    <w:p w14:paraId="0643C03F" w14:textId="77777777" w:rsidR="00D10754" w:rsidRPr="00D10754" w:rsidRDefault="00D10754" w:rsidP="00D10754">
      <w:pPr>
        <w:rPr>
          <w:rFonts w:cs="Arial"/>
          <w:lang w:eastAsia="en-US"/>
        </w:rPr>
      </w:pPr>
    </w:p>
    <w:p w14:paraId="7032DD8B" w14:textId="372BE8E9" w:rsidR="00D10754" w:rsidRDefault="00D10754">
      <w:pPr>
        <w:rPr>
          <w:lang w:eastAsia="en-US"/>
        </w:rPr>
      </w:pPr>
      <w:r>
        <w:rPr>
          <w:lang w:eastAsia="en-US"/>
        </w:rPr>
        <w:br w:type="page"/>
      </w:r>
    </w:p>
    <w:p w14:paraId="2A931121" w14:textId="77777777" w:rsidR="00D10754" w:rsidRPr="00D10754" w:rsidRDefault="00D10754" w:rsidP="00D10754">
      <w:pPr>
        <w:rPr>
          <w:lang w:eastAsia="en-US"/>
        </w:rPr>
      </w:pPr>
    </w:p>
    <w:p w14:paraId="0E5A7C75" w14:textId="77777777" w:rsidR="00547D8F" w:rsidRPr="00DE3B1B" w:rsidRDefault="00B84456" w:rsidP="00794FF7">
      <w:pPr>
        <w:pStyle w:val="Heading1"/>
        <w:numPr>
          <w:ilvl w:val="0"/>
          <w:numId w:val="3"/>
        </w:numPr>
        <w:ind w:left="360" w:hanging="360"/>
        <w:jc w:val="both"/>
        <w:rPr>
          <w:lang w:val="bg-BG"/>
        </w:rPr>
      </w:pPr>
      <w:bookmarkStart w:id="462" w:name="_Toc143694209"/>
      <w:r w:rsidRPr="00DE3B1B">
        <w:rPr>
          <w:lang w:val="bg-BG"/>
        </w:rPr>
        <w:t>И</w:t>
      </w:r>
      <w:r w:rsidR="00547D8F" w:rsidRPr="00DE3B1B">
        <w:rPr>
          <w:lang w:val="bg-BG"/>
        </w:rPr>
        <w:t xml:space="preserve">зводи от </w:t>
      </w:r>
      <w:r w:rsidRPr="00DE3B1B">
        <w:rPr>
          <w:lang w:val="bg-BG"/>
        </w:rPr>
        <w:t>АРП</w:t>
      </w:r>
      <w:bookmarkEnd w:id="462"/>
    </w:p>
    <w:p w14:paraId="40653B8B" w14:textId="77777777" w:rsidR="00DE3B1B" w:rsidRDefault="00DE3B1B" w:rsidP="00821E78">
      <w:pPr>
        <w:spacing w:before="60" w:after="60"/>
        <w:ind w:firstLine="539"/>
        <w:jc w:val="both"/>
        <w:rPr>
          <w:rFonts w:cs="Arial"/>
          <w:sz w:val="22"/>
        </w:rPr>
      </w:pPr>
    </w:p>
    <w:p w14:paraId="06AA0F54" w14:textId="77777777" w:rsidR="00DE3B1B" w:rsidRDefault="00DE3B1B" w:rsidP="00DE3B1B">
      <w:pPr>
        <w:autoSpaceDE w:val="0"/>
        <w:autoSpaceDN w:val="0"/>
        <w:adjustRightInd w:val="0"/>
        <w:jc w:val="both"/>
        <w:rPr>
          <w:rFonts w:cs="Arial"/>
        </w:rPr>
      </w:pPr>
      <w:r>
        <w:rPr>
          <w:rFonts w:cs="Arial"/>
        </w:rPr>
        <w:t>Резултатите от изготвения АРП показват:</w:t>
      </w:r>
    </w:p>
    <w:p w14:paraId="451AB619" w14:textId="77777777" w:rsidR="00DE3B1B" w:rsidRPr="00EB7EBA"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Проектът е икономически ефективен и ползите </w:t>
      </w:r>
      <w:r>
        <w:rPr>
          <w:rFonts w:ascii="Arial" w:hAnsi="Arial" w:cs="Arial"/>
        </w:rPr>
        <w:t>от</w:t>
      </w:r>
      <w:r w:rsidRPr="00EB7EBA">
        <w:rPr>
          <w:rFonts w:ascii="Arial" w:hAnsi="Arial" w:cs="Arial"/>
        </w:rPr>
        <w:t xml:space="preserve"> него превишават разходите за неговите инвестиции, като това се доказва със стойностите на икономическите индикатори</w:t>
      </w:r>
      <w:r>
        <w:rPr>
          <w:rFonts w:ascii="Arial" w:hAnsi="Arial" w:cs="Arial"/>
        </w:rPr>
        <w:t xml:space="preserve"> -</w:t>
      </w:r>
      <w:r w:rsidRPr="00EB7EBA">
        <w:rPr>
          <w:rFonts w:ascii="Arial" w:hAnsi="Arial" w:cs="Arial"/>
        </w:rPr>
        <w:t xml:space="preserve"> ИННС е &gt;0, </w:t>
      </w:r>
      <w:r>
        <w:rPr>
          <w:rFonts w:ascii="Arial" w:hAnsi="Arial" w:cs="Arial"/>
        </w:rPr>
        <w:t>ИВНВ</w:t>
      </w:r>
      <w:r w:rsidRPr="00EB7EBA">
        <w:rPr>
          <w:rFonts w:ascii="Arial" w:hAnsi="Arial" w:cs="Arial"/>
        </w:rPr>
        <w:t xml:space="preserve"> e &gt; 5%, която е използваната социална дисконтова норма, а коефициентът Ползи/разходи е &gt; 1.</w:t>
      </w:r>
    </w:p>
    <w:p w14:paraId="2CC8B9D8" w14:textId="77777777" w:rsidR="00DE3B1B" w:rsidRPr="00EB7EBA" w:rsidRDefault="00DE3B1B" w:rsidP="00DE3B1B">
      <w:pPr>
        <w:pStyle w:val="ListParagraph"/>
        <w:autoSpaceDE w:val="0"/>
        <w:autoSpaceDN w:val="0"/>
        <w:adjustRightInd w:val="0"/>
        <w:spacing w:before="240"/>
        <w:jc w:val="both"/>
        <w:rPr>
          <w:rFonts w:ascii="Arial" w:hAnsi="Arial" w:cs="Arial"/>
        </w:rPr>
      </w:pPr>
    </w:p>
    <w:p w14:paraId="2B8E685D" w14:textId="77777777"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Прое</w:t>
      </w:r>
      <w:r>
        <w:rPr>
          <w:rFonts w:ascii="Arial" w:hAnsi="Arial" w:cs="Arial"/>
        </w:rPr>
        <w:t>ктът има  нужда от безвъзмездно</w:t>
      </w:r>
      <w:r w:rsidRPr="00EB7EBA">
        <w:rPr>
          <w:rFonts w:ascii="Arial" w:hAnsi="Arial" w:cs="Arial"/>
        </w:rPr>
        <w:t xml:space="preserve"> финансиране, защото резултатите от Финансовия анализ показват, че ФННС&lt;0. </w:t>
      </w:r>
    </w:p>
    <w:p w14:paraId="114689E9" w14:textId="77777777" w:rsidR="00DE3B1B" w:rsidRPr="00EB7EBA" w:rsidRDefault="00DE3B1B" w:rsidP="00DE3B1B">
      <w:pPr>
        <w:pStyle w:val="ListParagraph"/>
        <w:rPr>
          <w:rFonts w:ascii="Arial" w:hAnsi="Arial" w:cs="Arial"/>
        </w:rPr>
      </w:pPr>
    </w:p>
    <w:p w14:paraId="5A25661E" w14:textId="77777777"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Определеният Финансов дефицит показва, че проектът трябва да бъде финансиран на 100%, при съответното разпределение на 85% помощ от ЕС </w:t>
      </w:r>
      <w:r>
        <w:rPr>
          <w:rFonts w:ascii="Arial" w:hAnsi="Arial" w:cs="Arial"/>
        </w:rPr>
        <w:t>и 15% национално съ-финансиране.</w:t>
      </w:r>
    </w:p>
    <w:p w14:paraId="67CB68C2" w14:textId="77777777" w:rsidR="00DE3B1B" w:rsidRPr="008F5F69" w:rsidRDefault="00DE3B1B" w:rsidP="00DE3B1B">
      <w:pPr>
        <w:pStyle w:val="ListParagraph"/>
        <w:rPr>
          <w:rFonts w:ascii="Arial" w:hAnsi="Arial" w:cs="Arial"/>
        </w:rPr>
      </w:pPr>
    </w:p>
    <w:p w14:paraId="017ECED8" w14:textId="31D25CDD"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Pr>
          <w:rFonts w:ascii="Arial" w:hAnsi="Arial" w:cs="Arial"/>
        </w:rPr>
        <w:t>Проектът е финансово устойчив с подпомагане от държавата за покриване на част от разходите за ЕиП</w:t>
      </w:r>
      <w:r w:rsidR="00BA0FDB">
        <w:rPr>
          <w:rFonts w:ascii="Arial" w:hAnsi="Arial" w:cs="Arial"/>
        </w:rPr>
        <w:t xml:space="preserve">, в размер на </w:t>
      </w:r>
      <w:r w:rsidR="0019278E">
        <w:rPr>
          <w:rFonts w:ascii="Arial" w:hAnsi="Arial" w:cs="Arial"/>
        </w:rPr>
        <w:t>около 135 х.лв. средногодишно.</w:t>
      </w:r>
    </w:p>
    <w:p w14:paraId="78D1EB50" w14:textId="77777777" w:rsidR="00DE3B1B" w:rsidRPr="00EB7EBA" w:rsidRDefault="00DE3B1B" w:rsidP="00DE3B1B">
      <w:pPr>
        <w:pStyle w:val="ListParagraph"/>
        <w:rPr>
          <w:rFonts w:ascii="Arial" w:hAnsi="Arial" w:cs="Arial"/>
        </w:rPr>
      </w:pPr>
    </w:p>
    <w:p w14:paraId="283D5AC5" w14:textId="5A8EB51E" w:rsidR="00DE3B1B" w:rsidRDefault="00DE3B1B" w:rsidP="00AA673B">
      <w:pPr>
        <w:pStyle w:val="ListParagraph"/>
        <w:numPr>
          <w:ilvl w:val="0"/>
          <w:numId w:val="28"/>
        </w:numPr>
        <w:autoSpaceDE w:val="0"/>
        <w:autoSpaceDN w:val="0"/>
        <w:adjustRightInd w:val="0"/>
        <w:spacing w:before="240" w:after="160"/>
        <w:jc w:val="both"/>
        <w:rPr>
          <w:rFonts w:ascii="Arial" w:hAnsi="Arial" w:cs="Arial"/>
        </w:rPr>
      </w:pPr>
      <w:r w:rsidRPr="00EB7EBA">
        <w:rPr>
          <w:rFonts w:ascii="Arial" w:hAnsi="Arial" w:cs="Arial"/>
        </w:rPr>
        <w:t xml:space="preserve">Проектът </w:t>
      </w:r>
      <w:r w:rsidR="00A51205">
        <w:rPr>
          <w:rFonts w:ascii="Arial" w:hAnsi="Arial" w:cs="Arial"/>
        </w:rPr>
        <w:t xml:space="preserve"> е устойчив на риск и няма критични променливи.</w:t>
      </w:r>
      <w:r w:rsidRPr="00EB7EBA">
        <w:rPr>
          <w:rFonts w:ascii="Arial" w:hAnsi="Arial" w:cs="Arial"/>
        </w:rPr>
        <w:t xml:space="preserve"> При  кумулативно въздействие с ръст на стойността на инвестициите с </w:t>
      </w:r>
      <w:r w:rsidR="0019278E">
        <w:rPr>
          <w:rFonts w:ascii="Arial" w:hAnsi="Arial" w:cs="Arial"/>
        </w:rPr>
        <w:t>4</w:t>
      </w:r>
      <w:r w:rsidR="002B037A">
        <w:rPr>
          <w:rFonts w:ascii="Arial" w:hAnsi="Arial" w:cs="Arial"/>
        </w:rPr>
        <w:t>5</w:t>
      </w:r>
      <w:r w:rsidRPr="00EB7EBA">
        <w:rPr>
          <w:rFonts w:ascii="Arial" w:hAnsi="Arial" w:cs="Arial"/>
        </w:rPr>
        <w:t>%</w:t>
      </w:r>
      <w:r w:rsidR="002B037A">
        <w:rPr>
          <w:rFonts w:ascii="Arial" w:hAnsi="Arial" w:cs="Arial"/>
        </w:rPr>
        <w:t>, разходите за ЕиП с 20%</w:t>
      </w:r>
      <w:r w:rsidRPr="00EB7EBA">
        <w:rPr>
          <w:rFonts w:ascii="Arial" w:hAnsi="Arial" w:cs="Arial"/>
        </w:rPr>
        <w:t xml:space="preserve"> и спад на ползите с </w:t>
      </w:r>
      <w:r w:rsidR="0019278E">
        <w:rPr>
          <w:rFonts w:ascii="Arial" w:hAnsi="Arial" w:cs="Arial"/>
        </w:rPr>
        <w:t>2</w:t>
      </w:r>
      <w:r w:rsidR="002B037A">
        <w:rPr>
          <w:rFonts w:ascii="Arial" w:hAnsi="Arial" w:cs="Arial"/>
        </w:rPr>
        <w:t>5</w:t>
      </w:r>
      <w:r w:rsidRPr="00EB7EBA">
        <w:rPr>
          <w:rFonts w:ascii="Arial" w:hAnsi="Arial" w:cs="Arial"/>
        </w:rPr>
        <w:t>%, проектът губи икономическата си ефективност.</w:t>
      </w:r>
    </w:p>
    <w:p w14:paraId="7D08BF1D" w14:textId="77777777" w:rsidR="00A470DA" w:rsidRPr="00680473" w:rsidRDefault="00A470DA" w:rsidP="00680473">
      <w:pPr>
        <w:pStyle w:val="ListParagraph"/>
        <w:rPr>
          <w:rFonts w:ascii="Arial" w:hAnsi="Arial" w:cs="Arial"/>
        </w:rPr>
      </w:pPr>
    </w:p>
    <w:p w14:paraId="58E9A84C" w14:textId="1033A7A0" w:rsidR="00A470DA" w:rsidRPr="00A470DA" w:rsidRDefault="00A470DA" w:rsidP="00680473">
      <w:pPr>
        <w:pStyle w:val="ListParagraph"/>
        <w:numPr>
          <w:ilvl w:val="0"/>
          <w:numId w:val="28"/>
        </w:numPr>
        <w:jc w:val="both"/>
        <w:rPr>
          <w:rFonts w:ascii="Arial" w:hAnsi="Arial" w:cs="Arial"/>
        </w:rPr>
      </w:pPr>
      <w:r w:rsidRPr="00A470DA">
        <w:rPr>
          <w:rFonts w:ascii="Arial" w:hAnsi="Arial" w:cs="Arial"/>
        </w:rPr>
        <w:t>Ако в Анализът на държавните помощи е дока</w:t>
      </w:r>
      <w:r w:rsidR="0019278E">
        <w:rPr>
          <w:rFonts w:ascii="Arial" w:hAnsi="Arial" w:cs="Arial"/>
        </w:rPr>
        <w:t>зана</w:t>
      </w:r>
      <w:r w:rsidRPr="00A470DA">
        <w:rPr>
          <w:rFonts w:ascii="Arial" w:hAnsi="Arial" w:cs="Arial"/>
        </w:rPr>
        <w:t xml:space="preserve"> недопустимост на част от разходите</w:t>
      </w:r>
      <w:r w:rsidR="0019278E">
        <w:rPr>
          <w:rFonts w:ascii="Arial" w:hAnsi="Arial" w:cs="Arial"/>
        </w:rPr>
        <w:t xml:space="preserve"> и</w:t>
      </w:r>
      <w:r w:rsidRPr="00A470DA">
        <w:rPr>
          <w:rFonts w:ascii="Arial" w:hAnsi="Arial" w:cs="Arial"/>
        </w:rPr>
        <w:t xml:space="preserve"> те трябва да бъдат </w:t>
      </w:r>
      <w:r w:rsidR="0019278E">
        <w:rPr>
          <w:rFonts w:ascii="Arial" w:hAnsi="Arial" w:cs="Arial"/>
        </w:rPr>
        <w:t>посочени</w:t>
      </w:r>
      <w:r w:rsidRPr="00A470DA">
        <w:rPr>
          <w:rFonts w:ascii="Arial" w:hAnsi="Arial" w:cs="Arial"/>
        </w:rPr>
        <w:t xml:space="preserve"> във ФК.</w:t>
      </w:r>
      <w:r w:rsidRPr="009963CE">
        <w:rPr>
          <w:rFonts w:ascii="Arial" w:hAnsi="Arial" w:cs="Arial"/>
        </w:rPr>
        <w:t xml:space="preserve"> </w:t>
      </w:r>
      <w:r w:rsidR="0019278E">
        <w:rPr>
          <w:rFonts w:ascii="Arial" w:hAnsi="Arial" w:cs="Arial"/>
        </w:rPr>
        <w:t>Това не се отразява на резултатите на АРП, защото в неговите разчети се работи с общите инвестиционни разходи, но тяхното разпределение е важно за източниците на финансиране</w:t>
      </w:r>
      <w:r w:rsidR="008B38BF" w:rsidRPr="009963CE">
        <w:rPr>
          <w:rFonts w:ascii="Arial" w:hAnsi="Arial" w:cs="Arial"/>
        </w:rPr>
        <w:t xml:space="preserve"> </w:t>
      </w:r>
      <w:r w:rsidR="008B38BF">
        <w:rPr>
          <w:rFonts w:ascii="Arial" w:hAnsi="Arial" w:cs="Arial"/>
        </w:rPr>
        <w:t xml:space="preserve">и подготовка от страна на Бенефициента, който трябва да осигури недопустими средства </w:t>
      </w:r>
      <w:r w:rsidR="006C3EA6">
        <w:rPr>
          <w:rFonts w:ascii="Arial" w:hAnsi="Arial" w:cs="Arial"/>
        </w:rPr>
        <w:t xml:space="preserve">по ОРГО в размер на </w:t>
      </w:r>
      <w:r w:rsidR="004A06F0" w:rsidRPr="004A06F0">
        <w:rPr>
          <w:rFonts w:ascii="Arial" w:hAnsi="Arial" w:cs="Arial"/>
        </w:rPr>
        <w:t>1 727 027,67</w:t>
      </w:r>
      <w:r w:rsidR="006C3EA6" w:rsidRPr="004D62FD">
        <w:rPr>
          <w:rFonts w:ascii="Arial" w:hAnsi="Arial" w:cs="Arial"/>
        </w:rPr>
        <w:t xml:space="preserve"> </w:t>
      </w:r>
      <w:r w:rsidR="006C3EA6">
        <w:rPr>
          <w:rFonts w:ascii="Arial" w:hAnsi="Arial" w:cs="Arial"/>
          <w:lang w:val="en-GB"/>
        </w:rPr>
        <w:t>EUR</w:t>
      </w:r>
      <w:r w:rsidR="006C3EA6">
        <w:rPr>
          <w:rFonts w:ascii="Arial" w:hAnsi="Arial" w:cs="Arial"/>
        </w:rPr>
        <w:t xml:space="preserve"> или </w:t>
      </w:r>
      <w:r w:rsidR="004A06F0" w:rsidRPr="004A06F0">
        <w:rPr>
          <w:rFonts w:ascii="Arial" w:hAnsi="Arial" w:cs="Arial"/>
        </w:rPr>
        <w:t>3 377 772,52</w:t>
      </w:r>
      <w:r w:rsidR="004A06F0">
        <w:rPr>
          <w:rFonts w:ascii="Arial" w:hAnsi="Arial" w:cs="Arial"/>
        </w:rPr>
        <w:t xml:space="preserve"> </w:t>
      </w:r>
      <w:r w:rsidR="006C3EA6">
        <w:rPr>
          <w:rFonts w:ascii="Arial" w:hAnsi="Arial" w:cs="Arial"/>
        </w:rPr>
        <w:t>лв</w:t>
      </w:r>
      <w:r w:rsidR="008B38BF" w:rsidRPr="009963CE">
        <w:rPr>
          <w:rFonts w:ascii="Arial" w:hAnsi="Arial" w:cs="Arial"/>
        </w:rPr>
        <w:t>.</w:t>
      </w:r>
    </w:p>
    <w:p w14:paraId="54CFFC93" w14:textId="77777777" w:rsidR="00DE3B1B" w:rsidRDefault="00DE3B1B">
      <w:pPr>
        <w:rPr>
          <w:rFonts w:cs="Arial"/>
          <w:sz w:val="22"/>
        </w:rPr>
      </w:pPr>
      <w:r>
        <w:rPr>
          <w:rFonts w:cs="Arial"/>
          <w:sz w:val="22"/>
        </w:rPr>
        <w:br w:type="page"/>
      </w:r>
    </w:p>
    <w:p w14:paraId="4A197868" w14:textId="77777777" w:rsidR="00DE3B1B" w:rsidRPr="002E1E19" w:rsidRDefault="00DE3B1B" w:rsidP="00821E78">
      <w:pPr>
        <w:spacing w:before="60" w:after="60"/>
        <w:ind w:firstLine="539"/>
        <w:jc w:val="both"/>
        <w:rPr>
          <w:rFonts w:cs="Arial"/>
          <w:sz w:val="22"/>
        </w:rPr>
      </w:pPr>
    </w:p>
    <w:p w14:paraId="4E2D01ED" w14:textId="77777777" w:rsidR="00547D8F" w:rsidRPr="00DE3B1B" w:rsidRDefault="00547D8F" w:rsidP="00794FF7">
      <w:pPr>
        <w:pStyle w:val="Heading1"/>
        <w:numPr>
          <w:ilvl w:val="0"/>
          <w:numId w:val="3"/>
        </w:numPr>
        <w:ind w:left="360" w:hanging="360"/>
        <w:jc w:val="both"/>
        <w:rPr>
          <w:lang w:val="bg-BG"/>
        </w:rPr>
      </w:pPr>
      <w:bookmarkStart w:id="463" w:name="_Toc143694210"/>
      <w:r w:rsidRPr="00DE3B1B">
        <w:rPr>
          <w:lang w:val="bg-BG"/>
        </w:rPr>
        <w:t>СПИСЪК НА ПРИЛОЖЕНИЯТА КЪМ ДОКЛАДА</w:t>
      </w:r>
      <w:bookmarkEnd w:id="463"/>
    </w:p>
    <w:p w14:paraId="2FAFBA43" w14:textId="77777777" w:rsidR="00612844" w:rsidRPr="009963CE" w:rsidRDefault="001C0C11" w:rsidP="00794FF7">
      <w:pPr>
        <w:pStyle w:val="Heading2"/>
        <w:ind w:firstLine="540"/>
        <w:rPr>
          <w:szCs w:val="24"/>
          <w:lang w:val="bg-BG"/>
        </w:rPr>
      </w:pPr>
      <w:bookmarkStart w:id="464" w:name="_Toc23939360"/>
      <w:bookmarkStart w:id="465" w:name="_Toc24052017"/>
      <w:bookmarkStart w:id="466" w:name="_Toc24052069"/>
      <w:bookmarkStart w:id="467" w:name="_Toc24052141"/>
      <w:bookmarkStart w:id="468" w:name="_Toc24052194"/>
      <w:bookmarkStart w:id="469" w:name="_Toc24052248"/>
      <w:bookmarkStart w:id="470" w:name="_Toc24052302"/>
      <w:bookmarkStart w:id="471" w:name="_Toc25322733"/>
      <w:bookmarkStart w:id="472" w:name="_Toc25322807"/>
      <w:bookmarkStart w:id="473" w:name="_Toc25322881"/>
      <w:bookmarkStart w:id="474" w:name="_Toc25322952"/>
      <w:bookmarkStart w:id="475" w:name="_Toc25672152"/>
      <w:bookmarkStart w:id="476" w:name="_Toc26890044"/>
      <w:bookmarkStart w:id="477" w:name="_Toc26890145"/>
      <w:bookmarkStart w:id="478" w:name="_Toc26890382"/>
      <w:bookmarkStart w:id="479" w:name="_Toc26891642"/>
      <w:bookmarkStart w:id="480" w:name="_Toc27054094"/>
      <w:bookmarkStart w:id="481" w:name="_Toc27054299"/>
      <w:bookmarkStart w:id="482" w:name="_Toc27055617"/>
      <w:bookmarkStart w:id="483" w:name="_Toc27055719"/>
      <w:bookmarkStart w:id="484" w:name="_Toc27055820"/>
      <w:bookmarkStart w:id="485" w:name="_Toc27069070"/>
      <w:bookmarkStart w:id="486" w:name="_Toc27306842"/>
      <w:bookmarkStart w:id="487" w:name="_Toc27306965"/>
      <w:bookmarkStart w:id="488" w:name="_Toc27307073"/>
      <w:bookmarkStart w:id="489" w:name="_Toc27307178"/>
      <w:bookmarkStart w:id="490" w:name="_Toc27307282"/>
      <w:bookmarkStart w:id="491" w:name="_Toc27320064"/>
      <w:bookmarkStart w:id="492" w:name="_Toc27320443"/>
      <w:bookmarkStart w:id="493" w:name="_Toc30426192"/>
      <w:bookmarkStart w:id="494" w:name="_Toc49162887"/>
      <w:bookmarkStart w:id="495" w:name="_Toc49182491"/>
      <w:bookmarkStart w:id="496" w:name="_Toc49183124"/>
      <w:bookmarkStart w:id="497" w:name="_Toc56283130"/>
      <w:bookmarkStart w:id="498" w:name="_Toc56283326"/>
      <w:bookmarkStart w:id="499" w:name="_Toc56333131"/>
      <w:bookmarkStart w:id="500" w:name="_Toc56333418"/>
      <w:bookmarkStart w:id="501" w:name="_Toc56333482"/>
      <w:bookmarkStart w:id="502" w:name="_Toc143694211"/>
      <w:bookmarkStart w:id="503" w:name="_Toc491970883"/>
      <w:bookmarkStart w:id="504" w:name="_Toc27143369"/>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r w:rsidRPr="009963CE">
        <w:rPr>
          <w:szCs w:val="24"/>
          <w:lang w:val="bg-BG"/>
        </w:rPr>
        <w:t xml:space="preserve">Приложение 1 </w:t>
      </w:r>
      <w:r w:rsidR="00612844" w:rsidRPr="009963CE">
        <w:rPr>
          <w:szCs w:val="24"/>
          <w:lang w:val="bg-BG"/>
        </w:rPr>
        <w:t xml:space="preserve">– </w:t>
      </w:r>
      <w:r w:rsidR="00BE4CA6" w:rsidRPr="009963CE">
        <w:rPr>
          <w:szCs w:val="24"/>
          <w:lang w:val="bg-BG"/>
        </w:rPr>
        <w:t xml:space="preserve">Модел </w:t>
      </w:r>
      <w:proofErr w:type="spellStart"/>
      <w:r w:rsidR="00E05029">
        <w:rPr>
          <w:szCs w:val="24"/>
          <w:lang w:val="en-US"/>
        </w:rPr>
        <w:t>Vademecum</w:t>
      </w:r>
      <w:proofErr w:type="spellEnd"/>
      <w:r w:rsidR="00E05029" w:rsidRPr="009963CE">
        <w:rPr>
          <w:szCs w:val="24"/>
          <w:lang w:val="bg-BG"/>
        </w:rPr>
        <w:t xml:space="preserve"> </w:t>
      </w:r>
      <w:r w:rsidR="00BE4CA6" w:rsidRPr="009963CE">
        <w:rPr>
          <w:szCs w:val="24"/>
          <w:lang w:val="bg-BG"/>
        </w:rPr>
        <w:t>на</w:t>
      </w:r>
      <w:r w:rsidR="00E05029" w:rsidRPr="009963CE">
        <w:rPr>
          <w:szCs w:val="24"/>
          <w:lang w:val="bg-BG"/>
        </w:rPr>
        <w:t xml:space="preserve"> </w:t>
      </w:r>
      <w:r w:rsidR="00E05029">
        <w:rPr>
          <w:szCs w:val="24"/>
          <w:lang w:val="bg-BG"/>
        </w:rPr>
        <w:t xml:space="preserve">пълен </w:t>
      </w:r>
      <w:r w:rsidR="00BE4CA6" w:rsidRPr="009963CE">
        <w:rPr>
          <w:szCs w:val="24"/>
          <w:lang w:val="bg-BG"/>
        </w:rPr>
        <w:t>АРП</w:t>
      </w:r>
      <w:bookmarkEnd w:id="502"/>
    </w:p>
    <w:bookmarkEnd w:id="503"/>
    <w:bookmarkEnd w:id="504"/>
    <w:p w14:paraId="03897C07" w14:textId="5C322743" w:rsidR="001C0C11" w:rsidRPr="002E1E19" w:rsidRDefault="001C0C11" w:rsidP="00BE4CA6">
      <w:pPr>
        <w:ind w:firstLine="540"/>
        <w:rPr>
          <w:sz w:val="22"/>
        </w:rPr>
      </w:pPr>
      <w:r w:rsidRPr="00DE3B1B">
        <w:rPr>
          <w:sz w:val="22"/>
        </w:rPr>
        <w:t>Приложен в електронен формат</w:t>
      </w:r>
    </w:p>
    <w:sectPr w:rsidR="001C0C11" w:rsidRPr="002E1E19" w:rsidSect="00934B1C">
      <w:pgSz w:w="11907" w:h="16840" w:code="9"/>
      <w:pgMar w:top="1276" w:right="1134" w:bottom="1134" w:left="1276" w:header="431" w:footer="505"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2C85FA5" w14:textId="77777777" w:rsidR="00DB03C6" w:rsidRDefault="00DB03C6" w:rsidP="00EF6F69">
      <w:pPr>
        <w:spacing w:after="0" w:line="240" w:lineRule="auto"/>
      </w:pPr>
      <w:r>
        <w:separator/>
      </w:r>
    </w:p>
  </w:endnote>
  <w:endnote w:type="continuationSeparator" w:id="0">
    <w:p w14:paraId="176127A1" w14:textId="77777777" w:rsidR="00DB03C6" w:rsidRDefault="00DB03C6" w:rsidP="00EF6F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Mangal">
    <w:altName w:val="Courier New"/>
    <w:panose1 w:val="00000400000000000000"/>
    <w:charset w:val="01"/>
    <w:family w:val="roman"/>
    <w:notTrueType/>
    <w:pitch w:val="variable"/>
    <w:sig w:usb0="00002000" w:usb1="00000000" w:usb2="00000000" w:usb3="00000000" w:csb0="00000000" w:csb1="00000000"/>
  </w:font>
  <w:font w:name="Humnst777 Lt BT">
    <w:charset w:val="00"/>
    <w:family w:val="swiss"/>
    <w:pitch w:val="variable"/>
    <w:sig w:usb0="00000087"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Univers">
    <w:charset w:val="00"/>
    <w:family w:val="swiss"/>
    <w:pitch w:val="variable"/>
    <w:sig w:usb0="80000287" w:usb1="00000000" w:usb2="00000000" w:usb3="00000000" w:csb0="0000000F" w:csb1="00000000"/>
  </w:font>
  <w:font w:name="Nimbus Roman No9 L">
    <w:altName w:val="Times New Roman"/>
    <w:charset w:val="00"/>
    <w:family w:val="roman"/>
    <w:pitch w:val="variable"/>
  </w:font>
  <w:font w:name="DejaVu Sans">
    <w:panose1 w:val="00000000000000000000"/>
    <w:charset w:val="CC"/>
    <w:family w:val="swiss"/>
    <w:notTrueType/>
    <w:pitch w:val="variable"/>
    <w:sig w:usb0="00000203" w:usb1="00000000" w:usb2="00000000" w:usb3="00000000" w:csb0="00000005" w:csb1="00000000"/>
  </w:font>
  <w:font w:name="StarSymbol">
    <w:altName w:val="Arial Unicode MS"/>
    <w:charset w:val="80"/>
    <w:family w:val="auto"/>
    <w:pitch w:val="default"/>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pitch w:val="variable"/>
    <w:sig w:usb0="00000203" w:usb1="288F0000" w:usb2="00000016" w:usb3="00000000" w:csb0="00040001" w:csb1="00000000"/>
  </w:font>
  <w:font w:name="TimesNewRomanPSMT">
    <w:altName w:val="Calibri"/>
    <w:charset w:val="88"/>
    <w:family w:val="auto"/>
    <w:pitch w:val="default"/>
    <w:sig w:usb0="00000001" w:usb1="08070000" w:usb2="00000010" w:usb3="00000000" w:csb0="00120001" w:csb1="00000000"/>
  </w:font>
  <w:font w:name="ArialMT">
    <w:altName w:val="Times New Roman"/>
    <w:panose1 w:val="00000000000000000000"/>
    <w:charset w:val="80"/>
    <w:family w:val="auto"/>
    <w:notTrueType/>
    <w:pitch w:val="default"/>
    <w:sig w:usb0="00000003" w:usb1="08070000" w:usb2="00000010" w:usb3="00000000" w:csb0="00020001" w:csb1="00000000"/>
  </w:font>
  <w:font w:name="MS Mincho">
    <w:altName w:val="ＭＳ 明朝"/>
    <w:panose1 w:val="02020609040205080304"/>
    <w:charset w:val="80"/>
    <w:family w:val="roman"/>
    <w:notTrueType/>
    <w:pitch w:val="fixed"/>
    <w:sig w:usb0="00000001" w:usb1="08070000" w:usb2="00000010" w:usb3="00000000" w:csb0="00020000" w:csb1="00000000"/>
  </w:font>
  <w:font w:name="Trebuchet MS">
    <w:panose1 w:val="020B0603020202020204"/>
    <w:charset w:val="CC"/>
    <w:family w:val="swiss"/>
    <w:pitch w:val="variable"/>
    <w:sig w:usb0="00000687" w:usb1="00000000" w:usb2="00000000" w:usb3="00000000" w:csb0="0000009F" w:csb1="00000000"/>
  </w:font>
  <w:font w:name="HebarU">
    <w:altName w:val="Times New Roman"/>
    <w:panose1 w:val="00000000000000000000"/>
    <w:charset w:val="00"/>
    <w:family w:val="auto"/>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626CC0" w14:textId="77777777" w:rsidR="009963CE" w:rsidRPr="00EC280C" w:rsidRDefault="009963CE" w:rsidP="00DE3B1B">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lang w:val="en-US" w:eastAsia="en-US"/>
      </w:rPr>
      <mc:AlternateContent>
        <mc:Choice Requires="wps">
          <w:drawing>
            <wp:anchor distT="45720" distB="45720" distL="114300" distR="114300" simplePos="0" relativeHeight="251673088" behindDoc="0" locked="0" layoutInCell="1" allowOverlap="1" wp14:anchorId="39B10DCF" wp14:editId="586B8023">
              <wp:simplePos x="0" y="0"/>
              <wp:positionH relativeFrom="column">
                <wp:posOffset>8890</wp:posOffset>
              </wp:positionH>
              <wp:positionV relativeFrom="paragraph">
                <wp:posOffset>240030</wp:posOffset>
              </wp:positionV>
              <wp:extent cx="6136004" cy="562609"/>
              <wp:effectExtent l="0" t="0" r="0" b="9525"/>
              <wp:wrapSquare wrapText="bothSides"/>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4310EC6D" w14:textId="77777777" w:rsidR="009963CE" w:rsidRPr="00EC280C" w:rsidRDefault="009963CE"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39B10DCF" id="_x0000_t202" coordsize="21600,21600" o:spt="202" path="m,l,21600r21600,l21600,xe">
              <v:stroke joinstyle="miter"/>
              <v:path gradientshapeok="t" o:connecttype="rect"/>
            </v:shapetype>
            <v:shape id="Text Box 2" o:spid="_x0000_s1026" type="#_x0000_t202" style="position:absolute;left:0;text-align:left;margin-left:.7pt;margin-top:18.9pt;width:483.15pt;height:44.3pt;z-index:251673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" stroked="f">
              <v:textbox>
                <w:txbxContent>
                  <w:p w14:paraId="4310EC6D" w14:textId="77777777" w:rsidR="009963CE" w:rsidRPr="00EC280C" w:rsidRDefault="009963CE" w:rsidP="00DE3B1B">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28F2D645" w14:textId="77777777" w:rsidR="009963CE" w:rsidRDefault="009963CE" w:rsidP="00DE3B1B">
    <w:pPr>
      <w:pStyle w:val="Footer"/>
      <w:jc w:val="center"/>
      <w:rPr>
        <w:sz w:val="16"/>
      </w:rPr>
    </w:pPr>
  </w:p>
  <w:p w14:paraId="0712EAB7" w14:textId="31DE80FD" w:rsidR="009963CE" w:rsidRPr="00DE3B1B" w:rsidRDefault="009963CE" w:rsidP="00DE3B1B">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1E29A9">
      <w:rPr>
        <w:noProof/>
        <w:sz w:val="16"/>
      </w:rPr>
      <w:t>56</w:t>
    </w:r>
    <w:r w:rsidRPr="00614F55">
      <w:rPr>
        <w:noProof/>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845201482"/>
      <w:docPartObj>
        <w:docPartGallery w:val="Page Numbers (Bottom of Page)"/>
        <w:docPartUnique/>
      </w:docPartObj>
    </w:sdtPr>
    <w:sdtEndPr>
      <w:rPr>
        <w:noProof/>
        <w:sz w:val="16"/>
      </w:rPr>
    </w:sdtEndPr>
    <w:sdtContent>
      <w:sdt>
        <w:sdtPr>
          <w:id w:val="-1588298486"/>
          <w:docPartObj>
            <w:docPartGallery w:val="Page Numbers (Bottom of Page)"/>
            <w:docPartUnique/>
          </w:docPartObj>
        </w:sdtPr>
        <w:sdtEndPr>
          <w:rPr>
            <w:noProof/>
            <w:sz w:val="16"/>
          </w:rPr>
        </w:sdtEndPr>
        <w:sdtContent>
          <w:p w14:paraId="32ED48EB" w14:textId="77777777" w:rsidR="009963CE" w:rsidRDefault="009963CE" w:rsidP="00C21B91">
            <w:pPr>
              <w:pStyle w:val="Footer"/>
              <w:widowControl w:val="0"/>
              <w:jc w:val="center"/>
            </w:pPr>
          </w:p>
          <w:p w14:paraId="54132474" w14:textId="77777777" w:rsidR="009963CE" w:rsidRPr="00EC280C" w:rsidRDefault="009963CE" w:rsidP="00C21B91">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lang w:val="en-US" w:eastAsia="en-US"/>
              </w:rPr>
              <mc:AlternateContent>
                <mc:Choice Requires="wps">
                  <w:drawing>
                    <wp:anchor distT="45720" distB="45720" distL="114300" distR="114300" simplePos="0" relativeHeight="251668992" behindDoc="0" locked="0" layoutInCell="1" allowOverlap="1" wp14:anchorId="65FDAF1B" wp14:editId="50338FF3">
                      <wp:simplePos x="0" y="0"/>
                      <wp:positionH relativeFrom="column">
                        <wp:posOffset>8890</wp:posOffset>
                      </wp:positionH>
                      <wp:positionV relativeFrom="paragraph">
                        <wp:posOffset>240030</wp:posOffset>
                      </wp:positionV>
                      <wp:extent cx="6126480" cy="561975"/>
                      <wp:effectExtent l="0" t="0" r="7620" b="9525"/>
                      <wp:wrapSquare wrapText="bothSides"/>
                      <wp:docPr id="1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561975"/>
                              </a:xfrm>
                              <a:prstGeom prst="rect">
                                <a:avLst/>
                              </a:prstGeom>
                              <a:solidFill>
                                <a:srgbClr val="FFFFFF"/>
                              </a:solidFill>
                              <a:ln w="9525">
                                <a:noFill/>
                                <a:miter lim="800000"/>
                                <a:headEnd/>
                                <a:tailEnd/>
                              </a:ln>
                            </wps:spPr>
                            <wps:txbx>
                              <w:txbxContent>
                                <w:p w14:paraId="04C6B2E6" w14:textId="77777777" w:rsidR="009963CE" w:rsidRPr="00EC280C" w:rsidRDefault="009963CE"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5FDAF1B" id="_x0000_t202" coordsize="21600,21600" o:spt="202" path="m,l,21600r21600,l21600,xe">
                      <v:stroke joinstyle="miter"/>
                      <v:path gradientshapeok="t" o:connecttype="rect"/>
                    </v:shapetype>
                    <v:shape id="_x0000_s1027" type="#_x0000_t202" style="position:absolute;left:0;text-align:left;margin-left:.7pt;margin-top:18.9pt;width:482.4pt;height:44.25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" stroked="f">
                      <v:textbox>
                        <w:txbxContent>
                          <w:p w14:paraId="04C6B2E6" w14:textId="77777777" w:rsidR="009963CE" w:rsidRPr="00EC280C" w:rsidRDefault="009963CE" w:rsidP="00C21B91">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7D6A621C" w14:textId="66F2AD78" w:rsidR="009963CE" w:rsidRPr="00614F55" w:rsidRDefault="009963CE" w:rsidP="00C21B91">
            <w:pPr>
              <w:pStyle w:val="Footer"/>
              <w:jc w:val="center"/>
              <w:rPr>
                <w:i/>
                <w:sz w:val="10"/>
                <w:szCs w:val="20"/>
              </w:rPr>
            </w:pPr>
            <w:r w:rsidRPr="00614F55">
              <w:rPr>
                <w:sz w:val="16"/>
              </w:rPr>
              <w:fldChar w:fldCharType="begin"/>
            </w:r>
            <w:r w:rsidRPr="00614F55">
              <w:rPr>
                <w:sz w:val="16"/>
              </w:rPr>
              <w:instrText xml:space="preserve"> PAGE   \* MERGEFORMAT </w:instrText>
            </w:r>
            <w:r w:rsidRPr="00614F55">
              <w:rPr>
                <w:sz w:val="16"/>
              </w:rPr>
              <w:fldChar w:fldCharType="separate"/>
            </w:r>
            <w:r w:rsidR="001F0D64">
              <w:rPr>
                <w:noProof/>
                <w:sz w:val="16"/>
              </w:rPr>
              <w:t>66</w:t>
            </w:r>
            <w:r w:rsidRPr="00614F55">
              <w:rPr>
                <w:noProof/>
                <w:sz w:val="16"/>
              </w:rPr>
              <w:fldChar w:fldCharType="end"/>
            </w:r>
          </w:p>
        </w:sdtContent>
      </w:sdt>
      <w:p w14:paraId="7542C28E" w14:textId="77777777" w:rsidR="009963CE" w:rsidRDefault="001F0D64" w:rsidP="00C21B91">
        <w:pPr>
          <w:pStyle w:val="Footer"/>
          <w:widowControl w:val="0"/>
          <w:jc w:val="center"/>
          <w:rPr>
            <w:noProof/>
            <w:sz w:val="16"/>
          </w:rPr>
        </w:pPr>
      </w:p>
    </w:sdtContent>
  </w:sdt>
  <w:p w14:paraId="1D2EC17E" w14:textId="77777777" w:rsidR="009963CE" w:rsidRPr="00C21B91" w:rsidRDefault="009963CE" w:rsidP="00C21B9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6426697"/>
      <w:docPartObj>
        <w:docPartGallery w:val="Page Numbers (Bottom of Page)"/>
        <w:docPartUnique/>
      </w:docPartObj>
    </w:sdtPr>
    <w:sdtEndPr>
      <w:rPr>
        <w:noProof/>
        <w:sz w:val="16"/>
      </w:rPr>
    </w:sdtEndPr>
    <w:sdtContent>
      <w:p w14:paraId="3A81BD57" w14:textId="77777777" w:rsidR="009963CE" w:rsidRDefault="009963CE" w:rsidP="00911412">
        <w:pPr>
          <w:pStyle w:val="Footer"/>
          <w:widowControl w:val="0"/>
          <w:jc w:val="center"/>
        </w:pPr>
      </w:p>
      <w:p w14:paraId="1E4980C3" w14:textId="77777777" w:rsidR="009963CE" w:rsidRPr="00EC280C" w:rsidRDefault="009963CE" w:rsidP="00911412">
        <w:pPr>
          <w:pStyle w:val="Footer"/>
          <w:widowControl w:val="0"/>
          <w:jc w:val="center"/>
          <w:rPr>
            <w:i/>
            <w:sz w:val="22"/>
            <w:lang w:val="en-US"/>
          </w:rPr>
        </w:pPr>
        <w:r>
          <w:rPr>
            <w:i/>
            <w:sz w:val="22"/>
          </w:rPr>
          <w:t>----------------------------------</w:t>
        </w:r>
        <w:r>
          <w:rPr>
            <w:i/>
            <w:sz w:val="22"/>
            <w:lang w:val="en-US"/>
          </w:rPr>
          <w:t>---</w:t>
        </w:r>
        <w:r>
          <w:rPr>
            <w:i/>
            <w:sz w:val="22"/>
          </w:rPr>
          <w:t xml:space="preserve">----------------- </w:t>
        </w:r>
        <w:hyperlink r:id="rId1" w:history="1">
          <w:r w:rsidRPr="00EC280C">
            <w:rPr>
              <w:rStyle w:val="Hyperlink"/>
              <w:rFonts w:ascii="Times New Roman" w:eastAsia="Times New Roman" w:hAnsi="Times New Roman" w:cs="Times New Roman"/>
              <w:i/>
              <w:color w:val="0000FF" w:themeColor="hyperlink"/>
              <w:sz w:val="22"/>
              <w:lang w:val="en-US"/>
            </w:rPr>
            <w:t>www.eufunds.bg</w:t>
          </w:r>
        </w:hyperlink>
        <w:r>
          <w:rPr>
            <w:i/>
            <w:sz w:val="22"/>
            <w:lang w:val="en-US"/>
          </w:rPr>
          <w:t xml:space="preserve"> ---------------------------------------------------</w:t>
        </w:r>
        <w:r w:rsidRPr="00EA71E4">
          <w:rPr>
            <w:i/>
            <w:noProof/>
            <w:sz w:val="16"/>
            <w:szCs w:val="20"/>
            <w:lang w:val="en-US" w:eastAsia="en-US"/>
          </w:rPr>
          <mc:AlternateContent>
            <mc:Choice Requires="wps">
              <w:drawing>
                <wp:anchor distT="45720" distB="45720" distL="114300" distR="114300" simplePos="0" relativeHeight="251671040" behindDoc="0" locked="0" layoutInCell="1" allowOverlap="1" wp14:anchorId="04ABD697" wp14:editId="4F54207E">
                  <wp:simplePos x="0" y="0"/>
                  <wp:positionH relativeFrom="column">
                    <wp:posOffset>8890</wp:posOffset>
                  </wp:positionH>
                  <wp:positionV relativeFrom="paragraph">
                    <wp:posOffset>240030</wp:posOffset>
                  </wp:positionV>
                  <wp:extent cx="6136004" cy="562609"/>
                  <wp:effectExtent l="0" t="0" r="0" b="9525"/>
                  <wp:wrapSquare wrapText="bothSides"/>
                  <wp:docPr id="17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6004" cy="562609"/>
                          </a:xfrm>
                          <a:prstGeom prst="rect">
                            <a:avLst/>
                          </a:prstGeom>
                          <a:solidFill>
                            <a:srgbClr val="FFFFFF"/>
                          </a:solidFill>
                          <a:ln w="9525">
                            <a:noFill/>
                            <a:miter lim="800000"/>
                            <a:headEnd/>
                            <a:tailEnd/>
                          </a:ln>
                        </wps:spPr>
                        <wps:txbx>
                          <w:txbxContent>
                            <w:p w14:paraId="38CAFEED" w14:textId="77777777" w:rsidR="009963CE" w:rsidRPr="00EC280C" w:rsidRDefault="009963CE"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4ABD697" id="_x0000_t202" coordsize="21600,21600" o:spt="202" path="m,l,21600r21600,l21600,xe">
                  <v:stroke joinstyle="miter"/>
                  <v:path gradientshapeok="t" o:connecttype="rect"/>
                </v:shapetype>
                <v:shape id="_x0000_s1028" type="#_x0000_t202" style="position:absolute;left:0;text-align:left;margin-left:.7pt;margin-top:18.9pt;width:483.15pt;height:44.3pt;z-index:2516710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" stroked="f">
                  <v:textbox>
                    <w:txbxContent>
                      <w:p w14:paraId="38CAFEED" w14:textId="77777777" w:rsidR="009963CE" w:rsidRPr="00EC280C" w:rsidRDefault="009963CE" w:rsidP="00911412">
                        <w:pPr>
                          <w:jc w:val="center"/>
                          <w:rPr>
                            <w:rFonts w:ascii="Times New Roman" w:eastAsia="Batang" w:hAnsi="Times New Roman" w:cs="Times New Roman"/>
                            <w:i/>
                            <w:sz w:val="16"/>
                            <w:szCs w:val="16"/>
                          </w:rPr>
                        </w:pPr>
                        <w:r w:rsidRPr="00EC280C">
                          <w:rPr>
                            <w:rFonts w:ascii="Times New Roman" w:eastAsia="Batang" w:hAnsi="Times New Roman" w:cs="Times New Roman"/>
                            <w:i/>
                            <w:sz w:val="16"/>
                            <w:szCs w:val="16"/>
                          </w:rPr>
                          <w:t>Проект № BG16M1OP001-5.001-0026 „Осигуряване на техническа помощ за подготовка на проекти за следващия програмен период 2021 - 2027 г.“, финансиран по Приоритетна ос 5 „Техническа помощ“ на Оперативна програма „Транспорт и транспортна инфраструктура“ 2014-2020 г.</w:t>
                        </w:r>
                        <w:r w:rsidRPr="00EC280C">
                          <w:rPr>
                            <w:rFonts w:ascii="Times New Roman" w:eastAsia="Batang" w:hAnsi="Times New Roman" w:cs="Times New Roman"/>
                            <w:i/>
                            <w:sz w:val="16"/>
                            <w:szCs w:val="16"/>
                          </w:rPr>
                          <w:tab/>
                        </w:r>
                        <w:r w:rsidRPr="00EC280C">
                          <w:rPr>
                            <w:rFonts w:ascii="Times New Roman" w:eastAsia="Batang" w:hAnsi="Times New Roman" w:cs="Times New Roman"/>
                            <w:i/>
                            <w:sz w:val="16"/>
                            <w:szCs w:val="16"/>
                          </w:rPr>
                          <w:tab/>
                        </w:r>
                      </w:p>
                    </w:txbxContent>
                  </v:textbox>
                  <w10:wrap type="square"/>
                </v:shape>
              </w:pict>
            </mc:Fallback>
          </mc:AlternateContent>
        </w:r>
      </w:p>
      <w:p w14:paraId="04DD6E45" w14:textId="77777777" w:rsidR="009963CE" w:rsidRDefault="009963CE" w:rsidP="00911412">
        <w:pPr>
          <w:pStyle w:val="Footer"/>
          <w:jc w:val="center"/>
          <w:rPr>
            <w:sz w:val="16"/>
          </w:rPr>
        </w:pPr>
      </w:p>
      <w:p w14:paraId="3DDBEDBC" w14:textId="1E670334" w:rsidR="009963CE" w:rsidRPr="00911412" w:rsidRDefault="009963CE" w:rsidP="00911412">
        <w:pPr>
          <w:pStyle w:val="Footer"/>
          <w:jc w:val="center"/>
        </w:pPr>
        <w:r w:rsidRPr="00614F55">
          <w:rPr>
            <w:sz w:val="16"/>
          </w:rPr>
          <w:fldChar w:fldCharType="begin"/>
        </w:r>
        <w:r w:rsidRPr="00614F55">
          <w:rPr>
            <w:sz w:val="16"/>
          </w:rPr>
          <w:instrText xml:space="preserve"> PAGE   \* MERGEFORMAT </w:instrText>
        </w:r>
        <w:r w:rsidRPr="00614F55">
          <w:rPr>
            <w:sz w:val="16"/>
          </w:rPr>
          <w:fldChar w:fldCharType="separate"/>
        </w:r>
        <w:r w:rsidR="004C7740">
          <w:rPr>
            <w:noProof/>
            <w:sz w:val="16"/>
          </w:rPr>
          <w:t>83</w:t>
        </w:r>
        <w:r w:rsidRPr="00614F55">
          <w:rPr>
            <w:noProof/>
            <w:sz w:val="16"/>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F88E41" w14:textId="77777777" w:rsidR="00DB03C6" w:rsidRDefault="00DB03C6" w:rsidP="00EF6F69">
      <w:pPr>
        <w:spacing w:after="0" w:line="240" w:lineRule="auto"/>
      </w:pPr>
      <w:r>
        <w:separator/>
      </w:r>
    </w:p>
  </w:footnote>
  <w:footnote w:type="continuationSeparator" w:id="0">
    <w:p w14:paraId="3E559A78" w14:textId="77777777" w:rsidR="00DB03C6" w:rsidRDefault="00DB03C6" w:rsidP="00EF6F69">
      <w:pPr>
        <w:spacing w:after="0" w:line="240" w:lineRule="auto"/>
      </w:pPr>
      <w:r>
        <w:continuationSeparator/>
      </w:r>
    </w:p>
  </w:footnote>
  <w:footnote w:id="1">
    <w:p w14:paraId="5C0D51D9" w14:textId="77777777" w:rsidR="009963CE" w:rsidRPr="002B187B"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1" w:history="1">
        <w:r w:rsidRPr="002B187B">
          <w:rPr>
            <w:rStyle w:val="Hyperlink"/>
            <w:sz w:val="18"/>
            <w:szCs w:val="18"/>
          </w:rPr>
          <w:t>https://nsi.bg/bg/content/806/българия-и-европейския-съюз</w:t>
        </w:r>
      </w:hyperlink>
      <w:r w:rsidRPr="002B187B">
        <w:rPr>
          <w:sz w:val="18"/>
          <w:szCs w:val="18"/>
        </w:rPr>
        <w:t xml:space="preserve"> </w:t>
      </w:r>
    </w:p>
  </w:footnote>
  <w:footnote w:id="2">
    <w:p w14:paraId="0609D08C" w14:textId="77777777" w:rsidR="009963CE" w:rsidRPr="00BB278A"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2" w:history="1">
        <w:r w:rsidRPr="002B187B">
          <w:rPr>
            <w:rStyle w:val="Hyperlink"/>
            <w:sz w:val="18"/>
            <w:szCs w:val="18"/>
          </w:rPr>
          <w:t>https://www.statista.com/statistics/686147/gdp-growth-europe/</w:t>
        </w:r>
      </w:hyperlink>
      <w:r w:rsidRPr="002B187B">
        <w:rPr>
          <w:sz w:val="18"/>
          <w:szCs w:val="18"/>
        </w:rPr>
        <w:t xml:space="preserve"> </w:t>
      </w:r>
    </w:p>
  </w:footnote>
  <w:footnote w:id="3">
    <w:p w14:paraId="7934D948" w14:textId="77777777" w:rsidR="009963CE" w:rsidRPr="00067F50" w:rsidRDefault="009963CE" w:rsidP="00BB0022">
      <w:pPr>
        <w:pStyle w:val="FootnoteText"/>
        <w:rPr>
          <w:rStyle w:val="Hyperlink"/>
          <w:sz w:val="18"/>
          <w:szCs w:val="18"/>
        </w:rPr>
      </w:pPr>
      <w:r w:rsidRPr="00067F50">
        <w:rPr>
          <w:rStyle w:val="FootnoteReference"/>
          <w:sz w:val="18"/>
          <w:szCs w:val="18"/>
        </w:rPr>
        <w:footnoteRef/>
      </w:r>
      <w:r w:rsidRPr="00067F50">
        <w:rPr>
          <w:rStyle w:val="Hyperlink"/>
          <w:sz w:val="18"/>
          <w:szCs w:val="18"/>
        </w:rPr>
        <w:t xml:space="preserve"> </w:t>
      </w:r>
      <w:hyperlink r:id="rId3" w:history="1">
        <w:r w:rsidRPr="00067F50">
          <w:rPr>
            <w:rStyle w:val="Hyperlink"/>
            <w:sz w:val="18"/>
            <w:szCs w:val="18"/>
          </w:rPr>
          <w:t>https://ec.europa.eu/eurostat/databrowser/view/tec00115/default/line?lang=en</w:t>
        </w:r>
      </w:hyperlink>
      <w:r w:rsidRPr="00067F50">
        <w:rPr>
          <w:rStyle w:val="Hyperlink"/>
          <w:sz w:val="18"/>
          <w:szCs w:val="18"/>
        </w:rPr>
        <w:t xml:space="preserve"> </w:t>
      </w:r>
    </w:p>
  </w:footnote>
  <w:footnote w:id="4">
    <w:p w14:paraId="5F003074" w14:textId="77777777" w:rsidR="009963CE" w:rsidRPr="00067F50" w:rsidRDefault="009963CE" w:rsidP="00067F50">
      <w:pPr>
        <w:pStyle w:val="FootnoteText"/>
        <w:rPr>
          <w:rStyle w:val="Hyperlink"/>
          <w:sz w:val="18"/>
          <w:szCs w:val="18"/>
        </w:rPr>
      </w:pPr>
      <w:r w:rsidRPr="00067F50">
        <w:rPr>
          <w:rStyle w:val="FootnoteReference"/>
          <w:sz w:val="18"/>
          <w:szCs w:val="18"/>
        </w:rPr>
        <w:footnoteRef/>
      </w:r>
      <w:r w:rsidRPr="00067F50">
        <w:rPr>
          <w:rStyle w:val="Hyperlink"/>
          <w:sz w:val="18"/>
          <w:szCs w:val="18"/>
        </w:rPr>
        <w:t xml:space="preserve"> </w:t>
      </w:r>
      <w:hyperlink r:id="rId4" w:history="1">
        <w:r w:rsidRPr="00067F50">
          <w:rPr>
            <w:rStyle w:val="Hyperlink"/>
            <w:sz w:val="18"/>
            <w:szCs w:val="18"/>
          </w:rPr>
          <w:t>https://ec.europa.eu/eurostat/databrowser/view/tec00115/default/line?lang=en</w:t>
        </w:r>
      </w:hyperlink>
      <w:r w:rsidRPr="00067F50">
        <w:rPr>
          <w:rStyle w:val="Hyperlink"/>
          <w:sz w:val="18"/>
          <w:szCs w:val="18"/>
        </w:rPr>
        <w:t xml:space="preserve"> </w:t>
      </w:r>
    </w:p>
  </w:footnote>
  <w:footnote w:id="5">
    <w:p w14:paraId="60A0F323" w14:textId="77777777" w:rsidR="009963CE" w:rsidRPr="002B187B"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5" w:history="1">
        <w:r w:rsidRPr="002B187B">
          <w:rPr>
            <w:rStyle w:val="Hyperlink"/>
            <w:sz w:val="18"/>
            <w:szCs w:val="18"/>
          </w:rPr>
          <w:t>https://ec.europa.eu/eurostat/web/euro-indicators</w:t>
        </w:r>
      </w:hyperlink>
      <w:r w:rsidRPr="002B187B">
        <w:rPr>
          <w:sz w:val="18"/>
          <w:szCs w:val="18"/>
        </w:rPr>
        <w:t xml:space="preserve"> </w:t>
      </w:r>
    </w:p>
  </w:footnote>
  <w:footnote w:id="6">
    <w:p w14:paraId="199C791B" w14:textId="77777777" w:rsidR="009963CE" w:rsidRPr="009963CE" w:rsidRDefault="009963CE" w:rsidP="000E443E">
      <w:pPr>
        <w:pStyle w:val="FootnoteText"/>
        <w:rPr>
          <w:sz w:val="18"/>
          <w:szCs w:val="18"/>
        </w:rPr>
      </w:pPr>
      <w:r>
        <w:rPr>
          <w:rStyle w:val="FootnoteReference"/>
        </w:rPr>
        <w:footnoteRef/>
      </w:r>
      <w:r>
        <w:t xml:space="preserve"> </w:t>
      </w:r>
      <w:hyperlink r:id="rId6" w:history="1">
        <w:r w:rsidRPr="00243D44">
          <w:rPr>
            <w:rStyle w:val="Hyperlink"/>
            <w:sz w:val="18"/>
            <w:szCs w:val="18"/>
          </w:rPr>
          <w:t>https://www.ecb.europa.eu/stats/financial_markets_and_interest_rates/long_term_interest_rates/html/index.en.html</w:t>
        </w:r>
      </w:hyperlink>
      <w:r w:rsidRPr="009963CE">
        <w:rPr>
          <w:sz w:val="18"/>
          <w:szCs w:val="18"/>
        </w:rPr>
        <w:t xml:space="preserve"> </w:t>
      </w:r>
    </w:p>
  </w:footnote>
  <w:footnote w:id="7">
    <w:p w14:paraId="22DED029" w14:textId="77777777" w:rsidR="009963CE" w:rsidRPr="00BB278A" w:rsidRDefault="009963CE" w:rsidP="000E443E">
      <w:pPr>
        <w:pStyle w:val="FootnoteText"/>
        <w:rPr>
          <w:sz w:val="18"/>
          <w:szCs w:val="18"/>
        </w:rPr>
      </w:pPr>
      <w:r w:rsidRPr="002B187B">
        <w:rPr>
          <w:rStyle w:val="FootnoteReference"/>
          <w:sz w:val="18"/>
          <w:szCs w:val="18"/>
        </w:rPr>
        <w:footnoteRef/>
      </w:r>
      <w:r w:rsidRPr="002B187B">
        <w:rPr>
          <w:sz w:val="18"/>
          <w:szCs w:val="18"/>
        </w:rPr>
        <w:t xml:space="preserve"> </w:t>
      </w:r>
      <w:hyperlink r:id="rId7" w:history="1">
        <w:r w:rsidRPr="002B187B">
          <w:rPr>
            <w:rStyle w:val="Hyperlink"/>
            <w:sz w:val="18"/>
            <w:szCs w:val="18"/>
          </w:rPr>
          <w:t>https://ec.europa.eu/eurostat/databrowser/view/tps00203/default/line?lang=en</w:t>
        </w:r>
      </w:hyperlink>
      <w:r w:rsidRPr="002B187B">
        <w:rPr>
          <w:sz w:val="18"/>
          <w:szCs w:val="18"/>
        </w:rPr>
        <w:t xml:space="preserve"> </w:t>
      </w:r>
    </w:p>
  </w:footnote>
  <w:footnote w:id="8">
    <w:p w14:paraId="58E47615"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8" w:history="1">
        <w:r w:rsidRPr="004C182E">
          <w:rPr>
            <w:rStyle w:val="Hyperlink"/>
            <w:sz w:val="18"/>
            <w:szCs w:val="18"/>
          </w:rPr>
          <w:t>https://ec.europa.eu/eurostat/statistics-</w:t>
        </w:r>
        <w:r w:rsidRPr="004C182E">
          <w:rPr>
            <w:rStyle w:val="Hyperlink"/>
            <w:sz w:val="18"/>
            <w:szCs w:val="18"/>
            <w:lang w:val="en-GB"/>
          </w:rPr>
          <w:t xml:space="preserve"> </w:t>
        </w:r>
        <w:r w:rsidRPr="004C182E">
          <w:rPr>
            <w:rStyle w:val="Hyperlink"/>
            <w:sz w:val="18"/>
            <w:szCs w:val="18"/>
          </w:rPr>
          <w:t>explained/index.php?title=File:General_government_debt,_2022_and_2023_(%C2%B9)_(General_government_gross_debt,_%25_of_GDP).png2</w:t>
        </w:r>
      </w:hyperlink>
      <w:r w:rsidRPr="00D717CC">
        <w:rPr>
          <w:sz w:val="18"/>
          <w:szCs w:val="18"/>
        </w:rPr>
        <w:t xml:space="preserve"> </w:t>
      </w:r>
    </w:p>
  </w:footnote>
  <w:footnote w:id="9">
    <w:p w14:paraId="4F92DE84"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9" w:history="1">
        <w:r w:rsidRPr="00D717CC">
          <w:rPr>
            <w:rStyle w:val="Hyperlink"/>
            <w:sz w:val="18"/>
            <w:szCs w:val="18"/>
          </w:rPr>
          <w:t>https://www.nsi.bg/bg/content/11474брутен-вътрешен-продукт-по-пазарни-цени</w:t>
        </w:r>
      </w:hyperlink>
      <w:r w:rsidRPr="00D717CC">
        <w:rPr>
          <w:sz w:val="18"/>
          <w:szCs w:val="18"/>
        </w:rPr>
        <w:t xml:space="preserve"> </w:t>
      </w:r>
    </w:p>
  </w:footnote>
  <w:footnote w:id="10">
    <w:p w14:paraId="506F5474"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10" w:history="1">
        <w:r w:rsidRPr="00D717CC">
          <w:rPr>
            <w:rStyle w:val="Hyperlink"/>
            <w:sz w:val="18"/>
            <w:szCs w:val="18"/>
          </w:rPr>
          <w:t>https://www.bnb.bg/bnbweb/groups/public/documents/bnb_download/s_macro_indicators_a1_pdf_bg.pdf</w:t>
        </w:r>
      </w:hyperlink>
      <w:r w:rsidRPr="00D717CC">
        <w:rPr>
          <w:sz w:val="18"/>
          <w:szCs w:val="18"/>
        </w:rPr>
        <w:t xml:space="preserve"> </w:t>
      </w:r>
    </w:p>
  </w:footnote>
  <w:footnote w:id="11">
    <w:p w14:paraId="5A07D290" w14:textId="77777777" w:rsidR="009963CE" w:rsidRPr="00D717CC" w:rsidRDefault="009963CE" w:rsidP="000E443E">
      <w:pPr>
        <w:pStyle w:val="FootnoteText"/>
        <w:rPr>
          <w:sz w:val="18"/>
          <w:szCs w:val="18"/>
        </w:rPr>
      </w:pPr>
      <w:r w:rsidRPr="00D717CC">
        <w:rPr>
          <w:rStyle w:val="FootnoteReference"/>
          <w:sz w:val="18"/>
          <w:szCs w:val="18"/>
        </w:rPr>
        <w:footnoteRef/>
      </w:r>
      <w:r w:rsidRPr="00D717CC">
        <w:rPr>
          <w:sz w:val="18"/>
          <w:szCs w:val="18"/>
        </w:rPr>
        <w:t xml:space="preserve"> </w:t>
      </w:r>
      <w:hyperlink r:id="rId11" w:history="1">
        <w:r w:rsidRPr="00D717CC">
          <w:rPr>
            <w:rStyle w:val="Hyperlink"/>
            <w:sz w:val="18"/>
            <w:szCs w:val="18"/>
          </w:rPr>
          <w:t>https://www.minfin.bg/bg/868</w:t>
        </w:r>
      </w:hyperlink>
      <w:r w:rsidRPr="00D717CC">
        <w:rPr>
          <w:sz w:val="18"/>
          <w:szCs w:val="18"/>
        </w:rPr>
        <w:t xml:space="preserve"> </w:t>
      </w:r>
    </w:p>
  </w:footnote>
  <w:footnote w:id="12">
    <w:p w14:paraId="7925B1C8" w14:textId="77777777" w:rsidR="009963CE" w:rsidRPr="003A5EE0" w:rsidRDefault="009963CE" w:rsidP="000E443E">
      <w:pPr>
        <w:pStyle w:val="FootnoteText"/>
        <w:rPr>
          <w:sz w:val="18"/>
          <w:szCs w:val="18"/>
        </w:rPr>
      </w:pPr>
      <w:r w:rsidRPr="003A5EE0">
        <w:rPr>
          <w:rStyle w:val="FootnoteReference"/>
          <w:sz w:val="18"/>
          <w:szCs w:val="18"/>
        </w:rPr>
        <w:footnoteRef/>
      </w:r>
      <w:r w:rsidRPr="003A5EE0">
        <w:rPr>
          <w:sz w:val="18"/>
          <w:szCs w:val="18"/>
        </w:rPr>
        <w:t xml:space="preserve"> </w:t>
      </w:r>
      <w:hyperlink r:id="rId12" w:history="1">
        <w:r w:rsidRPr="003A5EE0">
          <w:rPr>
            <w:rStyle w:val="Hyperlink"/>
            <w:sz w:val="18"/>
            <w:szCs w:val="18"/>
          </w:rPr>
          <w:t>https://www.nsi.bg/bg/content/2996/прогноза-за-населението-по-области-и-пол</w:t>
        </w:r>
      </w:hyperlink>
      <w:r w:rsidRPr="003A5EE0">
        <w:rPr>
          <w:sz w:val="18"/>
          <w:szCs w:val="18"/>
        </w:rPr>
        <w:t xml:space="preserve">   </w:t>
      </w:r>
    </w:p>
  </w:footnote>
  <w:footnote w:id="13">
    <w:p w14:paraId="2F8A617C" w14:textId="77777777" w:rsidR="009963CE" w:rsidRPr="00583843" w:rsidRDefault="009963CE" w:rsidP="00441346">
      <w:pPr>
        <w:pStyle w:val="FootnoteText"/>
        <w:rPr>
          <w:sz w:val="16"/>
          <w:szCs w:val="16"/>
        </w:rPr>
      </w:pPr>
      <w:r w:rsidRPr="00583843">
        <w:rPr>
          <w:rStyle w:val="FootnoteReference"/>
          <w:sz w:val="16"/>
          <w:szCs w:val="16"/>
        </w:rPr>
        <w:footnoteRef/>
      </w:r>
      <w:r w:rsidRPr="00583843">
        <w:rPr>
          <w:sz w:val="16"/>
          <w:szCs w:val="16"/>
        </w:rPr>
        <w:t xml:space="preserve"> </w:t>
      </w:r>
      <w:hyperlink r:id="rId13" w:history="1">
        <w:r w:rsidRPr="00583843">
          <w:rPr>
            <w:rStyle w:val="Hyperlink"/>
            <w:sz w:val="16"/>
            <w:szCs w:val="16"/>
          </w:rPr>
          <w:t>https://reader.elsevier.com/reader/sd/pii/S2352146521003756?token=7A0174D662D2620ED8225DE675F4C 306096695B0D007209F7984CBBE1DBA83A4BD3F43CB780C8739D2205076DEAC56BF&amp;originRegion=eu-west-1&amp;originCreation=20211029054241</w:t>
        </w:r>
      </w:hyperlink>
      <w:r w:rsidRPr="00583843">
        <w:rPr>
          <w:sz w:val="16"/>
          <w:szCs w:val="16"/>
        </w:rPr>
        <w:t xml:space="preserve"> </w:t>
      </w:r>
    </w:p>
  </w:footnote>
  <w:footnote w:id="14">
    <w:p w14:paraId="6ACAB10E" w14:textId="77777777" w:rsidR="009963CE" w:rsidRPr="00583843" w:rsidRDefault="009963CE" w:rsidP="00441346">
      <w:pPr>
        <w:rPr>
          <w:rFonts w:ascii="Times New Roman" w:hAnsi="Times New Roman" w:cs="Times New Roman"/>
          <w:sz w:val="16"/>
          <w:szCs w:val="16"/>
        </w:rPr>
      </w:pPr>
      <w:r w:rsidRPr="00583843">
        <w:rPr>
          <w:rStyle w:val="FootnoteReference"/>
          <w:rFonts w:ascii="Times New Roman" w:hAnsi="Times New Roman"/>
          <w:sz w:val="16"/>
          <w:szCs w:val="16"/>
        </w:rPr>
        <w:footnoteRef/>
      </w:r>
      <w:r w:rsidRPr="00583843">
        <w:rPr>
          <w:rFonts w:ascii="Times New Roman" w:hAnsi="Times New Roman" w:cs="Times New Roman"/>
          <w:sz w:val="16"/>
          <w:szCs w:val="16"/>
        </w:rPr>
        <w:t xml:space="preserve"> </w:t>
      </w:r>
      <w:hyperlink r:id="rId14" w:history="1">
        <w:r w:rsidRPr="00583843">
          <w:rPr>
            <w:rFonts w:ascii="Times New Roman" w:eastAsia="Times New Roman" w:hAnsi="Times New Roman" w:cs="Times New Roman"/>
            <w:sz w:val="16"/>
            <w:szCs w:val="16"/>
            <w:u w:val="single"/>
          </w:rPr>
          <w:t>http://www.nsi.bg/bg/content/1755/морски-транспорт</w:t>
        </w:r>
      </w:hyperlink>
    </w:p>
  </w:footnote>
  <w:footnote w:id="15">
    <w:p w14:paraId="7CF74C36" w14:textId="77777777" w:rsidR="009963CE" w:rsidRPr="00583843" w:rsidRDefault="009963CE" w:rsidP="00441346">
      <w:pPr>
        <w:pStyle w:val="FootnoteText"/>
        <w:rPr>
          <w:sz w:val="16"/>
          <w:szCs w:val="16"/>
        </w:rPr>
      </w:pPr>
      <w:r w:rsidRPr="00583843">
        <w:rPr>
          <w:rStyle w:val="FootnoteReference"/>
          <w:sz w:val="16"/>
          <w:szCs w:val="16"/>
        </w:rPr>
        <w:footnoteRef/>
      </w:r>
      <w:r w:rsidRPr="00583843">
        <w:rPr>
          <w:sz w:val="16"/>
          <w:szCs w:val="16"/>
        </w:rPr>
        <w:t xml:space="preserve"> </w:t>
      </w:r>
      <w:hyperlink r:id="rId15" w:history="1">
        <w:r w:rsidRPr="00583843">
          <w:rPr>
            <w:rStyle w:val="Hyperlink"/>
            <w:sz w:val="16"/>
            <w:szCs w:val="16"/>
          </w:rPr>
          <w:t>https://nsi.bg/sites/default/files/files/pressreleases/Transport2021q2_T1R7MTK.pdf</w:t>
        </w:r>
      </w:hyperlink>
      <w:r w:rsidRPr="00583843">
        <w:rPr>
          <w:sz w:val="16"/>
          <w:szCs w:val="16"/>
        </w:rPr>
        <w:t xml:space="preserve"> </w:t>
      </w:r>
    </w:p>
  </w:footnote>
  <w:footnote w:id="16">
    <w:p w14:paraId="19B3F1CE" w14:textId="77777777" w:rsidR="009963CE" w:rsidRPr="00A81B8F" w:rsidRDefault="009963CE" w:rsidP="007768D5">
      <w:pPr>
        <w:pStyle w:val="FootnoteText"/>
        <w:rPr>
          <w:sz w:val="18"/>
          <w:szCs w:val="18"/>
        </w:rPr>
      </w:pPr>
      <w:r w:rsidRPr="00A81B8F">
        <w:rPr>
          <w:rStyle w:val="FootnoteReference"/>
          <w:sz w:val="18"/>
          <w:szCs w:val="18"/>
        </w:rPr>
        <w:footnoteRef/>
      </w:r>
      <w:r w:rsidRPr="00A81B8F">
        <w:rPr>
          <w:sz w:val="18"/>
          <w:szCs w:val="18"/>
        </w:rPr>
        <w:t xml:space="preserve"> </w:t>
      </w:r>
      <w:hyperlink r:id="rId16" w:history="1">
        <w:r w:rsidRPr="00A81B8F">
          <w:rPr>
            <w:rStyle w:val="Hyperlink"/>
            <w:sz w:val="18"/>
            <w:szCs w:val="18"/>
          </w:rPr>
          <w:t>https://ec.europa.eu/regional_policy/en/information/publications/guides/2021/economic-appraisal-vademecum-2021-2027-general-principles-and-sector-applications</w:t>
        </w:r>
      </w:hyperlink>
      <w:r w:rsidRPr="00A81B8F">
        <w:rPr>
          <w:rStyle w:val="Hyperlink"/>
          <w:sz w:val="18"/>
          <w:szCs w:val="18"/>
        </w:rPr>
        <w:t xml:space="preserve"> </w:t>
      </w:r>
      <w:r w:rsidRPr="00A81B8F">
        <w:rPr>
          <w:sz w:val="18"/>
          <w:szCs w:val="18"/>
        </w:rPr>
        <w:t xml:space="preserve"> </w:t>
      </w:r>
    </w:p>
  </w:footnote>
  <w:footnote w:id="17">
    <w:p w14:paraId="27502396" w14:textId="77777777" w:rsidR="009963CE" w:rsidRPr="00A81B8F" w:rsidRDefault="009963CE" w:rsidP="007768D5">
      <w:pPr>
        <w:pStyle w:val="FootnoteText"/>
        <w:spacing w:before="60" w:after="60"/>
        <w:rPr>
          <w:rStyle w:val="Hyperlink"/>
          <w:sz w:val="18"/>
          <w:szCs w:val="18"/>
        </w:rPr>
      </w:pPr>
      <w:r w:rsidRPr="00A81B8F">
        <w:rPr>
          <w:rStyle w:val="FootnoteReference"/>
          <w:sz w:val="18"/>
          <w:szCs w:val="18"/>
          <w:lang w:val="en-GB"/>
        </w:rPr>
        <w:footnoteRef/>
      </w:r>
      <w:r w:rsidRPr="00A81B8F">
        <w:rPr>
          <w:sz w:val="18"/>
          <w:szCs w:val="18"/>
          <w:lang w:val="en-GB"/>
        </w:rPr>
        <w:t xml:space="preserve"> </w:t>
      </w:r>
      <w:r w:rsidRPr="00A81B8F">
        <w:rPr>
          <w:rStyle w:val="Hyperlink"/>
          <w:sz w:val="18"/>
          <w:szCs w:val="18"/>
        </w:rPr>
        <w:t>ANNEX I to Commission Delegated Regulation (EU) No 480/2014.</w:t>
      </w:r>
    </w:p>
  </w:footnote>
  <w:footnote w:id="18">
    <w:p w14:paraId="4871EA5D" w14:textId="77777777" w:rsidR="009963CE" w:rsidRPr="00A81B8F" w:rsidRDefault="009963CE" w:rsidP="007768D5">
      <w:pPr>
        <w:pStyle w:val="FootnoteText"/>
        <w:spacing w:before="60" w:after="60"/>
        <w:rPr>
          <w:sz w:val="18"/>
          <w:szCs w:val="18"/>
        </w:rPr>
      </w:pPr>
      <w:r w:rsidRPr="00A81B8F">
        <w:rPr>
          <w:rStyle w:val="FootnoteReference"/>
          <w:sz w:val="18"/>
          <w:szCs w:val="18"/>
          <w:lang w:val="en-GB"/>
        </w:rPr>
        <w:footnoteRef/>
      </w:r>
      <w:r w:rsidRPr="00A81B8F">
        <w:rPr>
          <w:sz w:val="18"/>
          <w:szCs w:val="18"/>
          <w:lang w:val="en-GB"/>
        </w:rPr>
        <w:t xml:space="preserve"> </w:t>
      </w:r>
      <w:r w:rsidRPr="00A81B8F">
        <w:rPr>
          <w:sz w:val="18"/>
          <w:szCs w:val="18"/>
          <w:u w:val="single"/>
          <w:lang w:val="en-GB"/>
        </w:rPr>
        <w:t>Guide to CBA of Investments project, Economic appraisal tool for Cohesion Policy 2014-2020, December 2014, Annex I. The financial discount rate</w:t>
      </w:r>
      <w:r w:rsidRPr="00A81B8F">
        <w:rPr>
          <w:sz w:val="18"/>
          <w:szCs w:val="18"/>
          <w:u w:val="single"/>
        </w:rPr>
        <w:t>.</w:t>
      </w:r>
    </w:p>
  </w:footnote>
  <w:footnote w:id="19">
    <w:p w14:paraId="7E2233B8"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7" w:history="1">
        <w:r w:rsidRPr="00231CC7">
          <w:rPr>
            <w:rStyle w:val="Hyperlink"/>
            <w:sz w:val="18"/>
            <w:szCs w:val="18"/>
          </w:rPr>
          <w:t>https://eur-lex.europa.eu/legal-content/BG/TXT/?uri=CELEX%3A32017R0352</w:t>
        </w:r>
      </w:hyperlink>
      <w:r w:rsidRPr="00231CC7">
        <w:rPr>
          <w:sz w:val="18"/>
          <w:szCs w:val="18"/>
        </w:rPr>
        <w:t xml:space="preserve"> </w:t>
      </w:r>
    </w:p>
  </w:footnote>
  <w:footnote w:id="20">
    <w:p w14:paraId="0127030C"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8" w:history="1">
        <w:r w:rsidRPr="00231CC7">
          <w:rPr>
            <w:rStyle w:val="Hyperlink"/>
            <w:sz w:val="18"/>
            <w:szCs w:val="18"/>
          </w:rPr>
          <w:t>https://www.lex.bg/laws/ldoc/2134907392</w:t>
        </w:r>
      </w:hyperlink>
      <w:r w:rsidRPr="00231CC7">
        <w:rPr>
          <w:sz w:val="18"/>
          <w:szCs w:val="18"/>
        </w:rPr>
        <w:t xml:space="preserve"> </w:t>
      </w:r>
    </w:p>
  </w:footnote>
  <w:footnote w:id="21">
    <w:p w14:paraId="50AC97BC"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19" w:history="1">
        <w:r w:rsidRPr="00231CC7">
          <w:rPr>
            <w:rStyle w:val="Hyperlink"/>
            <w:sz w:val="18"/>
            <w:szCs w:val="18"/>
          </w:rPr>
          <w:t>http://www.bgports.bg/bg/page/40</w:t>
        </w:r>
      </w:hyperlink>
      <w:r w:rsidRPr="00231CC7">
        <w:rPr>
          <w:sz w:val="18"/>
          <w:szCs w:val="18"/>
        </w:rPr>
        <w:t xml:space="preserve"> </w:t>
      </w:r>
    </w:p>
  </w:footnote>
  <w:footnote w:id="22">
    <w:p w14:paraId="0845DFDE" w14:textId="77777777" w:rsidR="009963CE" w:rsidRPr="00231CC7" w:rsidRDefault="009963CE" w:rsidP="00870376">
      <w:pPr>
        <w:pStyle w:val="FootnoteText"/>
        <w:rPr>
          <w:sz w:val="18"/>
          <w:szCs w:val="18"/>
        </w:rPr>
      </w:pPr>
      <w:r w:rsidRPr="00231CC7">
        <w:rPr>
          <w:rStyle w:val="FootnoteReference"/>
          <w:sz w:val="18"/>
          <w:szCs w:val="18"/>
        </w:rPr>
        <w:footnoteRef/>
      </w:r>
      <w:r w:rsidRPr="00231CC7">
        <w:rPr>
          <w:sz w:val="18"/>
          <w:szCs w:val="18"/>
        </w:rPr>
        <w:t xml:space="preserve"> </w:t>
      </w:r>
      <w:hyperlink r:id="rId20" w:history="1">
        <w:r w:rsidRPr="00231CC7">
          <w:rPr>
            <w:rStyle w:val="Hyperlink"/>
            <w:sz w:val="18"/>
            <w:szCs w:val="18"/>
          </w:rPr>
          <w:t>http://www.bgports.bg/bg/page/40</w:t>
        </w:r>
      </w:hyperlink>
      <w:r w:rsidRPr="00231CC7">
        <w:rPr>
          <w:sz w:val="18"/>
          <w:szCs w:val="18"/>
        </w:rPr>
        <w:t xml:space="preserve"> </w:t>
      </w:r>
    </w:p>
  </w:footnote>
  <w:footnote w:id="23">
    <w:p w14:paraId="7FD587A1" w14:textId="77777777" w:rsidR="009963CE" w:rsidRPr="00D423A8" w:rsidRDefault="009963CE" w:rsidP="003C3025">
      <w:pPr>
        <w:pStyle w:val="FootnoteText"/>
        <w:rPr>
          <w:sz w:val="18"/>
          <w:szCs w:val="18"/>
        </w:rPr>
      </w:pPr>
      <w:r w:rsidRPr="00D423A8">
        <w:rPr>
          <w:rStyle w:val="FootnoteReference"/>
          <w:sz w:val="18"/>
          <w:szCs w:val="18"/>
        </w:rPr>
        <w:footnoteRef/>
      </w:r>
      <w:r w:rsidRPr="00D423A8">
        <w:rPr>
          <w:sz w:val="18"/>
          <w:szCs w:val="18"/>
        </w:rPr>
        <w:t xml:space="preserve"> EUR-Lex - 52021XC0916(03) - BG - EUR-Lex (europa.eu) </w:t>
      </w:r>
    </w:p>
  </w:footnote>
  <w:footnote w:id="24">
    <w:p w14:paraId="3DC12758" w14:textId="77777777" w:rsidR="009963CE" w:rsidRPr="00D423A8" w:rsidRDefault="009963CE" w:rsidP="003C3025">
      <w:pPr>
        <w:pStyle w:val="FootnoteText"/>
        <w:rPr>
          <w:sz w:val="18"/>
          <w:szCs w:val="18"/>
        </w:rPr>
      </w:pPr>
      <w:r w:rsidRPr="00D423A8">
        <w:rPr>
          <w:rStyle w:val="FootnoteReference"/>
          <w:sz w:val="18"/>
          <w:szCs w:val="18"/>
        </w:rPr>
        <w:footnoteRef/>
      </w:r>
      <w:r w:rsidRPr="00D423A8">
        <w:rPr>
          <w:sz w:val="18"/>
          <w:szCs w:val="18"/>
        </w:rPr>
        <w:t xml:space="preserve"> </w:t>
      </w:r>
      <w:hyperlink r:id="rId21" w:history="1">
        <w:r w:rsidRPr="00D423A8">
          <w:rPr>
            <w:rStyle w:val="Hyperlink"/>
            <w:sz w:val="18"/>
            <w:szCs w:val="18"/>
          </w:rPr>
          <w:t>https://www.eib.org/en/about/cr/footprint-methodologies.htm</w:t>
        </w:r>
      </w:hyperlink>
      <w:r w:rsidRPr="00D423A8">
        <w:rPr>
          <w:sz w:val="18"/>
          <w:szCs w:val="18"/>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26B911" w14:textId="77777777" w:rsidR="009963CE" w:rsidRDefault="009963CE" w:rsidP="00EC280C">
    <w:pPr>
      <w:pStyle w:val="Header"/>
      <w:pBdr>
        <w:bottom w:val="single" w:sz="6" w:space="1" w:color="auto"/>
      </w:pBdr>
      <w:rPr>
        <w:lang w:val="en-US"/>
      </w:rPr>
    </w:pPr>
    <w:r>
      <w:rPr>
        <w:noProof/>
        <w:lang w:val="en-US" w:eastAsia="en-US"/>
      </w:rPr>
      <w:drawing>
        <wp:inline distT="0" distB="0" distL="0" distR="0" wp14:anchorId="26A4336C" wp14:editId="04558390">
          <wp:extent cx="2191407" cy="84258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5FA4F02C" wp14:editId="559E9F0D">
          <wp:extent cx="2511261" cy="879316"/>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4B47AE7" w14:textId="77777777" w:rsidR="009963CE" w:rsidRPr="00911412" w:rsidRDefault="009963CE" w:rsidP="00DE3B1B">
    <w:pPr>
      <w:pStyle w:val="Header"/>
      <w:pBdr>
        <w:bottom w:val="single" w:sz="6" w:space="1" w:color="auto"/>
      </w:pBdr>
      <w:rPr>
        <w:lang w:val="en-US"/>
      </w:rPr>
    </w:pPr>
    <w:r>
      <w:rPr>
        <w:noProof/>
        <w:lang w:val="en-US" w:eastAsia="en-US"/>
      </w:rPr>
      <w:drawing>
        <wp:inline distT="0" distB="0" distL="0" distR="0" wp14:anchorId="4148921C" wp14:editId="181A1497">
          <wp:extent cx="2191407" cy="84258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3B94A538" wp14:editId="5093304E">
          <wp:extent cx="2511261" cy="879316"/>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3ADBBBAC" w14:textId="77777777" w:rsidR="009963CE" w:rsidRPr="00634140" w:rsidRDefault="009963CE" w:rsidP="003912F8">
    <w:pPr>
      <w:pStyle w:val="Header"/>
      <w:rPr>
        <w:sz w:val="10"/>
        <w:szCs w:val="8"/>
        <w:lang w:val="ru-RU"/>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C43F28" w14:textId="77777777" w:rsidR="009963CE" w:rsidRDefault="009963CE" w:rsidP="00C21B91">
    <w:pPr>
      <w:pStyle w:val="Header"/>
      <w:pBdr>
        <w:bottom w:val="single" w:sz="6" w:space="1" w:color="auto"/>
      </w:pBdr>
      <w:rPr>
        <w:lang w:val="en-US"/>
      </w:rPr>
    </w:pPr>
    <w:r>
      <w:rPr>
        <w:noProof/>
        <w:lang w:val="en-US" w:eastAsia="en-US"/>
      </w:rPr>
      <w:drawing>
        <wp:inline distT="0" distB="0" distL="0" distR="0" wp14:anchorId="2F1F9290" wp14:editId="69465B9A">
          <wp:extent cx="2191407" cy="84258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4B35131D" wp14:editId="4E2B1627">
          <wp:extent cx="2511261" cy="87931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p w14:paraId="54B79ADA" w14:textId="77777777" w:rsidR="009963CE" w:rsidRPr="00677E6A" w:rsidRDefault="009963CE" w:rsidP="00F75A75">
    <w:pPr>
      <w:pStyle w:val="Header"/>
      <w:tabs>
        <w:tab w:val="left" w:pos="4620"/>
        <w:tab w:val="left" w:pos="5070"/>
        <w:tab w:val="right" w:pos="9360"/>
      </w:tabs>
      <w:jc w:val="center"/>
      <w:rPr>
        <w:rFonts w:ascii="Times New Roman" w:hAnsi="Times New Roman"/>
        <w:sz w:val="10"/>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3C0EC9" w14:textId="77777777" w:rsidR="009963CE" w:rsidRPr="00911412" w:rsidRDefault="009963CE" w:rsidP="00911412">
    <w:pPr>
      <w:pStyle w:val="Header"/>
      <w:pBdr>
        <w:bottom w:val="single" w:sz="6" w:space="1" w:color="auto"/>
      </w:pBdr>
      <w:rPr>
        <w:lang w:val="en-US"/>
      </w:rPr>
    </w:pPr>
    <w:r>
      <w:rPr>
        <w:noProof/>
        <w:lang w:val="en-US" w:eastAsia="en-US"/>
      </w:rPr>
      <w:drawing>
        <wp:inline distT="0" distB="0" distL="0" distR="0" wp14:anchorId="652641C1" wp14:editId="07B57936">
          <wp:extent cx="2191407" cy="84258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videnova\Desktop\brand-all\eu-esf.pn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191407" cy="842587"/>
                  </a:xfrm>
                  <a:prstGeom prst="rect">
                    <a:avLst/>
                  </a:prstGeom>
                  <a:noFill/>
                  <a:ln>
                    <a:noFill/>
                  </a:ln>
                  <a:extLst>
                    <a:ext uri="{53640926-AAD7-44D8-BBD7-CCE9431645EC}">
                      <a14:shadowObscured xmlns:a14="http://schemas.microsoft.com/office/drawing/2010/main"/>
                    </a:ext>
                  </a:extLst>
                </pic:spPr>
              </pic:pic>
            </a:graphicData>
          </a:graphic>
        </wp:inline>
      </w:drawing>
    </w:r>
    <w:r>
      <w:ptab w:relativeTo="margin" w:alignment="center" w:leader="none"/>
    </w:r>
    <w:r>
      <w:ptab w:relativeTo="margin" w:alignment="right" w:leader="none"/>
    </w:r>
    <w:r>
      <w:rPr>
        <w:noProof/>
        <w:lang w:val="en-US" w:eastAsia="en-US"/>
      </w:rPr>
      <w:drawing>
        <wp:inline distT="0" distB="0" distL="0" distR="0" wp14:anchorId="57F7B5E7" wp14:editId="550A3BFA">
          <wp:extent cx="2511261" cy="87931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videnova\Desktop\brand-all\opgg\logo-bg-right.pn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2524075" cy="883803"/>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90973712" o:spid="_x0000_i1027" type="#_x0000_t75" style="width:11.25pt;height:11.25pt;visibility:visible;mso-wrap-style:square" o:bullet="t">
        <v:imagedata r:id="rId1" o:title=""/>
      </v:shape>
    </w:pict>
  </w:numPicBullet>
  <w:abstractNum w:abstractNumId="0" w15:restartNumberingAfterBreak="0">
    <w:nsid w:val="FFFFFF88"/>
    <w:multiLevelType w:val="singleLevel"/>
    <w:tmpl w:val="9500CB0E"/>
    <w:lvl w:ilvl="0">
      <w:start w:val="1"/>
      <w:numFmt w:val="decimal"/>
      <w:pStyle w:val="ListNumber"/>
      <w:lvlText w:val="%1."/>
      <w:lvlJc w:val="left"/>
      <w:pPr>
        <w:tabs>
          <w:tab w:val="num" w:pos="360"/>
        </w:tabs>
        <w:ind w:left="360" w:hanging="360"/>
      </w:pPr>
    </w:lvl>
  </w:abstractNum>
  <w:abstractNum w:abstractNumId="1" w15:restartNumberingAfterBreak="0">
    <w:nsid w:val="FFFFFFFE"/>
    <w:multiLevelType w:val="singleLevel"/>
    <w:tmpl w:val="CB9006F6"/>
    <w:lvl w:ilvl="0">
      <w:numFmt w:val="bullet"/>
      <w:lvlText w:val="*"/>
      <w:lvlJc w:val="left"/>
    </w:lvl>
  </w:abstractNum>
  <w:abstractNum w:abstractNumId="2" w15:restartNumberingAfterBreak="0">
    <w:nsid w:val="015267D7"/>
    <w:multiLevelType w:val="hybridMultilevel"/>
    <w:tmpl w:val="E12AC396"/>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3" w15:restartNumberingAfterBreak="0">
    <w:nsid w:val="04CA65FD"/>
    <w:multiLevelType w:val="hybridMultilevel"/>
    <w:tmpl w:val="B7BE8C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52B5F43"/>
    <w:multiLevelType w:val="hybridMultilevel"/>
    <w:tmpl w:val="9C26C8A0"/>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7CE0AD3"/>
    <w:multiLevelType w:val="hybridMultilevel"/>
    <w:tmpl w:val="0A5CD9D2"/>
    <w:lvl w:ilvl="0" w:tplc="04020001">
      <w:start w:val="1"/>
      <w:numFmt w:val="bullet"/>
      <w:lvlText w:val=""/>
      <w:lvlJc w:val="left"/>
      <w:pPr>
        <w:tabs>
          <w:tab w:val="num" w:pos="643"/>
        </w:tabs>
        <w:ind w:left="643" w:hanging="360"/>
      </w:pPr>
      <w:rPr>
        <w:rFonts w:ascii="Symbol" w:hAnsi="Symbol" w:hint="default"/>
      </w:rPr>
    </w:lvl>
    <w:lvl w:ilvl="1" w:tplc="04020003" w:tentative="1">
      <w:start w:val="1"/>
      <w:numFmt w:val="bullet"/>
      <w:lvlText w:val="o"/>
      <w:lvlJc w:val="left"/>
      <w:pPr>
        <w:tabs>
          <w:tab w:val="num" w:pos="1363"/>
        </w:tabs>
        <w:ind w:left="1363" w:hanging="360"/>
      </w:pPr>
      <w:rPr>
        <w:rFonts w:ascii="Courier New" w:hAnsi="Courier New" w:cs="Courier New" w:hint="default"/>
      </w:rPr>
    </w:lvl>
    <w:lvl w:ilvl="2" w:tplc="04020005" w:tentative="1">
      <w:start w:val="1"/>
      <w:numFmt w:val="bullet"/>
      <w:lvlText w:val=""/>
      <w:lvlJc w:val="left"/>
      <w:pPr>
        <w:tabs>
          <w:tab w:val="num" w:pos="2083"/>
        </w:tabs>
        <w:ind w:left="2083" w:hanging="360"/>
      </w:pPr>
      <w:rPr>
        <w:rFonts w:ascii="Wingdings" w:hAnsi="Wingdings" w:hint="default"/>
      </w:rPr>
    </w:lvl>
    <w:lvl w:ilvl="3" w:tplc="04020001" w:tentative="1">
      <w:start w:val="1"/>
      <w:numFmt w:val="bullet"/>
      <w:lvlText w:val=""/>
      <w:lvlJc w:val="left"/>
      <w:pPr>
        <w:tabs>
          <w:tab w:val="num" w:pos="2803"/>
        </w:tabs>
        <w:ind w:left="2803" w:hanging="360"/>
      </w:pPr>
      <w:rPr>
        <w:rFonts w:ascii="Symbol" w:hAnsi="Symbol" w:hint="default"/>
      </w:rPr>
    </w:lvl>
    <w:lvl w:ilvl="4" w:tplc="04020003" w:tentative="1">
      <w:start w:val="1"/>
      <w:numFmt w:val="bullet"/>
      <w:lvlText w:val="o"/>
      <w:lvlJc w:val="left"/>
      <w:pPr>
        <w:tabs>
          <w:tab w:val="num" w:pos="3523"/>
        </w:tabs>
        <w:ind w:left="3523" w:hanging="360"/>
      </w:pPr>
      <w:rPr>
        <w:rFonts w:ascii="Courier New" w:hAnsi="Courier New" w:cs="Courier New" w:hint="default"/>
      </w:rPr>
    </w:lvl>
    <w:lvl w:ilvl="5" w:tplc="04020005" w:tentative="1">
      <w:start w:val="1"/>
      <w:numFmt w:val="bullet"/>
      <w:lvlText w:val=""/>
      <w:lvlJc w:val="left"/>
      <w:pPr>
        <w:tabs>
          <w:tab w:val="num" w:pos="4243"/>
        </w:tabs>
        <w:ind w:left="4243" w:hanging="360"/>
      </w:pPr>
      <w:rPr>
        <w:rFonts w:ascii="Wingdings" w:hAnsi="Wingdings" w:hint="default"/>
      </w:rPr>
    </w:lvl>
    <w:lvl w:ilvl="6" w:tplc="04020001" w:tentative="1">
      <w:start w:val="1"/>
      <w:numFmt w:val="bullet"/>
      <w:lvlText w:val=""/>
      <w:lvlJc w:val="left"/>
      <w:pPr>
        <w:tabs>
          <w:tab w:val="num" w:pos="4963"/>
        </w:tabs>
        <w:ind w:left="4963" w:hanging="360"/>
      </w:pPr>
      <w:rPr>
        <w:rFonts w:ascii="Symbol" w:hAnsi="Symbol" w:hint="default"/>
      </w:rPr>
    </w:lvl>
    <w:lvl w:ilvl="7" w:tplc="04020003" w:tentative="1">
      <w:start w:val="1"/>
      <w:numFmt w:val="bullet"/>
      <w:lvlText w:val="o"/>
      <w:lvlJc w:val="left"/>
      <w:pPr>
        <w:tabs>
          <w:tab w:val="num" w:pos="5683"/>
        </w:tabs>
        <w:ind w:left="5683" w:hanging="360"/>
      </w:pPr>
      <w:rPr>
        <w:rFonts w:ascii="Courier New" w:hAnsi="Courier New" w:cs="Courier New" w:hint="default"/>
      </w:rPr>
    </w:lvl>
    <w:lvl w:ilvl="8" w:tplc="04020005" w:tentative="1">
      <w:start w:val="1"/>
      <w:numFmt w:val="bullet"/>
      <w:lvlText w:val=""/>
      <w:lvlJc w:val="left"/>
      <w:pPr>
        <w:tabs>
          <w:tab w:val="num" w:pos="6403"/>
        </w:tabs>
        <w:ind w:left="6403" w:hanging="360"/>
      </w:pPr>
      <w:rPr>
        <w:rFonts w:ascii="Wingdings" w:hAnsi="Wingdings" w:hint="default"/>
      </w:rPr>
    </w:lvl>
  </w:abstractNum>
  <w:abstractNum w:abstractNumId="6" w15:restartNumberingAfterBreak="0">
    <w:nsid w:val="0F3B7D2F"/>
    <w:multiLevelType w:val="singleLevel"/>
    <w:tmpl w:val="559CA8EA"/>
    <w:lvl w:ilvl="0">
      <w:start w:val="1"/>
      <w:numFmt w:val="bullet"/>
      <w:pStyle w:val="bullet1"/>
      <w:lvlText w:val=""/>
      <w:lvlJc w:val="left"/>
      <w:pPr>
        <w:tabs>
          <w:tab w:val="num" w:pos="360"/>
        </w:tabs>
        <w:ind w:left="360" w:hanging="360"/>
      </w:pPr>
      <w:rPr>
        <w:rFonts w:ascii="Wingdings" w:hAnsi="Wingdings" w:hint="default"/>
      </w:rPr>
    </w:lvl>
  </w:abstractNum>
  <w:abstractNum w:abstractNumId="7" w15:restartNumberingAfterBreak="0">
    <w:nsid w:val="0F47545B"/>
    <w:multiLevelType w:val="multilevel"/>
    <w:tmpl w:val="78E8F846"/>
    <w:styleLink w:val="WWOutlineListStyle2"/>
    <w:lvl w:ilvl="0">
      <w:start w:val="1"/>
      <w:numFmt w:val="decimal"/>
      <w:lvlText w:val="%1."/>
      <w:lvlJc w:val="left"/>
      <w:pPr>
        <w:ind w:left="432" w:hanging="432"/>
      </w:pPr>
      <w:rPr>
        <w:rFonts w:cs="Times New Roman"/>
        <w:strike w:val="0"/>
        <w:dstrike w:val="0"/>
      </w:rPr>
    </w:lvl>
    <w:lvl w:ilvl="1">
      <w:start w:val="1"/>
      <w:numFmt w:val="decimal"/>
      <w:lvlText w:val="%1.%2."/>
      <w:lvlJc w:val="left"/>
      <w:pPr>
        <w:ind w:left="1711" w:hanging="576"/>
      </w:pPr>
      <w:rPr>
        <w:rFonts w:cs="Times New Roman"/>
      </w:rPr>
    </w:lvl>
    <w:lvl w:ilvl="2">
      <w:start w:val="1"/>
      <w:numFmt w:val="decimal"/>
      <w:lvlText w:val="%1.%2.%3."/>
      <w:lvlJc w:val="left"/>
      <w:pPr>
        <w:ind w:left="720" w:hanging="720"/>
      </w:pPr>
      <w:rPr>
        <w:rFonts w:ascii="Arial Narrow" w:hAnsi="Arial Narrow"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b/>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3E0341D"/>
    <w:multiLevelType w:val="hybridMultilevel"/>
    <w:tmpl w:val="E30E5190"/>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9" w15:restartNumberingAfterBreak="0">
    <w:nsid w:val="14B46A37"/>
    <w:multiLevelType w:val="multilevel"/>
    <w:tmpl w:val="3D8A5CC0"/>
    <w:styleLink w:val="LFO8"/>
    <w:lvl w:ilvl="0">
      <w:numFmt w:val="bullet"/>
      <w:pStyle w:val="REQTableBullet2"/>
      <w:lvlText w:val=""/>
      <w:lvlJc w:val="left"/>
      <w:pPr>
        <w:ind w:left="1068" w:hanging="360"/>
      </w:pPr>
      <w:rPr>
        <w:rFonts w:ascii="Wingdings" w:hAnsi="Wingdings"/>
      </w:rPr>
    </w:lvl>
    <w:lvl w:ilvl="1">
      <w:numFmt w:val="bullet"/>
      <w:lvlText w:val="o"/>
      <w:lvlJc w:val="left"/>
      <w:pPr>
        <w:ind w:left="1788" w:hanging="360"/>
      </w:pPr>
      <w:rPr>
        <w:rFonts w:ascii="Courier New" w:hAnsi="Courier New"/>
      </w:rPr>
    </w:lvl>
    <w:lvl w:ilvl="2">
      <w:numFmt w:val="bullet"/>
      <w:lvlText w:val=""/>
      <w:lvlJc w:val="left"/>
      <w:pPr>
        <w:ind w:left="2508" w:hanging="360"/>
      </w:pPr>
      <w:rPr>
        <w:rFonts w:ascii="Wingdings" w:hAnsi="Wingdings"/>
      </w:rPr>
    </w:lvl>
    <w:lvl w:ilvl="3">
      <w:numFmt w:val="bullet"/>
      <w:lvlText w:val=""/>
      <w:lvlJc w:val="left"/>
      <w:pPr>
        <w:ind w:left="3228" w:hanging="360"/>
      </w:pPr>
      <w:rPr>
        <w:rFonts w:ascii="Symbol" w:hAnsi="Symbol"/>
      </w:rPr>
    </w:lvl>
    <w:lvl w:ilvl="4">
      <w:numFmt w:val="bullet"/>
      <w:lvlText w:val="o"/>
      <w:lvlJc w:val="left"/>
      <w:pPr>
        <w:ind w:left="3948" w:hanging="360"/>
      </w:pPr>
      <w:rPr>
        <w:rFonts w:ascii="Courier New" w:hAnsi="Courier New"/>
      </w:rPr>
    </w:lvl>
    <w:lvl w:ilvl="5">
      <w:numFmt w:val="bullet"/>
      <w:lvlText w:val=""/>
      <w:lvlJc w:val="left"/>
      <w:pPr>
        <w:ind w:left="4668" w:hanging="360"/>
      </w:pPr>
      <w:rPr>
        <w:rFonts w:ascii="Wingdings" w:hAnsi="Wingdings"/>
      </w:rPr>
    </w:lvl>
    <w:lvl w:ilvl="6">
      <w:numFmt w:val="bullet"/>
      <w:lvlText w:val=""/>
      <w:lvlJc w:val="left"/>
      <w:pPr>
        <w:ind w:left="5388" w:hanging="360"/>
      </w:pPr>
      <w:rPr>
        <w:rFonts w:ascii="Symbol" w:hAnsi="Symbol"/>
      </w:rPr>
    </w:lvl>
    <w:lvl w:ilvl="7">
      <w:numFmt w:val="bullet"/>
      <w:lvlText w:val="o"/>
      <w:lvlJc w:val="left"/>
      <w:pPr>
        <w:ind w:left="6108" w:hanging="360"/>
      </w:pPr>
      <w:rPr>
        <w:rFonts w:ascii="Courier New" w:hAnsi="Courier New"/>
      </w:rPr>
    </w:lvl>
    <w:lvl w:ilvl="8">
      <w:numFmt w:val="bullet"/>
      <w:lvlText w:val=""/>
      <w:lvlJc w:val="left"/>
      <w:pPr>
        <w:ind w:left="6828" w:hanging="360"/>
      </w:pPr>
      <w:rPr>
        <w:rFonts w:ascii="Wingdings" w:hAnsi="Wingdings"/>
      </w:rPr>
    </w:lvl>
  </w:abstractNum>
  <w:abstractNum w:abstractNumId="10" w15:restartNumberingAfterBreak="0">
    <w:nsid w:val="166B4208"/>
    <w:multiLevelType w:val="hybridMultilevel"/>
    <w:tmpl w:val="DF16CA2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11" w15:restartNumberingAfterBreak="0">
    <w:nsid w:val="17111099"/>
    <w:multiLevelType w:val="hybridMultilevel"/>
    <w:tmpl w:val="03C4EB38"/>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12" w15:restartNumberingAfterBreak="0">
    <w:nsid w:val="179F5D39"/>
    <w:multiLevelType w:val="multilevel"/>
    <w:tmpl w:val="71A65424"/>
    <w:lvl w:ilvl="0">
      <w:start w:val="1"/>
      <w:numFmt w:val="decimal"/>
      <w:pStyle w:val="ReportLevel1"/>
      <w:lvlText w:val="%1."/>
      <w:lvlJc w:val="left"/>
      <w:pPr>
        <w:tabs>
          <w:tab w:val="num" w:pos="1080"/>
        </w:tabs>
        <w:ind w:left="1080" w:hanging="1080"/>
      </w:pPr>
      <w:rPr>
        <w:rFonts w:ascii="Arial" w:hAnsi="Arial" w:hint="default"/>
        <w:b/>
        <w:i w:val="0"/>
        <w:sz w:val="24"/>
      </w:rPr>
    </w:lvl>
    <w:lvl w:ilvl="1">
      <w:numFmt w:val="none"/>
      <w:pStyle w:val="ReportLevel2"/>
      <w:lvlText w:val=""/>
      <w:lvlJc w:val="left"/>
      <w:pPr>
        <w:tabs>
          <w:tab w:val="num" w:pos="360"/>
        </w:tabs>
      </w:pPr>
    </w:lvl>
    <w:lvl w:ilvl="2">
      <w:numFmt w:val="none"/>
      <w:pStyle w:val="ReportLevel3"/>
      <w:lvlText w:val=""/>
      <w:lvlJc w:val="left"/>
      <w:pPr>
        <w:tabs>
          <w:tab w:val="num" w:pos="360"/>
        </w:tabs>
      </w:pPr>
    </w:lvl>
    <w:lvl w:ilvl="3">
      <w:numFmt w:val="none"/>
      <w:pStyle w:val="TOC3"/>
      <w:lvlText w:val=""/>
      <w:lvlJc w:val="left"/>
      <w:pPr>
        <w:tabs>
          <w:tab w:val="num" w:pos="360"/>
        </w:tabs>
      </w:pPr>
    </w:lvl>
    <w:lvl w:ilvl="4">
      <w:numFmt w:val="none"/>
      <w:lvlText w:val=""/>
      <w:lvlJc w:val="left"/>
      <w:pPr>
        <w:tabs>
          <w:tab w:val="num" w:pos="360"/>
        </w:tabs>
      </w:p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19657FE6"/>
    <w:multiLevelType w:val="hybridMultilevel"/>
    <w:tmpl w:val="F9084118"/>
    <w:lvl w:ilvl="0" w:tplc="0409000F">
      <w:start w:val="1"/>
      <w:numFmt w:val="decimal"/>
      <w:pStyle w:val="FormatvorlageReportLevel1HelveticaVor6pt"/>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pStyle w:val="TOC4"/>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4" w15:restartNumberingAfterBreak="0">
    <w:nsid w:val="1D0D29CE"/>
    <w:multiLevelType w:val="hybridMultilevel"/>
    <w:tmpl w:val="72D6F422"/>
    <w:lvl w:ilvl="0" w:tplc="8D4C181C">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1464A1"/>
    <w:multiLevelType w:val="hybridMultilevel"/>
    <w:tmpl w:val="FE22E4A4"/>
    <w:lvl w:ilvl="0" w:tplc="8528D76C">
      <w:numFmt w:val="decimal"/>
      <w:pStyle w:val="Listaconpuntos"/>
      <w:lvlText w:val=""/>
      <w:lvlJc w:val="left"/>
    </w:lvl>
    <w:lvl w:ilvl="1" w:tplc="0C0A0003">
      <w:numFmt w:val="decimal"/>
      <w:lvlText w:val=""/>
      <w:lvlJc w:val="left"/>
    </w:lvl>
    <w:lvl w:ilvl="2" w:tplc="0C0A0005">
      <w:numFmt w:val="decimal"/>
      <w:lvlText w:val=""/>
      <w:lvlJc w:val="left"/>
    </w:lvl>
    <w:lvl w:ilvl="3" w:tplc="0C0A0001">
      <w:numFmt w:val="decimal"/>
      <w:lvlText w:val=""/>
      <w:lvlJc w:val="left"/>
    </w:lvl>
    <w:lvl w:ilvl="4" w:tplc="0C0A0003">
      <w:numFmt w:val="decimal"/>
      <w:lvlText w:val=""/>
      <w:lvlJc w:val="left"/>
    </w:lvl>
    <w:lvl w:ilvl="5" w:tplc="0C0A0005">
      <w:numFmt w:val="decimal"/>
      <w:lvlText w:val=""/>
      <w:lvlJc w:val="left"/>
    </w:lvl>
    <w:lvl w:ilvl="6" w:tplc="0C0A0001">
      <w:numFmt w:val="decimal"/>
      <w:lvlText w:val=""/>
      <w:lvlJc w:val="left"/>
    </w:lvl>
    <w:lvl w:ilvl="7" w:tplc="0C0A0003">
      <w:numFmt w:val="decimal"/>
      <w:lvlText w:val=""/>
      <w:lvlJc w:val="left"/>
    </w:lvl>
    <w:lvl w:ilvl="8" w:tplc="0C0A0005">
      <w:numFmt w:val="decimal"/>
      <w:lvlText w:val=""/>
      <w:lvlJc w:val="left"/>
    </w:lvl>
  </w:abstractNum>
  <w:abstractNum w:abstractNumId="16" w15:restartNumberingAfterBreak="0">
    <w:nsid w:val="254045AE"/>
    <w:multiLevelType w:val="hybridMultilevel"/>
    <w:tmpl w:val="BBD2EB3C"/>
    <w:lvl w:ilvl="0" w:tplc="04090007">
      <w:start w:val="1"/>
      <w:numFmt w:val="bullet"/>
      <w:lvlText w:val=""/>
      <w:lvlPicBulletId w:val="0"/>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2560172D"/>
    <w:multiLevelType w:val="hybridMultilevel"/>
    <w:tmpl w:val="9FAADBD6"/>
    <w:lvl w:ilvl="0" w:tplc="04090007">
      <w:start w:val="1"/>
      <w:numFmt w:val="bullet"/>
      <w:lvlText w:val=""/>
      <w:lvlPicBulletId w:val="0"/>
      <w:lvlJc w:val="left"/>
      <w:pPr>
        <w:ind w:left="720" w:hanging="360"/>
      </w:pPr>
      <w:rPr>
        <w:rFonts w:ascii="Symbol" w:hAnsi="Symbol" w:hint="default"/>
      </w:rPr>
    </w:lvl>
    <w:lvl w:ilvl="1" w:tplc="C55025C8">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6762948"/>
    <w:multiLevelType w:val="hybridMultilevel"/>
    <w:tmpl w:val="EC7CDA2E"/>
    <w:lvl w:ilvl="0" w:tplc="FFFFFFFF">
      <w:start w:val="2"/>
      <w:numFmt w:val="bullet"/>
      <w:lvlText w:val="-"/>
      <w:lvlJc w:val="left"/>
      <w:pPr>
        <w:ind w:left="1440" w:hanging="360"/>
      </w:pPr>
      <w:rPr>
        <w:rFonts w:ascii="Georgia" w:eastAsia="Times New Roman" w:hAnsi="Georgia"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6873FC0"/>
    <w:multiLevelType w:val="hybridMultilevel"/>
    <w:tmpl w:val="E29E420C"/>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2E2C7ECD"/>
    <w:multiLevelType w:val="hybridMultilevel"/>
    <w:tmpl w:val="C61461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41C5375"/>
    <w:multiLevelType w:val="hybridMultilevel"/>
    <w:tmpl w:val="002A9ACC"/>
    <w:lvl w:ilvl="0" w:tplc="A25C22E8">
      <w:numFmt w:val="decimal"/>
      <w:pStyle w:val="PetraAufzhlung"/>
      <w:lvlText w:val=""/>
      <w:lvlJc w:val="left"/>
    </w:lvl>
    <w:lvl w:ilvl="1" w:tplc="04070003">
      <w:numFmt w:val="decimal"/>
      <w:lvlText w:val=""/>
      <w:lvlJc w:val="left"/>
    </w:lvl>
    <w:lvl w:ilvl="2" w:tplc="04070005">
      <w:numFmt w:val="decimal"/>
      <w:lvlText w:val=""/>
      <w:lvlJc w:val="left"/>
    </w:lvl>
    <w:lvl w:ilvl="3" w:tplc="04070001">
      <w:numFmt w:val="decimal"/>
      <w:lvlText w:val=""/>
      <w:lvlJc w:val="left"/>
    </w:lvl>
    <w:lvl w:ilvl="4" w:tplc="04070003">
      <w:numFmt w:val="decimal"/>
      <w:lvlText w:val=""/>
      <w:lvlJc w:val="left"/>
    </w:lvl>
    <w:lvl w:ilvl="5" w:tplc="04070005">
      <w:numFmt w:val="decimal"/>
      <w:lvlText w:val=""/>
      <w:lvlJc w:val="left"/>
    </w:lvl>
    <w:lvl w:ilvl="6" w:tplc="04070001">
      <w:numFmt w:val="decimal"/>
      <w:lvlText w:val=""/>
      <w:lvlJc w:val="left"/>
    </w:lvl>
    <w:lvl w:ilvl="7" w:tplc="04070003">
      <w:numFmt w:val="decimal"/>
      <w:lvlText w:val=""/>
      <w:lvlJc w:val="left"/>
    </w:lvl>
    <w:lvl w:ilvl="8" w:tplc="04070005">
      <w:numFmt w:val="decimal"/>
      <w:lvlText w:val=""/>
      <w:lvlJc w:val="left"/>
    </w:lvl>
  </w:abstractNum>
  <w:abstractNum w:abstractNumId="22" w15:restartNumberingAfterBreak="0">
    <w:nsid w:val="344D3727"/>
    <w:multiLevelType w:val="singleLevel"/>
    <w:tmpl w:val="30708D0C"/>
    <w:lvl w:ilvl="0">
      <w:numFmt w:val="decimal"/>
      <w:pStyle w:val="ReportReference"/>
      <w:lvlText w:val=""/>
      <w:lvlJc w:val="left"/>
    </w:lvl>
  </w:abstractNum>
  <w:abstractNum w:abstractNumId="23" w15:restartNumberingAfterBreak="0">
    <w:nsid w:val="3D0D6694"/>
    <w:multiLevelType w:val="hybridMultilevel"/>
    <w:tmpl w:val="1DBABA54"/>
    <w:lvl w:ilvl="0" w:tplc="04090007">
      <w:start w:val="1"/>
      <w:numFmt w:val="bullet"/>
      <w:lvlText w:val=""/>
      <w:lvlPicBulletId w:val="0"/>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07C2205"/>
    <w:multiLevelType w:val="hybridMultilevel"/>
    <w:tmpl w:val="27E603B0"/>
    <w:lvl w:ilvl="0" w:tplc="EDAC83A4">
      <w:start w:val="1"/>
      <w:numFmt w:val="bullet"/>
      <w:lvlText w:val=""/>
      <w:lvlJc w:val="left"/>
      <w:pPr>
        <w:ind w:left="1713" w:hanging="360"/>
      </w:pPr>
      <w:rPr>
        <w:rFonts w:ascii="Wingdings" w:hAnsi="Wingdings" w:hint="default"/>
      </w:rPr>
    </w:lvl>
    <w:lvl w:ilvl="1" w:tplc="04020003" w:tentative="1">
      <w:start w:val="1"/>
      <w:numFmt w:val="bullet"/>
      <w:lvlText w:val="o"/>
      <w:lvlJc w:val="left"/>
      <w:pPr>
        <w:ind w:left="2433" w:hanging="360"/>
      </w:pPr>
      <w:rPr>
        <w:rFonts w:ascii="Courier New" w:hAnsi="Courier New" w:cs="Courier New" w:hint="default"/>
      </w:rPr>
    </w:lvl>
    <w:lvl w:ilvl="2" w:tplc="04020005" w:tentative="1">
      <w:start w:val="1"/>
      <w:numFmt w:val="bullet"/>
      <w:lvlText w:val=""/>
      <w:lvlJc w:val="left"/>
      <w:pPr>
        <w:ind w:left="3153" w:hanging="360"/>
      </w:pPr>
      <w:rPr>
        <w:rFonts w:ascii="Wingdings" w:hAnsi="Wingdings" w:hint="default"/>
      </w:rPr>
    </w:lvl>
    <w:lvl w:ilvl="3" w:tplc="04020001" w:tentative="1">
      <w:start w:val="1"/>
      <w:numFmt w:val="bullet"/>
      <w:lvlText w:val=""/>
      <w:lvlJc w:val="left"/>
      <w:pPr>
        <w:ind w:left="3873" w:hanging="360"/>
      </w:pPr>
      <w:rPr>
        <w:rFonts w:ascii="Symbol" w:hAnsi="Symbol" w:hint="default"/>
      </w:rPr>
    </w:lvl>
    <w:lvl w:ilvl="4" w:tplc="04020003" w:tentative="1">
      <w:start w:val="1"/>
      <w:numFmt w:val="bullet"/>
      <w:lvlText w:val="o"/>
      <w:lvlJc w:val="left"/>
      <w:pPr>
        <w:ind w:left="4593" w:hanging="360"/>
      </w:pPr>
      <w:rPr>
        <w:rFonts w:ascii="Courier New" w:hAnsi="Courier New" w:cs="Courier New" w:hint="default"/>
      </w:rPr>
    </w:lvl>
    <w:lvl w:ilvl="5" w:tplc="04020005" w:tentative="1">
      <w:start w:val="1"/>
      <w:numFmt w:val="bullet"/>
      <w:lvlText w:val=""/>
      <w:lvlJc w:val="left"/>
      <w:pPr>
        <w:ind w:left="5313" w:hanging="360"/>
      </w:pPr>
      <w:rPr>
        <w:rFonts w:ascii="Wingdings" w:hAnsi="Wingdings" w:hint="default"/>
      </w:rPr>
    </w:lvl>
    <w:lvl w:ilvl="6" w:tplc="04020001" w:tentative="1">
      <w:start w:val="1"/>
      <w:numFmt w:val="bullet"/>
      <w:lvlText w:val=""/>
      <w:lvlJc w:val="left"/>
      <w:pPr>
        <w:ind w:left="6033" w:hanging="360"/>
      </w:pPr>
      <w:rPr>
        <w:rFonts w:ascii="Symbol" w:hAnsi="Symbol" w:hint="default"/>
      </w:rPr>
    </w:lvl>
    <w:lvl w:ilvl="7" w:tplc="04020003" w:tentative="1">
      <w:start w:val="1"/>
      <w:numFmt w:val="bullet"/>
      <w:lvlText w:val="o"/>
      <w:lvlJc w:val="left"/>
      <w:pPr>
        <w:ind w:left="6753" w:hanging="360"/>
      </w:pPr>
      <w:rPr>
        <w:rFonts w:ascii="Courier New" w:hAnsi="Courier New" w:cs="Courier New" w:hint="default"/>
      </w:rPr>
    </w:lvl>
    <w:lvl w:ilvl="8" w:tplc="04020005" w:tentative="1">
      <w:start w:val="1"/>
      <w:numFmt w:val="bullet"/>
      <w:lvlText w:val=""/>
      <w:lvlJc w:val="left"/>
      <w:pPr>
        <w:ind w:left="7473" w:hanging="360"/>
      </w:pPr>
      <w:rPr>
        <w:rFonts w:ascii="Wingdings" w:hAnsi="Wingdings" w:hint="default"/>
      </w:rPr>
    </w:lvl>
  </w:abstractNum>
  <w:abstractNum w:abstractNumId="25" w15:restartNumberingAfterBreak="0">
    <w:nsid w:val="42736619"/>
    <w:multiLevelType w:val="hybridMultilevel"/>
    <w:tmpl w:val="18C49ECE"/>
    <w:lvl w:ilvl="0" w:tplc="0409000D">
      <w:start w:val="1"/>
      <w:numFmt w:val="bullet"/>
      <w:lvlText w:val=""/>
      <w:lvlJc w:val="left"/>
      <w:pPr>
        <w:tabs>
          <w:tab w:val="num" w:pos="720"/>
        </w:tabs>
        <w:ind w:left="720" w:hanging="360"/>
      </w:pPr>
      <w:rPr>
        <w:rFonts w:ascii="Wingdings" w:hAnsi="Wingdings" w:hint="default"/>
        <w:b w:val="0"/>
        <w:bCs w:val="0"/>
        <w:i w:val="0"/>
        <w:iCs w:val="0"/>
        <w:color w:val="auto"/>
        <w:sz w:val="24"/>
        <w:szCs w:val="24"/>
      </w:rPr>
    </w:lvl>
    <w:lvl w:ilvl="1" w:tplc="04020003">
      <w:start w:val="1"/>
      <w:numFmt w:val="bullet"/>
      <w:lvlText w:val="o"/>
      <w:lvlJc w:val="left"/>
      <w:pPr>
        <w:tabs>
          <w:tab w:val="num" w:pos="0"/>
        </w:tabs>
        <w:ind w:hanging="360"/>
      </w:pPr>
      <w:rPr>
        <w:rFonts w:ascii="Courier New" w:hAnsi="Courier New" w:cs="Courier New" w:hint="default"/>
      </w:rPr>
    </w:lvl>
    <w:lvl w:ilvl="2" w:tplc="04020005">
      <w:start w:val="1"/>
      <w:numFmt w:val="bullet"/>
      <w:lvlText w:val=""/>
      <w:lvlJc w:val="left"/>
      <w:pPr>
        <w:tabs>
          <w:tab w:val="num" w:pos="720"/>
        </w:tabs>
        <w:ind w:left="720" w:hanging="360"/>
      </w:pPr>
      <w:rPr>
        <w:rFonts w:ascii="Wingdings" w:hAnsi="Wingdings" w:cs="Wingdings" w:hint="default"/>
      </w:rPr>
    </w:lvl>
    <w:lvl w:ilvl="3" w:tplc="04020001">
      <w:start w:val="1"/>
      <w:numFmt w:val="bullet"/>
      <w:lvlText w:val=""/>
      <w:lvlJc w:val="left"/>
      <w:pPr>
        <w:tabs>
          <w:tab w:val="num" w:pos="1440"/>
        </w:tabs>
        <w:ind w:left="1440" w:hanging="360"/>
      </w:pPr>
      <w:rPr>
        <w:rFonts w:ascii="Symbol" w:hAnsi="Symbol" w:cs="Symbol" w:hint="default"/>
      </w:rPr>
    </w:lvl>
    <w:lvl w:ilvl="4" w:tplc="04020003">
      <w:start w:val="1"/>
      <w:numFmt w:val="bullet"/>
      <w:lvlText w:val="o"/>
      <w:lvlJc w:val="left"/>
      <w:pPr>
        <w:tabs>
          <w:tab w:val="num" w:pos="2160"/>
        </w:tabs>
        <w:ind w:left="2160" w:hanging="360"/>
      </w:pPr>
      <w:rPr>
        <w:rFonts w:ascii="Courier New" w:hAnsi="Courier New" w:cs="Courier New" w:hint="default"/>
      </w:rPr>
    </w:lvl>
    <w:lvl w:ilvl="5" w:tplc="04020005">
      <w:start w:val="1"/>
      <w:numFmt w:val="bullet"/>
      <w:lvlText w:val=""/>
      <w:lvlJc w:val="left"/>
      <w:pPr>
        <w:tabs>
          <w:tab w:val="num" w:pos="2880"/>
        </w:tabs>
        <w:ind w:left="2880" w:hanging="360"/>
      </w:pPr>
      <w:rPr>
        <w:rFonts w:ascii="Wingdings" w:hAnsi="Wingdings" w:cs="Wingdings" w:hint="default"/>
      </w:rPr>
    </w:lvl>
    <w:lvl w:ilvl="6" w:tplc="04020001">
      <w:start w:val="1"/>
      <w:numFmt w:val="bullet"/>
      <w:lvlText w:val=""/>
      <w:lvlJc w:val="left"/>
      <w:pPr>
        <w:tabs>
          <w:tab w:val="num" w:pos="3600"/>
        </w:tabs>
        <w:ind w:left="3600" w:hanging="360"/>
      </w:pPr>
      <w:rPr>
        <w:rFonts w:ascii="Symbol" w:hAnsi="Symbol" w:cs="Symbol" w:hint="default"/>
      </w:rPr>
    </w:lvl>
    <w:lvl w:ilvl="7" w:tplc="04020003">
      <w:start w:val="1"/>
      <w:numFmt w:val="bullet"/>
      <w:lvlText w:val="o"/>
      <w:lvlJc w:val="left"/>
      <w:pPr>
        <w:tabs>
          <w:tab w:val="num" w:pos="4320"/>
        </w:tabs>
        <w:ind w:left="4320" w:hanging="360"/>
      </w:pPr>
      <w:rPr>
        <w:rFonts w:ascii="Courier New" w:hAnsi="Courier New" w:cs="Courier New" w:hint="default"/>
      </w:rPr>
    </w:lvl>
    <w:lvl w:ilvl="8" w:tplc="04020005">
      <w:start w:val="1"/>
      <w:numFmt w:val="bullet"/>
      <w:lvlText w:val=""/>
      <w:lvlJc w:val="left"/>
      <w:pPr>
        <w:tabs>
          <w:tab w:val="num" w:pos="5040"/>
        </w:tabs>
        <w:ind w:left="5040" w:hanging="360"/>
      </w:pPr>
      <w:rPr>
        <w:rFonts w:ascii="Wingdings" w:hAnsi="Wingdings" w:cs="Wingdings" w:hint="default"/>
      </w:rPr>
    </w:lvl>
  </w:abstractNum>
  <w:abstractNum w:abstractNumId="26" w15:restartNumberingAfterBreak="0">
    <w:nsid w:val="42D36A7D"/>
    <w:multiLevelType w:val="hybridMultilevel"/>
    <w:tmpl w:val="35685246"/>
    <w:lvl w:ilvl="0" w:tplc="1E9827EA">
      <w:start w:val="1"/>
      <w:numFmt w:val="bullet"/>
      <w:pStyle w:val="T-BulL-0"/>
      <w:lvlText w:val=""/>
      <w:lvlJc w:val="left"/>
      <w:pPr>
        <w:ind w:left="720" w:hanging="360"/>
      </w:pPr>
      <w:rPr>
        <w:rFonts w:ascii="Wingdings" w:hAnsi="Wingdings" w:hint="default"/>
      </w:rPr>
    </w:lvl>
    <w:lvl w:ilvl="1" w:tplc="30A0F156">
      <w:start w:val="1"/>
      <w:numFmt w:val="bullet"/>
      <w:pStyle w:val="T-BulL-1"/>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A530C642">
      <w:numFmt w:val="bullet"/>
      <w:lvlText w:val="-"/>
      <w:lvlJc w:val="left"/>
      <w:pPr>
        <w:ind w:left="2880" w:hanging="360"/>
      </w:pPr>
      <w:rPr>
        <w:rFonts w:ascii="Times New Roman" w:eastAsia="Times New Roman" w:hAnsi="Times New Roman" w:cs="Times New Roman"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467B0D6B"/>
    <w:multiLevelType w:val="hybridMultilevel"/>
    <w:tmpl w:val="FCC81946"/>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BD1EEC"/>
    <w:multiLevelType w:val="hybridMultilevel"/>
    <w:tmpl w:val="1C6CC448"/>
    <w:lvl w:ilvl="0" w:tplc="A66ABFCE">
      <w:start w:val="1"/>
      <w:numFmt w:val="bullet"/>
      <w:lvlText w:val=""/>
      <w:lvlJc w:val="left"/>
      <w:pPr>
        <w:tabs>
          <w:tab w:val="num" w:pos="720"/>
        </w:tabs>
        <w:ind w:left="720" w:hanging="360"/>
      </w:pPr>
      <w:rPr>
        <w:rFonts w:ascii="Symbol" w:hAnsi="Symbol" w:hint="default"/>
        <w:b w:val="0"/>
        <w:i w:val="0"/>
        <w:color w:val="auto"/>
        <w:sz w:val="24"/>
        <w:szCs w:val="24"/>
      </w:rPr>
    </w:lvl>
    <w:lvl w:ilvl="1" w:tplc="04020003" w:tentative="1">
      <w:start w:val="1"/>
      <w:numFmt w:val="bullet"/>
      <w:lvlText w:val="o"/>
      <w:lvlJc w:val="left"/>
      <w:pPr>
        <w:tabs>
          <w:tab w:val="num" w:pos="0"/>
        </w:tabs>
        <w:ind w:left="0" w:hanging="360"/>
      </w:pPr>
      <w:rPr>
        <w:rFonts w:ascii="Courier New" w:hAnsi="Courier New" w:cs="Courier New" w:hint="default"/>
      </w:rPr>
    </w:lvl>
    <w:lvl w:ilvl="2" w:tplc="04020005" w:tentative="1">
      <w:start w:val="1"/>
      <w:numFmt w:val="bullet"/>
      <w:lvlText w:val=""/>
      <w:lvlJc w:val="left"/>
      <w:pPr>
        <w:tabs>
          <w:tab w:val="num" w:pos="720"/>
        </w:tabs>
        <w:ind w:left="720" w:hanging="360"/>
      </w:pPr>
      <w:rPr>
        <w:rFonts w:ascii="Wingdings" w:hAnsi="Wingdings" w:hint="default"/>
      </w:rPr>
    </w:lvl>
    <w:lvl w:ilvl="3" w:tplc="04020001" w:tentative="1">
      <w:start w:val="1"/>
      <w:numFmt w:val="bullet"/>
      <w:lvlText w:val=""/>
      <w:lvlJc w:val="left"/>
      <w:pPr>
        <w:tabs>
          <w:tab w:val="num" w:pos="1440"/>
        </w:tabs>
        <w:ind w:left="1440" w:hanging="360"/>
      </w:pPr>
      <w:rPr>
        <w:rFonts w:ascii="Symbol" w:hAnsi="Symbol" w:hint="default"/>
      </w:rPr>
    </w:lvl>
    <w:lvl w:ilvl="4" w:tplc="04020003" w:tentative="1">
      <w:start w:val="1"/>
      <w:numFmt w:val="bullet"/>
      <w:lvlText w:val="o"/>
      <w:lvlJc w:val="left"/>
      <w:pPr>
        <w:tabs>
          <w:tab w:val="num" w:pos="2160"/>
        </w:tabs>
        <w:ind w:left="2160" w:hanging="360"/>
      </w:pPr>
      <w:rPr>
        <w:rFonts w:ascii="Courier New" w:hAnsi="Courier New" w:cs="Courier New" w:hint="default"/>
      </w:rPr>
    </w:lvl>
    <w:lvl w:ilvl="5" w:tplc="04020005" w:tentative="1">
      <w:start w:val="1"/>
      <w:numFmt w:val="bullet"/>
      <w:lvlText w:val=""/>
      <w:lvlJc w:val="left"/>
      <w:pPr>
        <w:tabs>
          <w:tab w:val="num" w:pos="2880"/>
        </w:tabs>
        <w:ind w:left="2880" w:hanging="360"/>
      </w:pPr>
      <w:rPr>
        <w:rFonts w:ascii="Wingdings" w:hAnsi="Wingdings" w:hint="default"/>
      </w:rPr>
    </w:lvl>
    <w:lvl w:ilvl="6" w:tplc="04020001" w:tentative="1">
      <w:start w:val="1"/>
      <w:numFmt w:val="bullet"/>
      <w:lvlText w:val=""/>
      <w:lvlJc w:val="left"/>
      <w:pPr>
        <w:tabs>
          <w:tab w:val="num" w:pos="3600"/>
        </w:tabs>
        <w:ind w:left="3600" w:hanging="360"/>
      </w:pPr>
      <w:rPr>
        <w:rFonts w:ascii="Symbol" w:hAnsi="Symbol" w:hint="default"/>
      </w:rPr>
    </w:lvl>
    <w:lvl w:ilvl="7" w:tplc="04020003" w:tentative="1">
      <w:start w:val="1"/>
      <w:numFmt w:val="bullet"/>
      <w:lvlText w:val="o"/>
      <w:lvlJc w:val="left"/>
      <w:pPr>
        <w:tabs>
          <w:tab w:val="num" w:pos="4320"/>
        </w:tabs>
        <w:ind w:left="4320" w:hanging="360"/>
      </w:pPr>
      <w:rPr>
        <w:rFonts w:ascii="Courier New" w:hAnsi="Courier New" w:cs="Courier New" w:hint="default"/>
      </w:rPr>
    </w:lvl>
    <w:lvl w:ilvl="8" w:tplc="04020005" w:tentative="1">
      <w:start w:val="1"/>
      <w:numFmt w:val="bullet"/>
      <w:lvlText w:val=""/>
      <w:lvlJc w:val="left"/>
      <w:pPr>
        <w:tabs>
          <w:tab w:val="num" w:pos="5040"/>
        </w:tabs>
        <w:ind w:left="5040" w:hanging="360"/>
      </w:pPr>
      <w:rPr>
        <w:rFonts w:ascii="Wingdings" w:hAnsi="Wingdings" w:hint="default"/>
      </w:rPr>
    </w:lvl>
  </w:abstractNum>
  <w:abstractNum w:abstractNumId="29" w15:restartNumberingAfterBreak="0">
    <w:nsid w:val="4A3E627E"/>
    <w:multiLevelType w:val="singleLevel"/>
    <w:tmpl w:val="855A464A"/>
    <w:lvl w:ilvl="0">
      <w:numFmt w:val="decimal"/>
      <w:pStyle w:val="List"/>
      <w:lvlText w:val=""/>
      <w:lvlJc w:val="left"/>
    </w:lvl>
  </w:abstractNum>
  <w:abstractNum w:abstractNumId="30" w15:restartNumberingAfterBreak="0">
    <w:nsid w:val="4B4441F7"/>
    <w:multiLevelType w:val="singleLevel"/>
    <w:tmpl w:val="7CAEA95A"/>
    <w:lvl w:ilvl="0">
      <w:numFmt w:val="decimal"/>
      <w:pStyle w:val="ReportList1"/>
      <w:lvlText w:val=""/>
      <w:lvlJc w:val="left"/>
    </w:lvl>
  </w:abstractNum>
  <w:abstractNum w:abstractNumId="31" w15:restartNumberingAfterBreak="0">
    <w:nsid w:val="4FC91F81"/>
    <w:multiLevelType w:val="hybridMultilevel"/>
    <w:tmpl w:val="4F248878"/>
    <w:lvl w:ilvl="0" w:tplc="FA4E2FDC">
      <w:start w:val="1"/>
      <w:numFmt w:val="bullet"/>
      <w:lvlText w:val=""/>
      <w:lvlJc w:val="left"/>
      <w:pPr>
        <w:ind w:left="1287" w:hanging="360"/>
      </w:pPr>
      <w:rPr>
        <w:rFonts w:ascii="Symbol" w:hAnsi="Symbol" w:hint="default"/>
        <w:sz w:val="24"/>
      </w:rPr>
    </w:lvl>
    <w:lvl w:ilvl="1" w:tplc="0D50FE42">
      <w:numFmt w:val="bullet"/>
      <w:lvlText w:val="-"/>
      <w:lvlJc w:val="left"/>
      <w:pPr>
        <w:tabs>
          <w:tab w:val="num" w:pos="2007"/>
        </w:tabs>
        <w:ind w:left="2007" w:hanging="360"/>
      </w:pPr>
      <w:rPr>
        <w:rFonts w:ascii="Times New Roman" w:eastAsia="Times New Roman" w:hAnsi="Times New Roman"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32" w15:restartNumberingAfterBreak="0">
    <w:nsid w:val="54BD0BEC"/>
    <w:multiLevelType w:val="singleLevel"/>
    <w:tmpl w:val="72D6F376"/>
    <w:lvl w:ilvl="0">
      <w:numFmt w:val="decimal"/>
      <w:pStyle w:val="ListDash"/>
      <w:lvlText w:val=""/>
      <w:lvlJc w:val="left"/>
    </w:lvl>
  </w:abstractNum>
  <w:abstractNum w:abstractNumId="33" w15:restartNumberingAfterBreak="0">
    <w:nsid w:val="55B42B2B"/>
    <w:multiLevelType w:val="hybridMultilevel"/>
    <w:tmpl w:val="BD18FC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563165A1"/>
    <w:multiLevelType w:val="hybridMultilevel"/>
    <w:tmpl w:val="C7E894AA"/>
    <w:lvl w:ilvl="0" w:tplc="1AB85C7E">
      <w:numFmt w:val="bullet"/>
      <w:lvlText w:val="-"/>
      <w:lvlJc w:val="left"/>
      <w:pPr>
        <w:ind w:left="720" w:hanging="360"/>
      </w:pPr>
      <w:rPr>
        <w:rFonts w:ascii="Calibri" w:eastAsiaTheme="minorHAnsi" w:hAnsi="Calibri" w:cs="Calibri"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8173661"/>
    <w:multiLevelType w:val="multilevel"/>
    <w:tmpl w:val="FE18A256"/>
    <w:lvl w:ilvl="0">
      <w:start w:val="1"/>
      <w:numFmt w:val="decimal"/>
      <w:lvlText w:val="%1."/>
      <w:lvlJc w:val="left"/>
      <w:pPr>
        <w:ind w:left="1437" w:hanging="870"/>
      </w:pPr>
      <w:rPr>
        <w:rFonts w:hint="default"/>
      </w:rPr>
    </w:lvl>
    <w:lvl w:ilvl="1">
      <w:start w:val="1"/>
      <w:numFmt w:val="decimal"/>
      <w:isLgl/>
      <w:lvlText w:val="%1.%2."/>
      <w:lvlJc w:val="left"/>
      <w:pPr>
        <w:ind w:left="1287" w:hanging="72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647" w:hanging="108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727" w:hanging="2160"/>
      </w:pPr>
      <w:rPr>
        <w:rFonts w:hint="default"/>
      </w:rPr>
    </w:lvl>
  </w:abstractNum>
  <w:abstractNum w:abstractNumId="36" w15:restartNumberingAfterBreak="0">
    <w:nsid w:val="5E72090A"/>
    <w:multiLevelType w:val="hybridMultilevel"/>
    <w:tmpl w:val="FBDA99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60101421"/>
    <w:multiLevelType w:val="hybridMultilevel"/>
    <w:tmpl w:val="C9B2651E"/>
    <w:lvl w:ilvl="0" w:tplc="0409000D">
      <w:start w:val="1"/>
      <w:numFmt w:val="bullet"/>
      <w:lvlText w:val=""/>
      <w:lvlJc w:val="left"/>
      <w:pPr>
        <w:ind w:left="1080" w:hanging="360"/>
      </w:pPr>
      <w:rPr>
        <w:rFonts w:ascii="Wingdings" w:hAnsi="Wingdings" w:hint="default"/>
      </w:rPr>
    </w:lvl>
    <w:lvl w:ilvl="1" w:tplc="C55025C8">
      <w:numFmt w:val="bullet"/>
      <w:lvlText w:val="•"/>
      <w:lvlJc w:val="left"/>
      <w:pPr>
        <w:ind w:left="2160" w:hanging="720"/>
      </w:pPr>
      <w:rPr>
        <w:rFonts w:ascii="Arial" w:eastAsiaTheme="minorHAnsi" w:hAnsi="Arial" w:cs="Aria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8" w15:restartNumberingAfterBreak="0">
    <w:nsid w:val="60241444"/>
    <w:multiLevelType w:val="hybridMultilevel"/>
    <w:tmpl w:val="75548CBC"/>
    <w:lvl w:ilvl="0" w:tplc="BD0CF9CC">
      <w:start w:val="1"/>
      <w:numFmt w:val="bullet"/>
      <w:pStyle w:val="Bullet10"/>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049159C"/>
    <w:multiLevelType w:val="hybridMultilevel"/>
    <w:tmpl w:val="8DD83B1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0864CD8"/>
    <w:multiLevelType w:val="hybridMultilevel"/>
    <w:tmpl w:val="A076705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cs="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cs="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cs="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0B84E21"/>
    <w:multiLevelType w:val="hybridMultilevel"/>
    <w:tmpl w:val="7160144C"/>
    <w:lvl w:ilvl="0" w:tplc="04090007">
      <w:start w:val="1"/>
      <w:numFmt w:val="bullet"/>
      <w:lvlText w:val=""/>
      <w:lvlPicBulletId w:val="0"/>
      <w:lvlJc w:val="left"/>
      <w:pPr>
        <w:ind w:left="927" w:hanging="360"/>
      </w:pPr>
      <w:rPr>
        <w:rFonts w:ascii="Symbol" w:hAnsi="Symbol"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42" w15:restartNumberingAfterBreak="0">
    <w:nsid w:val="61FE136D"/>
    <w:multiLevelType w:val="hybridMultilevel"/>
    <w:tmpl w:val="EDC08040"/>
    <w:lvl w:ilvl="0" w:tplc="04090007">
      <w:start w:val="1"/>
      <w:numFmt w:val="bullet"/>
      <w:lvlText w:val=""/>
      <w:lvlPicBulletId w:val="0"/>
      <w:lvlJc w:val="left"/>
      <w:pPr>
        <w:ind w:left="720" w:hanging="360"/>
      </w:pPr>
      <w:rPr>
        <w:rFonts w:ascii="Symbol" w:hAnsi="Symbol"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64F97EFA"/>
    <w:multiLevelType w:val="hybridMultilevel"/>
    <w:tmpl w:val="0BD2B2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5A65BAC"/>
    <w:multiLevelType w:val="hybridMultilevel"/>
    <w:tmpl w:val="59C40A42"/>
    <w:lvl w:ilvl="0" w:tplc="04090007">
      <w:start w:val="1"/>
      <w:numFmt w:val="bullet"/>
      <w:lvlText w:val=""/>
      <w:lvlPicBulletId w:val="0"/>
      <w:lvlJc w:val="left"/>
      <w:pPr>
        <w:ind w:left="1080" w:hanging="360"/>
      </w:pPr>
      <w:rPr>
        <w:rFonts w:ascii="Symbol" w:hAnsi="Symbol" w:hint="default"/>
        <w:sz w:val="22"/>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66DE1A9B"/>
    <w:multiLevelType w:val="multilevel"/>
    <w:tmpl w:val="1FC8B784"/>
    <w:styleLink w:val="WWOutlineListStyle21"/>
    <w:lvl w:ilvl="0">
      <w:start w:val="1"/>
      <w:numFmt w:val="decimal"/>
      <w:pStyle w:val="A1"/>
      <w:lvlText w:val="%1."/>
      <w:lvlJc w:val="left"/>
      <w:pPr>
        <w:ind w:left="360" w:hanging="360"/>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color="000000"/>
        <w:effect w:val="none"/>
        <w:vertAlign w:val="baseline"/>
      </w:rPr>
    </w:lvl>
    <w:lvl w:ilvl="1">
      <w:start w:val="1"/>
      <w:numFmt w:val="decimal"/>
      <w:pStyle w:val="A2"/>
      <w:lvlText w:val="%1.%2."/>
      <w:lvlJc w:val="left"/>
      <w:pPr>
        <w:ind w:left="792" w:hanging="432"/>
      </w:pPr>
      <w:rPr>
        <w:rFonts w:cs="Times New Roman" w:hint="default"/>
      </w:rPr>
    </w:lvl>
    <w:lvl w:ilvl="2">
      <w:start w:val="1"/>
      <w:numFmt w:val="decimal"/>
      <w:pStyle w:val="A3"/>
      <w:lvlText w:val="%1.%2.%3."/>
      <w:lvlJc w:val="left"/>
      <w:pPr>
        <w:ind w:left="1355" w:hanging="504"/>
      </w:pPr>
      <w:rPr>
        <w:rFonts w:cs="Times New Roman" w:hint="default"/>
      </w:rPr>
    </w:lvl>
    <w:lvl w:ilvl="3">
      <w:start w:val="1"/>
      <w:numFmt w:val="decimal"/>
      <w:pStyle w:val="A4"/>
      <w:lvlText w:val="%1.%2.%3.%4."/>
      <w:lvlJc w:val="left"/>
      <w:pPr>
        <w:ind w:left="1728" w:hanging="648"/>
      </w:pPr>
      <w:rPr>
        <w:rFonts w:cs="Times New Roman" w:hint="default"/>
      </w:rPr>
    </w:lvl>
    <w:lvl w:ilvl="4">
      <w:start w:val="1"/>
      <w:numFmt w:val="decimal"/>
      <w:pStyle w:val="A5"/>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46" w15:restartNumberingAfterBreak="0">
    <w:nsid w:val="67BC5A81"/>
    <w:multiLevelType w:val="hybridMultilevel"/>
    <w:tmpl w:val="781088F8"/>
    <w:lvl w:ilvl="0" w:tplc="04090007">
      <w:start w:val="1"/>
      <w:numFmt w:val="bullet"/>
      <w:lvlText w:val=""/>
      <w:lvlPicBulletId w:val="0"/>
      <w:lvlJc w:val="left"/>
      <w:pPr>
        <w:ind w:left="644" w:hanging="360"/>
      </w:pPr>
      <w:rPr>
        <w:rFonts w:ascii="Symbol" w:hAnsi="Symbol" w:hint="default"/>
      </w:rPr>
    </w:lvl>
    <w:lvl w:ilvl="1" w:tplc="FFFFFFFF">
      <w:numFmt w:val="bullet"/>
      <w:lvlText w:val="•"/>
      <w:lvlJc w:val="left"/>
      <w:pPr>
        <w:ind w:left="1724" w:hanging="720"/>
      </w:pPr>
      <w:rPr>
        <w:rFonts w:ascii="Arial" w:eastAsiaTheme="minorHAnsi" w:hAnsi="Arial" w:cs="Arial" w:hint="default"/>
      </w:rPr>
    </w:lvl>
    <w:lvl w:ilvl="2" w:tplc="FFFFFFFF" w:tentative="1">
      <w:start w:val="1"/>
      <w:numFmt w:val="bullet"/>
      <w:lvlText w:val=""/>
      <w:lvlJc w:val="left"/>
      <w:pPr>
        <w:ind w:left="2084" w:hanging="360"/>
      </w:pPr>
      <w:rPr>
        <w:rFonts w:ascii="Wingdings" w:hAnsi="Wingdings" w:hint="default"/>
      </w:rPr>
    </w:lvl>
    <w:lvl w:ilvl="3" w:tplc="FFFFFFFF" w:tentative="1">
      <w:start w:val="1"/>
      <w:numFmt w:val="bullet"/>
      <w:lvlText w:val=""/>
      <w:lvlJc w:val="left"/>
      <w:pPr>
        <w:ind w:left="2804" w:hanging="360"/>
      </w:pPr>
      <w:rPr>
        <w:rFonts w:ascii="Symbol" w:hAnsi="Symbol" w:hint="default"/>
      </w:rPr>
    </w:lvl>
    <w:lvl w:ilvl="4" w:tplc="FFFFFFFF" w:tentative="1">
      <w:start w:val="1"/>
      <w:numFmt w:val="bullet"/>
      <w:lvlText w:val="o"/>
      <w:lvlJc w:val="left"/>
      <w:pPr>
        <w:ind w:left="3524" w:hanging="360"/>
      </w:pPr>
      <w:rPr>
        <w:rFonts w:ascii="Courier New" w:hAnsi="Courier New" w:cs="Courier New" w:hint="default"/>
      </w:rPr>
    </w:lvl>
    <w:lvl w:ilvl="5" w:tplc="FFFFFFFF" w:tentative="1">
      <w:start w:val="1"/>
      <w:numFmt w:val="bullet"/>
      <w:lvlText w:val=""/>
      <w:lvlJc w:val="left"/>
      <w:pPr>
        <w:ind w:left="4244" w:hanging="360"/>
      </w:pPr>
      <w:rPr>
        <w:rFonts w:ascii="Wingdings" w:hAnsi="Wingdings" w:hint="default"/>
      </w:rPr>
    </w:lvl>
    <w:lvl w:ilvl="6" w:tplc="FFFFFFFF" w:tentative="1">
      <w:start w:val="1"/>
      <w:numFmt w:val="bullet"/>
      <w:lvlText w:val=""/>
      <w:lvlJc w:val="left"/>
      <w:pPr>
        <w:ind w:left="4964" w:hanging="360"/>
      </w:pPr>
      <w:rPr>
        <w:rFonts w:ascii="Symbol" w:hAnsi="Symbol" w:hint="default"/>
      </w:rPr>
    </w:lvl>
    <w:lvl w:ilvl="7" w:tplc="FFFFFFFF" w:tentative="1">
      <w:start w:val="1"/>
      <w:numFmt w:val="bullet"/>
      <w:lvlText w:val="o"/>
      <w:lvlJc w:val="left"/>
      <w:pPr>
        <w:ind w:left="5684" w:hanging="360"/>
      </w:pPr>
      <w:rPr>
        <w:rFonts w:ascii="Courier New" w:hAnsi="Courier New" w:cs="Courier New" w:hint="default"/>
      </w:rPr>
    </w:lvl>
    <w:lvl w:ilvl="8" w:tplc="FFFFFFFF" w:tentative="1">
      <w:start w:val="1"/>
      <w:numFmt w:val="bullet"/>
      <w:lvlText w:val=""/>
      <w:lvlJc w:val="left"/>
      <w:pPr>
        <w:ind w:left="6404" w:hanging="360"/>
      </w:pPr>
      <w:rPr>
        <w:rFonts w:ascii="Wingdings" w:hAnsi="Wingdings" w:hint="default"/>
      </w:rPr>
    </w:lvl>
  </w:abstractNum>
  <w:abstractNum w:abstractNumId="47" w15:restartNumberingAfterBreak="0">
    <w:nsid w:val="6FEC74D0"/>
    <w:multiLevelType w:val="hybridMultilevel"/>
    <w:tmpl w:val="2AD0BED2"/>
    <w:lvl w:ilvl="0" w:tplc="04090007">
      <w:start w:val="1"/>
      <w:numFmt w:val="bullet"/>
      <w:lvlText w:val=""/>
      <w:lvlPicBulletId w:val="0"/>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8" w15:restartNumberingAfterBreak="0">
    <w:nsid w:val="712018A1"/>
    <w:multiLevelType w:val="multilevel"/>
    <w:tmpl w:val="D7DC8F18"/>
    <w:lvl w:ilvl="0">
      <w:numFmt w:val="decimal"/>
      <w:lvlText w:val=""/>
      <w:lvlJc w:val="left"/>
    </w:lvl>
    <w:lvl w:ilvl="1">
      <w:numFmt w:val="decimal"/>
      <w:pStyle w:val="AppendixLevel1"/>
      <w:lvlText w:val=""/>
      <w:lvlJc w:val="left"/>
    </w:lvl>
    <w:lvl w:ilvl="2">
      <w:numFmt w:val="decimal"/>
      <w:pStyle w:val="AppendixLevel2"/>
      <w:lvlText w:val=""/>
      <w:lvlJc w:val="left"/>
    </w:lvl>
    <w:lvl w:ilvl="3">
      <w:numFmt w:val="decimal"/>
      <w:pStyle w:val="AppendixLevel3"/>
      <w:lvlText w:val=""/>
      <w:lvlJc w:val="left"/>
    </w:lvl>
    <w:lvl w:ilvl="4">
      <w:numFmt w:val="decimal"/>
      <w:pStyle w:val="AppendixLevel4"/>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73217EEA"/>
    <w:multiLevelType w:val="hybridMultilevel"/>
    <w:tmpl w:val="EBF4B8F0"/>
    <w:lvl w:ilvl="0" w:tplc="C6681F2A">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73512CD0"/>
    <w:multiLevelType w:val="hybridMultilevel"/>
    <w:tmpl w:val="AF943158"/>
    <w:lvl w:ilvl="0" w:tplc="FFFFFFFF">
      <w:start w:val="2"/>
      <w:numFmt w:val="bullet"/>
      <w:lvlText w:val="-"/>
      <w:lvlJc w:val="left"/>
      <w:pPr>
        <w:ind w:left="720" w:hanging="360"/>
      </w:pPr>
      <w:rPr>
        <w:rFonts w:ascii="Georgia" w:eastAsia="Times New Roman" w:hAnsi="Georgi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1" w15:restartNumberingAfterBreak="0">
    <w:nsid w:val="77DD2A0B"/>
    <w:multiLevelType w:val="hybridMultilevel"/>
    <w:tmpl w:val="2C900868"/>
    <w:lvl w:ilvl="0" w:tplc="4142E0AE">
      <w:start w:val="2"/>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A3A474B"/>
    <w:multiLevelType w:val="hybridMultilevel"/>
    <w:tmpl w:val="332C65F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3" w15:restartNumberingAfterBreak="0">
    <w:nsid w:val="7DF316DF"/>
    <w:multiLevelType w:val="hybridMultilevel"/>
    <w:tmpl w:val="5204E406"/>
    <w:lvl w:ilvl="0" w:tplc="04020001">
      <w:start w:val="1"/>
      <w:numFmt w:val="bullet"/>
      <w:lvlText w:val=""/>
      <w:lvlJc w:val="left"/>
      <w:pPr>
        <w:tabs>
          <w:tab w:val="num" w:pos="1425"/>
        </w:tabs>
        <w:ind w:left="1425" w:hanging="360"/>
      </w:pPr>
      <w:rPr>
        <w:rFonts w:ascii="Symbol" w:hAnsi="Symbol" w:hint="default"/>
      </w:rPr>
    </w:lvl>
    <w:lvl w:ilvl="1" w:tplc="04020003" w:tentative="1">
      <w:start w:val="1"/>
      <w:numFmt w:val="bullet"/>
      <w:lvlText w:val="o"/>
      <w:lvlJc w:val="left"/>
      <w:pPr>
        <w:tabs>
          <w:tab w:val="num" w:pos="2145"/>
        </w:tabs>
        <w:ind w:left="2145" w:hanging="360"/>
      </w:pPr>
      <w:rPr>
        <w:rFonts w:ascii="Courier New" w:hAnsi="Courier New" w:cs="Courier New" w:hint="default"/>
      </w:rPr>
    </w:lvl>
    <w:lvl w:ilvl="2" w:tplc="04020005" w:tentative="1">
      <w:start w:val="1"/>
      <w:numFmt w:val="bullet"/>
      <w:lvlText w:val=""/>
      <w:lvlJc w:val="left"/>
      <w:pPr>
        <w:tabs>
          <w:tab w:val="num" w:pos="2865"/>
        </w:tabs>
        <w:ind w:left="2865" w:hanging="360"/>
      </w:pPr>
      <w:rPr>
        <w:rFonts w:ascii="Wingdings" w:hAnsi="Wingdings" w:hint="default"/>
      </w:rPr>
    </w:lvl>
    <w:lvl w:ilvl="3" w:tplc="04020001" w:tentative="1">
      <w:start w:val="1"/>
      <w:numFmt w:val="bullet"/>
      <w:lvlText w:val=""/>
      <w:lvlJc w:val="left"/>
      <w:pPr>
        <w:tabs>
          <w:tab w:val="num" w:pos="3585"/>
        </w:tabs>
        <w:ind w:left="3585" w:hanging="360"/>
      </w:pPr>
      <w:rPr>
        <w:rFonts w:ascii="Symbol" w:hAnsi="Symbol" w:hint="default"/>
      </w:rPr>
    </w:lvl>
    <w:lvl w:ilvl="4" w:tplc="04020003" w:tentative="1">
      <w:start w:val="1"/>
      <w:numFmt w:val="bullet"/>
      <w:lvlText w:val="o"/>
      <w:lvlJc w:val="left"/>
      <w:pPr>
        <w:tabs>
          <w:tab w:val="num" w:pos="4305"/>
        </w:tabs>
        <w:ind w:left="4305" w:hanging="360"/>
      </w:pPr>
      <w:rPr>
        <w:rFonts w:ascii="Courier New" w:hAnsi="Courier New" w:cs="Courier New" w:hint="default"/>
      </w:rPr>
    </w:lvl>
    <w:lvl w:ilvl="5" w:tplc="04020005" w:tentative="1">
      <w:start w:val="1"/>
      <w:numFmt w:val="bullet"/>
      <w:lvlText w:val=""/>
      <w:lvlJc w:val="left"/>
      <w:pPr>
        <w:tabs>
          <w:tab w:val="num" w:pos="5025"/>
        </w:tabs>
        <w:ind w:left="5025" w:hanging="360"/>
      </w:pPr>
      <w:rPr>
        <w:rFonts w:ascii="Wingdings" w:hAnsi="Wingdings" w:hint="default"/>
      </w:rPr>
    </w:lvl>
    <w:lvl w:ilvl="6" w:tplc="04020001" w:tentative="1">
      <w:start w:val="1"/>
      <w:numFmt w:val="bullet"/>
      <w:lvlText w:val=""/>
      <w:lvlJc w:val="left"/>
      <w:pPr>
        <w:tabs>
          <w:tab w:val="num" w:pos="5745"/>
        </w:tabs>
        <w:ind w:left="5745" w:hanging="360"/>
      </w:pPr>
      <w:rPr>
        <w:rFonts w:ascii="Symbol" w:hAnsi="Symbol" w:hint="default"/>
      </w:rPr>
    </w:lvl>
    <w:lvl w:ilvl="7" w:tplc="04020003" w:tentative="1">
      <w:start w:val="1"/>
      <w:numFmt w:val="bullet"/>
      <w:lvlText w:val="o"/>
      <w:lvlJc w:val="left"/>
      <w:pPr>
        <w:tabs>
          <w:tab w:val="num" w:pos="6465"/>
        </w:tabs>
        <w:ind w:left="6465" w:hanging="360"/>
      </w:pPr>
      <w:rPr>
        <w:rFonts w:ascii="Courier New" w:hAnsi="Courier New" w:cs="Courier New" w:hint="default"/>
      </w:rPr>
    </w:lvl>
    <w:lvl w:ilvl="8" w:tplc="04020005" w:tentative="1">
      <w:start w:val="1"/>
      <w:numFmt w:val="bullet"/>
      <w:lvlText w:val=""/>
      <w:lvlJc w:val="left"/>
      <w:pPr>
        <w:tabs>
          <w:tab w:val="num" w:pos="7185"/>
        </w:tabs>
        <w:ind w:left="7185" w:hanging="360"/>
      </w:pPr>
      <w:rPr>
        <w:rFonts w:ascii="Wingdings" w:hAnsi="Wingdings" w:hint="default"/>
      </w:rPr>
    </w:lvl>
  </w:abstractNum>
  <w:num w:numId="1">
    <w:abstractNumId w:val="12"/>
  </w:num>
  <w:num w:numId="2">
    <w:abstractNumId w:val="13"/>
  </w:num>
  <w:num w:numId="3">
    <w:abstractNumId w:val="35"/>
  </w:num>
  <w:num w:numId="4">
    <w:abstractNumId w:val="45"/>
  </w:num>
  <w:num w:numId="5">
    <w:abstractNumId w:val="29"/>
  </w:num>
  <w:num w:numId="6">
    <w:abstractNumId w:val="0"/>
  </w:num>
  <w:num w:numId="7">
    <w:abstractNumId w:val="30"/>
  </w:num>
  <w:num w:numId="8">
    <w:abstractNumId w:val="48"/>
  </w:num>
  <w:num w:numId="9">
    <w:abstractNumId w:val="22"/>
  </w:num>
  <w:num w:numId="10">
    <w:abstractNumId w:val="6"/>
  </w:num>
  <w:num w:numId="11">
    <w:abstractNumId w:val="32"/>
  </w:num>
  <w:num w:numId="12">
    <w:abstractNumId w:val="15"/>
  </w:num>
  <w:num w:numId="13">
    <w:abstractNumId w:val="21"/>
  </w:num>
  <w:num w:numId="14">
    <w:abstractNumId w:val="38"/>
  </w:num>
  <w:num w:numId="15">
    <w:abstractNumId w:val="26"/>
  </w:num>
  <w:num w:numId="16">
    <w:abstractNumId w:val="31"/>
  </w:num>
  <w:num w:numId="17">
    <w:abstractNumId w:val="41"/>
  </w:num>
  <w:num w:numId="18">
    <w:abstractNumId w:val="7"/>
  </w:num>
  <w:num w:numId="19">
    <w:abstractNumId w:val="9"/>
  </w:num>
  <w:num w:numId="20">
    <w:abstractNumId w:val="47"/>
  </w:num>
  <w:num w:numId="21">
    <w:abstractNumId w:val="34"/>
  </w:num>
  <w:num w:numId="22">
    <w:abstractNumId w:val="14"/>
  </w:num>
  <w:num w:numId="23">
    <w:abstractNumId w:val="17"/>
  </w:num>
  <w:num w:numId="24">
    <w:abstractNumId w:val="39"/>
  </w:num>
  <w:num w:numId="25">
    <w:abstractNumId w:val="20"/>
  </w:num>
  <w:num w:numId="26">
    <w:abstractNumId w:val="4"/>
  </w:num>
  <w:num w:numId="27">
    <w:abstractNumId w:val="43"/>
  </w:num>
  <w:num w:numId="28">
    <w:abstractNumId w:val="3"/>
  </w:num>
  <w:num w:numId="29">
    <w:abstractNumId w:val="27"/>
  </w:num>
  <w:num w:numId="30">
    <w:abstractNumId w:val="42"/>
  </w:num>
  <w:num w:numId="31">
    <w:abstractNumId w:val="37"/>
  </w:num>
  <w:num w:numId="32">
    <w:abstractNumId w:val="23"/>
  </w:num>
  <w:num w:numId="33">
    <w:abstractNumId w:val="33"/>
  </w:num>
  <w:num w:numId="34">
    <w:abstractNumId w:val="44"/>
  </w:num>
  <w:num w:numId="35">
    <w:abstractNumId w:val="49"/>
  </w:num>
  <w:num w:numId="36">
    <w:abstractNumId w:val="50"/>
  </w:num>
  <w:num w:numId="37">
    <w:abstractNumId w:val="5"/>
  </w:num>
  <w:num w:numId="38">
    <w:abstractNumId w:val="36"/>
  </w:num>
  <w:num w:numId="39">
    <w:abstractNumId w:val="28"/>
  </w:num>
  <w:num w:numId="40">
    <w:abstractNumId w:val="53"/>
  </w:num>
  <w:num w:numId="41">
    <w:abstractNumId w:val="40"/>
  </w:num>
  <w:num w:numId="42">
    <w:abstractNumId w:val="1"/>
    <w:lvlOverride w:ilvl="0">
      <w:lvl w:ilvl="0">
        <w:numFmt w:val="bullet"/>
        <w:lvlText w:val=""/>
        <w:legacy w:legacy="1" w:legacySpace="0" w:legacyIndent="360"/>
        <w:lvlJc w:val="left"/>
        <w:rPr>
          <w:rFonts w:ascii="Symbol" w:hAnsi="Symbol" w:cs="Symbol" w:hint="default"/>
        </w:rPr>
      </w:lvl>
    </w:lvlOverride>
  </w:num>
  <w:num w:numId="43">
    <w:abstractNumId w:val="19"/>
  </w:num>
  <w:num w:numId="44">
    <w:abstractNumId w:val="25"/>
  </w:num>
  <w:num w:numId="45">
    <w:abstractNumId w:val="10"/>
  </w:num>
  <w:num w:numId="46">
    <w:abstractNumId w:val="8"/>
  </w:num>
  <w:num w:numId="47">
    <w:abstractNumId w:val="11"/>
  </w:num>
  <w:num w:numId="48">
    <w:abstractNumId w:val="18"/>
  </w:num>
  <w:num w:numId="49">
    <w:abstractNumId w:val="52"/>
  </w:num>
  <w:num w:numId="50">
    <w:abstractNumId w:val="2"/>
  </w:num>
  <w:num w:numId="51">
    <w:abstractNumId w:val="24"/>
  </w:num>
  <w:num w:numId="52">
    <w:abstractNumId w:val="51"/>
  </w:num>
  <w:num w:numId="53">
    <w:abstractNumId w:val="16"/>
  </w:num>
  <w:num w:numId="54">
    <w:abstractNumId w:val="4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7DEA"/>
    <w:rsid w:val="00002A78"/>
    <w:rsid w:val="00004408"/>
    <w:rsid w:val="0000532D"/>
    <w:rsid w:val="0000606C"/>
    <w:rsid w:val="000102B0"/>
    <w:rsid w:val="00011E71"/>
    <w:rsid w:val="000121DE"/>
    <w:rsid w:val="00013141"/>
    <w:rsid w:val="0001398B"/>
    <w:rsid w:val="00015580"/>
    <w:rsid w:val="00015650"/>
    <w:rsid w:val="00015F54"/>
    <w:rsid w:val="000160EA"/>
    <w:rsid w:val="00016413"/>
    <w:rsid w:val="000217CE"/>
    <w:rsid w:val="000221C2"/>
    <w:rsid w:val="00025B3B"/>
    <w:rsid w:val="000261E1"/>
    <w:rsid w:val="000275C2"/>
    <w:rsid w:val="00027D6D"/>
    <w:rsid w:val="00027FD3"/>
    <w:rsid w:val="00033F7B"/>
    <w:rsid w:val="00034725"/>
    <w:rsid w:val="00036B03"/>
    <w:rsid w:val="00036B89"/>
    <w:rsid w:val="00037E4A"/>
    <w:rsid w:val="00040A8C"/>
    <w:rsid w:val="00042C20"/>
    <w:rsid w:val="00046920"/>
    <w:rsid w:val="000520E3"/>
    <w:rsid w:val="000525B1"/>
    <w:rsid w:val="000569CD"/>
    <w:rsid w:val="000602E4"/>
    <w:rsid w:val="000615BD"/>
    <w:rsid w:val="000630E2"/>
    <w:rsid w:val="000642BE"/>
    <w:rsid w:val="00067909"/>
    <w:rsid w:val="00067F50"/>
    <w:rsid w:val="00080554"/>
    <w:rsid w:val="00080D04"/>
    <w:rsid w:val="00082F3B"/>
    <w:rsid w:val="00085F86"/>
    <w:rsid w:val="00087225"/>
    <w:rsid w:val="000900A4"/>
    <w:rsid w:val="00093672"/>
    <w:rsid w:val="00094264"/>
    <w:rsid w:val="00095012"/>
    <w:rsid w:val="00096041"/>
    <w:rsid w:val="000A0EB3"/>
    <w:rsid w:val="000A17E3"/>
    <w:rsid w:val="000A3C41"/>
    <w:rsid w:val="000A5226"/>
    <w:rsid w:val="000B13C1"/>
    <w:rsid w:val="000B4BBA"/>
    <w:rsid w:val="000B6471"/>
    <w:rsid w:val="000B739B"/>
    <w:rsid w:val="000B77F4"/>
    <w:rsid w:val="000C39DA"/>
    <w:rsid w:val="000C558E"/>
    <w:rsid w:val="000C6C79"/>
    <w:rsid w:val="000D1A17"/>
    <w:rsid w:val="000D5CF4"/>
    <w:rsid w:val="000D7D43"/>
    <w:rsid w:val="000E35FD"/>
    <w:rsid w:val="000E443E"/>
    <w:rsid w:val="000E6153"/>
    <w:rsid w:val="000F14C7"/>
    <w:rsid w:val="000F227D"/>
    <w:rsid w:val="000F2513"/>
    <w:rsid w:val="000F398C"/>
    <w:rsid w:val="000F51CB"/>
    <w:rsid w:val="000F552D"/>
    <w:rsid w:val="000F696D"/>
    <w:rsid w:val="000F7D39"/>
    <w:rsid w:val="001012E3"/>
    <w:rsid w:val="00103C46"/>
    <w:rsid w:val="00106777"/>
    <w:rsid w:val="00106CC0"/>
    <w:rsid w:val="00107F61"/>
    <w:rsid w:val="00110513"/>
    <w:rsid w:val="00111183"/>
    <w:rsid w:val="001125FB"/>
    <w:rsid w:val="0011675C"/>
    <w:rsid w:val="00117E34"/>
    <w:rsid w:val="0012086F"/>
    <w:rsid w:val="00120A6A"/>
    <w:rsid w:val="001215C8"/>
    <w:rsid w:val="00121B01"/>
    <w:rsid w:val="00133910"/>
    <w:rsid w:val="00133FF0"/>
    <w:rsid w:val="001356E4"/>
    <w:rsid w:val="001458C3"/>
    <w:rsid w:val="001503CA"/>
    <w:rsid w:val="001512AF"/>
    <w:rsid w:val="00151AC1"/>
    <w:rsid w:val="00152A06"/>
    <w:rsid w:val="00152AF7"/>
    <w:rsid w:val="00153C63"/>
    <w:rsid w:val="00153F0A"/>
    <w:rsid w:val="00155E3F"/>
    <w:rsid w:val="00155F66"/>
    <w:rsid w:val="00156E76"/>
    <w:rsid w:val="00157076"/>
    <w:rsid w:val="00164F3A"/>
    <w:rsid w:val="00167AE4"/>
    <w:rsid w:val="001714D3"/>
    <w:rsid w:val="00171567"/>
    <w:rsid w:val="00171841"/>
    <w:rsid w:val="0017227D"/>
    <w:rsid w:val="00174335"/>
    <w:rsid w:val="001743AE"/>
    <w:rsid w:val="00174FD7"/>
    <w:rsid w:val="001759CD"/>
    <w:rsid w:val="00181D25"/>
    <w:rsid w:val="00183A93"/>
    <w:rsid w:val="001854B6"/>
    <w:rsid w:val="00185AD3"/>
    <w:rsid w:val="001863FD"/>
    <w:rsid w:val="00186DDE"/>
    <w:rsid w:val="00190EB3"/>
    <w:rsid w:val="001911C4"/>
    <w:rsid w:val="0019160F"/>
    <w:rsid w:val="0019278E"/>
    <w:rsid w:val="001A0CDE"/>
    <w:rsid w:val="001A1303"/>
    <w:rsid w:val="001A2A16"/>
    <w:rsid w:val="001A689D"/>
    <w:rsid w:val="001B006A"/>
    <w:rsid w:val="001B0B51"/>
    <w:rsid w:val="001B16F8"/>
    <w:rsid w:val="001B2992"/>
    <w:rsid w:val="001B4009"/>
    <w:rsid w:val="001B581E"/>
    <w:rsid w:val="001C0C11"/>
    <w:rsid w:val="001C2336"/>
    <w:rsid w:val="001C32FC"/>
    <w:rsid w:val="001C39DE"/>
    <w:rsid w:val="001C41A4"/>
    <w:rsid w:val="001C75FF"/>
    <w:rsid w:val="001C7CEC"/>
    <w:rsid w:val="001D00F4"/>
    <w:rsid w:val="001D036C"/>
    <w:rsid w:val="001D5698"/>
    <w:rsid w:val="001D5C71"/>
    <w:rsid w:val="001D5DCA"/>
    <w:rsid w:val="001D67DB"/>
    <w:rsid w:val="001D6E74"/>
    <w:rsid w:val="001D7D0C"/>
    <w:rsid w:val="001E29A9"/>
    <w:rsid w:val="001E416F"/>
    <w:rsid w:val="001E6917"/>
    <w:rsid w:val="001E7455"/>
    <w:rsid w:val="001E7BA5"/>
    <w:rsid w:val="001F0A95"/>
    <w:rsid w:val="001F0D64"/>
    <w:rsid w:val="001F180E"/>
    <w:rsid w:val="001F27F4"/>
    <w:rsid w:val="001F3DEF"/>
    <w:rsid w:val="001F46B9"/>
    <w:rsid w:val="001F5E4C"/>
    <w:rsid w:val="00200260"/>
    <w:rsid w:val="00202583"/>
    <w:rsid w:val="00202D23"/>
    <w:rsid w:val="00205446"/>
    <w:rsid w:val="00206F94"/>
    <w:rsid w:val="00207F7D"/>
    <w:rsid w:val="002128DA"/>
    <w:rsid w:val="00212CFF"/>
    <w:rsid w:val="00213498"/>
    <w:rsid w:val="00214979"/>
    <w:rsid w:val="002166C3"/>
    <w:rsid w:val="00216EA5"/>
    <w:rsid w:val="00222708"/>
    <w:rsid w:val="00223971"/>
    <w:rsid w:val="00224F55"/>
    <w:rsid w:val="00226A2C"/>
    <w:rsid w:val="00227472"/>
    <w:rsid w:val="00231CC7"/>
    <w:rsid w:val="0023419D"/>
    <w:rsid w:val="00237F73"/>
    <w:rsid w:val="00240AE9"/>
    <w:rsid w:val="002416C7"/>
    <w:rsid w:val="00245571"/>
    <w:rsid w:val="002459EF"/>
    <w:rsid w:val="00245F63"/>
    <w:rsid w:val="00247469"/>
    <w:rsid w:val="002501DC"/>
    <w:rsid w:val="00250ABF"/>
    <w:rsid w:val="0025192F"/>
    <w:rsid w:val="0025318C"/>
    <w:rsid w:val="00255493"/>
    <w:rsid w:val="0025565C"/>
    <w:rsid w:val="002600A9"/>
    <w:rsid w:val="00262237"/>
    <w:rsid w:val="00262D31"/>
    <w:rsid w:val="00264CB0"/>
    <w:rsid w:val="002650B9"/>
    <w:rsid w:val="00267CD6"/>
    <w:rsid w:val="00267DE9"/>
    <w:rsid w:val="0027154F"/>
    <w:rsid w:val="002728EB"/>
    <w:rsid w:val="00274BC7"/>
    <w:rsid w:val="0027587D"/>
    <w:rsid w:val="00285349"/>
    <w:rsid w:val="0028624F"/>
    <w:rsid w:val="002875E9"/>
    <w:rsid w:val="00291FF0"/>
    <w:rsid w:val="002943B0"/>
    <w:rsid w:val="00295576"/>
    <w:rsid w:val="00295AE1"/>
    <w:rsid w:val="00295CD3"/>
    <w:rsid w:val="00296935"/>
    <w:rsid w:val="0029756F"/>
    <w:rsid w:val="002A0862"/>
    <w:rsid w:val="002A1025"/>
    <w:rsid w:val="002A3494"/>
    <w:rsid w:val="002A3AB7"/>
    <w:rsid w:val="002B037A"/>
    <w:rsid w:val="002B07F4"/>
    <w:rsid w:val="002B1AB9"/>
    <w:rsid w:val="002B38B2"/>
    <w:rsid w:val="002B47F0"/>
    <w:rsid w:val="002B4BAC"/>
    <w:rsid w:val="002B5848"/>
    <w:rsid w:val="002B5989"/>
    <w:rsid w:val="002B64D6"/>
    <w:rsid w:val="002B6F65"/>
    <w:rsid w:val="002B7076"/>
    <w:rsid w:val="002C55E8"/>
    <w:rsid w:val="002C5A36"/>
    <w:rsid w:val="002C5FF6"/>
    <w:rsid w:val="002D1ADB"/>
    <w:rsid w:val="002D2161"/>
    <w:rsid w:val="002D2CC1"/>
    <w:rsid w:val="002D3131"/>
    <w:rsid w:val="002D31E8"/>
    <w:rsid w:val="002D6B38"/>
    <w:rsid w:val="002E1E19"/>
    <w:rsid w:val="002E2D6D"/>
    <w:rsid w:val="002E3322"/>
    <w:rsid w:val="002E3D35"/>
    <w:rsid w:val="002E4D9E"/>
    <w:rsid w:val="002E55ED"/>
    <w:rsid w:val="002E7266"/>
    <w:rsid w:val="002F4477"/>
    <w:rsid w:val="002F5650"/>
    <w:rsid w:val="00304B9B"/>
    <w:rsid w:val="003058AB"/>
    <w:rsid w:val="0030664F"/>
    <w:rsid w:val="00311CA5"/>
    <w:rsid w:val="00313DD8"/>
    <w:rsid w:val="00316B59"/>
    <w:rsid w:val="003204AC"/>
    <w:rsid w:val="00321DD8"/>
    <w:rsid w:val="00321FBA"/>
    <w:rsid w:val="00322DED"/>
    <w:rsid w:val="003232E6"/>
    <w:rsid w:val="003236CF"/>
    <w:rsid w:val="00324C3B"/>
    <w:rsid w:val="00324E7F"/>
    <w:rsid w:val="00326359"/>
    <w:rsid w:val="003268FD"/>
    <w:rsid w:val="00331C0E"/>
    <w:rsid w:val="00332180"/>
    <w:rsid w:val="003326D3"/>
    <w:rsid w:val="00333C79"/>
    <w:rsid w:val="00334DC3"/>
    <w:rsid w:val="00343A20"/>
    <w:rsid w:val="00344C49"/>
    <w:rsid w:val="003462A4"/>
    <w:rsid w:val="003519CE"/>
    <w:rsid w:val="0035269B"/>
    <w:rsid w:val="003529F6"/>
    <w:rsid w:val="00353FCC"/>
    <w:rsid w:val="003602BD"/>
    <w:rsid w:val="00360E9F"/>
    <w:rsid w:val="00360F7F"/>
    <w:rsid w:val="00361985"/>
    <w:rsid w:val="00364FE6"/>
    <w:rsid w:val="00365BE5"/>
    <w:rsid w:val="00367255"/>
    <w:rsid w:val="00375EB9"/>
    <w:rsid w:val="00376DA1"/>
    <w:rsid w:val="00385C7A"/>
    <w:rsid w:val="003910FD"/>
    <w:rsid w:val="003912F8"/>
    <w:rsid w:val="0039169A"/>
    <w:rsid w:val="0039416D"/>
    <w:rsid w:val="0039530D"/>
    <w:rsid w:val="003A0935"/>
    <w:rsid w:val="003A2B88"/>
    <w:rsid w:val="003A4540"/>
    <w:rsid w:val="003A5BF8"/>
    <w:rsid w:val="003A6E72"/>
    <w:rsid w:val="003A6F7D"/>
    <w:rsid w:val="003A7D22"/>
    <w:rsid w:val="003B05AA"/>
    <w:rsid w:val="003B0F35"/>
    <w:rsid w:val="003B1852"/>
    <w:rsid w:val="003B1E7B"/>
    <w:rsid w:val="003B1F43"/>
    <w:rsid w:val="003B2B69"/>
    <w:rsid w:val="003B2E7A"/>
    <w:rsid w:val="003B3F69"/>
    <w:rsid w:val="003B60B4"/>
    <w:rsid w:val="003C2195"/>
    <w:rsid w:val="003C3025"/>
    <w:rsid w:val="003C3055"/>
    <w:rsid w:val="003C574A"/>
    <w:rsid w:val="003C68A5"/>
    <w:rsid w:val="003C765C"/>
    <w:rsid w:val="003D0648"/>
    <w:rsid w:val="003D0E5A"/>
    <w:rsid w:val="003D2B5A"/>
    <w:rsid w:val="003D4582"/>
    <w:rsid w:val="003D7532"/>
    <w:rsid w:val="003E1CB7"/>
    <w:rsid w:val="003E1E08"/>
    <w:rsid w:val="003E3A74"/>
    <w:rsid w:val="003E3FE7"/>
    <w:rsid w:val="003E4E31"/>
    <w:rsid w:val="003E6A9D"/>
    <w:rsid w:val="003F01A8"/>
    <w:rsid w:val="003F1B67"/>
    <w:rsid w:val="003F2C52"/>
    <w:rsid w:val="003F2D47"/>
    <w:rsid w:val="003F3C56"/>
    <w:rsid w:val="003F3D86"/>
    <w:rsid w:val="003F567A"/>
    <w:rsid w:val="003F74B6"/>
    <w:rsid w:val="003F7889"/>
    <w:rsid w:val="00402D8A"/>
    <w:rsid w:val="004038AE"/>
    <w:rsid w:val="00403B1F"/>
    <w:rsid w:val="00406672"/>
    <w:rsid w:val="00411FB9"/>
    <w:rsid w:val="004130EC"/>
    <w:rsid w:val="00414565"/>
    <w:rsid w:val="00414A22"/>
    <w:rsid w:val="004160BB"/>
    <w:rsid w:val="00417D32"/>
    <w:rsid w:val="00417F66"/>
    <w:rsid w:val="00421E66"/>
    <w:rsid w:val="004258A2"/>
    <w:rsid w:val="00425F1C"/>
    <w:rsid w:val="0042712B"/>
    <w:rsid w:val="00434C31"/>
    <w:rsid w:val="00441346"/>
    <w:rsid w:val="00442195"/>
    <w:rsid w:val="00443419"/>
    <w:rsid w:val="00444E64"/>
    <w:rsid w:val="0044509D"/>
    <w:rsid w:val="004506B2"/>
    <w:rsid w:val="00450C51"/>
    <w:rsid w:val="00452680"/>
    <w:rsid w:val="00455248"/>
    <w:rsid w:val="00455BE5"/>
    <w:rsid w:val="00460143"/>
    <w:rsid w:val="00460F9B"/>
    <w:rsid w:val="0046154C"/>
    <w:rsid w:val="00462419"/>
    <w:rsid w:val="00463126"/>
    <w:rsid w:val="004648FC"/>
    <w:rsid w:val="00472802"/>
    <w:rsid w:val="00473AEE"/>
    <w:rsid w:val="0047415B"/>
    <w:rsid w:val="0047507E"/>
    <w:rsid w:val="0047567B"/>
    <w:rsid w:val="00477D9B"/>
    <w:rsid w:val="0048015E"/>
    <w:rsid w:val="00481D74"/>
    <w:rsid w:val="00482A29"/>
    <w:rsid w:val="00483C35"/>
    <w:rsid w:val="00484C74"/>
    <w:rsid w:val="00484CE5"/>
    <w:rsid w:val="004858BD"/>
    <w:rsid w:val="00486419"/>
    <w:rsid w:val="004871C4"/>
    <w:rsid w:val="004902C5"/>
    <w:rsid w:val="0049407A"/>
    <w:rsid w:val="004A06F0"/>
    <w:rsid w:val="004A2B49"/>
    <w:rsid w:val="004A2ECA"/>
    <w:rsid w:val="004A374A"/>
    <w:rsid w:val="004A3A0B"/>
    <w:rsid w:val="004A61A0"/>
    <w:rsid w:val="004A7496"/>
    <w:rsid w:val="004B0715"/>
    <w:rsid w:val="004B16CF"/>
    <w:rsid w:val="004B2EEF"/>
    <w:rsid w:val="004B31E3"/>
    <w:rsid w:val="004C04C3"/>
    <w:rsid w:val="004C18E5"/>
    <w:rsid w:val="004C2AEE"/>
    <w:rsid w:val="004C5B3E"/>
    <w:rsid w:val="004C6150"/>
    <w:rsid w:val="004C636F"/>
    <w:rsid w:val="004C7740"/>
    <w:rsid w:val="004C7CD5"/>
    <w:rsid w:val="004D44F0"/>
    <w:rsid w:val="004D6528"/>
    <w:rsid w:val="004E0035"/>
    <w:rsid w:val="004E339C"/>
    <w:rsid w:val="004E3586"/>
    <w:rsid w:val="004E3CC6"/>
    <w:rsid w:val="004E5FE0"/>
    <w:rsid w:val="004F2F88"/>
    <w:rsid w:val="004F4F50"/>
    <w:rsid w:val="004F6A98"/>
    <w:rsid w:val="005005D1"/>
    <w:rsid w:val="00501208"/>
    <w:rsid w:val="0050128C"/>
    <w:rsid w:val="005040CB"/>
    <w:rsid w:val="0050556E"/>
    <w:rsid w:val="005056BE"/>
    <w:rsid w:val="00505B89"/>
    <w:rsid w:val="0050665B"/>
    <w:rsid w:val="00510581"/>
    <w:rsid w:val="00510DBE"/>
    <w:rsid w:val="0051144D"/>
    <w:rsid w:val="005119FA"/>
    <w:rsid w:val="00512CCA"/>
    <w:rsid w:val="0051375D"/>
    <w:rsid w:val="00515403"/>
    <w:rsid w:val="00517A80"/>
    <w:rsid w:val="00517ED2"/>
    <w:rsid w:val="005235AF"/>
    <w:rsid w:val="00523AC5"/>
    <w:rsid w:val="00524388"/>
    <w:rsid w:val="005274C7"/>
    <w:rsid w:val="00530223"/>
    <w:rsid w:val="00530E4A"/>
    <w:rsid w:val="00531BE7"/>
    <w:rsid w:val="00535ED7"/>
    <w:rsid w:val="00537B27"/>
    <w:rsid w:val="00542E20"/>
    <w:rsid w:val="005434E9"/>
    <w:rsid w:val="0054444D"/>
    <w:rsid w:val="0054633F"/>
    <w:rsid w:val="00547828"/>
    <w:rsid w:val="00547D8F"/>
    <w:rsid w:val="005500DB"/>
    <w:rsid w:val="00554D31"/>
    <w:rsid w:val="005569E0"/>
    <w:rsid w:val="00556D57"/>
    <w:rsid w:val="005574CF"/>
    <w:rsid w:val="00557799"/>
    <w:rsid w:val="00557C6A"/>
    <w:rsid w:val="00560015"/>
    <w:rsid w:val="00560ECD"/>
    <w:rsid w:val="00561535"/>
    <w:rsid w:val="00563AD8"/>
    <w:rsid w:val="00564547"/>
    <w:rsid w:val="005653DC"/>
    <w:rsid w:val="00565573"/>
    <w:rsid w:val="00567824"/>
    <w:rsid w:val="00571019"/>
    <w:rsid w:val="00571565"/>
    <w:rsid w:val="005722A4"/>
    <w:rsid w:val="005752FE"/>
    <w:rsid w:val="00575448"/>
    <w:rsid w:val="005764D2"/>
    <w:rsid w:val="0057687C"/>
    <w:rsid w:val="005777E9"/>
    <w:rsid w:val="005816B5"/>
    <w:rsid w:val="00582614"/>
    <w:rsid w:val="005831B7"/>
    <w:rsid w:val="00584ECE"/>
    <w:rsid w:val="00586DA7"/>
    <w:rsid w:val="005874E4"/>
    <w:rsid w:val="00590FD1"/>
    <w:rsid w:val="00591252"/>
    <w:rsid w:val="005912BF"/>
    <w:rsid w:val="005918F5"/>
    <w:rsid w:val="005922E0"/>
    <w:rsid w:val="0059432C"/>
    <w:rsid w:val="00595C8C"/>
    <w:rsid w:val="00596573"/>
    <w:rsid w:val="00597B83"/>
    <w:rsid w:val="005A00BF"/>
    <w:rsid w:val="005A19E5"/>
    <w:rsid w:val="005A22C4"/>
    <w:rsid w:val="005A24E1"/>
    <w:rsid w:val="005A3483"/>
    <w:rsid w:val="005A4BF1"/>
    <w:rsid w:val="005A5654"/>
    <w:rsid w:val="005A63E4"/>
    <w:rsid w:val="005A646E"/>
    <w:rsid w:val="005A7F6C"/>
    <w:rsid w:val="005B0CE0"/>
    <w:rsid w:val="005B1C19"/>
    <w:rsid w:val="005B57A1"/>
    <w:rsid w:val="005B7857"/>
    <w:rsid w:val="005C0420"/>
    <w:rsid w:val="005C14E0"/>
    <w:rsid w:val="005C1C9F"/>
    <w:rsid w:val="005C1CA1"/>
    <w:rsid w:val="005C21D8"/>
    <w:rsid w:val="005C34B5"/>
    <w:rsid w:val="005C34BD"/>
    <w:rsid w:val="005C43BC"/>
    <w:rsid w:val="005C4DB4"/>
    <w:rsid w:val="005C5105"/>
    <w:rsid w:val="005D0D72"/>
    <w:rsid w:val="005D2919"/>
    <w:rsid w:val="005D64DE"/>
    <w:rsid w:val="005E0E38"/>
    <w:rsid w:val="005E1A5D"/>
    <w:rsid w:val="005E577F"/>
    <w:rsid w:val="005E794A"/>
    <w:rsid w:val="005F089B"/>
    <w:rsid w:val="005F125C"/>
    <w:rsid w:val="005F1C8E"/>
    <w:rsid w:val="005F36DC"/>
    <w:rsid w:val="005F4197"/>
    <w:rsid w:val="005F4C98"/>
    <w:rsid w:val="005F5E95"/>
    <w:rsid w:val="005F7604"/>
    <w:rsid w:val="006019E0"/>
    <w:rsid w:val="00612844"/>
    <w:rsid w:val="006129B6"/>
    <w:rsid w:val="006141BB"/>
    <w:rsid w:val="006152A5"/>
    <w:rsid w:val="006153F2"/>
    <w:rsid w:val="006175C2"/>
    <w:rsid w:val="006213BF"/>
    <w:rsid w:val="00623896"/>
    <w:rsid w:val="00623A62"/>
    <w:rsid w:val="006242B7"/>
    <w:rsid w:val="006252CB"/>
    <w:rsid w:val="00625E71"/>
    <w:rsid w:val="00627D6E"/>
    <w:rsid w:val="0063099C"/>
    <w:rsid w:val="00631F52"/>
    <w:rsid w:val="006331AC"/>
    <w:rsid w:val="006334D4"/>
    <w:rsid w:val="006334F4"/>
    <w:rsid w:val="006335B0"/>
    <w:rsid w:val="00634140"/>
    <w:rsid w:val="006346FD"/>
    <w:rsid w:val="00637A02"/>
    <w:rsid w:val="006404E5"/>
    <w:rsid w:val="00640BFF"/>
    <w:rsid w:val="00643122"/>
    <w:rsid w:val="006454B6"/>
    <w:rsid w:val="0065112C"/>
    <w:rsid w:val="00652113"/>
    <w:rsid w:val="00652235"/>
    <w:rsid w:val="00655063"/>
    <w:rsid w:val="006555D5"/>
    <w:rsid w:val="0065571F"/>
    <w:rsid w:val="00656045"/>
    <w:rsid w:val="006576AE"/>
    <w:rsid w:val="00657A2A"/>
    <w:rsid w:val="006606A5"/>
    <w:rsid w:val="00660BE3"/>
    <w:rsid w:val="00661078"/>
    <w:rsid w:val="0066312A"/>
    <w:rsid w:val="00663863"/>
    <w:rsid w:val="00664996"/>
    <w:rsid w:val="006700E8"/>
    <w:rsid w:val="00670591"/>
    <w:rsid w:val="00673B96"/>
    <w:rsid w:val="0067616F"/>
    <w:rsid w:val="00677CF4"/>
    <w:rsid w:val="00677E6A"/>
    <w:rsid w:val="00680473"/>
    <w:rsid w:val="00685631"/>
    <w:rsid w:val="00685724"/>
    <w:rsid w:val="00687C58"/>
    <w:rsid w:val="00691453"/>
    <w:rsid w:val="006914EE"/>
    <w:rsid w:val="00691CC5"/>
    <w:rsid w:val="00692A25"/>
    <w:rsid w:val="00692AD3"/>
    <w:rsid w:val="00694889"/>
    <w:rsid w:val="00695034"/>
    <w:rsid w:val="00695E39"/>
    <w:rsid w:val="00696533"/>
    <w:rsid w:val="006A30C8"/>
    <w:rsid w:val="006A4198"/>
    <w:rsid w:val="006A76D3"/>
    <w:rsid w:val="006B066C"/>
    <w:rsid w:val="006C1057"/>
    <w:rsid w:val="006C10E9"/>
    <w:rsid w:val="006C1E59"/>
    <w:rsid w:val="006C3A0A"/>
    <w:rsid w:val="006C3EA6"/>
    <w:rsid w:val="006C4FDF"/>
    <w:rsid w:val="006C7130"/>
    <w:rsid w:val="006D128A"/>
    <w:rsid w:val="006D1E7A"/>
    <w:rsid w:val="006D207C"/>
    <w:rsid w:val="006D22EF"/>
    <w:rsid w:val="006D24E5"/>
    <w:rsid w:val="006D2AA1"/>
    <w:rsid w:val="006D318E"/>
    <w:rsid w:val="006D582D"/>
    <w:rsid w:val="006E2B7F"/>
    <w:rsid w:val="006E3E94"/>
    <w:rsid w:val="006E7728"/>
    <w:rsid w:val="006E7D50"/>
    <w:rsid w:val="006F06DA"/>
    <w:rsid w:val="006F14B2"/>
    <w:rsid w:val="006F174A"/>
    <w:rsid w:val="006F4132"/>
    <w:rsid w:val="006F41E7"/>
    <w:rsid w:val="006F5761"/>
    <w:rsid w:val="006F57A3"/>
    <w:rsid w:val="006F5D8E"/>
    <w:rsid w:val="006F7587"/>
    <w:rsid w:val="006F7F4B"/>
    <w:rsid w:val="00701E62"/>
    <w:rsid w:val="0070222D"/>
    <w:rsid w:val="00703F3D"/>
    <w:rsid w:val="00704179"/>
    <w:rsid w:val="00705B87"/>
    <w:rsid w:val="0070704A"/>
    <w:rsid w:val="00707FC5"/>
    <w:rsid w:val="00712136"/>
    <w:rsid w:val="0071308E"/>
    <w:rsid w:val="0071682C"/>
    <w:rsid w:val="0071701B"/>
    <w:rsid w:val="00721344"/>
    <w:rsid w:val="00722FEB"/>
    <w:rsid w:val="0072302D"/>
    <w:rsid w:val="0072544D"/>
    <w:rsid w:val="00725A36"/>
    <w:rsid w:val="007268DA"/>
    <w:rsid w:val="00726CE5"/>
    <w:rsid w:val="007305DA"/>
    <w:rsid w:val="00730E75"/>
    <w:rsid w:val="007334D9"/>
    <w:rsid w:val="00734B65"/>
    <w:rsid w:val="00735D43"/>
    <w:rsid w:val="00737A62"/>
    <w:rsid w:val="00740DA0"/>
    <w:rsid w:val="00741FF5"/>
    <w:rsid w:val="007436A4"/>
    <w:rsid w:val="0074763C"/>
    <w:rsid w:val="007502C7"/>
    <w:rsid w:val="00750EE5"/>
    <w:rsid w:val="00754E19"/>
    <w:rsid w:val="00755965"/>
    <w:rsid w:val="00755DEF"/>
    <w:rsid w:val="0075765C"/>
    <w:rsid w:val="00757856"/>
    <w:rsid w:val="007616AC"/>
    <w:rsid w:val="00762B5A"/>
    <w:rsid w:val="00762C71"/>
    <w:rsid w:val="00763686"/>
    <w:rsid w:val="0076412F"/>
    <w:rsid w:val="00765764"/>
    <w:rsid w:val="00765CAE"/>
    <w:rsid w:val="00766DDC"/>
    <w:rsid w:val="007708C6"/>
    <w:rsid w:val="00774869"/>
    <w:rsid w:val="007763C8"/>
    <w:rsid w:val="007768D5"/>
    <w:rsid w:val="00776992"/>
    <w:rsid w:val="007816BC"/>
    <w:rsid w:val="00782575"/>
    <w:rsid w:val="00782C2D"/>
    <w:rsid w:val="00783B7B"/>
    <w:rsid w:val="00784F91"/>
    <w:rsid w:val="00785A62"/>
    <w:rsid w:val="00786293"/>
    <w:rsid w:val="00787D72"/>
    <w:rsid w:val="0079129A"/>
    <w:rsid w:val="007928DB"/>
    <w:rsid w:val="00792E27"/>
    <w:rsid w:val="00792F24"/>
    <w:rsid w:val="0079332C"/>
    <w:rsid w:val="00794216"/>
    <w:rsid w:val="00794C49"/>
    <w:rsid w:val="00794D51"/>
    <w:rsid w:val="00794FF7"/>
    <w:rsid w:val="00796CB4"/>
    <w:rsid w:val="007A0934"/>
    <w:rsid w:val="007A094C"/>
    <w:rsid w:val="007A0BB1"/>
    <w:rsid w:val="007A2368"/>
    <w:rsid w:val="007A3122"/>
    <w:rsid w:val="007A3A93"/>
    <w:rsid w:val="007A4EA6"/>
    <w:rsid w:val="007A500A"/>
    <w:rsid w:val="007A7535"/>
    <w:rsid w:val="007B0639"/>
    <w:rsid w:val="007B1577"/>
    <w:rsid w:val="007B332F"/>
    <w:rsid w:val="007B41FE"/>
    <w:rsid w:val="007B5506"/>
    <w:rsid w:val="007B5BB9"/>
    <w:rsid w:val="007C0373"/>
    <w:rsid w:val="007C0DBD"/>
    <w:rsid w:val="007C4BA1"/>
    <w:rsid w:val="007C580F"/>
    <w:rsid w:val="007C6E52"/>
    <w:rsid w:val="007D1792"/>
    <w:rsid w:val="007D31AC"/>
    <w:rsid w:val="007D3832"/>
    <w:rsid w:val="007D55A5"/>
    <w:rsid w:val="007D77DA"/>
    <w:rsid w:val="007D7ADC"/>
    <w:rsid w:val="007D7BB8"/>
    <w:rsid w:val="007E1470"/>
    <w:rsid w:val="007E26F8"/>
    <w:rsid w:val="007E3566"/>
    <w:rsid w:val="007E5048"/>
    <w:rsid w:val="007E5FAB"/>
    <w:rsid w:val="007E7C8B"/>
    <w:rsid w:val="007F0580"/>
    <w:rsid w:val="007F106F"/>
    <w:rsid w:val="007F16EE"/>
    <w:rsid w:val="007F19B4"/>
    <w:rsid w:val="007F1F62"/>
    <w:rsid w:val="007F299A"/>
    <w:rsid w:val="007F4EEF"/>
    <w:rsid w:val="007F5444"/>
    <w:rsid w:val="007F5DF1"/>
    <w:rsid w:val="007F6A71"/>
    <w:rsid w:val="007F71F0"/>
    <w:rsid w:val="0080147A"/>
    <w:rsid w:val="00807198"/>
    <w:rsid w:val="0081302A"/>
    <w:rsid w:val="0081383E"/>
    <w:rsid w:val="00815527"/>
    <w:rsid w:val="0081595B"/>
    <w:rsid w:val="00815C86"/>
    <w:rsid w:val="00816F02"/>
    <w:rsid w:val="00820DC4"/>
    <w:rsid w:val="00821E78"/>
    <w:rsid w:val="00822749"/>
    <w:rsid w:val="00832B83"/>
    <w:rsid w:val="0083469D"/>
    <w:rsid w:val="008431C3"/>
    <w:rsid w:val="00844F69"/>
    <w:rsid w:val="00845F60"/>
    <w:rsid w:val="00850727"/>
    <w:rsid w:val="008526E7"/>
    <w:rsid w:val="00852B33"/>
    <w:rsid w:val="00854303"/>
    <w:rsid w:val="008629F3"/>
    <w:rsid w:val="00870376"/>
    <w:rsid w:val="008744F5"/>
    <w:rsid w:val="00875208"/>
    <w:rsid w:val="0087586D"/>
    <w:rsid w:val="008802E2"/>
    <w:rsid w:val="0088512C"/>
    <w:rsid w:val="008909A9"/>
    <w:rsid w:val="00890AC8"/>
    <w:rsid w:val="00890F7C"/>
    <w:rsid w:val="008910A0"/>
    <w:rsid w:val="00891D16"/>
    <w:rsid w:val="00892CFF"/>
    <w:rsid w:val="0089527F"/>
    <w:rsid w:val="00897078"/>
    <w:rsid w:val="0089767D"/>
    <w:rsid w:val="008977EC"/>
    <w:rsid w:val="008A1F77"/>
    <w:rsid w:val="008A255C"/>
    <w:rsid w:val="008A3254"/>
    <w:rsid w:val="008A74E6"/>
    <w:rsid w:val="008B058A"/>
    <w:rsid w:val="008B1795"/>
    <w:rsid w:val="008B2B0C"/>
    <w:rsid w:val="008B38BF"/>
    <w:rsid w:val="008B6795"/>
    <w:rsid w:val="008B7BE7"/>
    <w:rsid w:val="008C0DD7"/>
    <w:rsid w:val="008C195C"/>
    <w:rsid w:val="008C23EF"/>
    <w:rsid w:val="008D21E8"/>
    <w:rsid w:val="008D30F8"/>
    <w:rsid w:val="008D4757"/>
    <w:rsid w:val="008D6227"/>
    <w:rsid w:val="008E1641"/>
    <w:rsid w:val="008E59C6"/>
    <w:rsid w:val="008F1366"/>
    <w:rsid w:val="008F20F0"/>
    <w:rsid w:val="008F50D2"/>
    <w:rsid w:val="0090014A"/>
    <w:rsid w:val="009001B4"/>
    <w:rsid w:val="00901F9D"/>
    <w:rsid w:val="009027CA"/>
    <w:rsid w:val="009059D2"/>
    <w:rsid w:val="00905EB3"/>
    <w:rsid w:val="00906398"/>
    <w:rsid w:val="00911412"/>
    <w:rsid w:val="00912C33"/>
    <w:rsid w:val="009155AE"/>
    <w:rsid w:val="00917F9D"/>
    <w:rsid w:val="00920B44"/>
    <w:rsid w:val="009220CC"/>
    <w:rsid w:val="0092375D"/>
    <w:rsid w:val="00926060"/>
    <w:rsid w:val="009263CA"/>
    <w:rsid w:val="009308D8"/>
    <w:rsid w:val="00931DD5"/>
    <w:rsid w:val="00933DD2"/>
    <w:rsid w:val="00933DE0"/>
    <w:rsid w:val="009345EB"/>
    <w:rsid w:val="00934B1C"/>
    <w:rsid w:val="009354D8"/>
    <w:rsid w:val="00936335"/>
    <w:rsid w:val="00936CC3"/>
    <w:rsid w:val="00937690"/>
    <w:rsid w:val="0094027C"/>
    <w:rsid w:val="00940AA4"/>
    <w:rsid w:val="00945133"/>
    <w:rsid w:val="009525F8"/>
    <w:rsid w:val="0095295C"/>
    <w:rsid w:val="00953E62"/>
    <w:rsid w:val="0095634F"/>
    <w:rsid w:val="00960BE5"/>
    <w:rsid w:val="00962949"/>
    <w:rsid w:val="00963473"/>
    <w:rsid w:val="009667F0"/>
    <w:rsid w:val="00967DFB"/>
    <w:rsid w:val="00967FFA"/>
    <w:rsid w:val="0097230B"/>
    <w:rsid w:val="009723B1"/>
    <w:rsid w:val="00972ECA"/>
    <w:rsid w:val="00974478"/>
    <w:rsid w:val="00975C2E"/>
    <w:rsid w:val="00980AAC"/>
    <w:rsid w:val="00981BFD"/>
    <w:rsid w:val="00983305"/>
    <w:rsid w:val="00985FE4"/>
    <w:rsid w:val="00986987"/>
    <w:rsid w:val="00991080"/>
    <w:rsid w:val="009920A6"/>
    <w:rsid w:val="00995FCF"/>
    <w:rsid w:val="009963CE"/>
    <w:rsid w:val="009A0830"/>
    <w:rsid w:val="009A0AF1"/>
    <w:rsid w:val="009A2C34"/>
    <w:rsid w:val="009A2D39"/>
    <w:rsid w:val="009A31F7"/>
    <w:rsid w:val="009A3A04"/>
    <w:rsid w:val="009A5C10"/>
    <w:rsid w:val="009A6A4D"/>
    <w:rsid w:val="009B5175"/>
    <w:rsid w:val="009B57B8"/>
    <w:rsid w:val="009B5D7C"/>
    <w:rsid w:val="009B725B"/>
    <w:rsid w:val="009C35F9"/>
    <w:rsid w:val="009C3D59"/>
    <w:rsid w:val="009C4A27"/>
    <w:rsid w:val="009C4EAE"/>
    <w:rsid w:val="009C5AD6"/>
    <w:rsid w:val="009D14A9"/>
    <w:rsid w:val="009D178F"/>
    <w:rsid w:val="009D2DA2"/>
    <w:rsid w:val="009D3228"/>
    <w:rsid w:val="009D4410"/>
    <w:rsid w:val="009D48DA"/>
    <w:rsid w:val="009D6BE1"/>
    <w:rsid w:val="009E0805"/>
    <w:rsid w:val="009E28B3"/>
    <w:rsid w:val="009E408C"/>
    <w:rsid w:val="009E4E2B"/>
    <w:rsid w:val="009E4E97"/>
    <w:rsid w:val="009E50AC"/>
    <w:rsid w:val="009E6634"/>
    <w:rsid w:val="009E6D6E"/>
    <w:rsid w:val="009F15E8"/>
    <w:rsid w:val="009F16FA"/>
    <w:rsid w:val="009F1892"/>
    <w:rsid w:val="009F1DB5"/>
    <w:rsid w:val="009F2216"/>
    <w:rsid w:val="009F24BC"/>
    <w:rsid w:val="009F3AE9"/>
    <w:rsid w:val="009F5293"/>
    <w:rsid w:val="00A025A0"/>
    <w:rsid w:val="00A04937"/>
    <w:rsid w:val="00A050BA"/>
    <w:rsid w:val="00A07276"/>
    <w:rsid w:val="00A07F04"/>
    <w:rsid w:val="00A10D6F"/>
    <w:rsid w:val="00A12A04"/>
    <w:rsid w:val="00A158C7"/>
    <w:rsid w:val="00A21306"/>
    <w:rsid w:val="00A21EAE"/>
    <w:rsid w:val="00A245C2"/>
    <w:rsid w:val="00A27E0B"/>
    <w:rsid w:val="00A27F33"/>
    <w:rsid w:val="00A30A66"/>
    <w:rsid w:val="00A3324B"/>
    <w:rsid w:val="00A33267"/>
    <w:rsid w:val="00A36BA0"/>
    <w:rsid w:val="00A36BFC"/>
    <w:rsid w:val="00A4083F"/>
    <w:rsid w:val="00A45295"/>
    <w:rsid w:val="00A470DA"/>
    <w:rsid w:val="00A47871"/>
    <w:rsid w:val="00A50085"/>
    <w:rsid w:val="00A506F1"/>
    <w:rsid w:val="00A50FD0"/>
    <w:rsid w:val="00A51205"/>
    <w:rsid w:val="00A51C79"/>
    <w:rsid w:val="00A53BC6"/>
    <w:rsid w:val="00A54DF4"/>
    <w:rsid w:val="00A61905"/>
    <w:rsid w:val="00A61B5E"/>
    <w:rsid w:val="00A62180"/>
    <w:rsid w:val="00A63891"/>
    <w:rsid w:val="00A655E2"/>
    <w:rsid w:val="00A67F81"/>
    <w:rsid w:val="00A70FEF"/>
    <w:rsid w:val="00A7112B"/>
    <w:rsid w:val="00A7285D"/>
    <w:rsid w:val="00A73CB4"/>
    <w:rsid w:val="00A73CFB"/>
    <w:rsid w:val="00A7796E"/>
    <w:rsid w:val="00A816AC"/>
    <w:rsid w:val="00A81B8F"/>
    <w:rsid w:val="00A82DB0"/>
    <w:rsid w:val="00A85745"/>
    <w:rsid w:val="00A94567"/>
    <w:rsid w:val="00A95AF8"/>
    <w:rsid w:val="00A96649"/>
    <w:rsid w:val="00A975C0"/>
    <w:rsid w:val="00A97B96"/>
    <w:rsid w:val="00AA1C39"/>
    <w:rsid w:val="00AA2CD5"/>
    <w:rsid w:val="00AA33B6"/>
    <w:rsid w:val="00AA3A20"/>
    <w:rsid w:val="00AA4D3F"/>
    <w:rsid w:val="00AA673B"/>
    <w:rsid w:val="00AA6A24"/>
    <w:rsid w:val="00AB089F"/>
    <w:rsid w:val="00AB2864"/>
    <w:rsid w:val="00AB2935"/>
    <w:rsid w:val="00AB31EE"/>
    <w:rsid w:val="00AB4599"/>
    <w:rsid w:val="00AB590F"/>
    <w:rsid w:val="00AB5B48"/>
    <w:rsid w:val="00AC1CBF"/>
    <w:rsid w:val="00AC2920"/>
    <w:rsid w:val="00AC2964"/>
    <w:rsid w:val="00AC2A17"/>
    <w:rsid w:val="00AC5E4F"/>
    <w:rsid w:val="00AC70D8"/>
    <w:rsid w:val="00AD09E2"/>
    <w:rsid w:val="00AD0AA3"/>
    <w:rsid w:val="00AD1AD4"/>
    <w:rsid w:val="00AD588A"/>
    <w:rsid w:val="00AD5B4C"/>
    <w:rsid w:val="00AE023A"/>
    <w:rsid w:val="00AE5BA3"/>
    <w:rsid w:val="00AE6A4F"/>
    <w:rsid w:val="00AE7A37"/>
    <w:rsid w:val="00AF0B4D"/>
    <w:rsid w:val="00AF12B7"/>
    <w:rsid w:val="00AF2B8D"/>
    <w:rsid w:val="00AF44F1"/>
    <w:rsid w:val="00AF65F6"/>
    <w:rsid w:val="00AF7E1D"/>
    <w:rsid w:val="00B00012"/>
    <w:rsid w:val="00B00208"/>
    <w:rsid w:val="00B02717"/>
    <w:rsid w:val="00B045A1"/>
    <w:rsid w:val="00B07EB4"/>
    <w:rsid w:val="00B1257F"/>
    <w:rsid w:val="00B15638"/>
    <w:rsid w:val="00B158E0"/>
    <w:rsid w:val="00B159A4"/>
    <w:rsid w:val="00B1737E"/>
    <w:rsid w:val="00B213F0"/>
    <w:rsid w:val="00B2183B"/>
    <w:rsid w:val="00B2241E"/>
    <w:rsid w:val="00B2424A"/>
    <w:rsid w:val="00B24978"/>
    <w:rsid w:val="00B25F65"/>
    <w:rsid w:val="00B27492"/>
    <w:rsid w:val="00B27775"/>
    <w:rsid w:val="00B27DEA"/>
    <w:rsid w:val="00B3077C"/>
    <w:rsid w:val="00B314C8"/>
    <w:rsid w:val="00B31EFF"/>
    <w:rsid w:val="00B323FC"/>
    <w:rsid w:val="00B36D1A"/>
    <w:rsid w:val="00B37257"/>
    <w:rsid w:val="00B376A7"/>
    <w:rsid w:val="00B4011E"/>
    <w:rsid w:val="00B4079E"/>
    <w:rsid w:val="00B423BD"/>
    <w:rsid w:val="00B42AF5"/>
    <w:rsid w:val="00B44784"/>
    <w:rsid w:val="00B44EF3"/>
    <w:rsid w:val="00B44F01"/>
    <w:rsid w:val="00B46106"/>
    <w:rsid w:val="00B46485"/>
    <w:rsid w:val="00B50374"/>
    <w:rsid w:val="00B51DD6"/>
    <w:rsid w:val="00B52384"/>
    <w:rsid w:val="00B52C56"/>
    <w:rsid w:val="00B52EDF"/>
    <w:rsid w:val="00B5793E"/>
    <w:rsid w:val="00B60411"/>
    <w:rsid w:val="00B6318B"/>
    <w:rsid w:val="00B6453F"/>
    <w:rsid w:val="00B65143"/>
    <w:rsid w:val="00B7101D"/>
    <w:rsid w:val="00B74655"/>
    <w:rsid w:val="00B77EBE"/>
    <w:rsid w:val="00B8322E"/>
    <w:rsid w:val="00B84456"/>
    <w:rsid w:val="00B8518E"/>
    <w:rsid w:val="00B853B6"/>
    <w:rsid w:val="00B870E2"/>
    <w:rsid w:val="00B8750F"/>
    <w:rsid w:val="00B907B9"/>
    <w:rsid w:val="00B93B18"/>
    <w:rsid w:val="00B93BB1"/>
    <w:rsid w:val="00B93BE8"/>
    <w:rsid w:val="00B97DA8"/>
    <w:rsid w:val="00BA0FDB"/>
    <w:rsid w:val="00BA16A8"/>
    <w:rsid w:val="00BA2EBF"/>
    <w:rsid w:val="00BA65D7"/>
    <w:rsid w:val="00BA6E4C"/>
    <w:rsid w:val="00BB0022"/>
    <w:rsid w:val="00BB1225"/>
    <w:rsid w:val="00BB3153"/>
    <w:rsid w:val="00BB3A27"/>
    <w:rsid w:val="00BB4E15"/>
    <w:rsid w:val="00BB6784"/>
    <w:rsid w:val="00BC208E"/>
    <w:rsid w:val="00BC24A8"/>
    <w:rsid w:val="00BC327C"/>
    <w:rsid w:val="00BC5B3F"/>
    <w:rsid w:val="00BC6311"/>
    <w:rsid w:val="00BD1027"/>
    <w:rsid w:val="00BD3174"/>
    <w:rsid w:val="00BD3339"/>
    <w:rsid w:val="00BD39D1"/>
    <w:rsid w:val="00BD59DF"/>
    <w:rsid w:val="00BD5BFB"/>
    <w:rsid w:val="00BD6852"/>
    <w:rsid w:val="00BD6AEE"/>
    <w:rsid w:val="00BE46F6"/>
    <w:rsid w:val="00BE4CA6"/>
    <w:rsid w:val="00BE64F5"/>
    <w:rsid w:val="00BE6F5B"/>
    <w:rsid w:val="00BE7B2D"/>
    <w:rsid w:val="00BF333D"/>
    <w:rsid w:val="00BF37F2"/>
    <w:rsid w:val="00BF48B4"/>
    <w:rsid w:val="00BF61B4"/>
    <w:rsid w:val="00BF6B94"/>
    <w:rsid w:val="00BF782B"/>
    <w:rsid w:val="00C013F8"/>
    <w:rsid w:val="00C02793"/>
    <w:rsid w:val="00C02D5D"/>
    <w:rsid w:val="00C02DD0"/>
    <w:rsid w:val="00C030D2"/>
    <w:rsid w:val="00C15AC1"/>
    <w:rsid w:val="00C1636F"/>
    <w:rsid w:val="00C21B91"/>
    <w:rsid w:val="00C225ED"/>
    <w:rsid w:val="00C247AE"/>
    <w:rsid w:val="00C3183E"/>
    <w:rsid w:val="00C33CA5"/>
    <w:rsid w:val="00C34CC7"/>
    <w:rsid w:val="00C35358"/>
    <w:rsid w:val="00C3632B"/>
    <w:rsid w:val="00C36518"/>
    <w:rsid w:val="00C407CB"/>
    <w:rsid w:val="00C47113"/>
    <w:rsid w:val="00C47357"/>
    <w:rsid w:val="00C50C40"/>
    <w:rsid w:val="00C5431A"/>
    <w:rsid w:val="00C55553"/>
    <w:rsid w:val="00C56C0A"/>
    <w:rsid w:val="00C6074E"/>
    <w:rsid w:val="00C623E8"/>
    <w:rsid w:val="00C639CB"/>
    <w:rsid w:val="00C6732A"/>
    <w:rsid w:val="00C675B4"/>
    <w:rsid w:val="00C72D20"/>
    <w:rsid w:val="00C74C20"/>
    <w:rsid w:val="00C762C5"/>
    <w:rsid w:val="00C768B9"/>
    <w:rsid w:val="00C81C8B"/>
    <w:rsid w:val="00C831C1"/>
    <w:rsid w:val="00C837FB"/>
    <w:rsid w:val="00C85B70"/>
    <w:rsid w:val="00C913C7"/>
    <w:rsid w:val="00C9320C"/>
    <w:rsid w:val="00C94444"/>
    <w:rsid w:val="00C944E1"/>
    <w:rsid w:val="00C94F74"/>
    <w:rsid w:val="00C96038"/>
    <w:rsid w:val="00C96C87"/>
    <w:rsid w:val="00C975B6"/>
    <w:rsid w:val="00C977F1"/>
    <w:rsid w:val="00CA3552"/>
    <w:rsid w:val="00CA3850"/>
    <w:rsid w:val="00CB12A6"/>
    <w:rsid w:val="00CB3051"/>
    <w:rsid w:val="00CB354F"/>
    <w:rsid w:val="00CB37BC"/>
    <w:rsid w:val="00CB3C3E"/>
    <w:rsid w:val="00CB6542"/>
    <w:rsid w:val="00CB7CEA"/>
    <w:rsid w:val="00CC15EA"/>
    <w:rsid w:val="00CC3F6B"/>
    <w:rsid w:val="00CC4D1F"/>
    <w:rsid w:val="00CC538C"/>
    <w:rsid w:val="00CC5D46"/>
    <w:rsid w:val="00CC75B4"/>
    <w:rsid w:val="00CD0DCD"/>
    <w:rsid w:val="00CD40E4"/>
    <w:rsid w:val="00CD4149"/>
    <w:rsid w:val="00CD5CAA"/>
    <w:rsid w:val="00CD6148"/>
    <w:rsid w:val="00CD63CC"/>
    <w:rsid w:val="00CD7483"/>
    <w:rsid w:val="00CE0CA2"/>
    <w:rsid w:val="00CE178E"/>
    <w:rsid w:val="00CE2DF5"/>
    <w:rsid w:val="00CE3FA9"/>
    <w:rsid w:val="00CE3FB1"/>
    <w:rsid w:val="00CE41C0"/>
    <w:rsid w:val="00CE6E59"/>
    <w:rsid w:val="00CE7B79"/>
    <w:rsid w:val="00CF1404"/>
    <w:rsid w:val="00CF17C6"/>
    <w:rsid w:val="00CF21E4"/>
    <w:rsid w:val="00CF572B"/>
    <w:rsid w:val="00CF5B29"/>
    <w:rsid w:val="00D00703"/>
    <w:rsid w:val="00D04A6C"/>
    <w:rsid w:val="00D04FE7"/>
    <w:rsid w:val="00D05206"/>
    <w:rsid w:val="00D0673E"/>
    <w:rsid w:val="00D0696C"/>
    <w:rsid w:val="00D06C08"/>
    <w:rsid w:val="00D10754"/>
    <w:rsid w:val="00D123B3"/>
    <w:rsid w:val="00D1529B"/>
    <w:rsid w:val="00D211AA"/>
    <w:rsid w:val="00D23451"/>
    <w:rsid w:val="00D2394F"/>
    <w:rsid w:val="00D274CD"/>
    <w:rsid w:val="00D2763F"/>
    <w:rsid w:val="00D31849"/>
    <w:rsid w:val="00D31B81"/>
    <w:rsid w:val="00D321BB"/>
    <w:rsid w:val="00D423A8"/>
    <w:rsid w:val="00D4363F"/>
    <w:rsid w:val="00D43AD6"/>
    <w:rsid w:val="00D44776"/>
    <w:rsid w:val="00D44966"/>
    <w:rsid w:val="00D451E8"/>
    <w:rsid w:val="00D471A1"/>
    <w:rsid w:val="00D4798E"/>
    <w:rsid w:val="00D521C1"/>
    <w:rsid w:val="00D53AD3"/>
    <w:rsid w:val="00D5570A"/>
    <w:rsid w:val="00D55BF6"/>
    <w:rsid w:val="00D566C2"/>
    <w:rsid w:val="00D578CE"/>
    <w:rsid w:val="00D57D28"/>
    <w:rsid w:val="00D644EA"/>
    <w:rsid w:val="00D65C46"/>
    <w:rsid w:val="00D67A64"/>
    <w:rsid w:val="00D7082F"/>
    <w:rsid w:val="00D728F4"/>
    <w:rsid w:val="00D74059"/>
    <w:rsid w:val="00D74A8E"/>
    <w:rsid w:val="00D75599"/>
    <w:rsid w:val="00D76CD1"/>
    <w:rsid w:val="00D77720"/>
    <w:rsid w:val="00D77776"/>
    <w:rsid w:val="00D77DC7"/>
    <w:rsid w:val="00D85F6A"/>
    <w:rsid w:val="00D86CCB"/>
    <w:rsid w:val="00D913A5"/>
    <w:rsid w:val="00D9171C"/>
    <w:rsid w:val="00D96413"/>
    <w:rsid w:val="00D96A2D"/>
    <w:rsid w:val="00D977B7"/>
    <w:rsid w:val="00DA0E12"/>
    <w:rsid w:val="00DA40B4"/>
    <w:rsid w:val="00DA50B2"/>
    <w:rsid w:val="00DB03C6"/>
    <w:rsid w:val="00DB31B2"/>
    <w:rsid w:val="00DB3AA5"/>
    <w:rsid w:val="00DB428B"/>
    <w:rsid w:val="00DB6A44"/>
    <w:rsid w:val="00DB750B"/>
    <w:rsid w:val="00DC2ADB"/>
    <w:rsid w:val="00DC527C"/>
    <w:rsid w:val="00DC7F17"/>
    <w:rsid w:val="00DD077C"/>
    <w:rsid w:val="00DD0EA7"/>
    <w:rsid w:val="00DD0F4F"/>
    <w:rsid w:val="00DD3B90"/>
    <w:rsid w:val="00DD5341"/>
    <w:rsid w:val="00DD5413"/>
    <w:rsid w:val="00DD6C22"/>
    <w:rsid w:val="00DE00CE"/>
    <w:rsid w:val="00DE15E4"/>
    <w:rsid w:val="00DE3B1B"/>
    <w:rsid w:val="00DE41BA"/>
    <w:rsid w:val="00DE515B"/>
    <w:rsid w:val="00DE6155"/>
    <w:rsid w:val="00DE6ED2"/>
    <w:rsid w:val="00DF14F4"/>
    <w:rsid w:val="00DF412D"/>
    <w:rsid w:val="00DF53FD"/>
    <w:rsid w:val="00DF5A51"/>
    <w:rsid w:val="00DF72AB"/>
    <w:rsid w:val="00DF7595"/>
    <w:rsid w:val="00DF7A24"/>
    <w:rsid w:val="00E001EC"/>
    <w:rsid w:val="00E00844"/>
    <w:rsid w:val="00E0143D"/>
    <w:rsid w:val="00E03548"/>
    <w:rsid w:val="00E038EC"/>
    <w:rsid w:val="00E043F9"/>
    <w:rsid w:val="00E04E38"/>
    <w:rsid w:val="00E05029"/>
    <w:rsid w:val="00E06141"/>
    <w:rsid w:val="00E07E09"/>
    <w:rsid w:val="00E105E5"/>
    <w:rsid w:val="00E123CA"/>
    <w:rsid w:val="00E13F09"/>
    <w:rsid w:val="00E15982"/>
    <w:rsid w:val="00E15BFC"/>
    <w:rsid w:val="00E16829"/>
    <w:rsid w:val="00E16C2D"/>
    <w:rsid w:val="00E20E79"/>
    <w:rsid w:val="00E22288"/>
    <w:rsid w:val="00E2726F"/>
    <w:rsid w:val="00E27E70"/>
    <w:rsid w:val="00E33433"/>
    <w:rsid w:val="00E33DD6"/>
    <w:rsid w:val="00E35169"/>
    <w:rsid w:val="00E36FE1"/>
    <w:rsid w:val="00E416EB"/>
    <w:rsid w:val="00E4457F"/>
    <w:rsid w:val="00E4638D"/>
    <w:rsid w:val="00E50016"/>
    <w:rsid w:val="00E50309"/>
    <w:rsid w:val="00E50FF0"/>
    <w:rsid w:val="00E51494"/>
    <w:rsid w:val="00E54D99"/>
    <w:rsid w:val="00E56B20"/>
    <w:rsid w:val="00E56E96"/>
    <w:rsid w:val="00E614D5"/>
    <w:rsid w:val="00E61CF3"/>
    <w:rsid w:val="00E629DB"/>
    <w:rsid w:val="00E66681"/>
    <w:rsid w:val="00E670FF"/>
    <w:rsid w:val="00E674D6"/>
    <w:rsid w:val="00E67966"/>
    <w:rsid w:val="00E739D6"/>
    <w:rsid w:val="00E7565F"/>
    <w:rsid w:val="00E7579C"/>
    <w:rsid w:val="00E76B26"/>
    <w:rsid w:val="00E778BB"/>
    <w:rsid w:val="00E77903"/>
    <w:rsid w:val="00E7799F"/>
    <w:rsid w:val="00E82507"/>
    <w:rsid w:val="00E83928"/>
    <w:rsid w:val="00E84784"/>
    <w:rsid w:val="00E85D5A"/>
    <w:rsid w:val="00E911BC"/>
    <w:rsid w:val="00E9326D"/>
    <w:rsid w:val="00E95393"/>
    <w:rsid w:val="00E97213"/>
    <w:rsid w:val="00EA20D3"/>
    <w:rsid w:val="00EA375A"/>
    <w:rsid w:val="00EA46A8"/>
    <w:rsid w:val="00EA4D1C"/>
    <w:rsid w:val="00EA5C92"/>
    <w:rsid w:val="00EA5DA6"/>
    <w:rsid w:val="00EA7AB8"/>
    <w:rsid w:val="00EB1385"/>
    <w:rsid w:val="00EB4015"/>
    <w:rsid w:val="00EB4075"/>
    <w:rsid w:val="00EB6DF1"/>
    <w:rsid w:val="00EB7BE9"/>
    <w:rsid w:val="00EC1EBE"/>
    <w:rsid w:val="00EC280C"/>
    <w:rsid w:val="00EC51AC"/>
    <w:rsid w:val="00EC531D"/>
    <w:rsid w:val="00EC5A38"/>
    <w:rsid w:val="00EC7C53"/>
    <w:rsid w:val="00ED0BBE"/>
    <w:rsid w:val="00ED0C49"/>
    <w:rsid w:val="00ED1405"/>
    <w:rsid w:val="00ED29B0"/>
    <w:rsid w:val="00ED2D12"/>
    <w:rsid w:val="00ED6250"/>
    <w:rsid w:val="00ED647A"/>
    <w:rsid w:val="00EE18E5"/>
    <w:rsid w:val="00EE1D59"/>
    <w:rsid w:val="00EE2C87"/>
    <w:rsid w:val="00EE304F"/>
    <w:rsid w:val="00EE37D9"/>
    <w:rsid w:val="00EE38AC"/>
    <w:rsid w:val="00EE441B"/>
    <w:rsid w:val="00EE5CC4"/>
    <w:rsid w:val="00EE7ACB"/>
    <w:rsid w:val="00EE7AED"/>
    <w:rsid w:val="00EF3601"/>
    <w:rsid w:val="00EF3EE8"/>
    <w:rsid w:val="00EF47AE"/>
    <w:rsid w:val="00EF5CE2"/>
    <w:rsid w:val="00EF6759"/>
    <w:rsid w:val="00EF6F69"/>
    <w:rsid w:val="00EF7A79"/>
    <w:rsid w:val="00EF7C28"/>
    <w:rsid w:val="00EF7CC6"/>
    <w:rsid w:val="00F03985"/>
    <w:rsid w:val="00F03F14"/>
    <w:rsid w:val="00F068C4"/>
    <w:rsid w:val="00F07220"/>
    <w:rsid w:val="00F11028"/>
    <w:rsid w:val="00F11736"/>
    <w:rsid w:val="00F13437"/>
    <w:rsid w:val="00F13476"/>
    <w:rsid w:val="00F135C2"/>
    <w:rsid w:val="00F144FB"/>
    <w:rsid w:val="00F1551B"/>
    <w:rsid w:val="00F163AC"/>
    <w:rsid w:val="00F16BB0"/>
    <w:rsid w:val="00F24154"/>
    <w:rsid w:val="00F24ADD"/>
    <w:rsid w:val="00F25243"/>
    <w:rsid w:val="00F2772E"/>
    <w:rsid w:val="00F3029F"/>
    <w:rsid w:val="00F32C9D"/>
    <w:rsid w:val="00F33975"/>
    <w:rsid w:val="00F33AC4"/>
    <w:rsid w:val="00F33CE0"/>
    <w:rsid w:val="00F40D4B"/>
    <w:rsid w:val="00F42E46"/>
    <w:rsid w:val="00F43705"/>
    <w:rsid w:val="00F44608"/>
    <w:rsid w:val="00F47E89"/>
    <w:rsid w:val="00F50C36"/>
    <w:rsid w:val="00F51FCC"/>
    <w:rsid w:val="00F53217"/>
    <w:rsid w:val="00F53D07"/>
    <w:rsid w:val="00F53F90"/>
    <w:rsid w:val="00F55C99"/>
    <w:rsid w:val="00F66A76"/>
    <w:rsid w:val="00F67766"/>
    <w:rsid w:val="00F708F9"/>
    <w:rsid w:val="00F709D2"/>
    <w:rsid w:val="00F70ED7"/>
    <w:rsid w:val="00F71457"/>
    <w:rsid w:val="00F7306A"/>
    <w:rsid w:val="00F73996"/>
    <w:rsid w:val="00F73CFD"/>
    <w:rsid w:val="00F73F46"/>
    <w:rsid w:val="00F74A29"/>
    <w:rsid w:val="00F74E95"/>
    <w:rsid w:val="00F759C5"/>
    <w:rsid w:val="00F75A75"/>
    <w:rsid w:val="00F75F06"/>
    <w:rsid w:val="00F80530"/>
    <w:rsid w:val="00F827A0"/>
    <w:rsid w:val="00F82A15"/>
    <w:rsid w:val="00F82E76"/>
    <w:rsid w:val="00F84DC0"/>
    <w:rsid w:val="00F856CE"/>
    <w:rsid w:val="00F85D12"/>
    <w:rsid w:val="00F915C0"/>
    <w:rsid w:val="00F92879"/>
    <w:rsid w:val="00F92B0B"/>
    <w:rsid w:val="00F92CCB"/>
    <w:rsid w:val="00FA1BED"/>
    <w:rsid w:val="00FA2018"/>
    <w:rsid w:val="00FA2E5D"/>
    <w:rsid w:val="00FA4358"/>
    <w:rsid w:val="00FB4170"/>
    <w:rsid w:val="00FB4843"/>
    <w:rsid w:val="00FB5E2D"/>
    <w:rsid w:val="00FB6A13"/>
    <w:rsid w:val="00FB77CB"/>
    <w:rsid w:val="00FC072D"/>
    <w:rsid w:val="00FC0D60"/>
    <w:rsid w:val="00FC2AF9"/>
    <w:rsid w:val="00FC2D23"/>
    <w:rsid w:val="00FC3D96"/>
    <w:rsid w:val="00FC6D77"/>
    <w:rsid w:val="00FD003B"/>
    <w:rsid w:val="00FD1028"/>
    <w:rsid w:val="00FD11E3"/>
    <w:rsid w:val="00FD49E1"/>
    <w:rsid w:val="00FD52FA"/>
    <w:rsid w:val="00FD5697"/>
    <w:rsid w:val="00FD6363"/>
    <w:rsid w:val="00FD6A5D"/>
    <w:rsid w:val="00FD73C8"/>
    <w:rsid w:val="00FE127A"/>
    <w:rsid w:val="00FE1E65"/>
    <w:rsid w:val="00FE57E9"/>
    <w:rsid w:val="00FE639E"/>
    <w:rsid w:val="00FE6C77"/>
    <w:rsid w:val="00FF058A"/>
    <w:rsid w:val="00FF0D3F"/>
    <w:rsid w:val="00FF1668"/>
    <w:rsid w:val="00FF1894"/>
    <w:rsid w:val="00FF2662"/>
    <w:rsid w:val="00FF487D"/>
    <w:rsid w:val="00FF55E0"/>
    <w:rsid w:val="00FF5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402456"/>
  <w15:docId w15:val="{8D20D8E6-17A1-4D65-8BE9-4D8334474B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bg-BG" w:eastAsia="bg-BG"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B47F0"/>
    <w:rPr>
      <w:rFonts w:ascii="Arial" w:hAnsi="Arial"/>
      <w:sz w:val="24"/>
    </w:rPr>
  </w:style>
  <w:style w:type="paragraph" w:styleId="Heading1">
    <w:name w:val="heading 1"/>
    <w:basedOn w:val="ReportLevel1"/>
    <w:next w:val="Normal"/>
    <w:link w:val="Heading1Char"/>
    <w:uiPriority w:val="99"/>
    <w:qFormat/>
    <w:rsid w:val="00547D8F"/>
    <w:pPr>
      <w:keepNext w:val="0"/>
      <w:numPr>
        <w:numId w:val="0"/>
      </w:numPr>
    </w:pPr>
    <w:rPr>
      <w:rFonts w:cs="Arial"/>
    </w:rPr>
  </w:style>
  <w:style w:type="paragraph" w:styleId="Heading2">
    <w:name w:val="heading 2"/>
    <w:basedOn w:val="Heading1"/>
    <w:next w:val="Normal"/>
    <w:link w:val="Heading2Char"/>
    <w:uiPriority w:val="99"/>
    <w:qFormat/>
    <w:rsid w:val="00547D8F"/>
    <w:pPr>
      <w:outlineLvl w:val="1"/>
    </w:pPr>
    <w:rPr>
      <w:caps w:val="0"/>
    </w:rPr>
  </w:style>
  <w:style w:type="paragraph" w:styleId="Heading3">
    <w:name w:val="heading 3"/>
    <w:basedOn w:val="Normal"/>
    <w:next w:val="Normal"/>
    <w:link w:val="Heading3Char"/>
    <w:uiPriority w:val="99"/>
    <w:unhideWhenUsed/>
    <w:qFormat/>
    <w:rsid w:val="00D913A5"/>
    <w:pPr>
      <w:keepNext/>
      <w:keepLines/>
      <w:spacing w:before="40" w:after="0"/>
      <w:outlineLvl w:val="2"/>
    </w:pPr>
    <w:rPr>
      <w:rFonts w:eastAsiaTheme="majorEastAsia" w:cstheme="majorBidi"/>
      <w:b/>
      <w:sz w:val="20"/>
      <w:szCs w:val="24"/>
    </w:rPr>
  </w:style>
  <w:style w:type="paragraph" w:styleId="Heading4">
    <w:name w:val="heading 4"/>
    <w:basedOn w:val="Heading3"/>
    <w:next w:val="Normal"/>
    <w:link w:val="Heading4Char"/>
    <w:uiPriority w:val="99"/>
    <w:qFormat/>
    <w:rsid w:val="00547D8F"/>
    <w:pPr>
      <w:keepNext w:val="0"/>
      <w:keepLines w:val="0"/>
      <w:spacing w:before="0" w:after="120"/>
      <w:outlineLvl w:val="3"/>
    </w:pPr>
    <w:rPr>
      <w:rFonts w:eastAsia="Times New Roman" w:cs="Arial"/>
      <w:b w:val="0"/>
      <w:szCs w:val="20"/>
      <w:lang w:val="en-GB" w:eastAsia="en-US"/>
    </w:rPr>
  </w:style>
  <w:style w:type="paragraph" w:styleId="Heading5">
    <w:name w:val="heading 5"/>
    <w:basedOn w:val="Normal"/>
    <w:next w:val="Normal"/>
    <w:link w:val="Heading5Char"/>
    <w:qFormat/>
    <w:rsid w:val="00D913A5"/>
    <w:pPr>
      <w:keepNext/>
      <w:spacing w:before="60" w:after="60"/>
      <w:outlineLvl w:val="4"/>
    </w:pPr>
    <w:rPr>
      <w:rFonts w:eastAsia="Times New Roman" w:cs="Times New Roman"/>
      <w:sz w:val="36"/>
      <w:szCs w:val="20"/>
      <w:lang w:val="en-GB" w:eastAsia="en-US"/>
    </w:rPr>
  </w:style>
  <w:style w:type="paragraph" w:styleId="Heading6">
    <w:name w:val="heading 6"/>
    <w:basedOn w:val="Normal"/>
    <w:next w:val="Normal"/>
    <w:link w:val="Heading6Char"/>
    <w:qFormat/>
    <w:rsid w:val="00D913A5"/>
    <w:pPr>
      <w:spacing w:before="60" w:after="60"/>
      <w:outlineLvl w:val="5"/>
    </w:pPr>
    <w:rPr>
      <w:rFonts w:ascii="Times New Roman" w:eastAsia="Times New Roman" w:hAnsi="Times New Roman" w:cs="Times New Roman"/>
      <w:i/>
      <w:sz w:val="22"/>
      <w:szCs w:val="20"/>
      <w:lang w:val="en-GB" w:eastAsia="en-US"/>
    </w:rPr>
  </w:style>
  <w:style w:type="paragraph" w:styleId="Heading7">
    <w:name w:val="heading 7"/>
    <w:basedOn w:val="Normal"/>
    <w:next w:val="Normal"/>
    <w:link w:val="Heading7Char"/>
    <w:qFormat/>
    <w:rsid w:val="00D913A5"/>
    <w:pPr>
      <w:spacing w:before="60" w:after="60"/>
      <w:outlineLvl w:val="6"/>
    </w:pPr>
    <w:rPr>
      <w:rFonts w:eastAsia="Times New Roman" w:cs="Times New Roman"/>
      <w:sz w:val="22"/>
      <w:szCs w:val="20"/>
      <w:lang w:val="en-GB" w:eastAsia="en-US"/>
    </w:rPr>
  </w:style>
  <w:style w:type="paragraph" w:styleId="Heading8">
    <w:name w:val="heading 8"/>
    <w:basedOn w:val="Normal"/>
    <w:next w:val="Normal"/>
    <w:link w:val="Heading8Char"/>
    <w:qFormat/>
    <w:rsid w:val="00D913A5"/>
    <w:pPr>
      <w:spacing w:before="60" w:after="60"/>
      <w:outlineLvl w:val="7"/>
    </w:pPr>
    <w:rPr>
      <w:rFonts w:eastAsia="Times New Roman" w:cs="Times New Roman"/>
      <w:i/>
      <w:sz w:val="22"/>
      <w:szCs w:val="20"/>
      <w:lang w:val="en-GB" w:eastAsia="en-US"/>
    </w:rPr>
  </w:style>
  <w:style w:type="paragraph" w:styleId="Heading9">
    <w:name w:val="heading 9"/>
    <w:basedOn w:val="Normal"/>
    <w:next w:val="Normal"/>
    <w:link w:val="Heading9Char"/>
    <w:qFormat/>
    <w:rsid w:val="00D913A5"/>
    <w:pPr>
      <w:spacing w:before="60" w:after="60"/>
      <w:outlineLvl w:val="8"/>
    </w:pPr>
    <w:rPr>
      <w:rFonts w:eastAsia="Times New Roman" w:cs="Times New Roman"/>
      <w:b/>
      <w:i/>
      <w:sz w:val="18"/>
      <w:szCs w:val="20"/>
      <w:lang w:val="en-GB"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Normal Informe,TEP,Encabezado TEP,Encabezado1,anexo,even,encabezado, Char2,Header Char1,Header Char Char,Char5 Char Char,Char5 Char1 Char,Char2 Char1 Char,Header Char1 Char,Header Char Char Char,Char5 Char Char Char,Char2 Char Char Char"/>
    <w:basedOn w:val="Normal"/>
    <w:link w:val="HeaderChar"/>
    <w:unhideWhenUsed/>
    <w:rsid w:val="00EF6F69"/>
    <w:pPr>
      <w:tabs>
        <w:tab w:val="center" w:pos="4703"/>
        <w:tab w:val="right" w:pos="9406"/>
      </w:tabs>
      <w:spacing w:after="0" w:line="240" w:lineRule="auto"/>
    </w:pPr>
  </w:style>
  <w:style w:type="character" w:customStyle="1" w:styleId="HeaderChar">
    <w:name w:val="Header Char"/>
    <w:aliases w:val="Normal Informe Char,TEP Char,Encabezado TEP Char,Encabezado1 Char,anexo Char,even Char,encabezado Char, Char2 Char,Header Char1 Char1,Header Char Char Char1,Char5 Char Char Char1,Char5 Char1 Char Char,Char2 Char1 Char Char"/>
    <w:basedOn w:val="DefaultParagraphFont"/>
    <w:link w:val="Header"/>
    <w:rsid w:val="00EF6F69"/>
  </w:style>
  <w:style w:type="paragraph" w:styleId="Footer">
    <w:name w:val="footer"/>
    <w:aliases w:val="Stopka Znak"/>
    <w:basedOn w:val="Normal"/>
    <w:link w:val="FooterChar"/>
    <w:uiPriority w:val="99"/>
    <w:unhideWhenUsed/>
    <w:rsid w:val="00EF6F69"/>
    <w:pPr>
      <w:tabs>
        <w:tab w:val="center" w:pos="4703"/>
        <w:tab w:val="right" w:pos="9406"/>
      </w:tabs>
      <w:spacing w:after="0" w:line="240" w:lineRule="auto"/>
    </w:pPr>
  </w:style>
  <w:style w:type="character" w:customStyle="1" w:styleId="FooterChar">
    <w:name w:val="Footer Char"/>
    <w:aliases w:val="Stopka Znak Char"/>
    <w:basedOn w:val="DefaultParagraphFont"/>
    <w:link w:val="Footer"/>
    <w:uiPriority w:val="99"/>
    <w:rsid w:val="00EF6F69"/>
  </w:style>
  <w:style w:type="paragraph" w:styleId="BalloonText">
    <w:name w:val="Balloon Text"/>
    <w:basedOn w:val="Normal"/>
    <w:link w:val="BalloonTextChar"/>
    <w:uiPriority w:val="99"/>
    <w:semiHidden/>
    <w:unhideWhenUsed/>
    <w:rsid w:val="00EF6F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F6F69"/>
    <w:rPr>
      <w:rFonts w:ascii="Tahoma" w:hAnsi="Tahoma" w:cs="Tahoma"/>
      <w:sz w:val="16"/>
      <w:szCs w:val="16"/>
    </w:rPr>
  </w:style>
  <w:style w:type="character" w:customStyle="1" w:styleId="Heading1Char">
    <w:name w:val="Heading 1 Char"/>
    <w:basedOn w:val="DefaultParagraphFont"/>
    <w:link w:val="Heading1"/>
    <w:uiPriority w:val="99"/>
    <w:rsid w:val="00547D8F"/>
    <w:rPr>
      <w:rFonts w:ascii="Arial" w:eastAsia="Times New Roman" w:hAnsi="Arial" w:cs="Arial"/>
      <w:b/>
      <w:caps/>
      <w:sz w:val="24"/>
      <w:szCs w:val="20"/>
      <w:lang w:val="en-GB" w:eastAsia="en-US"/>
    </w:rPr>
  </w:style>
  <w:style w:type="character" w:customStyle="1" w:styleId="Heading2Char">
    <w:name w:val="Heading 2 Char"/>
    <w:basedOn w:val="DefaultParagraphFont"/>
    <w:link w:val="Heading2"/>
    <w:uiPriority w:val="99"/>
    <w:rsid w:val="00547D8F"/>
    <w:rPr>
      <w:rFonts w:ascii="Arial" w:eastAsia="Times New Roman" w:hAnsi="Arial" w:cs="Arial"/>
      <w:b/>
      <w:sz w:val="24"/>
      <w:szCs w:val="20"/>
      <w:lang w:val="en-GB" w:eastAsia="en-US"/>
    </w:rPr>
  </w:style>
  <w:style w:type="character" w:customStyle="1" w:styleId="Heading4Char">
    <w:name w:val="Heading 4 Char"/>
    <w:basedOn w:val="DefaultParagraphFont"/>
    <w:link w:val="Heading4"/>
    <w:uiPriority w:val="99"/>
    <w:rsid w:val="00547D8F"/>
    <w:rPr>
      <w:rFonts w:ascii="Arial" w:eastAsia="Times New Roman" w:hAnsi="Arial" w:cs="Arial"/>
      <w:b/>
      <w:sz w:val="20"/>
      <w:szCs w:val="20"/>
      <w:lang w:val="en-GB" w:eastAsia="en-US"/>
    </w:rPr>
  </w:style>
  <w:style w:type="paragraph" w:customStyle="1" w:styleId="ReportLevel1">
    <w:name w:val="Report Level 1"/>
    <w:basedOn w:val="Normal"/>
    <w:next w:val="ReportText"/>
    <w:link w:val="ReportLevel1Zchn"/>
    <w:rsid w:val="00547D8F"/>
    <w:pPr>
      <w:keepNext/>
      <w:numPr>
        <w:numId w:val="1"/>
      </w:numPr>
      <w:spacing w:before="240" w:after="120"/>
      <w:outlineLvl w:val="0"/>
    </w:pPr>
    <w:rPr>
      <w:rFonts w:eastAsia="Times New Roman" w:cs="Times New Roman"/>
      <w:b/>
      <w:caps/>
      <w:szCs w:val="20"/>
      <w:lang w:val="en-GB" w:eastAsia="en-US"/>
    </w:rPr>
  </w:style>
  <w:style w:type="paragraph" w:customStyle="1" w:styleId="ReportText">
    <w:name w:val="Report Text"/>
    <w:basedOn w:val="Normal"/>
    <w:link w:val="ReportTextZchn"/>
    <w:rsid w:val="00547D8F"/>
    <w:pPr>
      <w:spacing w:before="60" w:after="138"/>
      <w:ind w:left="1080"/>
    </w:pPr>
    <w:rPr>
      <w:rFonts w:ascii="Times New Roman" w:eastAsia="Times New Roman" w:hAnsi="Times New Roman" w:cs="Times New Roman"/>
      <w:szCs w:val="20"/>
      <w:lang w:val="en-GB" w:eastAsia="en-US"/>
    </w:rPr>
  </w:style>
  <w:style w:type="character" w:customStyle="1" w:styleId="ReportTextZchn">
    <w:name w:val="Report Text Zchn"/>
    <w:link w:val="ReportText"/>
    <w:rsid w:val="00547D8F"/>
    <w:rPr>
      <w:rFonts w:ascii="Times New Roman" w:eastAsia="Times New Roman" w:hAnsi="Times New Roman" w:cs="Times New Roman"/>
      <w:szCs w:val="20"/>
      <w:lang w:val="en-GB" w:eastAsia="en-US"/>
    </w:rPr>
  </w:style>
  <w:style w:type="character" w:customStyle="1" w:styleId="ReportLevel1Zchn">
    <w:name w:val="Report Level 1 Zchn"/>
    <w:link w:val="ReportLevel1"/>
    <w:rsid w:val="00547D8F"/>
    <w:rPr>
      <w:rFonts w:ascii="Arial" w:eastAsia="Times New Roman" w:hAnsi="Arial" w:cs="Times New Roman"/>
      <w:b/>
      <w:caps/>
      <w:sz w:val="24"/>
      <w:szCs w:val="20"/>
      <w:lang w:val="en-GB" w:eastAsia="en-US"/>
    </w:rPr>
  </w:style>
  <w:style w:type="paragraph" w:customStyle="1" w:styleId="ReportLevel2">
    <w:name w:val="Report Level 2"/>
    <w:basedOn w:val="ReportLevel1"/>
    <w:next w:val="ReportText"/>
    <w:rsid w:val="00547D8F"/>
    <w:pPr>
      <w:numPr>
        <w:ilvl w:val="1"/>
      </w:numPr>
      <w:ind w:left="0" w:firstLine="0"/>
      <w:outlineLvl w:val="1"/>
    </w:pPr>
    <w:rPr>
      <w:caps w:val="0"/>
    </w:rPr>
  </w:style>
  <w:style w:type="paragraph" w:customStyle="1" w:styleId="ReportLevel3">
    <w:name w:val="Report Level 3"/>
    <w:basedOn w:val="ReportLevel1"/>
    <w:next w:val="ReportText"/>
    <w:rsid w:val="00547D8F"/>
    <w:pPr>
      <w:numPr>
        <w:ilvl w:val="2"/>
      </w:numPr>
      <w:tabs>
        <w:tab w:val="left" w:pos="2160"/>
      </w:tabs>
      <w:spacing w:before="120"/>
      <w:ind w:left="0" w:firstLine="0"/>
      <w:outlineLvl w:val="2"/>
    </w:pPr>
    <w:rPr>
      <w:caps w:val="0"/>
      <w:sz w:val="20"/>
    </w:rPr>
  </w:style>
  <w:style w:type="paragraph" w:styleId="TOC1">
    <w:name w:val="toc 1"/>
    <w:aliases w:val="Report Contents Level 1"/>
    <w:basedOn w:val="Normal"/>
    <w:next w:val="Normal"/>
    <w:uiPriority w:val="39"/>
    <w:qFormat/>
    <w:rsid w:val="00547D8F"/>
    <w:pPr>
      <w:spacing w:before="360" w:after="60"/>
    </w:pPr>
    <w:rPr>
      <w:rFonts w:ascii="Cambria" w:eastAsia="Times New Roman" w:hAnsi="Cambria" w:cs="Times New Roman"/>
      <w:b/>
      <w:bCs/>
      <w:caps/>
      <w:szCs w:val="24"/>
      <w:lang w:val="en-GB" w:eastAsia="en-US"/>
    </w:rPr>
  </w:style>
  <w:style w:type="paragraph" w:styleId="TOC2">
    <w:name w:val="toc 2"/>
    <w:aliases w:val="Report Contents Level 2"/>
    <w:basedOn w:val="Normal"/>
    <w:next w:val="Normal"/>
    <w:uiPriority w:val="39"/>
    <w:qFormat/>
    <w:rsid w:val="00547D8F"/>
    <w:pPr>
      <w:spacing w:before="240" w:after="60"/>
    </w:pPr>
    <w:rPr>
      <w:rFonts w:ascii="Calibri" w:eastAsia="Times New Roman" w:hAnsi="Calibri" w:cs="Calibri"/>
      <w:b/>
      <w:bCs/>
      <w:sz w:val="20"/>
      <w:szCs w:val="20"/>
      <w:lang w:val="en-GB" w:eastAsia="en-US"/>
    </w:rPr>
  </w:style>
  <w:style w:type="paragraph" w:styleId="TOC3">
    <w:name w:val="toc 3"/>
    <w:aliases w:val="Report Contents Level 3"/>
    <w:basedOn w:val="Normal"/>
    <w:next w:val="Normal"/>
    <w:uiPriority w:val="39"/>
    <w:qFormat/>
    <w:rsid w:val="00547D8F"/>
    <w:pPr>
      <w:numPr>
        <w:ilvl w:val="3"/>
        <w:numId w:val="1"/>
      </w:numPr>
      <w:spacing w:before="60" w:after="60"/>
    </w:pPr>
    <w:rPr>
      <w:rFonts w:ascii="Calibri" w:eastAsia="Times New Roman" w:hAnsi="Calibri" w:cs="Calibri"/>
      <w:sz w:val="20"/>
      <w:szCs w:val="20"/>
      <w:lang w:val="en-GB" w:eastAsia="en-US"/>
    </w:rPr>
  </w:style>
  <w:style w:type="character" w:styleId="Hyperlink">
    <w:name w:val="Hyperlink"/>
    <w:uiPriority w:val="99"/>
    <w:rsid w:val="00547D8F"/>
    <w:rPr>
      <w:color w:val="auto"/>
      <w:u w:val="single"/>
    </w:rPr>
  </w:style>
  <w:style w:type="table" w:styleId="TableGrid">
    <w:name w:val="Table Grid"/>
    <w:basedOn w:val="TableNormal"/>
    <w:uiPriority w:val="39"/>
    <w:rsid w:val="00547D8F"/>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Normal List,Endnote,Indent"/>
    <w:basedOn w:val="Normal"/>
    <w:link w:val="ListParagraphChar"/>
    <w:uiPriority w:val="34"/>
    <w:qFormat/>
    <w:rsid w:val="00547D8F"/>
    <w:pPr>
      <w:spacing w:before="60"/>
      <w:ind w:left="720"/>
      <w:contextualSpacing/>
    </w:pPr>
    <w:rPr>
      <w:rFonts w:ascii="Calibri" w:eastAsia="Times New Roman" w:hAnsi="Calibri" w:cs="Times New Roman"/>
      <w:lang w:eastAsia="zh-CN"/>
    </w:rPr>
  </w:style>
  <w:style w:type="paragraph" w:styleId="TOCHeading">
    <w:name w:val="TOC Heading"/>
    <w:basedOn w:val="Heading1"/>
    <w:next w:val="Normal"/>
    <w:uiPriority w:val="99"/>
    <w:unhideWhenUsed/>
    <w:qFormat/>
    <w:rsid w:val="00547D8F"/>
    <w:pPr>
      <w:keepNext/>
      <w:keepLines/>
      <w:spacing w:before="480" w:after="0"/>
      <w:outlineLvl w:val="9"/>
    </w:pPr>
    <w:rPr>
      <w:rFonts w:ascii="Cambria" w:hAnsi="Cambria" w:cs="Times New Roman"/>
      <w:bCs/>
      <w:caps w:val="0"/>
      <w:color w:val="365F91"/>
      <w:sz w:val="28"/>
      <w:szCs w:val="28"/>
      <w:lang w:val="en-US"/>
    </w:rPr>
  </w:style>
  <w:style w:type="paragraph" w:customStyle="1" w:styleId="Normal2">
    <w:name w:val="Normal2"/>
    <w:basedOn w:val="Normal"/>
    <w:link w:val="Normal2Char"/>
    <w:qFormat/>
    <w:rsid w:val="00547D8F"/>
    <w:pPr>
      <w:spacing w:before="60" w:after="60"/>
      <w:ind w:firstLine="706"/>
      <w:jc w:val="both"/>
    </w:pPr>
    <w:rPr>
      <w:rFonts w:eastAsia="Times New Roman" w:cs="Times New Roman"/>
      <w:szCs w:val="24"/>
    </w:rPr>
  </w:style>
  <w:style w:type="character" w:customStyle="1" w:styleId="Normal2Char">
    <w:name w:val="Normal2 Char"/>
    <w:link w:val="Normal2"/>
    <w:rsid w:val="00547D8F"/>
    <w:rPr>
      <w:rFonts w:ascii="Arial" w:eastAsia="Times New Roman" w:hAnsi="Arial" w:cs="Times New Roman"/>
      <w:szCs w:val="24"/>
    </w:rPr>
  </w:style>
  <w:style w:type="character" w:customStyle="1" w:styleId="Heading3Char">
    <w:name w:val="Heading 3 Char"/>
    <w:basedOn w:val="DefaultParagraphFont"/>
    <w:link w:val="Heading3"/>
    <w:uiPriority w:val="99"/>
    <w:rsid w:val="00D913A5"/>
    <w:rPr>
      <w:rFonts w:ascii="Arial" w:eastAsiaTheme="majorEastAsia" w:hAnsi="Arial" w:cstheme="majorBidi"/>
      <w:b/>
      <w:sz w:val="20"/>
      <w:szCs w:val="24"/>
    </w:rPr>
  </w:style>
  <w:style w:type="paragraph" w:styleId="Caption">
    <w:name w:val="caption"/>
    <w:basedOn w:val="Normal"/>
    <w:qFormat/>
    <w:rsid w:val="005B7857"/>
    <w:pPr>
      <w:suppressLineNumbers/>
      <w:suppressAutoHyphens/>
      <w:spacing w:before="120" w:after="120" w:line="240" w:lineRule="auto"/>
    </w:pPr>
    <w:rPr>
      <w:rFonts w:ascii="Times New Roman" w:eastAsia="Times New Roman" w:hAnsi="Times New Roman" w:cs="Mangal"/>
      <w:i/>
      <w:iCs/>
      <w:szCs w:val="24"/>
      <w:lang w:eastAsia="ar-SA"/>
    </w:rPr>
  </w:style>
  <w:style w:type="paragraph" w:customStyle="1" w:styleId="A1">
    <w:name w:val="A1"/>
    <w:basedOn w:val="Normal"/>
    <w:uiPriority w:val="99"/>
    <w:rsid w:val="005B7857"/>
    <w:pPr>
      <w:keepNext/>
      <w:keepLines/>
      <w:numPr>
        <w:numId w:val="4"/>
      </w:numPr>
      <w:spacing w:before="240" w:after="240" w:line="240" w:lineRule="auto"/>
      <w:jc w:val="both"/>
      <w:outlineLvl w:val="0"/>
    </w:pPr>
    <w:rPr>
      <w:rFonts w:ascii="Times New Roman" w:eastAsia="Times New Roman" w:hAnsi="Times New Roman" w:cs="Times New Roman"/>
      <w:b/>
      <w:szCs w:val="28"/>
    </w:rPr>
  </w:style>
  <w:style w:type="paragraph" w:customStyle="1" w:styleId="A2">
    <w:name w:val="A2"/>
    <w:basedOn w:val="Normal"/>
    <w:uiPriority w:val="99"/>
    <w:rsid w:val="005B7857"/>
    <w:pPr>
      <w:keepNext/>
      <w:keepLines/>
      <w:numPr>
        <w:ilvl w:val="1"/>
        <w:numId w:val="4"/>
      </w:numPr>
      <w:tabs>
        <w:tab w:val="left" w:pos="907"/>
      </w:tabs>
      <w:spacing w:before="120" w:after="120" w:line="240" w:lineRule="auto"/>
      <w:jc w:val="both"/>
      <w:outlineLvl w:val="1"/>
    </w:pPr>
    <w:rPr>
      <w:rFonts w:ascii="Times New Roman" w:eastAsia="Times New Roman" w:hAnsi="Times New Roman" w:cs="Times New Roman"/>
      <w:b/>
      <w:szCs w:val="26"/>
    </w:rPr>
  </w:style>
  <w:style w:type="paragraph" w:customStyle="1" w:styleId="A3">
    <w:name w:val="A3"/>
    <w:basedOn w:val="Normal"/>
    <w:uiPriority w:val="99"/>
    <w:rsid w:val="005B7857"/>
    <w:pPr>
      <w:keepNext/>
      <w:keepLines/>
      <w:numPr>
        <w:ilvl w:val="2"/>
        <w:numId w:val="4"/>
      </w:numPr>
      <w:tabs>
        <w:tab w:val="left" w:pos="1361"/>
      </w:tabs>
      <w:spacing w:before="120" w:after="120" w:line="240" w:lineRule="auto"/>
      <w:jc w:val="both"/>
      <w:outlineLvl w:val="2"/>
    </w:pPr>
    <w:rPr>
      <w:rFonts w:ascii="Times New Roman" w:eastAsia="Times New Roman" w:hAnsi="Times New Roman" w:cs="Times New Roman"/>
      <w:b/>
      <w:szCs w:val="24"/>
    </w:rPr>
  </w:style>
  <w:style w:type="paragraph" w:customStyle="1" w:styleId="A4">
    <w:name w:val="A4"/>
    <w:basedOn w:val="Normal"/>
    <w:uiPriority w:val="99"/>
    <w:rsid w:val="005B7857"/>
    <w:pPr>
      <w:keepNext/>
      <w:keepLines/>
      <w:numPr>
        <w:ilvl w:val="3"/>
        <w:numId w:val="4"/>
      </w:numPr>
      <w:tabs>
        <w:tab w:val="left" w:pos="1985"/>
      </w:tabs>
      <w:spacing w:after="0" w:line="240" w:lineRule="auto"/>
      <w:jc w:val="both"/>
      <w:outlineLvl w:val="3"/>
    </w:pPr>
    <w:rPr>
      <w:rFonts w:ascii="Times New Roman" w:eastAsia="Times New Roman" w:hAnsi="Times New Roman" w:cs="Times New Roman"/>
      <w:iCs/>
      <w:szCs w:val="24"/>
    </w:rPr>
  </w:style>
  <w:style w:type="paragraph" w:customStyle="1" w:styleId="A5">
    <w:name w:val="A5"/>
    <w:basedOn w:val="Normal"/>
    <w:uiPriority w:val="99"/>
    <w:rsid w:val="005B7857"/>
    <w:pPr>
      <w:keepNext/>
      <w:keepLines/>
      <w:numPr>
        <w:ilvl w:val="4"/>
        <w:numId w:val="4"/>
      </w:numPr>
      <w:tabs>
        <w:tab w:val="left" w:pos="2552"/>
      </w:tabs>
      <w:spacing w:after="0" w:line="240" w:lineRule="auto"/>
      <w:jc w:val="both"/>
      <w:outlineLvl w:val="4"/>
    </w:pPr>
    <w:rPr>
      <w:rFonts w:ascii="Times New Roman" w:eastAsia="Times New Roman" w:hAnsi="Times New Roman" w:cs="Times New Roman"/>
      <w:bCs/>
      <w:szCs w:val="24"/>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single s"/>
    <w:basedOn w:val="Normal"/>
    <w:link w:val="FootnoteTextChar"/>
    <w:uiPriority w:val="99"/>
    <w:rsid w:val="005B7857"/>
    <w:pPr>
      <w:suppressAutoHyphens/>
      <w:spacing w:after="0" w:line="240" w:lineRule="auto"/>
    </w:pPr>
    <w:rPr>
      <w:rFonts w:ascii="Times New Roman" w:eastAsia="Times New Roman" w:hAnsi="Times New Roman" w:cs="Times New Roman"/>
      <w:sz w:val="20"/>
      <w:szCs w:val="20"/>
      <w:lang w:eastAsia="ar-SA"/>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
    <w:basedOn w:val="DefaultParagraphFont"/>
    <w:link w:val="FootnoteText"/>
    <w:uiPriority w:val="99"/>
    <w:rsid w:val="005B7857"/>
    <w:rPr>
      <w:rFonts w:ascii="Times New Roman" w:eastAsia="Times New Roman" w:hAnsi="Times New Roman" w:cs="Times New Roman"/>
      <w:sz w:val="20"/>
      <w:szCs w:val="20"/>
      <w:lang w:eastAsia="ar-SA"/>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iPriority w:val="99"/>
    <w:rsid w:val="005B7857"/>
    <w:rPr>
      <w:rFonts w:cs="Times New Roman"/>
      <w:vertAlign w:val="superscript"/>
    </w:rPr>
  </w:style>
  <w:style w:type="paragraph" w:customStyle="1" w:styleId="TableCellCentered">
    <w:name w:val="Table Cell Centered"/>
    <w:basedOn w:val="Normal"/>
    <w:uiPriority w:val="99"/>
    <w:rsid w:val="005B7857"/>
    <w:pPr>
      <w:spacing w:before="40" w:after="40"/>
      <w:jc w:val="center"/>
    </w:pPr>
    <w:rPr>
      <w:rFonts w:eastAsia="Times New Roman" w:cs="Arial"/>
      <w:sz w:val="20"/>
      <w:szCs w:val="20"/>
    </w:rPr>
  </w:style>
  <w:style w:type="paragraph" w:customStyle="1" w:styleId="TableCellLeft">
    <w:name w:val="Table Cell Left"/>
    <w:basedOn w:val="Normal"/>
    <w:uiPriority w:val="99"/>
    <w:rsid w:val="005B7857"/>
    <w:pPr>
      <w:spacing w:before="40" w:after="40"/>
    </w:pPr>
    <w:rPr>
      <w:rFonts w:eastAsia="Times New Roman" w:cs="Arial"/>
      <w:sz w:val="20"/>
      <w:szCs w:val="20"/>
    </w:rPr>
  </w:style>
  <w:style w:type="paragraph" w:customStyle="1" w:styleId="TableCellHeader">
    <w:name w:val="Table Cell Header"/>
    <w:basedOn w:val="Normal"/>
    <w:uiPriority w:val="99"/>
    <w:rsid w:val="005B7857"/>
    <w:pPr>
      <w:spacing w:before="40" w:after="40"/>
      <w:jc w:val="center"/>
    </w:pPr>
    <w:rPr>
      <w:rFonts w:eastAsia="Times New Roman" w:cs="Arial"/>
      <w:b/>
      <w:bCs/>
      <w:sz w:val="20"/>
      <w:szCs w:val="20"/>
    </w:rPr>
  </w:style>
  <w:style w:type="numbering" w:customStyle="1" w:styleId="WWOutlineListStyle21">
    <w:name w:val="WW_OutlineListStyle_21"/>
    <w:basedOn w:val="NoList"/>
    <w:rsid w:val="005B7857"/>
    <w:pPr>
      <w:numPr>
        <w:numId w:val="4"/>
      </w:numPr>
    </w:pPr>
  </w:style>
  <w:style w:type="character" w:customStyle="1" w:styleId="Heading5Char">
    <w:name w:val="Heading 5 Char"/>
    <w:basedOn w:val="DefaultParagraphFont"/>
    <w:link w:val="Heading5"/>
    <w:rsid w:val="00D913A5"/>
    <w:rPr>
      <w:rFonts w:ascii="Arial" w:eastAsia="Times New Roman" w:hAnsi="Arial" w:cs="Times New Roman"/>
      <w:sz w:val="36"/>
      <w:szCs w:val="20"/>
      <w:lang w:val="en-GB" w:eastAsia="en-US"/>
    </w:rPr>
  </w:style>
  <w:style w:type="character" w:customStyle="1" w:styleId="Heading6Char">
    <w:name w:val="Heading 6 Char"/>
    <w:basedOn w:val="DefaultParagraphFont"/>
    <w:link w:val="Heading6"/>
    <w:rsid w:val="00D913A5"/>
    <w:rPr>
      <w:rFonts w:ascii="Times New Roman" w:eastAsia="Times New Roman" w:hAnsi="Times New Roman" w:cs="Times New Roman"/>
      <w:i/>
      <w:szCs w:val="20"/>
      <w:lang w:val="en-GB" w:eastAsia="en-US"/>
    </w:rPr>
  </w:style>
  <w:style w:type="character" w:customStyle="1" w:styleId="Heading7Char">
    <w:name w:val="Heading 7 Char"/>
    <w:basedOn w:val="DefaultParagraphFont"/>
    <w:link w:val="Heading7"/>
    <w:rsid w:val="00D913A5"/>
    <w:rPr>
      <w:rFonts w:ascii="Arial" w:eastAsia="Times New Roman" w:hAnsi="Arial" w:cs="Times New Roman"/>
      <w:szCs w:val="20"/>
      <w:lang w:val="en-GB" w:eastAsia="en-US"/>
    </w:rPr>
  </w:style>
  <w:style w:type="character" w:customStyle="1" w:styleId="Heading8Char">
    <w:name w:val="Heading 8 Char"/>
    <w:basedOn w:val="DefaultParagraphFont"/>
    <w:link w:val="Heading8"/>
    <w:rsid w:val="00D913A5"/>
    <w:rPr>
      <w:rFonts w:ascii="Arial" w:eastAsia="Times New Roman" w:hAnsi="Arial" w:cs="Times New Roman"/>
      <w:i/>
      <w:szCs w:val="20"/>
      <w:lang w:val="en-GB" w:eastAsia="en-US"/>
    </w:rPr>
  </w:style>
  <w:style w:type="character" w:customStyle="1" w:styleId="Heading9Char">
    <w:name w:val="Heading 9 Char"/>
    <w:basedOn w:val="DefaultParagraphFont"/>
    <w:link w:val="Heading9"/>
    <w:rsid w:val="00D913A5"/>
    <w:rPr>
      <w:rFonts w:ascii="Arial" w:eastAsia="Times New Roman" w:hAnsi="Arial" w:cs="Times New Roman"/>
      <w:b/>
      <w:i/>
      <w:sz w:val="18"/>
      <w:szCs w:val="20"/>
      <w:lang w:val="en-GB" w:eastAsia="en-US"/>
    </w:rPr>
  </w:style>
  <w:style w:type="paragraph" w:customStyle="1" w:styleId="ReportList1">
    <w:name w:val="Report List 1"/>
    <w:basedOn w:val="List"/>
    <w:rsid w:val="00D913A5"/>
    <w:pPr>
      <w:numPr>
        <w:numId w:val="7"/>
      </w:numPr>
      <w:spacing w:before="0" w:after="138"/>
    </w:pPr>
  </w:style>
  <w:style w:type="paragraph" w:styleId="List">
    <w:name w:val="List"/>
    <w:basedOn w:val="Normal"/>
    <w:uiPriority w:val="99"/>
    <w:rsid w:val="00D913A5"/>
    <w:pPr>
      <w:numPr>
        <w:numId w:val="5"/>
      </w:numPr>
      <w:spacing w:before="138" w:after="60"/>
    </w:pPr>
    <w:rPr>
      <w:rFonts w:ascii="Times New Roman" w:eastAsia="Times New Roman" w:hAnsi="Times New Roman" w:cs="Times New Roman"/>
      <w:sz w:val="22"/>
      <w:szCs w:val="20"/>
      <w:lang w:val="en-GB" w:eastAsia="en-US"/>
    </w:rPr>
  </w:style>
  <w:style w:type="paragraph" w:customStyle="1" w:styleId="ReportList2">
    <w:name w:val="Report List 2"/>
    <w:basedOn w:val="ReportList1"/>
    <w:rsid w:val="00D913A5"/>
    <w:pPr>
      <w:numPr>
        <w:numId w:val="0"/>
      </w:numPr>
      <w:spacing w:after="0"/>
    </w:pPr>
  </w:style>
  <w:style w:type="character" w:customStyle="1" w:styleId="HR-12">
    <w:name w:val="HR-12"/>
    <w:rsid w:val="00D913A5"/>
    <w:rPr>
      <w:rFonts w:ascii="Arial" w:hAnsi="Arial"/>
      <w:sz w:val="24"/>
    </w:rPr>
  </w:style>
  <w:style w:type="character" w:customStyle="1" w:styleId="8pt">
    <w:name w:val="8pt"/>
    <w:rsid w:val="00D913A5"/>
    <w:rPr>
      <w:rFonts w:ascii="Arial" w:hAnsi="Arial"/>
      <w:sz w:val="16"/>
    </w:rPr>
  </w:style>
  <w:style w:type="character" w:styleId="PageNumber">
    <w:name w:val="page number"/>
    <w:basedOn w:val="DefaultParagraphFont"/>
    <w:uiPriority w:val="99"/>
    <w:rsid w:val="00D913A5"/>
  </w:style>
  <w:style w:type="paragraph" w:styleId="TOC4">
    <w:name w:val="toc 4"/>
    <w:aliases w:val="Report Contents Level 4"/>
    <w:basedOn w:val="TOC3"/>
    <w:next w:val="Normal"/>
    <w:uiPriority w:val="39"/>
    <w:rsid w:val="00D913A5"/>
    <w:pPr>
      <w:numPr>
        <w:numId w:val="2"/>
      </w:numPr>
      <w:ind w:left="440"/>
    </w:pPr>
  </w:style>
  <w:style w:type="paragraph" w:customStyle="1" w:styleId="ReportLevel4">
    <w:name w:val="Report Level 4"/>
    <w:basedOn w:val="ReportLevel3"/>
    <w:next w:val="ReportText"/>
    <w:rsid w:val="00D913A5"/>
    <w:pPr>
      <w:numPr>
        <w:ilvl w:val="0"/>
        <w:numId w:val="0"/>
      </w:numPr>
      <w:tabs>
        <w:tab w:val="num" w:pos="360"/>
      </w:tabs>
      <w:outlineLvl w:val="3"/>
    </w:pPr>
  </w:style>
  <w:style w:type="paragraph" w:customStyle="1" w:styleId="ReportHeading">
    <w:name w:val="Report Heading"/>
    <w:basedOn w:val="Normal"/>
    <w:next w:val="ReportText"/>
    <w:rsid w:val="00D913A5"/>
    <w:pPr>
      <w:tabs>
        <w:tab w:val="left" w:pos="2160"/>
      </w:tabs>
      <w:spacing w:before="120" w:after="138"/>
      <w:ind w:firstLine="1080"/>
    </w:pPr>
    <w:rPr>
      <w:rFonts w:eastAsia="Times New Roman" w:cs="Times New Roman"/>
      <w:b/>
      <w:sz w:val="22"/>
      <w:szCs w:val="20"/>
      <w:lang w:val="en-GB" w:eastAsia="en-US"/>
    </w:rPr>
  </w:style>
  <w:style w:type="paragraph" w:styleId="ListNumber">
    <w:name w:val="List Number"/>
    <w:basedOn w:val="Normal"/>
    <w:rsid w:val="00D913A5"/>
    <w:pPr>
      <w:numPr>
        <w:numId w:val="6"/>
      </w:numPr>
      <w:spacing w:before="138" w:after="60"/>
    </w:pPr>
    <w:rPr>
      <w:rFonts w:ascii="Times New Roman" w:eastAsia="Times New Roman" w:hAnsi="Times New Roman" w:cs="Times New Roman"/>
      <w:sz w:val="22"/>
      <w:szCs w:val="20"/>
      <w:lang w:val="en-GB" w:eastAsia="en-US"/>
    </w:rPr>
  </w:style>
  <w:style w:type="paragraph" w:styleId="List2">
    <w:name w:val="List 2"/>
    <w:basedOn w:val="List"/>
    <w:rsid w:val="00D913A5"/>
    <w:pPr>
      <w:spacing w:before="0"/>
    </w:pPr>
  </w:style>
  <w:style w:type="character" w:customStyle="1" w:styleId="HR-10">
    <w:name w:val="HR-10"/>
    <w:rsid w:val="00D913A5"/>
    <w:rPr>
      <w:rFonts w:ascii="Arial" w:hAnsi="Arial"/>
      <w:sz w:val="20"/>
    </w:rPr>
  </w:style>
  <w:style w:type="paragraph" w:customStyle="1" w:styleId="HR-14">
    <w:name w:val="HR-14"/>
    <w:basedOn w:val="Normal"/>
    <w:next w:val="Normal"/>
    <w:rsid w:val="00D913A5"/>
    <w:pPr>
      <w:spacing w:before="60" w:after="60"/>
    </w:pPr>
    <w:rPr>
      <w:rFonts w:eastAsia="Times New Roman" w:cs="Times New Roman"/>
      <w:sz w:val="28"/>
      <w:szCs w:val="20"/>
      <w:lang w:val="en-GB" w:eastAsia="en-US"/>
    </w:rPr>
  </w:style>
  <w:style w:type="paragraph" w:styleId="TOC5">
    <w:name w:val="toc 5"/>
    <w:aliases w:val="Appendix Contents Title"/>
    <w:basedOn w:val="TOC1"/>
    <w:next w:val="Normal"/>
    <w:uiPriority w:val="39"/>
    <w:rsid w:val="00D913A5"/>
    <w:pPr>
      <w:spacing w:before="0"/>
      <w:ind w:left="660"/>
    </w:pPr>
    <w:rPr>
      <w:rFonts w:ascii="Calibri" w:hAnsi="Calibri" w:cs="Calibri"/>
      <w:b w:val="0"/>
      <w:bCs w:val="0"/>
      <w:caps w:val="0"/>
      <w:sz w:val="20"/>
      <w:szCs w:val="20"/>
    </w:rPr>
  </w:style>
  <w:style w:type="character" w:customStyle="1" w:styleId="AB-10">
    <w:name w:val="AB-10"/>
    <w:rsid w:val="00D913A5"/>
    <w:rPr>
      <w:rFonts w:ascii="Arial" w:hAnsi="Arial"/>
      <w:b/>
      <w:sz w:val="20"/>
    </w:rPr>
  </w:style>
  <w:style w:type="paragraph" w:customStyle="1" w:styleId="HR-18">
    <w:name w:val="HR-18"/>
    <w:basedOn w:val="Normal"/>
    <w:next w:val="Normal"/>
    <w:rsid w:val="00D913A5"/>
    <w:pPr>
      <w:spacing w:before="60" w:after="60"/>
    </w:pPr>
    <w:rPr>
      <w:rFonts w:eastAsia="Times New Roman" w:cs="Times New Roman"/>
      <w:sz w:val="36"/>
      <w:szCs w:val="20"/>
      <w:lang w:val="en-GB" w:eastAsia="en-US"/>
    </w:rPr>
  </w:style>
  <w:style w:type="paragraph" w:customStyle="1" w:styleId="AB-18">
    <w:name w:val="AB-18"/>
    <w:basedOn w:val="HR-13"/>
    <w:rsid w:val="00D913A5"/>
    <w:rPr>
      <w:b/>
      <w:bCs/>
    </w:rPr>
  </w:style>
  <w:style w:type="paragraph" w:customStyle="1" w:styleId="HR-13">
    <w:name w:val="HR-13"/>
    <w:basedOn w:val="Normal"/>
    <w:next w:val="Normal"/>
    <w:rsid w:val="00D913A5"/>
    <w:pPr>
      <w:spacing w:before="60" w:after="60"/>
    </w:pPr>
    <w:rPr>
      <w:rFonts w:eastAsia="Times New Roman" w:cs="Times New Roman"/>
      <w:sz w:val="26"/>
      <w:szCs w:val="20"/>
      <w:lang w:val="en-GB" w:eastAsia="en-US"/>
    </w:rPr>
  </w:style>
  <w:style w:type="paragraph" w:customStyle="1" w:styleId="AB-14">
    <w:name w:val="AB-14"/>
    <w:basedOn w:val="Normal"/>
    <w:next w:val="Normal"/>
    <w:rsid w:val="00D913A5"/>
    <w:pPr>
      <w:spacing w:before="60" w:after="60"/>
    </w:pPr>
    <w:rPr>
      <w:rFonts w:eastAsia="Times New Roman" w:cs="Times New Roman"/>
      <w:b/>
      <w:sz w:val="28"/>
      <w:szCs w:val="20"/>
      <w:lang w:val="en-GB" w:eastAsia="en-US"/>
    </w:rPr>
  </w:style>
  <w:style w:type="paragraph" w:styleId="TOC6">
    <w:name w:val="toc 6"/>
    <w:aliases w:val="Appendix Contents Level 1"/>
    <w:basedOn w:val="TOC1"/>
    <w:next w:val="Normal"/>
    <w:uiPriority w:val="39"/>
    <w:rsid w:val="00D913A5"/>
    <w:pPr>
      <w:spacing w:before="0"/>
      <w:ind w:left="880"/>
    </w:pPr>
    <w:rPr>
      <w:rFonts w:ascii="Calibri" w:hAnsi="Calibri" w:cs="Calibri"/>
      <w:b w:val="0"/>
      <w:bCs w:val="0"/>
      <w:caps w:val="0"/>
      <w:sz w:val="20"/>
      <w:szCs w:val="20"/>
    </w:rPr>
  </w:style>
  <w:style w:type="paragraph" w:styleId="TOC7">
    <w:name w:val="toc 7"/>
    <w:aliases w:val="Appendix Contents Level 2"/>
    <w:basedOn w:val="TOC2"/>
    <w:next w:val="Normal"/>
    <w:uiPriority w:val="39"/>
    <w:rsid w:val="00D913A5"/>
    <w:pPr>
      <w:spacing w:before="0"/>
      <w:ind w:left="1100"/>
    </w:pPr>
    <w:rPr>
      <w:b w:val="0"/>
      <w:bCs w:val="0"/>
    </w:rPr>
  </w:style>
  <w:style w:type="paragraph" w:styleId="TOC8">
    <w:name w:val="toc 8"/>
    <w:aliases w:val="Appendix Contents Level 3"/>
    <w:basedOn w:val="TOC3"/>
    <w:next w:val="Normal"/>
    <w:uiPriority w:val="39"/>
    <w:rsid w:val="00D913A5"/>
    <w:pPr>
      <w:numPr>
        <w:ilvl w:val="0"/>
        <w:numId w:val="0"/>
      </w:numPr>
      <w:ind w:left="1320" w:hanging="360"/>
    </w:pPr>
  </w:style>
  <w:style w:type="paragraph" w:styleId="TOC9">
    <w:name w:val="toc 9"/>
    <w:aliases w:val="Exec Summary"/>
    <w:basedOn w:val="Normal"/>
    <w:next w:val="Normal"/>
    <w:uiPriority w:val="39"/>
    <w:rsid w:val="00D913A5"/>
    <w:pPr>
      <w:spacing w:before="60" w:after="60"/>
      <w:ind w:left="1540"/>
    </w:pPr>
    <w:rPr>
      <w:rFonts w:ascii="Calibri" w:eastAsia="Times New Roman" w:hAnsi="Calibri" w:cs="Calibri"/>
      <w:sz w:val="20"/>
      <w:szCs w:val="20"/>
      <w:lang w:val="en-GB" w:eastAsia="en-US"/>
    </w:rPr>
  </w:style>
  <w:style w:type="paragraph" w:customStyle="1" w:styleId="ReportList">
    <w:name w:val="Report List"/>
    <w:basedOn w:val="ReportText"/>
    <w:rsid w:val="00D913A5"/>
    <w:pPr>
      <w:spacing w:after="0"/>
    </w:pPr>
    <w:rPr>
      <w:sz w:val="22"/>
    </w:rPr>
  </w:style>
  <w:style w:type="paragraph" w:styleId="BodyText">
    <w:name w:val="Body Text"/>
    <w:basedOn w:val="Normal"/>
    <w:link w:val="BodyTextChar"/>
    <w:uiPriority w:val="99"/>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BodyTextChar">
    <w:name w:val="Body Text Char"/>
    <w:basedOn w:val="DefaultParagraphFont"/>
    <w:link w:val="BodyText"/>
    <w:uiPriority w:val="99"/>
    <w:rsid w:val="00D913A5"/>
    <w:rPr>
      <w:rFonts w:ascii="Times New Roman" w:eastAsia="Times New Roman" w:hAnsi="Times New Roman" w:cs="Times New Roman"/>
      <w:szCs w:val="20"/>
      <w:lang w:val="en-GB" w:eastAsia="en-US"/>
    </w:rPr>
  </w:style>
  <w:style w:type="paragraph" w:customStyle="1" w:styleId="Label">
    <w:name w:val="Label"/>
    <w:basedOn w:val="Normal"/>
    <w:next w:val="Normal"/>
    <w:rsid w:val="00D913A5"/>
    <w:pPr>
      <w:spacing w:before="120" w:after="60"/>
    </w:pPr>
    <w:rPr>
      <w:rFonts w:eastAsia="Times New Roman" w:cs="Times New Roman"/>
      <w:sz w:val="16"/>
      <w:szCs w:val="20"/>
      <w:lang w:val="en-GB" w:eastAsia="en-US"/>
    </w:rPr>
  </w:style>
  <w:style w:type="paragraph" w:customStyle="1" w:styleId="Headinginput">
    <w:name w:val="Heading input"/>
    <w:basedOn w:val="Normal"/>
    <w:next w:val="Normal"/>
    <w:rsid w:val="00D913A5"/>
    <w:pPr>
      <w:spacing w:before="80" w:after="60"/>
    </w:pPr>
    <w:rPr>
      <w:rFonts w:ascii="Times New Roman" w:eastAsia="Times New Roman" w:hAnsi="Times New Roman" w:cs="Times New Roman"/>
      <w:sz w:val="22"/>
      <w:szCs w:val="20"/>
      <w:lang w:val="en-GB" w:eastAsia="en-US"/>
    </w:rPr>
  </w:style>
  <w:style w:type="character" w:customStyle="1" w:styleId="HR-8">
    <w:name w:val="HR-8"/>
    <w:rsid w:val="00D913A5"/>
    <w:rPr>
      <w:rFonts w:ascii="Arial" w:hAnsi="Arial"/>
      <w:sz w:val="16"/>
    </w:rPr>
  </w:style>
  <w:style w:type="paragraph" w:customStyle="1" w:styleId="Filename">
    <w:name w:val="Filename"/>
    <w:basedOn w:val="Footer"/>
    <w:rsid w:val="00D913A5"/>
    <w:pPr>
      <w:tabs>
        <w:tab w:val="clear" w:pos="4703"/>
        <w:tab w:val="clear" w:pos="9406"/>
        <w:tab w:val="center" w:pos="4153"/>
        <w:tab w:val="right" w:pos="8306"/>
      </w:tabs>
      <w:spacing w:before="72" w:after="60" w:line="276" w:lineRule="auto"/>
    </w:pPr>
    <w:rPr>
      <w:rFonts w:eastAsia="Times New Roman" w:cs="Times New Roman"/>
      <w:caps/>
      <w:noProof/>
      <w:sz w:val="12"/>
      <w:szCs w:val="16"/>
      <w:lang w:eastAsia="en-US"/>
    </w:rPr>
  </w:style>
  <w:style w:type="paragraph" w:styleId="BodyTextIndent">
    <w:name w:val="Body Text Indent"/>
    <w:basedOn w:val="Normal"/>
    <w:link w:val="BodyTextIndentChar"/>
    <w:uiPriority w:val="99"/>
    <w:rsid w:val="00D913A5"/>
    <w:pPr>
      <w:spacing w:before="60" w:after="60"/>
      <w:ind w:left="1080"/>
      <w:jc w:val="both"/>
    </w:pPr>
    <w:rPr>
      <w:rFonts w:ascii="Times New Roman" w:eastAsia="Times New Roman" w:hAnsi="Times New Roman" w:cs="Times New Roman"/>
      <w:sz w:val="22"/>
      <w:szCs w:val="20"/>
      <w:lang w:val="en-GB" w:eastAsia="en-US"/>
    </w:rPr>
  </w:style>
  <w:style w:type="character" w:customStyle="1" w:styleId="BodyTextIndentChar">
    <w:name w:val="Body Text Indent Char"/>
    <w:basedOn w:val="DefaultParagraphFont"/>
    <w:link w:val="BodyTextIndent"/>
    <w:uiPriority w:val="99"/>
    <w:rsid w:val="00D913A5"/>
    <w:rPr>
      <w:rFonts w:ascii="Times New Roman" w:eastAsia="Times New Roman" w:hAnsi="Times New Roman" w:cs="Times New Roman"/>
      <w:szCs w:val="20"/>
      <w:lang w:val="en-GB" w:eastAsia="en-US"/>
    </w:rPr>
  </w:style>
  <w:style w:type="paragraph" w:styleId="BodyTextIndent2">
    <w:name w:val="Body Text Indent 2"/>
    <w:basedOn w:val="Normal"/>
    <w:link w:val="BodyTextIndent2Char"/>
    <w:rsid w:val="00D913A5"/>
    <w:pPr>
      <w:spacing w:before="60" w:after="60"/>
      <w:ind w:left="1134"/>
    </w:pPr>
    <w:rPr>
      <w:rFonts w:ascii="Times New Roman" w:eastAsia="Times New Roman" w:hAnsi="Times New Roman" w:cs="Times New Roman"/>
      <w:i/>
      <w:sz w:val="22"/>
      <w:szCs w:val="20"/>
      <w:lang w:val="en-GB" w:eastAsia="en-US"/>
    </w:rPr>
  </w:style>
  <w:style w:type="character" w:customStyle="1" w:styleId="BodyTextIndent2Char">
    <w:name w:val="Body Text Indent 2 Char"/>
    <w:basedOn w:val="DefaultParagraphFont"/>
    <w:link w:val="BodyTextIndent2"/>
    <w:rsid w:val="00D913A5"/>
    <w:rPr>
      <w:rFonts w:ascii="Times New Roman" w:eastAsia="Times New Roman" w:hAnsi="Times New Roman" w:cs="Times New Roman"/>
      <w:i/>
      <w:szCs w:val="20"/>
      <w:lang w:val="en-GB" w:eastAsia="en-US"/>
    </w:rPr>
  </w:style>
  <w:style w:type="paragraph" w:customStyle="1" w:styleId="Luetteloviiva">
    <w:name w:val="Luettelo viiva"/>
    <w:basedOn w:val="Normal"/>
    <w:rsid w:val="00D913A5"/>
    <w:pPr>
      <w:spacing w:before="60" w:after="60"/>
    </w:pPr>
    <w:rPr>
      <w:rFonts w:eastAsia="Times New Roman" w:cs="Times New Roman"/>
      <w:sz w:val="22"/>
      <w:szCs w:val="20"/>
      <w:lang w:val="en-GB" w:eastAsia="en-US"/>
    </w:rPr>
  </w:style>
  <w:style w:type="paragraph" w:styleId="BodyTextIndent3">
    <w:name w:val="Body Text Indent 3"/>
    <w:basedOn w:val="Normal"/>
    <w:link w:val="BodyTextIndent3Char"/>
    <w:rsid w:val="00D913A5"/>
    <w:pPr>
      <w:spacing w:before="60" w:after="60"/>
      <w:ind w:left="851"/>
      <w:jc w:val="both"/>
    </w:pPr>
    <w:rPr>
      <w:rFonts w:ascii="Times New Roman" w:eastAsia="Times New Roman" w:hAnsi="Times New Roman" w:cs="Times New Roman"/>
      <w:sz w:val="22"/>
      <w:szCs w:val="20"/>
      <w:lang w:val="en-GB" w:eastAsia="en-US"/>
    </w:rPr>
  </w:style>
  <w:style w:type="character" w:customStyle="1" w:styleId="BodyTextIndent3Char">
    <w:name w:val="Body Text Indent 3 Char"/>
    <w:basedOn w:val="DefaultParagraphFont"/>
    <w:link w:val="BodyTextIndent3"/>
    <w:rsid w:val="00D913A5"/>
    <w:rPr>
      <w:rFonts w:ascii="Times New Roman" w:eastAsia="Times New Roman" w:hAnsi="Times New Roman" w:cs="Times New Roman"/>
      <w:szCs w:val="20"/>
      <w:lang w:val="en-GB" w:eastAsia="en-US"/>
    </w:rPr>
  </w:style>
  <w:style w:type="paragraph" w:styleId="DocumentMap">
    <w:name w:val="Document Map"/>
    <w:basedOn w:val="Normal"/>
    <w:link w:val="DocumentMapChar"/>
    <w:semiHidden/>
    <w:rsid w:val="00D913A5"/>
    <w:pPr>
      <w:shd w:val="clear" w:color="auto" w:fill="000080"/>
      <w:spacing w:before="60" w:after="60"/>
    </w:pPr>
    <w:rPr>
      <w:rFonts w:ascii="Tahoma" w:eastAsia="Times New Roman" w:hAnsi="Tahoma" w:cs="Times New Roman"/>
      <w:sz w:val="22"/>
      <w:szCs w:val="20"/>
      <w:lang w:val="en-GB" w:eastAsia="en-US"/>
    </w:rPr>
  </w:style>
  <w:style w:type="character" w:customStyle="1" w:styleId="DocumentMapChar">
    <w:name w:val="Document Map Char"/>
    <w:basedOn w:val="DefaultParagraphFont"/>
    <w:link w:val="DocumentMap"/>
    <w:semiHidden/>
    <w:rsid w:val="00D913A5"/>
    <w:rPr>
      <w:rFonts w:ascii="Tahoma" w:eastAsia="Times New Roman" w:hAnsi="Tahoma" w:cs="Times New Roman"/>
      <w:szCs w:val="20"/>
      <w:shd w:val="clear" w:color="auto" w:fill="000080"/>
      <w:lang w:val="en-GB" w:eastAsia="en-US"/>
    </w:rPr>
  </w:style>
  <w:style w:type="paragraph" w:customStyle="1" w:styleId="AppendixLetter">
    <w:name w:val="Appendix Letter"/>
    <w:basedOn w:val="HR-18"/>
    <w:next w:val="Normal"/>
    <w:rsid w:val="00D913A5"/>
    <w:pPr>
      <w:tabs>
        <w:tab w:val="num" w:pos="1800"/>
      </w:tabs>
      <w:ind w:left="1080" w:hanging="1080"/>
    </w:pPr>
    <w:rPr>
      <w:sz w:val="26"/>
    </w:rPr>
  </w:style>
  <w:style w:type="paragraph" w:customStyle="1" w:styleId="AppendixLevel1">
    <w:name w:val="Appendix Level 1"/>
    <w:basedOn w:val="Normal"/>
    <w:next w:val="ReportText"/>
    <w:rsid w:val="00D913A5"/>
    <w:pPr>
      <w:keepNext/>
      <w:numPr>
        <w:ilvl w:val="1"/>
        <w:numId w:val="8"/>
      </w:numPr>
      <w:spacing w:before="240" w:after="138"/>
      <w:outlineLvl w:val="1"/>
    </w:pPr>
    <w:rPr>
      <w:rFonts w:eastAsia="Times New Roman" w:cs="Times New Roman"/>
      <w:b/>
      <w:caps/>
      <w:szCs w:val="20"/>
      <w:lang w:val="en-GB" w:eastAsia="en-US"/>
    </w:rPr>
  </w:style>
  <w:style w:type="paragraph" w:customStyle="1" w:styleId="AppendixLevel2">
    <w:name w:val="Appendix Level 2"/>
    <w:basedOn w:val="AppendixLevel1"/>
    <w:next w:val="ReportText"/>
    <w:rsid w:val="00D913A5"/>
    <w:pPr>
      <w:numPr>
        <w:ilvl w:val="2"/>
      </w:numPr>
      <w:ind w:left="716" w:hanging="270"/>
      <w:outlineLvl w:val="2"/>
    </w:pPr>
    <w:rPr>
      <w:caps w:val="0"/>
    </w:rPr>
  </w:style>
  <w:style w:type="paragraph" w:customStyle="1" w:styleId="AppendixLevel3">
    <w:name w:val="Appendix Level 3"/>
    <w:basedOn w:val="AppendixLevel1"/>
    <w:next w:val="ReportText"/>
    <w:rsid w:val="00D913A5"/>
    <w:pPr>
      <w:numPr>
        <w:ilvl w:val="3"/>
      </w:numPr>
      <w:spacing w:before="120"/>
      <w:ind w:left="716" w:hanging="270"/>
      <w:outlineLvl w:val="3"/>
    </w:pPr>
    <w:rPr>
      <w:caps w:val="0"/>
      <w:sz w:val="20"/>
    </w:rPr>
  </w:style>
  <w:style w:type="paragraph" w:customStyle="1" w:styleId="AppendixLevel4">
    <w:name w:val="Appendix Level 4"/>
    <w:basedOn w:val="AppendixLevel3"/>
    <w:next w:val="ReportText"/>
    <w:rsid w:val="00D913A5"/>
    <w:pPr>
      <w:numPr>
        <w:ilvl w:val="4"/>
      </w:numPr>
      <w:outlineLvl w:val="4"/>
    </w:pPr>
  </w:style>
  <w:style w:type="paragraph" w:styleId="NormalIndent">
    <w:name w:val="Normal Indent"/>
    <w:basedOn w:val="Normal"/>
    <w:link w:val="NormalIndentChar"/>
    <w:rsid w:val="00D913A5"/>
    <w:pPr>
      <w:spacing w:before="60" w:after="60"/>
      <w:ind w:left="720"/>
    </w:pPr>
    <w:rPr>
      <w:rFonts w:ascii="Times New Roman" w:eastAsia="Times New Roman" w:hAnsi="Times New Roman" w:cs="Times New Roman"/>
      <w:sz w:val="22"/>
      <w:szCs w:val="20"/>
      <w:lang w:val="en-GB" w:eastAsia="en-US"/>
    </w:rPr>
  </w:style>
  <w:style w:type="character" w:customStyle="1" w:styleId="NormalIndentChar">
    <w:name w:val="Normal Indent Char"/>
    <w:link w:val="NormalIndent"/>
    <w:rsid w:val="00D913A5"/>
    <w:rPr>
      <w:rFonts w:ascii="Times New Roman" w:eastAsia="Times New Roman" w:hAnsi="Times New Roman" w:cs="Times New Roman"/>
      <w:szCs w:val="20"/>
      <w:lang w:val="en-GB" w:eastAsia="en-US"/>
    </w:rPr>
  </w:style>
  <w:style w:type="paragraph" w:customStyle="1" w:styleId="AppendixTitle">
    <w:name w:val="Appendix Title"/>
    <w:basedOn w:val="HR-18"/>
    <w:next w:val="Normal"/>
    <w:rsid w:val="00D913A5"/>
    <w:pPr>
      <w:outlineLvl w:val="0"/>
    </w:pPr>
    <w:rPr>
      <w:b/>
      <w:sz w:val="26"/>
    </w:rPr>
  </w:style>
  <w:style w:type="paragraph" w:customStyle="1" w:styleId="ClauseNum1">
    <w:name w:val="ClauseNum 1"/>
    <w:basedOn w:val="Heading1"/>
    <w:rsid w:val="00D913A5"/>
    <w:pPr>
      <w:keepNext/>
      <w:pageBreakBefore/>
    </w:pPr>
  </w:style>
  <w:style w:type="paragraph" w:customStyle="1" w:styleId="ClauseNum2">
    <w:name w:val="ClauseNum 2"/>
    <w:basedOn w:val="Heading2"/>
    <w:rsid w:val="00D913A5"/>
    <w:pPr>
      <w:keepNext/>
    </w:pPr>
  </w:style>
  <w:style w:type="paragraph" w:customStyle="1" w:styleId="ClauseNum3">
    <w:name w:val="ClauseNum 3"/>
    <w:basedOn w:val="Heading3"/>
    <w:rsid w:val="00D913A5"/>
    <w:pPr>
      <w:keepNext w:val="0"/>
      <w:keepLines w:val="0"/>
      <w:spacing w:before="0" w:after="120"/>
    </w:pPr>
    <w:rPr>
      <w:rFonts w:eastAsia="Times New Roman" w:cs="Arial"/>
      <w:b w:val="0"/>
      <w:szCs w:val="20"/>
      <w:lang w:val="en-GB" w:eastAsia="en-US"/>
    </w:rPr>
  </w:style>
  <w:style w:type="paragraph" w:customStyle="1" w:styleId="ClauseNum4">
    <w:name w:val="ClauseNum 4"/>
    <w:basedOn w:val="Heading4"/>
    <w:rsid w:val="00D913A5"/>
  </w:style>
  <w:style w:type="paragraph" w:customStyle="1" w:styleId="ReportExecSummary">
    <w:name w:val="Report Exec Summary"/>
    <w:basedOn w:val="ReportLevel1"/>
    <w:next w:val="Normal"/>
    <w:rsid w:val="00D913A5"/>
    <w:pPr>
      <w:numPr>
        <w:numId w:val="0"/>
      </w:numPr>
      <w:spacing w:after="138"/>
      <w:outlineLvl w:val="9"/>
    </w:pPr>
    <w:rPr>
      <w:bCs/>
    </w:rPr>
  </w:style>
  <w:style w:type="paragraph" w:styleId="NormalWeb">
    <w:name w:val="Normal (Web)"/>
    <w:basedOn w:val="Normal"/>
    <w:uiPriority w:val="99"/>
    <w:rsid w:val="00D913A5"/>
    <w:pPr>
      <w:spacing w:before="100" w:beforeAutospacing="1" w:after="60"/>
    </w:pPr>
    <w:rPr>
      <w:rFonts w:ascii="Times New Roman" w:eastAsia="Times New Roman" w:hAnsi="Times New Roman" w:cs="Times New Roman"/>
      <w:sz w:val="22"/>
      <w:szCs w:val="24"/>
      <w:lang w:val="en-GB" w:eastAsia="en-US"/>
    </w:rPr>
  </w:style>
  <w:style w:type="character" w:styleId="FollowedHyperlink">
    <w:name w:val="FollowedHyperlink"/>
    <w:uiPriority w:val="99"/>
    <w:rsid w:val="00D913A5"/>
    <w:rPr>
      <w:color w:val="800080"/>
      <w:u w:val="single"/>
    </w:rPr>
  </w:style>
  <w:style w:type="paragraph" w:customStyle="1" w:styleId="ReportExecSummaryText">
    <w:name w:val="Report Exec Summary Text"/>
    <w:basedOn w:val="ReportText"/>
    <w:rsid w:val="00D913A5"/>
    <w:pPr>
      <w:ind w:left="0"/>
    </w:pPr>
    <w:rPr>
      <w:sz w:val="22"/>
    </w:rPr>
  </w:style>
  <w:style w:type="paragraph" w:customStyle="1" w:styleId="ReportReference">
    <w:name w:val="Report Reference"/>
    <w:basedOn w:val="Normal"/>
    <w:rsid w:val="00D913A5"/>
    <w:pPr>
      <w:numPr>
        <w:numId w:val="9"/>
      </w:numPr>
      <w:tabs>
        <w:tab w:val="left" w:pos="1080"/>
      </w:tabs>
      <w:spacing w:before="240" w:after="60"/>
      <w:ind w:left="1080" w:hanging="1080"/>
    </w:pPr>
    <w:rPr>
      <w:rFonts w:ascii="Times New Roman" w:eastAsia="Times New Roman" w:hAnsi="Times New Roman" w:cs="Times New Roman"/>
      <w:sz w:val="22"/>
      <w:szCs w:val="20"/>
      <w:lang w:val="en-GB" w:eastAsia="en-US"/>
    </w:rPr>
  </w:style>
  <w:style w:type="paragraph" w:styleId="TableofFigures">
    <w:name w:val="table of figures"/>
    <w:basedOn w:val="Normal"/>
    <w:next w:val="Normal"/>
    <w:uiPriority w:val="99"/>
    <w:rsid w:val="00D913A5"/>
    <w:pPr>
      <w:spacing w:before="60" w:after="60"/>
      <w:ind w:left="1138" w:hanging="1138"/>
    </w:pPr>
    <w:rPr>
      <w:rFonts w:eastAsia="Times New Roman" w:cs="Times New Roman"/>
      <w:sz w:val="20"/>
      <w:szCs w:val="20"/>
      <w:lang w:val="en-GB" w:eastAsia="en-US"/>
    </w:rPr>
  </w:style>
  <w:style w:type="paragraph" w:customStyle="1" w:styleId="TextPara">
    <w:name w:val="Text (Para)"/>
    <w:basedOn w:val="Normal"/>
    <w:rsid w:val="00D913A5"/>
    <w:pPr>
      <w:spacing w:before="60" w:after="60"/>
      <w:ind w:left="1080" w:right="288"/>
    </w:pPr>
    <w:rPr>
      <w:rFonts w:ascii="Times New Roman" w:eastAsia="Times New Roman" w:hAnsi="Times New Roman" w:cs="Times New Roman"/>
      <w:sz w:val="22"/>
      <w:szCs w:val="20"/>
      <w:lang w:val="en-GB" w:eastAsia="en-US"/>
    </w:rPr>
  </w:style>
  <w:style w:type="paragraph" w:customStyle="1" w:styleId="ZCom">
    <w:name w:val="Z_Com"/>
    <w:basedOn w:val="Normal"/>
    <w:next w:val="ZDGName"/>
    <w:rsid w:val="00D913A5"/>
    <w:pPr>
      <w:widowControl w:val="0"/>
      <w:spacing w:before="60" w:after="60"/>
      <w:ind w:right="85"/>
      <w:jc w:val="both"/>
    </w:pPr>
    <w:rPr>
      <w:rFonts w:eastAsia="Times New Roman" w:cs="Times New Roman"/>
      <w:snapToGrid w:val="0"/>
      <w:szCs w:val="20"/>
      <w:lang w:val="en-GB" w:eastAsia="en-US"/>
    </w:rPr>
  </w:style>
  <w:style w:type="paragraph" w:customStyle="1" w:styleId="ZDGName">
    <w:name w:val="Z_DGName"/>
    <w:basedOn w:val="Normal"/>
    <w:rsid w:val="00D913A5"/>
    <w:pPr>
      <w:widowControl w:val="0"/>
      <w:spacing w:before="60" w:after="60"/>
      <w:ind w:right="85"/>
      <w:jc w:val="both"/>
    </w:pPr>
    <w:rPr>
      <w:rFonts w:eastAsia="Times New Roman" w:cs="Times New Roman"/>
      <w:snapToGrid w:val="0"/>
      <w:sz w:val="16"/>
      <w:szCs w:val="20"/>
      <w:lang w:val="en-GB" w:eastAsia="en-US"/>
    </w:rPr>
  </w:style>
  <w:style w:type="paragraph" w:customStyle="1" w:styleId="SubText">
    <w:name w:val="Sub Text"/>
    <w:basedOn w:val="Normal"/>
    <w:rsid w:val="00D913A5"/>
    <w:pPr>
      <w:spacing w:before="60" w:after="120" w:line="260" w:lineRule="atLeast"/>
    </w:pPr>
    <w:rPr>
      <w:rFonts w:eastAsia="Times New Roman" w:cs="Times New Roman"/>
      <w:sz w:val="18"/>
      <w:szCs w:val="20"/>
      <w:lang w:val="en-GB" w:eastAsia="en-US"/>
    </w:rPr>
  </w:style>
  <w:style w:type="character" w:customStyle="1" w:styleId="ReportTextChar">
    <w:name w:val="Report Text Char"/>
    <w:rsid w:val="00D913A5"/>
    <w:rPr>
      <w:sz w:val="22"/>
      <w:lang w:val="en-GB" w:eastAsia="en-US" w:bidi="ar-SA"/>
    </w:rPr>
  </w:style>
  <w:style w:type="paragraph" w:customStyle="1" w:styleId="E1">
    <w:name w:val="E1"/>
    <w:basedOn w:val="Normal"/>
    <w:rsid w:val="00D913A5"/>
    <w:pPr>
      <w:spacing w:before="60" w:after="160" w:line="320" w:lineRule="atLeast"/>
      <w:ind w:left="851"/>
      <w:jc w:val="both"/>
    </w:pPr>
    <w:rPr>
      <w:rFonts w:ascii="Humnst777 Lt BT" w:eastAsia="Times New Roman" w:hAnsi="Humnst777 Lt BT" w:cs="Times New Roman"/>
      <w:sz w:val="22"/>
      <w:szCs w:val="20"/>
      <w:lang w:val="en-GB" w:eastAsia="de-DE"/>
    </w:rPr>
  </w:style>
  <w:style w:type="character" w:customStyle="1" w:styleId="E1Char1">
    <w:name w:val="E1 Char1"/>
    <w:rsid w:val="00D913A5"/>
    <w:rPr>
      <w:rFonts w:ascii="Humnst777 Lt BT" w:hAnsi="Humnst777 Lt BT"/>
      <w:sz w:val="22"/>
      <w:lang w:val="en-GB" w:eastAsia="de-DE" w:bidi="ar-SA"/>
    </w:rPr>
  </w:style>
  <w:style w:type="paragraph" w:customStyle="1" w:styleId="xl66">
    <w:name w:val="xl66"/>
    <w:basedOn w:val="Normal"/>
    <w:rsid w:val="00D913A5"/>
    <w:pPr>
      <w:overflowPunct w:val="0"/>
      <w:autoSpaceDE w:val="0"/>
      <w:autoSpaceDN w:val="0"/>
      <w:adjustRightInd w:val="0"/>
      <w:spacing w:before="100" w:after="100"/>
      <w:textAlignment w:val="baseline"/>
    </w:pPr>
    <w:rPr>
      <w:rFonts w:ascii="Arial Unicode MS" w:eastAsia="Arial Unicode MS" w:hAnsi="Courier New" w:cs="Times New Roman"/>
      <w:color w:val="FFFFFF"/>
      <w:sz w:val="18"/>
      <w:szCs w:val="20"/>
      <w:lang w:val="en-GB" w:eastAsia="da-DK"/>
    </w:rPr>
  </w:style>
  <w:style w:type="paragraph" w:customStyle="1" w:styleId="BodyTextIndent21">
    <w:name w:val="Body Text Indent 21"/>
    <w:basedOn w:val="Normal"/>
    <w:rsid w:val="00D913A5"/>
    <w:pPr>
      <w:tabs>
        <w:tab w:val="left" w:pos="1892"/>
      </w:tabs>
      <w:spacing w:before="60" w:after="60"/>
      <w:ind w:firstLine="1134"/>
    </w:pPr>
    <w:rPr>
      <w:rFonts w:ascii="Helvetica" w:eastAsia="Times New Roman" w:hAnsi="Helvetica" w:cs="Times New Roman"/>
      <w:szCs w:val="20"/>
      <w:lang w:val="es-ES_tradnl" w:eastAsia="es-ES"/>
    </w:rPr>
  </w:style>
  <w:style w:type="paragraph" w:customStyle="1" w:styleId="BodyTextIndent31">
    <w:name w:val="Body Text Indent 31"/>
    <w:basedOn w:val="Normal"/>
    <w:rsid w:val="00D913A5"/>
    <w:pPr>
      <w:tabs>
        <w:tab w:val="right" w:pos="10456"/>
      </w:tabs>
      <w:spacing w:before="60" w:after="60"/>
      <w:ind w:firstLine="1134"/>
      <w:jc w:val="both"/>
    </w:pPr>
    <w:rPr>
      <w:rFonts w:ascii="Helvetica" w:eastAsia="Times New Roman" w:hAnsi="Helvetica" w:cs="Times New Roman"/>
      <w:szCs w:val="20"/>
      <w:lang w:val="es-ES_tradnl" w:eastAsia="es-ES"/>
    </w:rPr>
  </w:style>
  <w:style w:type="paragraph" w:customStyle="1" w:styleId="Documento1">
    <w:name w:val="Documento 1"/>
    <w:rsid w:val="00D913A5"/>
    <w:pPr>
      <w:keepNext/>
      <w:keepLines/>
      <w:tabs>
        <w:tab w:val="left" w:pos="-720"/>
      </w:tabs>
      <w:suppressAutoHyphens/>
      <w:spacing w:before="60" w:after="60"/>
    </w:pPr>
    <w:rPr>
      <w:rFonts w:ascii="Helvetica" w:eastAsia="Times New Roman" w:hAnsi="Helvetica" w:cs="Times New Roman"/>
      <w:sz w:val="24"/>
      <w:szCs w:val="20"/>
      <w:lang w:val="en-US" w:eastAsia="es-ES"/>
    </w:rPr>
  </w:style>
  <w:style w:type="paragraph" w:customStyle="1" w:styleId="epgrafe">
    <w:name w:val="epígrafe"/>
    <w:basedOn w:val="Normal"/>
    <w:rsid w:val="00D913A5"/>
    <w:pPr>
      <w:spacing w:before="60" w:after="60"/>
    </w:pPr>
    <w:rPr>
      <w:rFonts w:ascii="Helvetica" w:eastAsia="Times New Roman" w:hAnsi="Helvetica" w:cs="Times New Roman"/>
      <w:szCs w:val="20"/>
      <w:lang w:val="es-ES_tradnl" w:eastAsia="es-ES"/>
    </w:rPr>
  </w:style>
  <w:style w:type="character" w:customStyle="1" w:styleId="gmailquote">
    <w:name w:val="gmail_quote"/>
    <w:basedOn w:val="DefaultParagraphFont"/>
    <w:rsid w:val="00D913A5"/>
  </w:style>
  <w:style w:type="paragraph" w:customStyle="1" w:styleId="Tabelle">
    <w:name w:val="Tabelle"/>
    <w:basedOn w:val="E1"/>
    <w:rsid w:val="00D913A5"/>
    <w:pPr>
      <w:spacing w:after="0" w:line="240" w:lineRule="auto"/>
      <w:ind w:left="0"/>
    </w:pPr>
    <w:rPr>
      <w:sz w:val="20"/>
      <w:lang w:val="de-DE"/>
    </w:rPr>
  </w:style>
  <w:style w:type="paragraph" w:customStyle="1" w:styleId="FormatvorlageReportLevel1HelveticaVor6pt">
    <w:name w:val="Formatvorlage Report Level 1 + Helvetica Vor:  6 pt"/>
    <w:basedOn w:val="ReportLevel1"/>
    <w:rsid w:val="00D913A5"/>
    <w:pPr>
      <w:numPr>
        <w:numId w:val="2"/>
      </w:numPr>
      <w:spacing w:before="120"/>
    </w:pPr>
    <w:rPr>
      <w:rFonts w:ascii="Helvetica" w:hAnsi="Helvetica"/>
      <w:bCs/>
    </w:rPr>
  </w:style>
  <w:style w:type="paragraph" w:customStyle="1" w:styleId="bullet1">
    <w:name w:val="bullet 1"/>
    <w:basedOn w:val="Normal"/>
    <w:rsid w:val="00D913A5"/>
    <w:pPr>
      <w:numPr>
        <w:numId w:val="10"/>
      </w:numPr>
      <w:spacing w:before="40" w:after="40"/>
      <w:jc w:val="both"/>
    </w:pPr>
    <w:rPr>
      <w:rFonts w:ascii="Times New Roman" w:eastAsia="Times New Roman" w:hAnsi="Times New Roman" w:cs="Times New Roman"/>
      <w:szCs w:val="24"/>
      <w:lang w:val="en-GB" w:eastAsia="zh-CN"/>
    </w:rPr>
  </w:style>
  <w:style w:type="paragraph" w:customStyle="1" w:styleId="Text2">
    <w:name w:val="Text 2"/>
    <w:basedOn w:val="Normal"/>
    <w:rsid w:val="00D913A5"/>
    <w:pPr>
      <w:tabs>
        <w:tab w:val="left" w:pos="2161"/>
      </w:tabs>
      <w:spacing w:before="60" w:after="240"/>
      <w:ind w:left="1202"/>
      <w:jc w:val="both"/>
    </w:pPr>
    <w:rPr>
      <w:rFonts w:eastAsia="Times New Roman" w:cs="Times New Roman"/>
      <w:sz w:val="20"/>
      <w:szCs w:val="20"/>
      <w:lang w:val="en-GB" w:eastAsia="en-GB"/>
    </w:rPr>
  </w:style>
  <w:style w:type="paragraph" w:customStyle="1" w:styleId="ListDash">
    <w:name w:val="List Dash"/>
    <w:basedOn w:val="Normal"/>
    <w:rsid w:val="00D913A5"/>
    <w:pPr>
      <w:numPr>
        <w:numId w:val="11"/>
      </w:numPr>
      <w:spacing w:before="60" w:after="240"/>
      <w:jc w:val="both"/>
    </w:pPr>
    <w:rPr>
      <w:rFonts w:ascii="Times New Roman" w:eastAsia="Times New Roman" w:hAnsi="Times New Roman" w:cs="Times New Roman"/>
      <w:szCs w:val="20"/>
      <w:lang w:val="en-GB" w:eastAsia="en-GB"/>
    </w:rPr>
  </w:style>
  <w:style w:type="paragraph" w:customStyle="1" w:styleId="Listaconpuntos">
    <w:name w:val="Lista con puntos"/>
    <w:basedOn w:val="Normal"/>
    <w:rsid w:val="00D913A5"/>
    <w:pPr>
      <w:numPr>
        <w:numId w:val="12"/>
      </w:numPr>
      <w:spacing w:before="60" w:after="240" w:line="360" w:lineRule="auto"/>
      <w:jc w:val="both"/>
    </w:pPr>
    <w:rPr>
      <w:rFonts w:ascii="Univers" w:eastAsia="Times New Roman" w:hAnsi="Univers" w:cs="Times New Roman"/>
      <w:sz w:val="22"/>
      <w:szCs w:val="20"/>
      <w:lang w:val="es-ES" w:eastAsia="es-ES"/>
    </w:rPr>
  </w:style>
  <w:style w:type="paragraph" w:styleId="Title">
    <w:name w:val="Title"/>
    <w:basedOn w:val="Normal"/>
    <w:link w:val="TitleChar"/>
    <w:uiPriority w:val="99"/>
    <w:qFormat/>
    <w:rsid w:val="00D913A5"/>
    <w:pPr>
      <w:spacing w:before="120" w:after="60"/>
      <w:jc w:val="center"/>
    </w:pPr>
    <w:rPr>
      <w:rFonts w:eastAsia="Times New Roman" w:cs="Times New Roman"/>
      <w:b/>
      <w:bCs/>
      <w:sz w:val="22"/>
      <w:szCs w:val="20"/>
      <w:lang w:val="en-US" w:eastAsia="de-DE"/>
    </w:rPr>
  </w:style>
  <w:style w:type="character" w:customStyle="1" w:styleId="TitleChar">
    <w:name w:val="Title Char"/>
    <w:basedOn w:val="DefaultParagraphFont"/>
    <w:link w:val="Title"/>
    <w:uiPriority w:val="99"/>
    <w:rsid w:val="00D913A5"/>
    <w:rPr>
      <w:rFonts w:ascii="Arial" w:eastAsia="Times New Roman" w:hAnsi="Arial" w:cs="Times New Roman"/>
      <w:b/>
      <w:bCs/>
      <w:szCs w:val="20"/>
      <w:lang w:val="en-US" w:eastAsia="de-DE"/>
    </w:rPr>
  </w:style>
  <w:style w:type="paragraph" w:customStyle="1" w:styleId="Default">
    <w:name w:val="Default"/>
    <w:link w:val="DefaultChar"/>
    <w:rsid w:val="00D913A5"/>
    <w:pPr>
      <w:autoSpaceDE w:val="0"/>
      <w:autoSpaceDN w:val="0"/>
      <w:adjustRightInd w:val="0"/>
      <w:spacing w:before="60" w:after="60"/>
    </w:pPr>
    <w:rPr>
      <w:rFonts w:ascii="Arial" w:eastAsia="Times New Roman" w:hAnsi="Arial" w:cs="Arial"/>
      <w:color w:val="000000"/>
      <w:sz w:val="24"/>
      <w:szCs w:val="24"/>
      <w:lang w:val="en-US" w:eastAsia="en-US"/>
    </w:rPr>
  </w:style>
  <w:style w:type="paragraph" w:customStyle="1" w:styleId="StylePlainTextTimesNewRoman12pt">
    <w:name w:val="Style Plain Text + Times New Roman 12 pt"/>
    <w:basedOn w:val="PlainText"/>
    <w:link w:val="StylePlainTextTimesNewRoman12ptChar"/>
    <w:rsid w:val="00D913A5"/>
    <w:pPr>
      <w:ind w:left="680" w:hanging="680"/>
      <w:jc w:val="both"/>
    </w:pPr>
    <w:rPr>
      <w:rFonts w:ascii="Times New Roman" w:hAnsi="Times New Roman"/>
      <w:sz w:val="24"/>
      <w:lang w:val="bg-BG"/>
    </w:rPr>
  </w:style>
  <w:style w:type="paragraph" w:styleId="PlainText">
    <w:name w:val="Plain Text"/>
    <w:basedOn w:val="Normal"/>
    <w:link w:val="PlainTextChar"/>
    <w:rsid w:val="00D913A5"/>
    <w:pPr>
      <w:spacing w:before="60" w:after="60"/>
    </w:pPr>
    <w:rPr>
      <w:rFonts w:ascii="Courier New" w:eastAsia="Times New Roman" w:hAnsi="Courier New" w:cs="Courier New"/>
      <w:sz w:val="20"/>
      <w:szCs w:val="20"/>
      <w:lang w:val="en-GB" w:eastAsia="en-US"/>
    </w:rPr>
  </w:style>
  <w:style w:type="character" w:customStyle="1" w:styleId="PlainTextChar">
    <w:name w:val="Plain Text Char"/>
    <w:basedOn w:val="DefaultParagraphFont"/>
    <w:link w:val="PlainText"/>
    <w:rsid w:val="00D913A5"/>
    <w:rPr>
      <w:rFonts w:ascii="Courier New" w:eastAsia="Times New Roman" w:hAnsi="Courier New" w:cs="Courier New"/>
      <w:sz w:val="20"/>
      <w:szCs w:val="20"/>
      <w:lang w:val="en-GB" w:eastAsia="en-US"/>
    </w:rPr>
  </w:style>
  <w:style w:type="character" w:customStyle="1" w:styleId="StylePlainTextTimesNewRoman12ptChar">
    <w:name w:val="Style Plain Text + Times New Roman 12 pt Char"/>
    <w:link w:val="StylePlainTextTimesNewRoman12pt"/>
    <w:rsid w:val="00D913A5"/>
    <w:rPr>
      <w:rFonts w:ascii="Times New Roman" w:eastAsia="Times New Roman" w:hAnsi="Times New Roman" w:cs="Courier New"/>
      <w:sz w:val="24"/>
      <w:szCs w:val="20"/>
      <w:lang w:eastAsia="en-US"/>
    </w:rPr>
  </w:style>
  <w:style w:type="paragraph" w:styleId="BodyText2">
    <w:name w:val="Body Text 2"/>
    <w:basedOn w:val="Normal"/>
    <w:link w:val="BodyText2Char"/>
    <w:rsid w:val="00D913A5"/>
    <w:pPr>
      <w:spacing w:before="60" w:after="120" w:line="480" w:lineRule="auto"/>
    </w:pPr>
    <w:rPr>
      <w:rFonts w:ascii="Times New Roman" w:eastAsia="Times New Roman" w:hAnsi="Times New Roman" w:cs="Times New Roman"/>
      <w:sz w:val="22"/>
      <w:szCs w:val="20"/>
      <w:lang w:val="en-GB" w:eastAsia="en-US"/>
    </w:rPr>
  </w:style>
  <w:style w:type="character" w:customStyle="1" w:styleId="BodyText2Char">
    <w:name w:val="Body Text 2 Char"/>
    <w:basedOn w:val="DefaultParagraphFont"/>
    <w:link w:val="BodyText2"/>
    <w:rsid w:val="00D913A5"/>
    <w:rPr>
      <w:rFonts w:ascii="Times New Roman" w:eastAsia="Times New Roman" w:hAnsi="Times New Roman" w:cs="Times New Roman"/>
      <w:szCs w:val="20"/>
      <w:lang w:val="en-GB" w:eastAsia="en-US"/>
    </w:rPr>
  </w:style>
  <w:style w:type="paragraph" w:customStyle="1" w:styleId="StyleReportLevel4TimesNewRoman12ptNotBoldJustified">
    <w:name w:val="Style Report Level 4 + Times New Roman 12 pt Not Bold Justified"/>
    <w:basedOn w:val="Normal"/>
    <w:next w:val="Normal"/>
    <w:rsid w:val="00D913A5"/>
    <w:pPr>
      <w:spacing w:before="60" w:after="60"/>
      <w:jc w:val="both"/>
    </w:pPr>
    <w:rPr>
      <w:rFonts w:ascii="Times New Roman" w:eastAsia="Times New Roman" w:hAnsi="Times New Roman" w:cs="Times New Roman"/>
      <w:b/>
      <w:bCs/>
      <w:szCs w:val="24"/>
      <w:lang w:val="en-GB" w:eastAsia="en-US"/>
    </w:rPr>
  </w:style>
  <w:style w:type="paragraph" w:styleId="BodyText3">
    <w:name w:val="Body Text 3"/>
    <w:basedOn w:val="Normal"/>
    <w:link w:val="BodyText3Char"/>
    <w:rsid w:val="00D913A5"/>
    <w:pPr>
      <w:spacing w:before="60" w:after="120"/>
    </w:pPr>
    <w:rPr>
      <w:rFonts w:ascii="Times New Roman" w:eastAsia="Times New Roman" w:hAnsi="Times New Roman" w:cs="Times New Roman"/>
      <w:sz w:val="16"/>
      <w:szCs w:val="16"/>
      <w:lang w:val="en-GB" w:eastAsia="en-US"/>
    </w:rPr>
  </w:style>
  <w:style w:type="character" w:customStyle="1" w:styleId="BodyText3Char">
    <w:name w:val="Body Text 3 Char"/>
    <w:basedOn w:val="DefaultParagraphFont"/>
    <w:link w:val="BodyText3"/>
    <w:rsid w:val="00D913A5"/>
    <w:rPr>
      <w:rFonts w:ascii="Times New Roman" w:eastAsia="Times New Roman" w:hAnsi="Times New Roman" w:cs="Times New Roman"/>
      <w:sz w:val="16"/>
      <w:szCs w:val="16"/>
      <w:lang w:val="en-GB" w:eastAsia="en-US"/>
    </w:rPr>
  </w:style>
  <w:style w:type="paragraph" w:customStyle="1" w:styleId="Framecontents">
    <w:name w:val="Frame contents"/>
    <w:basedOn w:val="BodyText"/>
    <w:rsid w:val="00D913A5"/>
    <w:pPr>
      <w:suppressAutoHyphens/>
      <w:ind w:left="0"/>
      <w:jc w:val="both"/>
    </w:pPr>
    <w:rPr>
      <w:rFonts w:cs="Arial Unicode MS"/>
      <w:sz w:val="24"/>
      <w:szCs w:val="24"/>
      <w:lang w:val="bg-BG" w:bidi="my-MM"/>
    </w:rPr>
  </w:style>
  <w:style w:type="paragraph" w:customStyle="1" w:styleId="WW-BodyText2">
    <w:name w:val="WW-Body Text 2"/>
    <w:basedOn w:val="Normal"/>
    <w:rsid w:val="00D913A5"/>
    <w:pPr>
      <w:suppressAutoHyphens/>
      <w:spacing w:before="60" w:after="60"/>
      <w:jc w:val="both"/>
    </w:pPr>
    <w:rPr>
      <w:rFonts w:ascii="Times New Roman" w:eastAsia="Times New Roman" w:hAnsi="Times New Roman" w:cs="Arial Unicode MS"/>
      <w:color w:val="FF00FF"/>
      <w:szCs w:val="24"/>
      <w:lang w:eastAsia="en-US" w:bidi="my-MM"/>
    </w:rPr>
  </w:style>
  <w:style w:type="character" w:customStyle="1" w:styleId="body">
    <w:name w:val="body"/>
    <w:basedOn w:val="DefaultParagraphFont"/>
    <w:rsid w:val="00D913A5"/>
  </w:style>
  <w:style w:type="character" w:styleId="Strong">
    <w:name w:val="Strong"/>
    <w:uiPriority w:val="99"/>
    <w:qFormat/>
    <w:rsid w:val="00D913A5"/>
    <w:rPr>
      <w:b/>
      <w:bCs/>
    </w:rPr>
  </w:style>
  <w:style w:type="character" w:customStyle="1" w:styleId="headsub1">
    <w:name w:val="head_sub1"/>
    <w:rsid w:val="00D913A5"/>
    <w:rPr>
      <w:b/>
      <w:bCs/>
      <w:strike w:val="0"/>
      <w:dstrike w:val="0"/>
      <w:sz w:val="23"/>
      <w:szCs w:val="23"/>
      <w:u w:val="none"/>
      <w:effect w:val="none"/>
    </w:rPr>
  </w:style>
  <w:style w:type="paragraph" w:customStyle="1" w:styleId="StyleHeading1TimesNewRoman12ptJustifiedFirstline1">
    <w:name w:val="Style Heading 1 + Times New Roman 12 pt Justified First line:  1..."/>
    <w:basedOn w:val="Heading1"/>
    <w:rsid w:val="00D913A5"/>
    <w:pPr>
      <w:keepNext/>
      <w:spacing w:before="0"/>
      <w:ind w:firstLine="567"/>
      <w:jc w:val="both"/>
    </w:pPr>
    <w:rPr>
      <w:rFonts w:ascii="Times New Roman" w:hAnsi="Times New Roman" w:cs="Times New Roman"/>
      <w:bCs/>
      <w:caps w:val="0"/>
      <w:kern w:val="32"/>
      <w:szCs w:val="24"/>
      <w:lang w:val="bg-BG" w:eastAsia="ar-SA"/>
    </w:rPr>
  </w:style>
  <w:style w:type="paragraph" w:customStyle="1" w:styleId="Style">
    <w:name w:val="Style"/>
    <w:rsid w:val="00D913A5"/>
    <w:pPr>
      <w:widowControl w:val="0"/>
      <w:autoSpaceDE w:val="0"/>
      <w:autoSpaceDN w:val="0"/>
      <w:adjustRightInd w:val="0"/>
      <w:spacing w:before="60" w:after="60"/>
      <w:ind w:left="140" w:right="140" w:firstLine="840"/>
      <w:jc w:val="both"/>
    </w:pPr>
    <w:rPr>
      <w:rFonts w:ascii="Times New Roman" w:eastAsia="Times New Roman" w:hAnsi="Times New Roman" w:cs="Arial Unicode MS"/>
      <w:sz w:val="24"/>
      <w:szCs w:val="24"/>
      <w:lang w:bidi="my-MM"/>
    </w:rPr>
  </w:style>
  <w:style w:type="character" w:customStyle="1" w:styleId="WW8Num2z1">
    <w:name w:val="WW8Num2z1"/>
    <w:rsid w:val="00D913A5"/>
    <w:rPr>
      <w:rFonts w:ascii="Courier New" w:hAnsi="Courier New" w:cs="Tahoma"/>
    </w:rPr>
  </w:style>
  <w:style w:type="paragraph" w:customStyle="1" w:styleId="TableContents">
    <w:name w:val="Table Contents"/>
    <w:basedOn w:val="Normal"/>
    <w:uiPriority w:val="99"/>
    <w:rsid w:val="00D913A5"/>
    <w:pPr>
      <w:widowControl w:val="0"/>
      <w:suppressLineNumbers/>
      <w:suppressAutoHyphens/>
      <w:spacing w:before="60" w:after="60"/>
    </w:pPr>
    <w:rPr>
      <w:rFonts w:ascii="Nimbus Roman No9 L" w:eastAsia="DejaVu Sans" w:hAnsi="Nimbus Roman No9 L" w:cs="Times New Roman"/>
      <w:kern w:val="1"/>
      <w:szCs w:val="24"/>
      <w:lang w:eastAsia="en-US"/>
    </w:rPr>
  </w:style>
  <w:style w:type="paragraph" w:customStyle="1" w:styleId="Style1">
    <w:name w:val="Style1"/>
    <w:basedOn w:val="Normal"/>
    <w:rsid w:val="00D913A5"/>
    <w:pPr>
      <w:widowControl w:val="0"/>
      <w:autoSpaceDE w:val="0"/>
      <w:autoSpaceDN w:val="0"/>
      <w:adjustRightInd w:val="0"/>
      <w:spacing w:before="60" w:after="60" w:line="370" w:lineRule="exact"/>
    </w:pPr>
    <w:rPr>
      <w:rFonts w:ascii="Arial Unicode MS" w:eastAsia="Arial Unicode MS" w:hAnsi="Times New Roman" w:cs="Times New Roman"/>
      <w:szCs w:val="24"/>
    </w:rPr>
  </w:style>
  <w:style w:type="paragraph" w:customStyle="1" w:styleId="Style3">
    <w:name w:val="Style3"/>
    <w:basedOn w:val="Normal"/>
    <w:rsid w:val="00D913A5"/>
    <w:pPr>
      <w:widowControl w:val="0"/>
      <w:autoSpaceDE w:val="0"/>
      <w:autoSpaceDN w:val="0"/>
      <w:adjustRightInd w:val="0"/>
      <w:spacing w:before="60" w:after="60"/>
    </w:pPr>
    <w:rPr>
      <w:rFonts w:ascii="Arial Unicode MS" w:eastAsia="Arial Unicode MS" w:hAnsi="Times New Roman" w:cs="Times New Roman"/>
      <w:szCs w:val="24"/>
    </w:rPr>
  </w:style>
  <w:style w:type="paragraph" w:customStyle="1" w:styleId="Style4">
    <w:name w:val="Style4"/>
    <w:basedOn w:val="Normal"/>
    <w:rsid w:val="00D913A5"/>
    <w:pPr>
      <w:widowControl w:val="0"/>
      <w:autoSpaceDE w:val="0"/>
      <w:autoSpaceDN w:val="0"/>
      <w:adjustRightInd w:val="0"/>
      <w:spacing w:before="60" w:after="60" w:line="202" w:lineRule="exact"/>
    </w:pPr>
    <w:rPr>
      <w:rFonts w:ascii="Arial Unicode MS" w:eastAsia="Arial Unicode MS" w:hAnsi="Times New Roman" w:cs="Times New Roman"/>
      <w:szCs w:val="24"/>
    </w:rPr>
  </w:style>
  <w:style w:type="paragraph" w:customStyle="1" w:styleId="Style5">
    <w:name w:val="Style5"/>
    <w:basedOn w:val="Normal"/>
    <w:rsid w:val="00D913A5"/>
    <w:pPr>
      <w:widowControl w:val="0"/>
      <w:autoSpaceDE w:val="0"/>
      <w:autoSpaceDN w:val="0"/>
      <w:adjustRightInd w:val="0"/>
      <w:spacing w:before="60" w:after="60" w:line="202" w:lineRule="exact"/>
      <w:jc w:val="center"/>
    </w:pPr>
    <w:rPr>
      <w:rFonts w:ascii="Arial Unicode MS" w:eastAsia="Arial Unicode MS" w:hAnsi="Times New Roman" w:cs="Times New Roman"/>
      <w:szCs w:val="24"/>
    </w:rPr>
  </w:style>
  <w:style w:type="character" w:customStyle="1" w:styleId="FontStyle11">
    <w:name w:val="Font Style11"/>
    <w:rsid w:val="00D913A5"/>
    <w:rPr>
      <w:rFonts w:ascii="Arial Unicode MS" w:eastAsia="Arial Unicode MS" w:cs="Arial Unicode MS"/>
      <w:b/>
      <w:bCs/>
      <w:sz w:val="14"/>
      <w:szCs w:val="14"/>
    </w:rPr>
  </w:style>
  <w:style w:type="character" w:customStyle="1" w:styleId="FontStyle12">
    <w:name w:val="Font Style12"/>
    <w:rsid w:val="00D913A5"/>
    <w:rPr>
      <w:rFonts w:ascii="Arial Unicode MS" w:eastAsia="Arial Unicode MS" w:cs="Arial Unicode MS"/>
      <w:b/>
      <w:bCs/>
      <w:sz w:val="20"/>
      <w:szCs w:val="20"/>
    </w:rPr>
  </w:style>
  <w:style w:type="character" w:customStyle="1" w:styleId="FontStyle13">
    <w:name w:val="Font Style13"/>
    <w:rsid w:val="00D913A5"/>
    <w:rPr>
      <w:rFonts w:ascii="Arial Unicode MS" w:eastAsia="Arial Unicode MS" w:cs="Arial Unicode MS"/>
      <w:sz w:val="14"/>
      <w:szCs w:val="14"/>
    </w:rPr>
  </w:style>
  <w:style w:type="character" w:customStyle="1" w:styleId="FontStyle14">
    <w:name w:val="Font Style14"/>
    <w:rsid w:val="00D913A5"/>
    <w:rPr>
      <w:rFonts w:ascii="Arial Unicode MS" w:eastAsia="Arial Unicode MS" w:cs="Arial Unicode MS"/>
      <w:b/>
      <w:bCs/>
      <w:sz w:val="30"/>
      <w:szCs w:val="30"/>
    </w:rPr>
  </w:style>
  <w:style w:type="table" w:customStyle="1" w:styleId="TableGrid1">
    <w:name w:val="Table Grid1"/>
    <w:basedOn w:val="TableNormal"/>
    <w:next w:val="TableGrid"/>
    <w:uiPriority w:val="99"/>
    <w:rsid w:val="00D913A5"/>
    <w:pPr>
      <w:spacing w:before="60" w:after="60"/>
    </w:pPr>
    <w:rPr>
      <w:rFonts w:ascii="Times New Roman" w:eastAsia="Times New Roman" w:hAnsi="Times New Roman"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WW8Num1z0">
    <w:name w:val="WW8Num1z0"/>
    <w:rsid w:val="00D913A5"/>
    <w:rPr>
      <w:rFonts w:ascii="Times New Roman" w:hAnsi="Times New Roman" w:cs="Times New Roman"/>
    </w:rPr>
  </w:style>
  <w:style w:type="character" w:customStyle="1" w:styleId="WW8Num2z0">
    <w:name w:val="WW8Num2z0"/>
    <w:rsid w:val="00D913A5"/>
    <w:rPr>
      <w:b/>
    </w:rPr>
  </w:style>
  <w:style w:type="character" w:customStyle="1" w:styleId="WW8Num3z0">
    <w:name w:val="WW8Num3z0"/>
    <w:rsid w:val="00D913A5"/>
    <w:rPr>
      <w:rFonts w:ascii="Arial" w:hAnsi="Arial"/>
      <w:b/>
      <w:i w:val="0"/>
      <w:sz w:val="24"/>
    </w:rPr>
  </w:style>
  <w:style w:type="character" w:customStyle="1" w:styleId="WW8Num4z0">
    <w:name w:val="WW8Num4z0"/>
    <w:rsid w:val="00D913A5"/>
    <w:rPr>
      <w:rFonts w:ascii="Times New Roman" w:eastAsia="Times New Roman" w:hAnsi="Times New Roman" w:cs="Times New Roman"/>
    </w:rPr>
  </w:style>
  <w:style w:type="character" w:customStyle="1" w:styleId="WW8Num5z0">
    <w:name w:val="WW8Num5z0"/>
    <w:rsid w:val="00D913A5"/>
    <w:rPr>
      <w:b/>
    </w:rPr>
  </w:style>
  <w:style w:type="character" w:customStyle="1" w:styleId="WW8Num5z2">
    <w:name w:val="WW8Num5z2"/>
    <w:rsid w:val="00D913A5"/>
    <w:rPr>
      <w:rFonts w:ascii="Arial" w:hAnsi="Arial"/>
      <w:b/>
      <w:i w:val="0"/>
      <w:sz w:val="20"/>
    </w:rPr>
  </w:style>
  <w:style w:type="character" w:customStyle="1" w:styleId="Absatz-Standardschriftart1">
    <w:name w:val="Absatz-Standardschriftart1"/>
    <w:rsid w:val="00D913A5"/>
  </w:style>
  <w:style w:type="character" w:customStyle="1" w:styleId="WW-Absatz-Standardschriftart">
    <w:name w:val="WW-Absatz-Standardschriftart"/>
    <w:rsid w:val="00D913A5"/>
  </w:style>
  <w:style w:type="character" w:customStyle="1" w:styleId="WW8Num3z2">
    <w:name w:val="WW8Num3z2"/>
    <w:rsid w:val="00D913A5"/>
    <w:rPr>
      <w:rFonts w:ascii="Arial" w:hAnsi="Arial"/>
      <w:b/>
      <w:i w:val="0"/>
      <w:sz w:val="20"/>
    </w:rPr>
  </w:style>
  <w:style w:type="character" w:customStyle="1" w:styleId="WW8Num4z1">
    <w:name w:val="WW8Num4z1"/>
    <w:rsid w:val="00D913A5"/>
    <w:rPr>
      <w:rFonts w:ascii="Courier New" w:hAnsi="Courier New" w:cs="Courier New"/>
    </w:rPr>
  </w:style>
  <w:style w:type="character" w:customStyle="1" w:styleId="WW8Num4z2">
    <w:name w:val="WW8Num4z2"/>
    <w:rsid w:val="00D913A5"/>
    <w:rPr>
      <w:rFonts w:ascii="Wingdings" w:hAnsi="Wingdings"/>
    </w:rPr>
  </w:style>
  <w:style w:type="character" w:customStyle="1" w:styleId="WW8Num4z3">
    <w:name w:val="WW8Num4z3"/>
    <w:rsid w:val="00D913A5"/>
    <w:rPr>
      <w:rFonts w:ascii="Symbol" w:hAnsi="Symbol"/>
    </w:rPr>
  </w:style>
  <w:style w:type="character" w:customStyle="1" w:styleId="WW8Num9z0">
    <w:name w:val="WW8Num9z0"/>
    <w:rsid w:val="00D913A5"/>
    <w:rPr>
      <w:b/>
    </w:rPr>
  </w:style>
  <w:style w:type="character" w:customStyle="1" w:styleId="WW8Num10z0">
    <w:name w:val="WW8Num10z0"/>
    <w:rsid w:val="00D913A5"/>
    <w:rPr>
      <w:b/>
    </w:rPr>
  </w:style>
  <w:style w:type="character" w:customStyle="1" w:styleId="WW8Num11z0">
    <w:name w:val="WW8Num11z0"/>
    <w:rsid w:val="00D913A5"/>
    <w:rPr>
      <w:rFonts w:ascii="Times New Roman" w:eastAsia="Times New Roman" w:hAnsi="Times New Roman" w:cs="Times New Roman"/>
    </w:rPr>
  </w:style>
  <w:style w:type="character" w:customStyle="1" w:styleId="WW8Num11z1">
    <w:name w:val="WW8Num11z1"/>
    <w:rsid w:val="00D913A5"/>
    <w:rPr>
      <w:rFonts w:ascii="Courier New" w:hAnsi="Courier New" w:cs="Courier New"/>
    </w:rPr>
  </w:style>
  <w:style w:type="character" w:customStyle="1" w:styleId="WW8Num11z2">
    <w:name w:val="WW8Num11z2"/>
    <w:rsid w:val="00D913A5"/>
    <w:rPr>
      <w:rFonts w:ascii="Wingdings" w:hAnsi="Wingdings"/>
    </w:rPr>
  </w:style>
  <w:style w:type="character" w:customStyle="1" w:styleId="WW8Num11z3">
    <w:name w:val="WW8Num11z3"/>
    <w:rsid w:val="00D913A5"/>
    <w:rPr>
      <w:rFonts w:ascii="Symbol" w:hAnsi="Symbol"/>
    </w:rPr>
  </w:style>
  <w:style w:type="character" w:customStyle="1" w:styleId="WW8Num12z0">
    <w:name w:val="WW8Num12z0"/>
    <w:rsid w:val="00D913A5"/>
    <w:rPr>
      <w:b/>
    </w:rPr>
  </w:style>
  <w:style w:type="character" w:customStyle="1" w:styleId="WW8Num13z0">
    <w:name w:val="WW8Num13z0"/>
    <w:rsid w:val="00D913A5"/>
    <w:rPr>
      <w:b/>
    </w:rPr>
  </w:style>
  <w:style w:type="character" w:customStyle="1" w:styleId="WW8Num14z0">
    <w:name w:val="WW8Num14z0"/>
    <w:rsid w:val="00D913A5"/>
    <w:rPr>
      <w:rFonts w:ascii="Times New Roman" w:eastAsia="Times New Roman" w:hAnsi="Times New Roman" w:cs="Times New Roman"/>
    </w:rPr>
  </w:style>
  <w:style w:type="character" w:customStyle="1" w:styleId="WW8Num14z1">
    <w:name w:val="WW8Num14z1"/>
    <w:rsid w:val="00D913A5"/>
    <w:rPr>
      <w:rFonts w:ascii="Courier New" w:hAnsi="Courier New" w:cs="Courier New"/>
    </w:rPr>
  </w:style>
  <w:style w:type="character" w:customStyle="1" w:styleId="WW8Num14z2">
    <w:name w:val="WW8Num14z2"/>
    <w:rsid w:val="00D913A5"/>
    <w:rPr>
      <w:rFonts w:ascii="Wingdings" w:hAnsi="Wingdings"/>
    </w:rPr>
  </w:style>
  <w:style w:type="character" w:customStyle="1" w:styleId="WW8Num14z3">
    <w:name w:val="WW8Num14z3"/>
    <w:rsid w:val="00D913A5"/>
    <w:rPr>
      <w:rFonts w:ascii="Symbol" w:hAnsi="Symbol"/>
    </w:rPr>
  </w:style>
  <w:style w:type="character" w:customStyle="1" w:styleId="WW8Num15z0">
    <w:name w:val="WW8Num15z0"/>
    <w:rsid w:val="00D913A5"/>
    <w:rPr>
      <w:b/>
    </w:rPr>
  </w:style>
  <w:style w:type="character" w:customStyle="1" w:styleId="WW8Num16z0">
    <w:name w:val="WW8Num16z0"/>
    <w:rsid w:val="00D913A5"/>
    <w:rPr>
      <w:rFonts w:ascii="Times New Roman" w:eastAsia="Times New Roman" w:hAnsi="Times New Roman" w:cs="Times New Roman"/>
    </w:rPr>
  </w:style>
  <w:style w:type="character" w:customStyle="1" w:styleId="WW8Num16z1">
    <w:name w:val="WW8Num16z1"/>
    <w:rsid w:val="00D913A5"/>
    <w:rPr>
      <w:rFonts w:ascii="Courier New" w:hAnsi="Courier New" w:cs="Courier New"/>
    </w:rPr>
  </w:style>
  <w:style w:type="character" w:customStyle="1" w:styleId="WW8Num16z2">
    <w:name w:val="WW8Num16z2"/>
    <w:rsid w:val="00D913A5"/>
    <w:rPr>
      <w:rFonts w:ascii="Wingdings" w:hAnsi="Wingdings"/>
    </w:rPr>
  </w:style>
  <w:style w:type="character" w:customStyle="1" w:styleId="WW8Num16z3">
    <w:name w:val="WW8Num16z3"/>
    <w:rsid w:val="00D913A5"/>
    <w:rPr>
      <w:rFonts w:ascii="Symbol" w:hAnsi="Symbol"/>
    </w:rPr>
  </w:style>
  <w:style w:type="character" w:customStyle="1" w:styleId="Bullets">
    <w:name w:val="Bullets"/>
    <w:rsid w:val="00D913A5"/>
    <w:rPr>
      <w:rFonts w:ascii="StarSymbol" w:eastAsia="StarSymbol" w:hAnsi="StarSymbol" w:cs="StarSymbol"/>
      <w:sz w:val="18"/>
      <w:szCs w:val="18"/>
    </w:rPr>
  </w:style>
  <w:style w:type="character" w:customStyle="1" w:styleId="NumberingSymbols">
    <w:name w:val="Numbering Symbols"/>
    <w:rsid w:val="00D913A5"/>
  </w:style>
  <w:style w:type="paragraph" w:customStyle="1" w:styleId="Heading">
    <w:name w:val="Heading"/>
    <w:basedOn w:val="Normal"/>
    <w:next w:val="BodyText"/>
    <w:uiPriority w:val="99"/>
    <w:rsid w:val="00D913A5"/>
    <w:pPr>
      <w:keepNext/>
      <w:suppressAutoHyphens/>
      <w:spacing w:before="240" w:after="120"/>
    </w:pPr>
    <w:rPr>
      <w:rFonts w:eastAsia="Lucida Sans Unicode" w:cs="Tahoma"/>
      <w:sz w:val="28"/>
      <w:szCs w:val="28"/>
      <w:lang w:eastAsia="ar-SA"/>
    </w:rPr>
  </w:style>
  <w:style w:type="paragraph" w:customStyle="1" w:styleId="Index">
    <w:name w:val="Index"/>
    <w:basedOn w:val="Normal"/>
    <w:uiPriority w:val="99"/>
    <w:rsid w:val="00D913A5"/>
    <w:pPr>
      <w:suppressLineNumbers/>
      <w:suppressAutoHyphens/>
      <w:spacing w:before="60" w:after="60"/>
    </w:pPr>
    <w:rPr>
      <w:rFonts w:ascii="Times New Roman" w:eastAsia="Times New Roman" w:hAnsi="Times New Roman" w:cs="Tahoma"/>
      <w:szCs w:val="24"/>
      <w:lang w:eastAsia="ar-SA"/>
    </w:rPr>
  </w:style>
  <w:style w:type="paragraph" w:customStyle="1" w:styleId="Char">
    <w:name w:val="Char"/>
    <w:basedOn w:val="Normal"/>
    <w:rsid w:val="00D913A5"/>
    <w:pPr>
      <w:tabs>
        <w:tab w:val="left" w:pos="709"/>
      </w:tabs>
      <w:suppressAutoHyphens/>
      <w:spacing w:before="60" w:after="60"/>
    </w:pPr>
    <w:rPr>
      <w:rFonts w:ascii="Tahoma" w:eastAsia="Times New Roman" w:hAnsi="Tahoma" w:cs="Times New Roman"/>
      <w:szCs w:val="24"/>
      <w:lang w:val="pl-PL" w:eastAsia="ar-SA"/>
    </w:rPr>
  </w:style>
  <w:style w:type="paragraph" w:customStyle="1" w:styleId="TableHeading">
    <w:name w:val="Table Heading"/>
    <w:basedOn w:val="TableContents"/>
    <w:uiPriority w:val="99"/>
    <w:rsid w:val="00D913A5"/>
    <w:pPr>
      <w:widowControl/>
      <w:jc w:val="center"/>
    </w:pPr>
    <w:rPr>
      <w:rFonts w:ascii="Times New Roman" w:eastAsia="Times New Roman" w:hAnsi="Times New Roman"/>
      <w:b/>
      <w:bCs/>
      <w:kern w:val="0"/>
      <w:lang w:eastAsia="ar-SA"/>
    </w:rPr>
  </w:style>
  <w:style w:type="paragraph" w:customStyle="1" w:styleId="NormalJustified">
    <w:name w:val="Normal + Justified"/>
    <w:basedOn w:val="Normal"/>
    <w:link w:val="NormalJustifiedChar"/>
    <w:rsid w:val="00D913A5"/>
    <w:pPr>
      <w:suppressAutoHyphens/>
      <w:spacing w:before="60" w:after="60"/>
      <w:ind w:firstLine="708"/>
    </w:pPr>
    <w:rPr>
      <w:rFonts w:ascii="Times New Roman" w:eastAsia="Times New Roman" w:hAnsi="Times New Roman" w:cs="Times New Roman"/>
      <w:szCs w:val="24"/>
      <w:lang w:eastAsia="ar-SA"/>
    </w:rPr>
  </w:style>
  <w:style w:type="character" w:customStyle="1" w:styleId="NormalJustifiedChar">
    <w:name w:val="Normal + Justified Char"/>
    <w:link w:val="NormalJustified"/>
    <w:rsid w:val="00D913A5"/>
    <w:rPr>
      <w:rFonts w:ascii="Times New Roman" w:eastAsia="Times New Roman" w:hAnsi="Times New Roman" w:cs="Times New Roman"/>
      <w:sz w:val="24"/>
      <w:szCs w:val="24"/>
      <w:lang w:eastAsia="ar-SA"/>
    </w:rPr>
  </w:style>
  <w:style w:type="paragraph" w:styleId="CommentText">
    <w:name w:val="annotation text"/>
    <w:basedOn w:val="Normal"/>
    <w:link w:val="CommentTextChar"/>
    <w:uiPriority w:val="99"/>
    <w:rsid w:val="00D913A5"/>
    <w:pPr>
      <w:suppressAutoHyphens/>
      <w:spacing w:before="60" w:after="60"/>
    </w:pPr>
    <w:rPr>
      <w:rFonts w:ascii="Times New Roman" w:eastAsia="Times New Roman" w:hAnsi="Times New Roman" w:cs="Times New Roman"/>
      <w:sz w:val="20"/>
      <w:szCs w:val="20"/>
      <w:lang w:eastAsia="ar-SA"/>
    </w:rPr>
  </w:style>
  <w:style w:type="character" w:customStyle="1" w:styleId="CommentTextChar">
    <w:name w:val="Comment Text Char"/>
    <w:basedOn w:val="DefaultParagraphFont"/>
    <w:link w:val="CommentText"/>
    <w:uiPriority w:val="99"/>
    <w:rsid w:val="00D913A5"/>
    <w:rPr>
      <w:rFonts w:ascii="Times New Roman" w:eastAsia="Times New Roman" w:hAnsi="Times New Roman" w:cs="Times New Roman"/>
      <w:sz w:val="20"/>
      <w:szCs w:val="20"/>
      <w:lang w:eastAsia="ar-SA"/>
    </w:rPr>
  </w:style>
  <w:style w:type="paragraph" w:styleId="CommentSubject">
    <w:name w:val="annotation subject"/>
    <w:basedOn w:val="CommentText"/>
    <w:next w:val="CommentText"/>
    <w:link w:val="CommentSubjectChar"/>
    <w:uiPriority w:val="99"/>
    <w:semiHidden/>
    <w:rsid w:val="00D913A5"/>
    <w:rPr>
      <w:b/>
      <w:bCs/>
    </w:rPr>
  </w:style>
  <w:style w:type="character" w:customStyle="1" w:styleId="CommentSubjectChar">
    <w:name w:val="Comment Subject Char"/>
    <w:basedOn w:val="CommentTextChar"/>
    <w:link w:val="CommentSubject"/>
    <w:uiPriority w:val="99"/>
    <w:semiHidden/>
    <w:rsid w:val="00D913A5"/>
    <w:rPr>
      <w:rFonts w:ascii="Times New Roman" w:eastAsia="Times New Roman" w:hAnsi="Times New Roman" w:cs="Times New Roman"/>
      <w:b/>
      <w:bCs/>
      <w:sz w:val="20"/>
      <w:szCs w:val="20"/>
      <w:lang w:eastAsia="ar-SA"/>
    </w:rPr>
  </w:style>
  <w:style w:type="paragraph" w:customStyle="1" w:styleId="PetraAufzhlung">
    <w:name w:val="Petra_Aufzählung"/>
    <w:basedOn w:val="Normal"/>
    <w:rsid w:val="00D913A5"/>
    <w:pPr>
      <w:numPr>
        <w:numId w:val="13"/>
      </w:numPr>
      <w:spacing w:before="60" w:after="60"/>
    </w:pPr>
    <w:rPr>
      <w:rFonts w:ascii="Times New Roman" w:eastAsia="Times New Roman" w:hAnsi="Times New Roman" w:cs="Times New Roman"/>
      <w:sz w:val="22"/>
      <w:szCs w:val="20"/>
      <w:lang w:val="en-GB" w:eastAsia="en-US"/>
    </w:rPr>
  </w:style>
  <w:style w:type="paragraph" w:styleId="BlockText">
    <w:name w:val="Block Text"/>
    <w:basedOn w:val="Normal"/>
    <w:semiHidden/>
    <w:rsid w:val="00D913A5"/>
    <w:pPr>
      <w:autoSpaceDE w:val="0"/>
      <w:autoSpaceDN w:val="0"/>
      <w:adjustRightInd w:val="0"/>
      <w:spacing w:before="60" w:after="60"/>
      <w:ind w:left="57" w:right="57" w:firstLine="709"/>
    </w:pPr>
    <w:rPr>
      <w:rFonts w:eastAsia="Times New Roman" w:cs="Arial"/>
      <w:szCs w:val="24"/>
      <w:lang w:val="en-US"/>
    </w:rPr>
  </w:style>
  <w:style w:type="paragraph" w:customStyle="1" w:styleId="ZchnZchnCharCharZchnZchnCharChar">
    <w:name w:val="Zchn Zchn Char Char Zchn Zchn Char Char"/>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ZchnZchn">
    <w:name w:val="Zchn Zchn"/>
    <w:basedOn w:val="Normal"/>
    <w:rsid w:val="00D913A5"/>
    <w:pPr>
      <w:tabs>
        <w:tab w:val="left" w:pos="709"/>
      </w:tabs>
      <w:spacing w:before="60" w:after="60"/>
    </w:pPr>
    <w:rPr>
      <w:rFonts w:ascii="Tahoma" w:eastAsia="Times New Roman" w:hAnsi="Tahoma" w:cs="Times New Roman"/>
      <w:szCs w:val="24"/>
      <w:lang w:val="pl-PL" w:eastAsia="pl-PL"/>
    </w:rPr>
  </w:style>
  <w:style w:type="paragraph" w:customStyle="1" w:styleId="Style2">
    <w:name w:val="Style2"/>
    <w:basedOn w:val="Heading2"/>
    <w:rsid w:val="00D913A5"/>
    <w:pPr>
      <w:keepNext/>
      <w:spacing w:after="60"/>
    </w:pPr>
    <w:rPr>
      <w:rFonts w:ascii="Times New Roman" w:hAnsi="Times New Roman" w:cs="Times New Roman"/>
      <w:bCs/>
      <w:iCs/>
      <w:sz w:val="28"/>
      <w:szCs w:val="28"/>
      <w:lang w:val="en-US"/>
    </w:rPr>
  </w:style>
  <w:style w:type="paragraph" w:customStyle="1" w:styleId="ZchnZchnCharCharZchnZchnCharCharZchnZchn">
    <w:name w:val="Zchn Zchn Char Char Zchn Zchn Char Char Zchn Zchn"/>
    <w:basedOn w:val="Normal"/>
    <w:rsid w:val="00D913A5"/>
    <w:pPr>
      <w:tabs>
        <w:tab w:val="left" w:pos="709"/>
      </w:tabs>
      <w:spacing w:before="60" w:after="60"/>
    </w:pPr>
    <w:rPr>
      <w:rFonts w:ascii="Tahoma" w:eastAsia="Times New Roman" w:hAnsi="Tahoma" w:cs="Times New Roman"/>
      <w:szCs w:val="24"/>
      <w:lang w:val="pl-PL" w:eastAsia="pl-PL"/>
    </w:rPr>
  </w:style>
  <w:style w:type="character" w:styleId="PlaceholderText">
    <w:name w:val="Placeholder Text"/>
    <w:uiPriority w:val="99"/>
    <w:semiHidden/>
    <w:rsid w:val="00D913A5"/>
    <w:rPr>
      <w:color w:val="808080"/>
    </w:rPr>
  </w:style>
  <w:style w:type="character" w:styleId="CommentReference">
    <w:name w:val="annotation reference"/>
    <w:uiPriority w:val="99"/>
    <w:unhideWhenUsed/>
    <w:rsid w:val="00D913A5"/>
    <w:rPr>
      <w:sz w:val="16"/>
      <w:szCs w:val="16"/>
    </w:rPr>
  </w:style>
  <w:style w:type="table" w:customStyle="1" w:styleId="TableGrid2">
    <w:name w:val="Table Grid2"/>
    <w:basedOn w:val="TableNormal"/>
    <w:next w:val="TableGrid"/>
    <w:uiPriority w:val="99"/>
    <w:rsid w:val="00D913A5"/>
    <w:pPr>
      <w:spacing w:before="60" w:after="60"/>
    </w:pPr>
    <w:rPr>
      <w:rFonts w:ascii="Calibri" w:eastAsia="SimSun" w:hAnsi="Calibri" w:cs="Times New Roman"/>
      <w:lang w:val="en-US"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1">
    <w:name w:val="Header1"/>
    <w:basedOn w:val="Header"/>
    <w:link w:val="Header1Char"/>
    <w:qFormat/>
    <w:rsid w:val="00D913A5"/>
    <w:pPr>
      <w:tabs>
        <w:tab w:val="clear" w:pos="4703"/>
        <w:tab w:val="clear" w:pos="9406"/>
        <w:tab w:val="center" w:pos="4536"/>
        <w:tab w:val="right" w:pos="9072"/>
      </w:tabs>
      <w:spacing w:before="120" w:after="120" w:line="276" w:lineRule="auto"/>
      <w:jc w:val="both"/>
    </w:pPr>
    <w:rPr>
      <w:rFonts w:eastAsia="Times New Roman" w:cs="Times New Roman"/>
    </w:rPr>
  </w:style>
  <w:style w:type="character" w:customStyle="1" w:styleId="Header1Char">
    <w:name w:val="Header1 Char"/>
    <w:link w:val="Header1"/>
    <w:rsid w:val="00D913A5"/>
    <w:rPr>
      <w:rFonts w:ascii="Arial" w:eastAsia="Times New Roman" w:hAnsi="Arial" w:cs="Times New Roman"/>
      <w:sz w:val="24"/>
    </w:rPr>
  </w:style>
  <w:style w:type="paragraph" w:customStyle="1" w:styleId="xl65">
    <w:name w:val="xl6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67">
    <w:name w:val="xl67"/>
    <w:basedOn w:val="Normal"/>
    <w:rsid w:val="00D913A5"/>
    <w:pPr>
      <w:spacing w:before="100" w:beforeAutospacing="1" w:after="100" w:afterAutospacing="1"/>
      <w:jc w:val="center"/>
    </w:pPr>
    <w:rPr>
      <w:rFonts w:eastAsia="Times New Roman" w:cs="Arial"/>
      <w:b/>
      <w:bCs/>
      <w:szCs w:val="24"/>
    </w:rPr>
  </w:style>
  <w:style w:type="paragraph" w:customStyle="1" w:styleId="xl68">
    <w:name w:val="xl6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69">
    <w:name w:val="xl69"/>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0">
    <w:name w:val="xl70"/>
    <w:basedOn w:val="Normal"/>
    <w:rsid w:val="00D913A5"/>
    <w:pPr>
      <w:pBdr>
        <w:top w:val="single" w:sz="8" w:space="0" w:color="auto"/>
        <w:lef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1">
    <w:name w:val="xl71"/>
    <w:basedOn w:val="Normal"/>
    <w:rsid w:val="00D913A5"/>
    <w:pPr>
      <w:pBdr>
        <w:top w:val="single" w:sz="8"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2">
    <w:name w:val="xl72"/>
    <w:basedOn w:val="Normal"/>
    <w:rsid w:val="00D913A5"/>
    <w:pPr>
      <w:pBdr>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3">
    <w:name w:val="xl73"/>
    <w:basedOn w:val="Normal"/>
    <w:rsid w:val="00D913A5"/>
    <w:pPr>
      <w:pBdr>
        <w:left w:val="single" w:sz="4"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4">
    <w:name w:val="xl74"/>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5">
    <w:name w:val="xl75"/>
    <w:basedOn w:val="Normal"/>
    <w:rsid w:val="00D913A5"/>
    <w:pP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xl76">
    <w:name w:val="xl76"/>
    <w:basedOn w:val="Normal"/>
    <w:rsid w:val="00D913A5"/>
    <w:pPr>
      <w:pBdr>
        <w:top w:val="single" w:sz="4" w:space="0" w:color="auto"/>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77">
    <w:name w:val="xl77"/>
    <w:basedOn w:val="Normal"/>
    <w:rsid w:val="00D913A5"/>
    <w:pPr>
      <w:pBdr>
        <w:top w:val="single" w:sz="8" w:space="0" w:color="auto"/>
        <w:left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8">
    <w:name w:val="xl78"/>
    <w:basedOn w:val="Normal"/>
    <w:rsid w:val="00D913A5"/>
    <w:pPr>
      <w:pBdr>
        <w:left w:val="single" w:sz="4" w:space="0" w:color="auto"/>
        <w:bottom w:val="single" w:sz="4" w:space="0" w:color="auto"/>
        <w:right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79">
    <w:name w:val="xl79"/>
    <w:basedOn w:val="Normal"/>
    <w:rsid w:val="00D913A5"/>
    <w:pPr>
      <w:spacing w:before="100" w:beforeAutospacing="1" w:after="100" w:afterAutospacing="1"/>
      <w:jc w:val="center"/>
      <w:textAlignment w:val="center"/>
    </w:pPr>
    <w:rPr>
      <w:rFonts w:ascii="Times New Roman" w:eastAsia="Times New Roman" w:hAnsi="Times New Roman" w:cs="Times New Roman"/>
      <w:color w:val="000000"/>
      <w:sz w:val="28"/>
      <w:szCs w:val="28"/>
    </w:rPr>
  </w:style>
  <w:style w:type="paragraph" w:customStyle="1" w:styleId="xl80">
    <w:name w:val="xl80"/>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81">
    <w:name w:val="xl81"/>
    <w:basedOn w:val="Normal"/>
    <w:rsid w:val="00D913A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82">
    <w:name w:val="xl82"/>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3">
    <w:name w:val="xl83"/>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4">
    <w:name w:val="xl8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85">
    <w:name w:val="xl85"/>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86">
    <w:name w:val="xl86"/>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7">
    <w:name w:val="xl87"/>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8">
    <w:name w:val="xl88"/>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89">
    <w:name w:val="xl89"/>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0">
    <w:name w:val="xl90"/>
    <w:basedOn w:val="Normal"/>
    <w:rsid w:val="00D913A5"/>
    <w:pPr>
      <w:pBdr>
        <w:left w:val="single" w:sz="4" w:space="0" w:color="auto"/>
        <w:bottom w:val="single" w:sz="8"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1">
    <w:name w:val="xl91"/>
    <w:basedOn w:val="Normal"/>
    <w:rsid w:val="00D913A5"/>
    <w:pPr>
      <w:pBdr>
        <w:left w:val="single" w:sz="4" w:space="0" w:color="auto"/>
        <w:bottom w:val="single" w:sz="8" w:space="0" w:color="auto"/>
        <w:right w:val="single" w:sz="4" w:space="0" w:color="auto"/>
      </w:pBdr>
      <w:spacing w:before="100" w:beforeAutospacing="1" w:after="100" w:afterAutospacing="1"/>
      <w:jc w:val="center"/>
    </w:pPr>
    <w:rPr>
      <w:rFonts w:ascii="Times New Roman" w:eastAsia="Times New Roman" w:hAnsi="Times New Roman" w:cs="Times New Roman"/>
      <w:sz w:val="18"/>
      <w:szCs w:val="18"/>
    </w:rPr>
  </w:style>
  <w:style w:type="paragraph" w:customStyle="1" w:styleId="xl92">
    <w:name w:val="xl92"/>
    <w:basedOn w:val="Normal"/>
    <w:rsid w:val="00D913A5"/>
    <w:pPr>
      <w:pBdr>
        <w:left w:val="single" w:sz="4" w:space="0" w:color="auto"/>
        <w:bottom w:val="single" w:sz="8" w:space="0" w:color="auto"/>
        <w:right w:val="single" w:sz="8"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3">
    <w:name w:val="xl93"/>
    <w:basedOn w:val="Normal"/>
    <w:rsid w:val="00D913A5"/>
    <w:pPr>
      <w:pBdr>
        <w:left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94">
    <w:name w:val="xl94"/>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5">
    <w:name w:val="xl95"/>
    <w:basedOn w:val="Normal"/>
    <w:rsid w:val="00D913A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6">
    <w:name w:val="xl96"/>
    <w:basedOn w:val="Normal"/>
    <w:rsid w:val="00D913A5"/>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7">
    <w:name w:val="xl97"/>
    <w:basedOn w:val="Normal"/>
    <w:rsid w:val="00D913A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98">
    <w:name w:val="xl98"/>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99">
    <w:name w:val="xl99"/>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0">
    <w:name w:val="xl100"/>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1">
    <w:name w:val="xl101"/>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2">
    <w:name w:val="xl102"/>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3">
    <w:name w:val="xl103"/>
    <w:basedOn w:val="Normal"/>
    <w:rsid w:val="00D913A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4">
    <w:name w:val="xl104"/>
    <w:basedOn w:val="Normal"/>
    <w:rsid w:val="00D913A5"/>
    <w:pPr>
      <w:pBdr>
        <w:top w:val="single" w:sz="8"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5">
    <w:name w:val="xl105"/>
    <w:basedOn w:val="Normal"/>
    <w:rsid w:val="00D913A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b/>
      <w:bCs/>
      <w:sz w:val="20"/>
      <w:szCs w:val="20"/>
    </w:rPr>
  </w:style>
  <w:style w:type="paragraph" w:customStyle="1" w:styleId="xl106">
    <w:name w:val="xl106"/>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7">
    <w:name w:val="xl107"/>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08">
    <w:name w:val="xl108"/>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09">
    <w:name w:val="xl109"/>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0">
    <w:name w:val="xl110"/>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1">
    <w:name w:val="xl111"/>
    <w:basedOn w:val="Normal"/>
    <w:rsid w:val="00D913A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2">
    <w:name w:val="xl112"/>
    <w:basedOn w:val="Normal"/>
    <w:rsid w:val="00D913A5"/>
    <w:pPr>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13">
    <w:name w:val="xl113"/>
    <w:basedOn w:val="Normal"/>
    <w:rsid w:val="00D913A5"/>
    <w:pPr>
      <w:pBdr>
        <w:top w:val="single" w:sz="8" w:space="0" w:color="auto"/>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4">
    <w:name w:val="xl114"/>
    <w:basedOn w:val="Normal"/>
    <w:rsid w:val="00D913A5"/>
    <w:pPr>
      <w:pBdr>
        <w:left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5">
    <w:name w:val="xl11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6">
    <w:name w:val="xl116"/>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7">
    <w:name w:val="xl117"/>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8">
    <w:name w:val="xl118"/>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19">
    <w:name w:val="xl119"/>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0">
    <w:name w:val="xl120"/>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1">
    <w:name w:val="xl121"/>
    <w:basedOn w:val="Normal"/>
    <w:rsid w:val="00D913A5"/>
    <w:pPr>
      <w:pBdr>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18"/>
      <w:szCs w:val="18"/>
    </w:rPr>
  </w:style>
  <w:style w:type="paragraph" w:customStyle="1" w:styleId="xl122">
    <w:name w:val="xl122"/>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3">
    <w:name w:val="xl123"/>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color w:val="000000"/>
      <w:sz w:val="18"/>
      <w:szCs w:val="18"/>
    </w:rPr>
  </w:style>
  <w:style w:type="paragraph" w:customStyle="1" w:styleId="xl124">
    <w:name w:val="xl124"/>
    <w:basedOn w:val="Normal"/>
    <w:rsid w:val="00D913A5"/>
    <w:pPr>
      <w:pBdr>
        <w:top w:val="single" w:sz="8" w:space="0" w:color="auto"/>
        <w:lef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5">
    <w:name w:val="xl125"/>
    <w:basedOn w:val="Normal"/>
    <w:rsid w:val="00D913A5"/>
    <w:pPr>
      <w:pBdr>
        <w:top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6">
    <w:name w:val="xl126"/>
    <w:basedOn w:val="Normal"/>
    <w:rsid w:val="00D913A5"/>
    <w:pPr>
      <w:pBdr>
        <w:top w:val="single" w:sz="8" w:space="0" w:color="auto"/>
        <w:right w:val="single" w:sz="8" w:space="0" w:color="auto"/>
      </w:pBdr>
      <w:spacing w:before="100" w:beforeAutospacing="1" w:after="100" w:afterAutospacing="1"/>
      <w:jc w:val="center"/>
    </w:pPr>
    <w:rPr>
      <w:rFonts w:ascii="Times New Roman" w:eastAsia="Times New Roman" w:hAnsi="Times New Roman" w:cs="Times New Roman"/>
      <w:b/>
      <w:bCs/>
      <w:color w:val="FF0000"/>
      <w:sz w:val="28"/>
      <w:szCs w:val="28"/>
    </w:rPr>
  </w:style>
  <w:style w:type="paragraph" w:customStyle="1" w:styleId="xl127">
    <w:name w:val="xl127"/>
    <w:basedOn w:val="Normal"/>
    <w:rsid w:val="00D913A5"/>
    <w:pPr>
      <w:pBdr>
        <w:left w:val="single" w:sz="8"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28">
    <w:name w:val="xl128"/>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29">
    <w:name w:val="xl129"/>
    <w:basedOn w:val="Normal"/>
    <w:rsid w:val="00D913A5"/>
    <w:pPr>
      <w:spacing w:before="100" w:beforeAutospacing="1" w:after="100" w:afterAutospacing="1"/>
      <w:jc w:val="center"/>
    </w:pPr>
    <w:rPr>
      <w:rFonts w:ascii="Times New Roman" w:eastAsia="Times New Roman" w:hAnsi="Times New Roman" w:cs="Times New Roman"/>
      <w:szCs w:val="24"/>
    </w:rPr>
  </w:style>
  <w:style w:type="paragraph" w:customStyle="1" w:styleId="xl130">
    <w:name w:val="xl130"/>
    <w:basedOn w:val="Normal"/>
    <w:rsid w:val="00D913A5"/>
    <w:pPr>
      <w:pBdr>
        <w:right w:val="single" w:sz="8" w:space="0" w:color="auto"/>
      </w:pBdr>
      <w:spacing w:before="100" w:beforeAutospacing="1" w:after="100" w:afterAutospacing="1"/>
      <w:jc w:val="center"/>
    </w:pPr>
    <w:rPr>
      <w:rFonts w:ascii="Times New Roman" w:eastAsia="Times New Roman" w:hAnsi="Times New Roman" w:cs="Times New Roman"/>
      <w:color w:val="000000"/>
      <w:sz w:val="28"/>
      <w:szCs w:val="28"/>
    </w:rPr>
  </w:style>
  <w:style w:type="paragraph" w:customStyle="1" w:styleId="font5">
    <w:name w:val="font5"/>
    <w:basedOn w:val="Normal"/>
    <w:rsid w:val="00D913A5"/>
    <w:pPr>
      <w:spacing w:before="100" w:beforeAutospacing="1" w:after="100" w:afterAutospacing="1"/>
    </w:pPr>
    <w:rPr>
      <w:rFonts w:eastAsia="Times New Roman" w:cs="Arial"/>
      <w:sz w:val="16"/>
      <w:szCs w:val="16"/>
    </w:rPr>
  </w:style>
  <w:style w:type="paragraph" w:customStyle="1" w:styleId="xl131">
    <w:name w:val="xl131"/>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2">
    <w:name w:val="xl132"/>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3">
    <w:name w:val="xl133"/>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4">
    <w:name w:val="xl134"/>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5">
    <w:name w:val="xl135"/>
    <w:basedOn w:val="Normal"/>
    <w:rsid w:val="00D913A5"/>
    <w:pPr>
      <w:pBdr>
        <w:left w:val="single" w:sz="8" w:space="0" w:color="auto"/>
        <w:bottom w:val="single" w:sz="8"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 w:val="22"/>
    </w:rPr>
  </w:style>
  <w:style w:type="paragraph" w:customStyle="1" w:styleId="xl136">
    <w:name w:val="xl136"/>
    <w:basedOn w:val="Normal"/>
    <w:rsid w:val="00D913A5"/>
    <w:pPr>
      <w:pBdr>
        <w:top w:val="single" w:sz="8" w:space="0" w:color="auto"/>
        <w:left w:val="single" w:sz="4" w:space="0" w:color="auto"/>
        <w:bottom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7">
    <w:name w:val="xl137"/>
    <w:basedOn w:val="Normal"/>
    <w:rsid w:val="00D913A5"/>
    <w:pPr>
      <w:pBdr>
        <w:top w:val="single" w:sz="8" w:space="0" w:color="auto"/>
        <w:bottom w:val="single" w:sz="4" w:space="0" w:color="auto"/>
        <w:right w:val="single" w:sz="4" w:space="0" w:color="auto"/>
      </w:pBdr>
      <w:spacing w:before="100" w:beforeAutospacing="1" w:after="100" w:afterAutospacing="1"/>
      <w:jc w:val="center"/>
    </w:pPr>
    <w:rPr>
      <w:rFonts w:ascii="Times New Roman" w:eastAsia="Times New Roman" w:hAnsi="Times New Roman" w:cs="Times New Roman"/>
      <w:szCs w:val="24"/>
    </w:rPr>
  </w:style>
  <w:style w:type="paragraph" w:customStyle="1" w:styleId="xl138">
    <w:name w:val="xl138"/>
    <w:basedOn w:val="Normal"/>
    <w:rsid w:val="00D913A5"/>
    <w:pPr>
      <w:pBdr>
        <w:top w:val="single" w:sz="8" w:space="0" w:color="auto"/>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39">
    <w:name w:val="xl139"/>
    <w:basedOn w:val="Normal"/>
    <w:rsid w:val="00D913A5"/>
    <w:pPr>
      <w:pBdr>
        <w:left w:val="single" w:sz="4" w:space="0" w:color="auto"/>
        <w:right w:val="single" w:sz="4" w:space="0" w:color="auto"/>
      </w:pBdr>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font6">
    <w:name w:val="font6"/>
    <w:basedOn w:val="Normal"/>
    <w:rsid w:val="00D913A5"/>
    <w:pPr>
      <w:spacing w:before="100" w:beforeAutospacing="1" w:after="100" w:afterAutospacing="1"/>
    </w:pPr>
    <w:rPr>
      <w:rFonts w:eastAsia="Times New Roman" w:cs="Arial"/>
      <w:b/>
      <w:bCs/>
      <w:sz w:val="20"/>
      <w:szCs w:val="20"/>
    </w:rPr>
  </w:style>
  <w:style w:type="paragraph" w:customStyle="1" w:styleId="font7">
    <w:name w:val="font7"/>
    <w:basedOn w:val="Normal"/>
    <w:rsid w:val="00D913A5"/>
    <w:pPr>
      <w:spacing w:before="100" w:beforeAutospacing="1" w:after="100" w:afterAutospacing="1"/>
    </w:pPr>
    <w:rPr>
      <w:rFonts w:ascii="Tahoma" w:eastAsia="Times New Roman" w:hAnsi="Tahoma" w:cs="Tahoma"/>
      <w:b/>
      <w:bCs/>
      <w:color w:val="000000"/>
      <w:sz w:val="18"/>
      <w:szCs w:val="18"/>
    </w:rPr>
  </w:style>
  <w:style w:type="paragraph" w:customStyle="1" w:styleId="xl140">
    <w:name w:val="xl140"/>
    <w:basedOn w:val="Normal"/>
    <w:rsid w:val="00D913A5"/>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1">
    <w:name w:val="xl141"/>
    <w:basedOn w:val="Normal"/>
    <w:rsid w:val="00D913A5"/>
    <w:pPr>
      <w:pBdr>
        <w:top w:val="single" w:sz="4" w:space="0" w:color="000000"/>
        <w:bottom w:val="single" w:sz="4" w:space="0" w:color="000000"/>
        <w:right w:val="single" w:sz="8"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2">
    <w:name w:val="xl142"/>
    <w:basedOn w:val="Normal"/>
    <w:rsid w:val="00D913A5"/>
    <w:pPr>
      <w:pBdr>
        <w:top w:val="single" w:sz="4" w:space="0" w:color="000000"/>
        <w:left w:val="single" w:sz="8" w:space="0" w:color="000000"/>
        <w:bottom w:val="single" w:sz="4" w:space="0" w:color="000000"/>
        <w:right w:val="single" w:sz="4" w:space="0" w:color="000000"/>
      </w:pBdr>
      <w:spacing w:before="100" w:beforeAutospacing="1" w:after="100" w:afterAutospacing="1"/>
      <w:jc w:val="center"/>
      <w:textAlignment w:val="center"/>
    </w:pPr>
    <w:rPr>
      <w:rFonts w:eastAsia="Times New Roman" w:cs="Arial"/>
      <w:sz w:val="20"/>
      <w:szCs w:val="20"/>
    </w:rPr>
  </w:style>
  <w:style w:type="paragraph" w:customStyle="1" w:styleId="xl143">
    <w:name w:val="xl143"/>
    <w:basedOn w:val="Normal"/>
    <w:rsid w:val="00D913A5"/>
    <w:pPr>
      <w:pBdr>
        <w:top w:val="single" w:sz="4" w:space="0" w:color="000000"/>
        <w:left w:val="single" w:sz="8" w:space="0" w:color="000000"/>
        <w:bottom w:val="single" w:sz="4" w:space="0" w:color="000000"/>
        <w:right w:val="single" w:sz="4"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b/>
      <w:bCs/>
      <w:szCs w:val="24"/>
    </w:rPr>
  </w:style>
  <w:style w:type="paragraph" w:customStyle="1" w:styleId="xl144">
    <w:name w:val="xl144"/>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ascii="Times New Roman" w:eastAsia="Times New Roman" w:hAnsi="Times New Roman" w:cs="Times New Roman"/>
      <w:b/>
      <w:bCs/>
      <w:szCs w:val="24"/>
    </w:rPr>
  </w:style>
  <w:style w:type="paragraph" w:customStyle="1" w:styleId="xl145">
    <w:name w:val="xl145"/>
    <w:basedOn w:val="Normal"/>
    <w:rsid w:val="00D913A5"/>
    <w:pPr>
      <w:pBdr>
        <w:top w:val="single" w:sz="4" w:space="0" w:color="000000"/>
        <w:left w:val="single" w:sz="4" w:space="0" w:color="000000"/>
        <w:bottom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46">
    <w:name w:val="xl146"/>
    <w:basedOn w:val="Normal"/>
    <w:rsid w:val="00D913A5"/>
    <w:pPr>
      <w:pBdr>
        <w:top w:val="single" w:sz="4" w:space="0" w:color="000000"/>
        <w:left w:val="single" w:sz="8"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7">
    <w:name w:val="xl147"/>
    <w:basedOn w:val="Normal"/>
    <w:rsid w:val="00D913A5"/>
    <w:pPr>
      <w:pBdr>
        <w:left w:val="single" w:sz="8" w:space="0" w:color="000000"/>
      </w:pBdr>
      <w:shd w:val="clear" w:color="000000" w:fill="D8D8D8"/>
      <w:spacing w:before="100" w:beforeAutospacing="1" w:after="100" w:afterAutospacing="1"/>
      <w:jc w:val="center"/>
      <w:textAlignment w:val="center"/>
    </w:pPr>
    <w:rPr>
      <w:rFonts w:ascii="Times New Roman" w:eastAsia="Times New Roman" w:hAnsi="Times New Roman" w:cs="Times New Roman"/>
      <w:szCs w:val="24"/>
    </w:rPr>
  </w:style>
  <w:style w:type="paragraph" w:customStyle="1" w:styleId="xl148">
    <w:name w:val="xl148"/>
    <w:basedOn w:val="Normal"/>
    <w:rsid w:val="00D913A5"/>
    <w:pPr>
      <w:pBdr>
        <w:top w:val="single" w:sz="4" w:space="0" w:color="000000"/>
        <w:left w:val="single" w:sz="8" w:space="0" w:color="000000"/>
        <w:right w:val="single" w:sz="4" w:space="0" w:color="000000"/>
      </w:pBdr>
      <w:shd w:val="clear" w:color="000000" w:fill="D8D8D8"/>
      <w:spacing w:before="100" w:beforeAutospacing="1" w:after="100" w:afterAutospacing="1"/>
      <w:jc w:val="center"/>
      <w:textAlignment w:val="center"/>
    </w:pPr>
    <w:rPr>
      <w:rFonts w:eastAsia="Times New Roman" w:cs="Arial"/>
      <w:b/>
      <w:bCs/>
      <w:sz w:val="20"/>
      <w:szCs w:val="20"/>
    </w:rPr>
  </w:style>
  <w:style w:type="paragraph" w:customStyle="1" w:styleId="xl149">
    <w:name w:val="xl149"/>
    <w:basedOn w:val="Normal"/>
    <w:rsid w:val="00D913A5"/>
    <w:pPr>
      <w:pBdr>
        <w:top w:val="single" w:sz="4" w:space="0" w:color="000000"/>
        <w:left w:val="single" w:sz="4" w:space="0" w:color="000000"/>
      </w:pBdr>
      <w:shd w:val="clear" w:color="000000" w:fill="D8D8D8"/>
      <w:spacing w:before="100" w:beforeAutospacing="1" w:after="100" w:afterAutospacing="1"/>
      <w:textAlignment w:val="center"/>
    </w:pPr>
    <w:rPr>
      <w:rFonts w:eastAsia="Times New Roman" w:cs="Arial"/>
      <w:b/>
      <w:bCs/>
      <w:sz w:val="20"/>
      <w:szCs w:val="20"/>
    </w:rPr>
  </w:style>
  <w:style w:type="paragraph" w:customStyle="1" w:styleId="xl150">
    <w:name w:val="xl150"/>
    <w:basedOn w:val="Normal"/>
    <w:rsid w:val="00D913A5"/>
    <w:pPr>
      <w:pBdr>
        <w:top w:val="single" w:sz="4" w:space="0" w:color="000000"/>
        <w:left w:val="single" w:sz="4" w:space="0" w:color="000000"/>
        <w:bottom w:val="single" w:sz="4" w:space="0" w:color="000000"/>
        <w:right w:val="single" w:sz="8" w:space="0" w:color="000000"/>
      </w:pBdr>
      <w:shd w:val="clear" w:color="000000" w:fill="D8D8D8"/>
      <w:spacing w:before="100" w:beforeAutospacing="1" w:after="100" w:afterAutospacing="1"/>
      <w:jc w:val="center"/>
      <w:textAlignment w:val="center"/>
    </w:pPr>
    <w:rPr>
      <w:rFonts w:eastAsia="Times New Roman" w:cs="Arial"/>
      <w:color w:val="000000"/>
      <w:sz w:val="20"/>
      <w:szCs w:val="20"/>
    </w:rPr>
  </w:style>
  <w:style w:type="paragraph" w:customStyle="1" w:styleId="xl151">
    <w:name w:val="xl151"/>
    <w:basedOn w:val="Normal"/>
    <w:rsid w:val="00D913A5"/>
    <w:pPr>
      <w:pBdr>
        <w:top w:val="single" w:sz="4" w:space="0" w:color="000000"/>
        <w:left w:val="single" w:sz="4" w:space="0" w:color="000000"/>
        <w:bottom w:val="single" w:sz="4" w:space="0" w:color="000000"/>
      </w:pBdr>
      <w:spacing w:before="100" w:beforeAutospacing="1" w:after="100" w:afterAutospacing="1"/>
      <w:textAlignment w:val="center"/>
    </w:pPr>
    <w:rPr>
      <w:rFonts w:eastAsia="Times New Roman" w:cs="Arial"/>
      <w:sz w:val="20"/>
      <w:szCs w:val="20"/>
    </w:rPr>
  </w:style>
  <w:style w:type="paragraph" w:customStyle="1" w:styleId="xl152">
    <w:name w:val="xl152"/>
    <w:basedOn w:val="Normal"/>
    <w:rsid w:val="00D913A5"/>
    <w:pPr>
      <w:pBdr>
        <w:top w:val="single" w:sz="8" w:space="0" w:color="auto"/>
        <w:left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3">
    <w:name w:val="xl153"/>
    <w:basedOn w:val="Normal"/>
    <w:rsid w:val="00D913A5"/>
    <w:pPr>
      <w:pBdr>
        <w:top w:val="single" w:sz="8" w:space="0" w:color="auto"/>
        <w:bottom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4">
    <w:name w:val="xl154"/>
    <w:basedOn w:val="Normal"/>
    <w:rsid w:val="00D913A5"/>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s="Arial"/>
      <w:b/>
      <w:bCs/>
      <w:szCs w:val="24"/>
    </w:rPr>
  </w:style>
  <w:style w:type="paragraph" w:customStyle="1" w:styleId="xl155">
    <w:name w:val="xl155"/>
    <w:basedOn w:val="Normal"/>
    <w:rsid w:val="00D913A5"/>
    <w:pPr>
      <w:pBdr>
        <w:top w:val="single" w:sz="8" w:space="0" w:color="000000"/>
        <w:left w:val="single" w:sz="8" w:space="0" w:color="000000"/>
        <w:bottom w:val="single" w:sz="8" w:space="0" w:color="000000"/>
      </w:pBdr>
      <w:spacing w:before="100" w:beforeAutospacing="1" w:after="100" w:afterAutospacing="1"/>
      <w:jc w:val="center"/>
      <w:textAlignment w:val="center"/>
    </w:pPr>
    <w:rPr>
      <w:rFonts w:eastAsia="Times New Roman" w:cs="Arial"/>
      <w:b/>
      <w:bCs/>
      <w:szCs w:val="24"/>
      <w:u w:val="single"/>
    </w:rPr>
  </w:style>
  <w:style w:type="table" w:customStyle="1" w:styleId="TableGrid3">
    <w:name w:val="Table Grid3"/>
    <w:basedOn w:val="TableNormal"/>
    <w:next w:val="TableGrid"/>
    <w:uiPriority w:val="99"/>
    <w:rsid w:val="00D913A5"/>
    <w:pPr>
      <w:spacing w:before="60" w:after="60"/>
    </w:pPr>
    <w:rPr>
      <w:rFonts w:ascii="Calibri" w:eastAsia="Calibri" w:hAnsi="Calibri" w:cs="Times New Roman"/>
      <w:sz w:val="20"/>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ghtList-Accent12">
    <w:name w:val="Light List - Accent 12"/>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1">
    <w:name w:val="Light List - Accent 11"/>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List-Accent13">
    <w:name w:val="Light List - Accent 13"/>
    <w:basedOn w:val="TableNormal"/>
    <w:uiPriority w:val="61"/>
    <w:rsid w:val="00D913A5"/>
    <w:pPr>
      <w:spacing w:before="60" w:after="60"/>
    </w:pPr>
    <w:rPr>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customStyle="1" w:styleId="UnresolvedMention1">
    <w:name w:val="Unresolved Mention1"/>
    <w:basedOn w:val="DefaultParagraphFont"/>
    <w:uiPriority w:val="99"/>
    <w:semiHidden/>
    <w:unhideWhenUsed/>
    <w:rsid w:val="00D913A5"/>
    <w:rPr>
      <w:color w:val="605E5C"/>
      <w:shd w:val="clear" w:color="auto" w:fill="E1DFDD"/>
    </w:rPr>
  </w:style>
  <w:style w:type="character" w:customStyle="1" w:styleId="Bodytext0">
    <w:name w:val="Body text_"/>
    <w:basedOn w:val="DefaultParagraphFont"/>
    <w:link w:val="BodyText20"/>
    <w:rsid w:val="00EF3601"/>
    <w:rPr>
      <w:rFonts w:ascii="Arial" w:eastAsia="Arial" w:hAnsi="Arial" w:cs="Arial"/>
      <w:spacing w:val="2"/>
      <w:sz w:val="19"/>
      <w:szCs w:val="19"/>
      <w:shd w:val="clear" w:color="auto" w:fill="FFFFFF"/>
    </w:rPr>
  </w:style>
  <w:style w:type="character" w:customStyle="1" w:styleId="BodytextSpacing0pt">
    <w:name w:val="Body text + Spacing 0 pt"/>
    <w:basedOn w:val="Bodytext0"/>
    <w:rsid w:val="00EF3601"/>
    <w:rPr>
      <w:rFonts w:ascii="Arial" w:eastAsia="Arial" w:hAnsi="Arial" w:cs="Arial"/>
      <w:color w:val="000000"/>
      <w:spacing w:val="-1"/>
      <w:w w:val="100"/>
      <w:position w:val="0"/>
      <w:sz w:val="19"/>
      <w:szCs w:val="19"/>
      <w:shd w:val="clear" w:color="auto" w:fill="FFFFFF"/>
      <w:lang w:val="bg-BG" w:eastAsia="bg-BG" w:bidi="bg-BG"/>
    </w:rPr>
  </w:style>
  <w:style w:type="character" w:customStyle="1" w:styleId="Bodytext85pt">
    <w:name w:val="Body text + 8.5 pt"/>
    <w:aliases w:val="Bold,Italic,Spacing 0 pt,Body text + 9 pt,Body text + Book Antiqua,9 pt,8.5 pt,Body text + Bold,Body text + Lucida Sans Unicode,Body text + Sylfaen"/>
    <w:basedOn w:val="Bodytext0"/>
    <w:rsid w:val="00EF3601"/>
    <w:rPr>
      <w:rFonts w:ascii="Arial" w:eastAsia="Arial" w:hAnsi="Arial" w:cs="Arial"/>
      <w:b/>
      <w:bCs/>
      <w:color w:val="000000"/>
      <w:spacing w:val="2"/>
      <w:w w:val="100"/>
      <w:position w:val="0"/>
      <w:sz w:val="17"/>
      <w:szCs w:val="17"/>
      <w:shd w:val="clear" w:color="auto" w:fill="FFFFFF"/>
      <w:lang w:val="bg-BG" w:eastAsia="bg-BG" w:bidi="bg-BG"/>
    </w:rPr>
  </w:style>
  <w:style w:type="paragraph" w:customStyle="1" w:styleId="BodyText20">
    <w:name w:val="Body Text2"/>
    <w:basedOn w:val="Normal"/>
    <w:link w:val="Bodytext0"/>
    <w:rsid w:val="00EF3601"/>
    <w:pPr>
      <w:widowControl w:val="0"/>
      <w:shd w:val="clear" w:color="auto" w:fill="FFFFFF"/>
      <w:spacing w:after="0" w:line="254" w:lineRule="exact"/>
      <w:ind w:hanging="380"/>
      <w:jc w:val="center"/>
    </w:pPr>
    <w:rPr>
      <w:rFonts w:eastAsia="Arial" w:cs="Arial"/>
      <w:spacing w:val="2"/>
      <w:sz w:val="19"/>
      <w:szCs w:val="19"/>
    </w:rPr>
  </w:style>
  <w:style w:type="paragraph" w:customStyle="1" w:styleId="Bullet10">
    <w:name w:val="Bullet 1"/>
    <w:basedOn w:val="Normal"/>
    <w:link w:val="Bullet1Char"/>
    <w:qFormat/>
    <w:rsid w:val="005F4C98"/>
    <w:pPr>
      <w:numPr>
        <w:numId w:val="14"/>
      </w:numPr>
      <w:spacing w:before="120" w:after="120" w:line="240" w:lineRule="auto"/>
      <w:jc w:val="both"/>
    </w:pPr>
    <w:rPr>
      <w:sz w:val="22"/>
      <w:lang w:eastAsia="en-US"/>
    </w:rPr>
  </w:style>
  <w:style w:type="character" w:customStyle="1" w:styleId="Bullet1Char">
    <w:name w:val="Bullet 1 Char"/>
    <w:basedOn w:val="DefaultParagraphFont"/>
    <w:link w:val="Bullet10"/>
    <w:rsid w:val="005F4C98"/>
    <w:rPr>
      <w:rFonts w:ascii="Arial" w:hAnsi="Arial"/>
      <w:lang w:eastAsia="en-US"/>
    </w:rPr>
  </w:style>
  <w:style w:type="paragraph" w:styleId="EndnoteText">
    <w:name w:val="endnote text"/>
    <w:basedOn w:val="Normal"/>
    <w:link w:val="EndnoteTextChar"/>
    <w:uiPriority w:val="99"/>
    <w:semiHidden/>
    <w:unhideWhenUsed/>
    <w:rsid w:val="00754E1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754E19"/>
    <w:rPr>
      <w:rFonts w:ascii="Arial" w:hAnsi="Arial"/>
      <w:sz w:val="20"/>
      <w:szCs w:val="20"/>
    </w:rPr>
  </w:style>
  <w:style w:type="character" w:styleId="EndnoteReference">
    <w:name w:val="endnote reference"/>
    <w:basedOn w:val="DefaultParagraphFont"/>
    <w:uiPriority w:val="99"/>
    <w:semiHidden/>
    <w:unhideWhenUsed/>
    <w:rsid w:val="00754E19"/>
    <w:rPr>
      <w:vertAlign w:val="superscript"/>
    </w:rPr>
  </w:style>
  <w:style w:type="character" w:customStyle="1" w:styleId="BodyText1">
    <w:name w:val="Body Text1"/>
    <w:basedOn w:val="Bodytext0"/>
    <w:rsid w:val="00FB6A13"/>
    <w:rPr>
      <w:rFonts w:ascii="Arial Unicode MS" w:eastAsia="Arial Unicode MS" w:hAnsi="Arial Unicode MS" w:cs="Arial Unicode MS"/>
      <w:b w:val="0"/>
      <w:bCs w:val="0"/>
      <w:i w:val="0"/>
      <w:iCs w:val="0"/>
      <w:smallCaps w:val="0"/>
      <w:strike w:val="0"/>
      <w:color w:val="000000"/>
      <w:spacing w:val="2"/>
      <w:w w:val="100"/>
      <w:position w:val="0"/>
      <w:sz w:val="19"/>
      <w:szCs w:val="19"/>
      <w:u w:val="none"/>
      <w:shd w:val="clear" w:color="auto" w:fill="FFFFFF"/>
      <w:lang w:val="bg-BG" w:eastAsia="bg-BG" w:bidi="bg-BG"/>
    </w:rPr>
  </w:style>
  <w:style w:type="paragraph" w:customStyle="1" w:styleId="BodyText19">
    <w:name w:val="Body Text19"/>
    <w:basedOn w:val="Normal"/>
    <w:rsid w:val="00FB6A13"/>
    <w:pPr>
      <w:widowControl w:val="0"/>
      <w:shd w:val="clear" w:color="auto" w:fill="FFFFFF"/>
      <w:spacing w:before="420" w:after="0" w:line="288" w:lineRule="exact"/>
      <w:jc w:val="both"/>
    </w:pPr>
    <w:rPr>
      <w:rFonts w:ascii="Arial Unicode MS" w:eastAsia="Arial Unicode MS" w:hAnsi="Arial Unicode MS" w:cs="Arial Unicode MS"/>
      <w:color w:val="000000"/>
      <w:spacing w:val="2"/>
      <w:sz w:val="19"/>
      <w:szCs w:val="19"/>
      <w:lang w:bidi="bg-BG"/>
    </w:rPr>
  </w:style>
  <w:style w:type="character" w:customStyle="1" w:styleId="Heading40">
    <w:name w:val="Heading #4_"/>
    <w:basedOn w:val="DefaultParagraphFont"/>
    <w:link w:val="Heading41"/>
    <w:rsid w:val="009A2D39"/>
    <w:rPr>
      <w:rFonts w:ascii="Arial" w:eastAsia="Arial" w:hAnsi="Arial" w:cs="Arial"/>
      <w:b/>
      <w:bCs/>
      <w:spacing w:val="3"/>
      <w:sz w:val="19"/>
      <w:szCs w:val="19"/>
      <w:shd w:val="clear" w:color="auto" w:fill="FFFFFF"/>
    </w:rPr>
  </w:style>
  <w:style w:type="character" w:customStyle="1" w:styleId="BodytextSpacing1pt">
    <w:name w:val="Body text + Spacing 1 pt"/>
    <w:basedOn w:val="Bodytext0"/>
    <w:rsid w:val="009A2D39"/>
    <w:rPr>
      <w:rFonts w:ascii="Arial" w:eastAsia="Arial" w:hAnsi="Arial" w:cs="Arial"/>
      <w:b w:val="0"/>
      <w:bCs w:val="0"/>
      <w:i w:val="0"/>
      <w:iCs w:val="0"/>
      <w:smallCaps w:val="0"/>
      <w:strike w:val="0"/>
      <w:color w:val="000000"/>
      <w:spacing w:val="22"/>
      <w:w w:val="100"/>
      <w:position w:val="0"/>
      <w:sz w:val="19"/>
      <w:szCs w:val="19"/>
      <w:u w:val="none"/>
      <w:shd w:val="clear" w:color="auto" w:fill="FFFFFF"/>
      <w:lang w:val="bg-BG" w:eastAsia="bg-BG" w:bidi="bg-BG"/>
    </w:rPr>
  </w:style>
  <w:style w:type="paragraph" w:customStyle="1" w:styleId="Heading41">
    <w:name w:val="Heading #4"/>
    <w:basedOn w:val="Normal"/>
    <w:link w:val="Heading40"/>
    <w:rsid w:val="009A2D39"/>
    <w:pPr>
      <w:widowControl w:val="0"/>
      <w:shd w:val="clear" w:color="auto" w:fill="FFFFFF"/>
      <w:spacing w:before="600" w:after="300" w:line="0" w:lineRule="atLeast"/>
      <w:jc w:val="both"/>
      <w:outlineLvl w:val="3"/>
    </w:pPr>
    <w:rPr>
      <w:rFonts w:eastAsia="Arial" w:cs="Arial"/>
      <w:b/>
      <w:bCs/>
      <w:spacing w:val="3"/>
      <w:sz w:val="19"/>
      <w:szCs w:val="19"/>
    </w:rPr>
  </w:style>
  <w:style w:type="character" w:customStyle="1" w:styleId="Bodytext5">
    <w:name w:val="Body text (5)_"/>
    <w:basedOn w:val="DefaultParagraphFont"/>
    <w:link w:val="Bodytext50"/>
    <w:rsid w:val="009A2D39"/>
    <w:rPr>
      <w:rFonts w:ascii="Arial" w:eastAsia="Arial" w:hAnsi="Arial" w:cs="Arial"/>
      <w:b/>
      <w:bCs/>
      <w:spacing w:val="3"/>
      <w:sz w:val="19"/>
      <w:szCs w:val="19"/>
      <w:shd w:val="clear" w:color="auto" w:fill="FFFFFF"/>
    </w:rPr>
  </w:style>
  <w:style w:type="paragraph" w:customStyle="1" w:styleId="Bodytext50">
    <w:name w:val="Body text (5)"/>
    <w:basedOn w:val="Normal"/>
    <w:link w:val="Bodytext5"/>
    <w:rsid w:val="009A2D39"/>
    <w:pPr>
      <w:widowControl w:val="0"/>
      <w:shd w:val="clear" w:color="auto" w:fill="FFFFFF"/>
      <w:spacing w:after="0" w:line="254" w:lineRule="exact"/>
      <w:ind w:hanging="360"/>
      <w:jc w:val="center"/>
    </w:pPr>
    <w:rPr>
      <w:rFonts w:eastAsia="Arial" w:cs="Arial"/>
      <w:b/>
      <w:bCs/>
      <w:spacing w:val="3"/>
      <w:sz w:val="19"/>
      <w:szCs w:val="19"/>
    </w:rPr>
  </w:style>
  <w:style w:type="character" w:customStyle="1" w:styleId="fontstyle01">
    <w:name w:val="fontstyle01"/>
    <w:basedOn w:val="DefaultParagraphFont"/>
    <w:rsid w:val="00EC5A38"/>
    <w:rPr>
      <w:rFonts w:ascii="TimesNewRomanPSMT" w:eastAsia="TimesNewRomanPSMT" w:hint="eastAsia"/>
      <w:b w:val="0"/>
      <w:bCs w:val="0"/>
      <w:i w:val="0"/>
      <w:iCs w:val="0"/>
      <w:color w:val="000000"/>
      <w:sz w:val="24"/>
      <w:szCs w:val="24"/>
    </w:rPr>
  </w:style>
  <w:style w:type="character" w:customStyle="1" w:styleId="fontstyle21">
    <w:name w:val="fontstyle21"/>
    <w:basedOn w:val="DefaultParagraphFont"/>
    <w:rsid w:val="00DD0F4F"/>
    <w:rPr>
      <w:rFonts w:ascii="ArialMT" w:hAnsi="ArialMT" w:hint="default"/>
      <w:b w:val="0"/>
      <w:bCs w:val="0"/>
      <w:i w:val="0"/>
      <w:iCs w:val="0"/>
      <w:color w:val="000000"/>
      <w:sz w:val="20"/>
      <w:szCs w:val="20"/>
    </w:rPr>
  </w:style>
  <w:style w:type="paragraph" w:customStyle="1" w:styleId="T-Paragraph">
    <w:name w:val="T-Paragraph"/>
    <w:basedOn w:val="Normal"/>
    <w:link w:val="T-ParagraphChar"/>
    <w:qFormat/>
    <w:rsid w:val="00DD0F4F"/>
    <w:pPr>
      <w:tabs>
        <w:tab w:val="left" w:pos="8685"/>
      </w:tabs>
      <w:spacing w:after="120" w:line="240" w:lineRule="auto"/>
      <w:jc w:val="both"/>
    </w:pPr>
    <w:rPr>
      <w:rFonts w:ascii="Times New Roman" w:eastAsia="Times New Roman" w:hAnsi="Times New Roman" w:cs="Times New Roman"/>
      <w:szCs w:val="24"/>
      <w:lang w:eastAsia="en-US"/>
    </w:rPr>
  </w:style>
  <w:style w:type="character" w:customStyle="1" w:styleId="T-ParagraphChar">
    <w:name w:val="T-Paragraph Char"/>
    <w:basedOn w:val="DefaultParagraphFont"/>
    <w:link w:val="T-Paragraph"/>
    <w:rsid w:val="00DD0F4F"/>
    <w:rPr>
      <w:rFonts w:ascii="Times New Roman" w:eastAsia="Times New Roman" w:hAnsi="Times New Roman" w:cs="Times New Roman"/>
      <w:sz w:val="24"/>
      <w:szCs w:val="24"/>
      <w:lang w:eastAsia="en-US"/>
    </w:rPr>
  </w:style>
  <w:style w:type="paragraph" w:customStyle="1" w:styleId="T-BulL-0">
    <w:name w:val="T-Bul.L-0"/>
    <w:basedOn w:val="T-Paragraph"/>
    <w:link w:val="T-BulL-0Char"/>
    <w:qFormat/>
    <w:rsid w:val="00DD0F4F"/>
    <w:pPr>
      <w:numPr>
        <w:numId w:val="15"/>
      </w:numPr>
    </w:pPr>
  </w:style>
  <w:style w:type="paragraph" w:customStyle="1" w:styleId="T-BulL-1">
    <w:name w:val="T-Bul.L-1"/>
    <w:basedOn w:val="Normal"/>
    <w:qFormat/>
    <w:rsid w:val="00DD0F4F"/>
    <w:pPr>
      <w:numPr>
        <w:ilvl w:val="1"/>
        <w:numId w:val="15"/>
      </w:numPr>
      <w:tabs>
        <w:tab w:val="right" w:pos="709"/>
        <w:tab w:val="left" w:pos="993"/>
        <w:tab w:val="left" w:pos="1701"/>
        <w:tab w:val="left" w:pos="8222"/>
        <w:tab w:val="right" w:pos="9072"/>
        <w:tab w:val="left" w:pos="9214"/>
      </w:tabs>
      <w:spacing w:after="40" w:line="240" w:lineRule="auto"/>
      <w:jc w:val="both"/>
    </w:pPr>
    <w:rPr>
      <w:rFonts w:ascii="Times New Roman" w:eastAsia="Times New Roman" w:hAnsi="Times New Roman" w:cs="Times New Roman"/>
      <w:sz w:val="22"/>
      <w:szCs w:val="24"/>
      <w:lang w:eastAsia="en-US"/>
    </w:rPr>
  </w:style>
  <w:style w:type="character" w:customStyle="1" w:styleId="T-BulL-0Char">
    <w:name w:val="T-Bul.L-0 Char"/>
    <w:basedOn w:val="T-ParagraphChar"/>
    <w:link w:val="T-BulL-0"/>
    <w:rsid w:val="00DD0F4F"/>
    <w:rPr>
      <w:rFonts w:ascii="Times New Roman" w:eastAsia="Times New Roman" w:hAnsi="Times New Roman" w:cs="Times New Roman"/>
      <w:sz w:val="24"/>
      <w:szCs w:val="24"/>
      <w:lang w:eastAsia="en-US"/>
    </w:rPr>
  </w:style>
  <w:style w:type="numbering" w:customStyle="1" w:styleId="NoList1">
    <w:name w:val="No List1"/>
    <w:next w:val="NoList"/>
    <w:uiPriority w:val="99"/>
    <w:semiHidden/>
    <w:unhideWhenUsed/>
    <w:rsid w:val="00F42E46"/>
  </w:style>
  <w:style w:type="character" w:customStyle="1" w:styleId="CharChar4">
    <w:name w:val="Char Char4"/>
    <w:uiPriority w:val="99"/>
    <w:rsid w:val="00F42E46"/>
    <w:rPr>
      <w:sz w:val="24"/>
      <w:lang w:val="bg-BG" w:eastAsia="ar-SA" w:bidi="ar-SA"/>
    </w:rPr>
  </w:style>
  <w:style w:type="character" w:customStyle="1" w:styleId="CharChar3">
    <w:name w:val="Char Char3"/>
    <w:uiPriority w:val="99"/>
    <w:rsid w:val="00F42E46"/>
    <w:rPr>
      <w:sz w:val="24"/>
      <w:u w:val="single"/>
      <w:lang w:val="en-GB" w:eastAsia="ar-SA" w:bidi="ar-SA"/>
    </w:rPr>
  </w:style>
  <w:style w:type="character" w:customStyle="1" w:styleId="CharChar1">
    <w:name w:val="Char Char1"/>
    <w:uiPriority w:val="99"/>
    <w:rsid w:val="00F42E46"/>
    <w:rPr>
      <w:sz w:val="24"/>
      <w:lang w:val="bg-BG" w:eastAsia="ar-SA" w:bidi="ar-SA"/>
    </w:rPr>
  </w:style>
  <w:style w:type="paragraph" w:customStyle="1" w:styleId="Document1">
    <w:name w:val="Document 1"/>
    <w:uiPriority w:val="99"/>
    <w:rsid w:val="00F42E46"/>
    <w:pPr>
      <w:keepNext/>
      <w:keepLines/>
      <w:tabs>
        <w:tab w:val="left" w:pos="-720"/>
      </w:tabs>
      <w:suppressAutoHyphens/>
      <w:spacing w:after="0" w:line="240" w:lineRule="auto"/>
    </w:pPr>
    <w:rPr>
      <w:rFonts w:ascii="Courier New" w:eastAsia="Times New Roman" w:hAnsi="Courier New" w:cs="Times New Roman"/>
      <w:sz w:val="24"/>
      <w:szCs w:val="20"/>
      <w:lang w:val="en-US" w:eastAsia="ar-SA"/>
    </w:rPr>
  </w:style>
  <w:style w:type="paragraph" w:styleId="Subtitle">
    <w:name w:val="Subtitle"/>
    <w:basedOn w:val="Heading"/>
    <w:next w:val="BodyText"/>
    <w:link w:val="SubtitleChar"/>
    <w:uiPriority w:val="99"/>
    <w:qFormat/>
    <w:rsid w:val="00F42E46"/>
    <w:pPr>
      <w:spacing w:line="240" w:lineRule="auto"/>
      <w:jc w:val="center"/>
    </w:pPr>
    <w:rPr>
      <w:rFonts w:eastAsia="Times New Roman" w:cs="Mangal"/>
      <w:i/>
      <w:iCs/>
    </w:rPr>
  </w:style>
  <w:style w:type="character" w:customStyle="1" w:styleId="SubtitleChar">
    <w:name w:val="Subtitle Char"/>
    <w:basedOn w:val="DefaultParagraphFont"/>
    <w:link w:val="Subtitle"/>
    <w:uiPriority w:val="99"/>
    <w:rsid w:val="00F42E46"/>
    <w:rPr>
      <w:rFonts w:ascii="Arial" w:eastAsia="Times New Roman" w:hAnsi="Arial" w:cs="Mangal"/>
      <w:i/>
      <w:iCs/>
      <w:sz w:val="28"/>
      <w:szCs w:val="28"/>
      <w:lang w:eastAsia="ar-SA"/>
    </w:rPr>
  </w:style>
  <w:style w:type="paragraph" w:customStyle="1" w:styleId="A7-">
    <w:name w:val="A7 - ● Параграф"/>
    <w:basedOn w:val="Normal"/>
    <w:link w:val="A7-Char"/>
    <w:uiPriority w:val="99"/>
    <w:rsid w:val="00F42E46"/>
    <w:pPr>
      <w:spacing w:after="0" w:line="240" w:lineRule="auto"/>
      <w:jc w:val="both"/>
    </w:pPr>
    <w:rPr>
      <w:rFonts w:ascii="Times New Roman" w:eastAsia="Times New Roman" w:hAnsi="Times New Roman" w:cs="Times New Roman"/>
      <w:szCs w:val="20"/>
      <w:lang w:eastAsia="en-US"/>
    </w:rPr>
  </w:style>
  <w:style w:type="character" w:customStyle="1" w:styleId="A7-Char">
    <w:name w:val="A7 - ● Параграф Char"/>
    <w:link w:val="A7-"/>
    <w:uiPriority w:val="99"/>
    <w:locked/>
    <w:rsid w:val="00F42E46"/>
    <w:rPr>
      <w:rFonts w:ascii="Times New Roman" w:eastAsia="Times New Roman" w:hAnsi="Times New Roman" w:cs="Times New Roman"/>
      <w:sz w:val="24"/>
      <w:szCs w:val="20"/>
      <w:lang w:eastAsia="en-US"/>
    </w:rPr>
  </w:style>
  <w:style w:type="table" w:customStyle="1" w:styleId="TableGrid11">
    <w:name w:val="Table Grid11"/>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4">
    <w:name w:val="Table Grid4"/>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5">
    <w:name w:val="Table Grid5"/>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6">
    <w:name w:val="Table Grid6"/>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7">
    <w:name w:val="Table Grid7"/>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8">
    <w:name w:val="Table Grid8"/>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9">
    <w:name w:val="Table Grid9"/>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0">
    <w:name w:val="Table Grid10"/>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2">
    <w:name w:val="Table Grid12"/>
    <w:uiPriority w:val="99"/>
    <w:rsid w:val="00F42E46"/>
    <w:pPr>
      <w:spacing w:after="0" w:line="240" w:lineRule="auto"/>
    </w:pPr>
    <w:rPr>
      <w:rFonts w:ascii="Calibri" w:eastAsia="Times New Roman"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2CharChar">
    <w:name w:val="Char Char2 Char Char"/>
    <w:basedOn w:val="Normal"/>
    <w:uiPriority w:val="99"/>
    <w:rsid w:val="00F42E46"/>
    <w:pPr>
      <w:spacing w:after="160" w:line="240" w:lineRule="exact"/>
      <w:jc w:val="both"/>
    </w:pPr>
    <w:rPr>
      <w:rFonts w:ascii="Tahoma" w:eastAsia="MS Mincho" w:hAnsi="Tahoma" w:cs="Times New Roman"/>
      <w:sz w:val="20"/>
      <w:szCs w:val="20"/>
      <w:lang w:val="en-US" w:eastAsia="en-US"/>
    </w:rPr>
  </w:style>
  <w:style w:type="paragraph" w:customStyle="1" w:styleId="1">
    <w:name w:val="Списък на абзаци1"/>
    <w:basedOn w:val="Normal"/>
    <w:uiPriority w:val="99"/>
    <w:rsid w:val="00F42E46"/>
    <w:pPr>
      <w:spacing w:after="120"/>
      <w:jc w:val="both"/>
    </w:pPr>
    <w:rPr>
      <w:rFonts w:ascii="Trebuchet MS" w:eastAsia="Times New Roman" w:hAnsi="Trebuchet MS" w:cs="Arial"/>
      <w:sz w:val="20"/>
      <w:szCs w:val="20"/>
    </w:rPr>
  </w:style>
  <w:style w:type="character" w:customStyle="1" w:styleId="hps">
    <w:name w:val="hps"/>
    <w:basedOn w:val="DefaultParagraphFont"/>
    <w:uiPriority w:val="99"/>
    <w:rsid w:val="00F42E46"/>
    <w:rPr>
      <w:rFonts w:cs="Times New Roman"/>
    </w:rPr>
  </w:style>
  <w:style w:type="character" w:customStyle="1" w:styleId="Date1">
    <w:name w:val="Date1"/>
    <w:basedOn w:val="DefaultParagraphFont"/>
    <w:uiPriority w:val="99"/>
    <w:rsid w:val="00F42E46"/>
    <w:rPr>
      <w:rFonts w:cs="Times New Roman"/>
    </w:rPr>
  </w:style>
  <w:style w:type="paragraph" w:customStyle="1" w:styleId="10">
    <w:name w:val="Списък на абзаци1"/>
    <w:basedOn w:val="Normal"/>
    <w:uiPriority w:val="99"/>
    <w:rsid w:val="00F42E46"/>
    <w:pPr>
      <w:spacing w:after="120"/>
      <w:jc w:val="both"/>
    </w:pPr>
    <w:rPr>
      <w:rFonts w:ascii="Trebuchet MS" w:eastAsia="Times New Roman" w:hAnsi="Trebuchet MS" w:cs="Arial"/>
      <w:sz w:val="20"/>
      <w:szCs w:val="20"/>
    </w:rPr>
  </w:style>
  <w:style w:type="numbering" w:customStyle="1" w:styleId="WWOutlineListStyle2">
    <w:name w:val="WW_OutlineListStyle_2"/>
    <w:basedOn w:val="NoList"/>
    <w:rsid w:val="00F42E46"/>
    <w:pPr>
      <w:numPr>
        <w:numId w:val="18"/>
      </w:numPr>
    </w:pPr>
  </w:style>
  <w:style w:type="table" w:customStyle="1" w:styleId="GridTable4-Accent11">
    <w:name w:val="Grid Table 4 - Accent 11"/>
    <w:basedOn w:val="TableNormal"/>
    <w:uiPriority w:val="49"/>
    <w:rsid w:val="00F42E46"/>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paragraph" w:customStyle="1" w:styleId="MoIBody">
    <w:name w:val="MoI Body"/>
    <w:rsid w:val="009B57B8"/>
    <w:pPr>
      <w:suppressAutoHyphens/>
      <w:autoSpaceDN w:val="0"/>
      <w:spacing w:before="120" w:after="120" w:line="271" w:lineRule="auto"/>
      <w:jc w:val="both"/>
      <w:textAlignment w:val="baseline"/>
    </w:pPr>
    <w:rPr>
      <w:rFonts w:ascii="Times New Roman" w:eastAsia="Calibri" w:hAnsi="Times New Roman" w:cs="Times New Roman"/>
      <w:color w:val="000000"/>
      <w:sz w:val="24"/>
      <w:lang w:eastAsia="en-US"/>
    </w:rPr>
  </w:style>
  <w:style w:type="paragraph" w:customStyle="1" w:styleId="REQTableBullet2">
    <w:name w:val="REQ Table Bullet 2"/>
    <w:rsid w:val="009B57B8"/>
    <w:pPr>
      <w:numPr>
        <w:numId w:val="19"/>
      </w:numPr>
      <w:suppressAutoHyphens/>
      <w:autoSpaceDN w:val="0"/>
      <w:spacing w:after="0" w:line="240" w:lineRule="auto"/>
      <w:textAlignment w:val="baseline"/>
    </w:pPr>
    <w:rPr>
      <w:rFonts w:ascii="Arial Narrow" w:eastAsia="Calibri" w:hAnsi="Arial Narrow" w:cs="Times New Roman"/>
      <w:sz w:val="24"/>
      <w:szCs w:val="24"/>
      <w:lang w:eastAsia="en-US"/>
    </w:rPr>
  </w:style>
  <w:style w:type="numbering" w:customStyle="1" w:styleId="LFO8">
    <w:name w:val="LFO8"/>
    <w:basedOn w:val="NoList"/>
    <w:rsid w:val="009B57B8"/>
    <w:pPr>
      <w:numPr>
        <w:numId w:val="19"/>
      </w:numPr>
    </w:pPr>
  </w:style>
  <w:style w:type="paragraph" w:customStyle="1" w:styleId="Normal1">
    <w:name w:val="Normal1"/>
    <w:basedOn w:val="Normal"/>
    <w:rsid w:val="001759CD"/>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bold">
    <w:name w:val="bold"/>
    <w:basedOn w:val="DefaultParagraphFont"/>
    <w:rsid w:val="001759CD"/>
  </w:style>
  <w:style w:type="paragraph" w:customStyle="1" w:styleId="C1PlainText">
    <w:name w:val="C1 Plain Text"/>
    <w:basedOn w:val="Normal"/>
    <w:link w:val="C1PlainTextChar"/>
    <w:uiPriority w:val="99"/>
    <w:rsid w:val="00794216"/>
    <w:pPr>
      <w:overflowPunct w:val="0"/>
      <w:autoSpaceDE w:val="0"/>
      <w:autoSpaceDN w:val="0"/>
      <w:adjustRightInd w:val="0"/>
      <w:spacing w:before="120" w:after="120" w:line="240" w:lineRule="auto"/>
      <w:ind w:left="1298"/>
      <w:jc w:val="both"/>
      <w:textAlignment w:val="baseline"/>
    </w:pPr>
    <w:rPr>
      <w:rFonts w:ascii="Times New Roman" w:eastAsia="Times New Roman" w:hAnsi="Times New Roman" w:cs="Times New Roman"/>
      <w:szCs w:val="20"/>
      <w:lang w:val="en-GB" w:eastAsia="en-US"/>
    </w:rPr>
  </w:style>
  <w:style w:type="character" w:customStyle="1" w:styleId="C1PlainTextChar">
    <w:name w:val="C1 Plain Text Char"/>
    <w:link w:val="C1PlainText"/>
    <w:uiPriority w:val="99"/>
    <w:locked/>
    <w:rsid w:val="00794216"/>
    <w:rPr>
      <w:rFonts w:ascii="Times New Roman" w:eastAsia="Times New Roman" w:hAnsi="Times New Roman" w:cs="Times New Roman"/>
      <w:sz w:val="24"/>
      <w:szCs w:val="20"/>
      <w:lang w:val="en-GB" w:eastAsia="en-US"/>
    </w:rPr>
  </w:style>
  <w:style w:type="paragraph" w:customStyle="1" w:styleId="a">
    <w:name w:val="Загл. стр. Наименование на доклада"/>
    <w:basedOn w:val="Normal"/>
    <w:rsid w:val="003912F8"/>
    <w:pPr>
      <w:tabs>
        <w:tab w:val="left" w:pos="5040"/>
      </w:tabs>
      <w:suppressAutoHyphens/>
      <w:spacing w:after="240" w:line="240" w:lineRule="auto"/>
      <w:ind w:left="4500" w:hanging="900"/>
      <w:jc w:val="right"/>
    </w:pPr>
    <w:rPr>
      <w:rFonts w:ascii="Times New Roman" w:eastAsia="Times New Roman" w:hAnsi="Times New Roman" w:cs="HebarU"/>
      <w:b/>
      <w:bCs/>
      <w:snapToGrid w:val="0"/>
      <w:sz w:val="40"/>
      <w:szCs w:val="40"/>
    </w:rPr>
  </w:style>
  <w:style w:type="paragraph" w:customStyle="1" w:styleId="a0">
    <w:name w:val="Загл. стр. Име на проекта"/>
    <w:basedOn w:val="Normal"/>
    <w:rsid w:val="003912F8"/>
    <w:pPr>
      <w:tabs>
        <w:tab w:val="left" w:pos="0"/>
      </w:tabs>
      <w:suppressAutoHyphens/>
      <w:spacing w:after="240" w:line="240" w:lineRule="auto"/>
      <w:jc w:val="both"/>
    </w:pPr>
    <w:rPr>
      <w:rFonts w:ascii="Times New Roman" w:eastAsia="Times New Roman" w:hAnsi="Times New Roman" w:cs="HebarU"/>
      <w:b/>
      <w:bCs/>
      <w:smallCaps/>
      <w:snapToGrid w:val="0"/>
      <w:color w:val="808080"/>
      <w:sz w:val="40"/>
      <w:szCs w:val="40"/>
    </w:rPr>
  </w:style>
  <w:style w:type="paragraph" w:customStyle="1" w:styleId="a6">
    <w:name w:val="Загл. стр. Представен на.."/>
    <w:basedOn w:val="Normal"/>
    <w:rsid w:val="003912F8"/>
    <w:pPr>
      <w:suppressAutoHyphens/>
      <w:spacing w:after="240" w:line="240" w:lineRule="auto"/>
      <w:ind w:left="4502"/>
      <w:jc w:val="both"/>
    </w:pPr>
    <w:rPr>
      <w:rFonts w:ascii="Times New Roman" w:eastAsia="Times New Roman" w:hAnsi="Times New Roman" w:cs="HebarU"/>
      <w:b/>
      <w:bCs/>
      <w:snapToGrid w:val="0"/>
    </w:rPr>
  </w:style>
  <w:style w:type="paragraph" w:customStyle="1" w:styleId="a7">
    <w:name w:val="Загл. стр. Инфрапроект"/>
    <w:basedOn w:val="Normal"/>
    <w:rsid w:val="003912F8"/>
    <w:pPr>
      <w:suppressAutoHyphens/>
      <w:spacing w:after="0" w:line="240" w:lineRule="auto"/>
      <w:ind w:left="4502"/>
      <w:jc w:val="both"/>
    </w:pPr>
    <w:rPr>
      <w:rFonts w:ascii="Times New Roman" w:eastAsia="Times New Roman" w:hAnsi="Times New Roman" w:cs="HebarU"/>
      <w:b/>
      <w:bCs/>
      <w:snapToGrid w:val="0"/>
    </w:rPr>
  </w:style>
  <w:style w:type="paragraph" w:customStyle="1" w:styleId="a8">
    <w:name w:val="Загл. стр. Месец Година"/>
    <w:basedOn w:val="Normal"/>
    <w:rsid w:val="003912F8"/>
    <w:pPr>
      <w:suppressAutoHyphens/>
      <w:spacing w:after="240" w:line="240" w:lineRule="auto"/>
      <w:jc w:val="center"/>
    </w:pPr>
    <w:rPr>
      <w:rFonts w:ascii="Times New Roman" w:eastAsia="Times New Roman" w:hAnsi="Times New Roman" w:cs="HebarU"/>
      <w:b/>
      <w:bCs/>
      <w:snapToGrid w:val="0"/>
      <w:color w:val="808080"/>
    </w:rPr>
  </w:style>
  <w:style w:type="paragraph" w:customStyle="1" w:styleId="FOOTER0">
    <w:name w:val="Наименование на доклада FOOTER"/>
    <w:basedOn w:val="Footer"/>
    <w:rsid w:val="003912F8"/>
    <w:pPr>
      <w:pBdr>
        <w:top w:val="single" w:sz="4" w:space="1" w:color="auto"/>
      </w:pBdr>
      <w:tabs>
        <w:tab w:val="clear" w:pos="4703"/>
        <w:tab w:val="clear" w:pos="9406"/>
        <w:tab w:val="center" w:pos="4536"/>
        <w:tab w:val="right" w:pos="9072"/>
      </w:tabs>
      <w:suppressAutoHyphens/>
      <w:spacing w:before="120"/>
      <w:jc w:val="right"/>
    </w:pPr>
    <w:rPr>
      <w:rFonts w:ascii="Times New Roman" w:eastAsia="Times New Roman" w:hAnsi="Times New Roman" w:cs="HebarU"/>
      <w:i/>
      <w:iCs/>
      <w:smallCaps/>
      <w:snapToGrid w:val="0"/>
      <w:color w:val="808080"/>
      <w:sz w:val="22"/>
      <w:szCs w:val="20"/>
    </w:rPr>
  </w:style>
  <w:style w:type="character" w:customStyle="1" w:styleId="DefaultChar">
    <w:name w:val="Default Char"/>
    <w:link w:val="Default"/>
    <w:rsid w:val="003912F8"/>
    <w:rPr>
      <w:rFonts w:ascii="Arial" w:eastAsia="Times New Roman" w:hAnsi="Arial" w:cs="Arial"/>
      <w:color w:val="000000"/>
      <w:sz w:val="24"/>
      <w:szCs w:val="24"/>
      <w:lang w:val="en-US" w:eastAsia="en-US"/>
    </w:rPr>
  </w:style>
  <w:style w:type="character" w:customStyle="1" w:styleId="11">
    <w:name w:val="Неразрешено споменаване1"/>
    <w:basedOn w:val="DefaultParagraphFont"/>
    <w:uiPriority w:val="99"/>
    <w:semiHidden/>
    <w:unhideWhenUsed/>
    <w:rsid w:val="00FD6363"/>
    <w:rPr>
      <w:color w:val="605E5C"/>
      <w:shd w:val="clear" w:color="auto" w:fill="E1DFDD"/>
    </w:rPr>
  </w:style>
  <w:style w:type="paragraph" w:customStyle="1" w:styleId="12">
    <w:name w:val="Нормален1"/>
    <w:basedOn w:val="Normal"/>
    <w:rsid w:val="00FD6363"/>
    <w:pPr>
      <w:spacing w:before="100" w:beforeAutospacing="1" w:after="100" w:afterAutospacing="1" w:line="240" w:lineRule="auto"/>
    </w:pPr>
    <w:rPr>
      <w:rFonts w:ascii="Times New Roman" w:eastAsia="Times New Roman" w:hAnsi="Times New Roman" w:cs="Times New Roman"/>
      <w:szCs w:val="24"/>
      <w:lang w:val="en-US" w:eastAsia="en-US"/>
    </w:rPr>
  </w:style>
  <w:style w:type="character" w:customStyle="1" w:styleId="2">
    <w:name w:val="Неразрешено споменаване2"/>
    <w:basedOn w:val="DefaultParagraphFont"/>
    <w:uiPriority w:val="99"/>
    <w:semiHidden/>
    <w:unhideWhenUsed/>
    <w:rsid w:val="00F75F06"/>
    <w:rPr>
      <w:color w:val="605E5C"/>
      <w:shd w:val="clear" w:color="auto" w:fill="E1DFDD"/>
    </w:rPr>
  </w:style>
  <w:style w:type="character" w:customStyle="1" w:styleId="3">
    <w:name w:val="Неразрешено споменаване3"/>
    <w:basedOn w:val="DefaultParagraphFont"/>
    <w:uiPriority w:val="99"/>
    <w:semiHidden/>
    <w:unhideWhenUsed/>
    <w:rsid w:val="000102B0"/>
    <w:rPr>
      <w:color w:val="605E5C"/>
      <w:shd w:val="clear" w:color="auto" w:fill="E1DFDD"/>
    </w:rPr>
  </w:style>
  <w:style w:type="paragraph" w:styleId="Revision">
    <w:name w:val="Revision"/>
    <w:hidden/>
    <w:uiPriority w:val="99"/>
    <w:semiHidden/>
    <w:rsid w:val="00962949"/>
    <w:pPr>
      <w:spacing w:after="0" w:line="240" w:lineRule="auto"/>
    </w:pPr>
    <w:rPr>
      <w:rFonts w:ascii="Arial" w:hAnsi="Arial"/>
      <w:sz w:val="24"/>
    </w:rPr>
  </w:style>
  <w:style w:type="character" w:customStyle="1" w:styleId="4">
    <w:name w:val="Неразрешено споменаване4"/>
    <w:basedOn w:val="DefaultParagraphFont"/>
    <w:uiPriority w:val="99"/>
    <w:semiHidden/>
    <w:unhideWhenUsed/>
    <w:rsid w:val="005D64DE"/>
    <w:rPr>
      <w:color w:val="605E5C"/>
      <w:shd w:val="clear" w:color="auto" w:fill="E1DFDD"/>
    </w:rPr>
  </w:style>
  <w:style w:type="character" w:customStyle="1" w:styleId="5">
    <w:name w:val="Неразрешено споменаване5"/>
    <w:basedOn w:val="DefaultParagraphFont"/>
    <w:uiPriority w:val="99"/>
    <w:semiHidden/>
    <w:unhideWhenUsed/>
    <w:rsid w:val="001F3DEF"/>
    <w:rPr>
      <w:color w:val="605E5C"/>
      <w:shd w:val="clear" w:color="auto" w:fill="E1DFDD"/>
    </w:rPr>
  </w:style>
  <w:style w:type="character" w:customStyle="1" w:styleId="UnresolvedMention2">
    <w:name w:val="Unresolved Mention2"/>
    <w:basedOn w:val="DefaultParagraphFont"/>
    <w:uiPriority w:val="99"/>
    <w:semiHidden/>
    <w:unhideWhenUsed/>
    <w:rsid w:val="00AF7E1D"/>
    <w:rPr>
      <w:color w:val="605E5C"/>
      <w:shd w:val="clear" w:color="auto" w:fill="E1DFDD"/>
    </w:rPr>
  </w:style>
  <w:style w:type="character" w:customStyle="1" w:styleId="ListParagraphChar">
    <w:name w:val="List Paragraph Char"/>
    <w:aliases w:val="Normal List Char,Endnote Char,Indent Char"/>
    <w:link w:val="ListParagraph"/>
    <w:uiPriority w:val="1"/>
    <w:locked/>
    <w:rsid w:val="00890AC8"/>
    <w:rPr>
      <w:rFonts w:ascii="Calibri" w:eastAsia="Times New Roman" w:hAnsi="Calibri" w:cs="Times New Roman"/>
      <w:sz w:val="24"/>
      <w:lang w:eastAsia="zh-CN"/>
    </w:rPr>
  </w:style>
  <w:style w:type="table" w:customStyle="1" w:styleId="LightList-Accent111">
    <w:name w:val="Light List - Accent 111"/>
    <w:basedOn w:val="TableNormal"/>
    <w:uiPriority w:val="61"/>
    <w:rsid w:val="000E443E"/>
    <w:pPr>
      <w:spacing w:before="60" w:after="60" w:line="259" w:lineRule="auto"/>
    </w:pPr>
    <w:rPr>
      <w:rFonts w:eastAsia="Times New Roman"/>
      <w:lang w:eastAsia="en-US"/>
    </w:rPr>
    <w:tblPr>
      <w:tblStyleRowBandSize w:val="1"/>
      <w:tblStyleColBandSize w:val="1"/>
      <w:tblBorders>
        <w:top w:val="single" w:sz="8" w:space="0" w:color="F0A22E"/>
        <w:left w:val="single" w:sz="8" w:space="0" w:color="F0A22E"/>
        <w:bottom w:val="single" w:sz="8" w:space="0" w:color="F0A22E"/>
        <w:right w:val="single" w:sz="8" w:space="0" w:color="F0A22E"/>
      </w:tblBorders>
    </w:tblPr>
    <w:tblStylePr w:type="firstRow">
      <w:pPr>
        <w:spacing w:before="0" w:after="0" w:line="240" w:lineRule="auto"/>
      </w:pPr>
      <w:rPr>
        <w:b/>
        <w:bCs/>
        <w:color w:val="FFFFFF"/>
      </w:rPr>
      <w:tblPr/>
      <w:tcPr>
        <w:shd w:val="clear" w:color="auto" w:fill="F0A22E"/>
      </w:tcPr>
    </w:tblStylePr>
    <w:tblStylePr w:type="lastRow">
      <w:pPr>
        <w:spacing w:before="0" w:after="0" w:line="240" w:lineRule="auto"/>
      </w:pPr>
      <w:rPr>
        <w:b/>
        <w:bCs/>
      </w:rPr>
      <w:tblPr/>
      <w:tcPr>
        <w:tcBorders>
          <w:top w:val="double" w:sz="6" w:space="0" w:color="F0A22E"/>
          <w:left w:val="single" w:sz="8" w:space="0" w:color="F0A22E"/>
          <w:bottom w:val="single" w:sz="8" w:space="0" w:color="F0A22E"/>
          <w:right w:val="single" w:sz="8" w:space="0" w:color="F0A22E"/>
        </w:tcBorders>
      </w:tcPr>
    </w:tblStylePr>
    <w:tblStylePr w:type="firstCol">
      <w:rPr>
        <w:b/>
        <w:bCs/>
      </w:rPr>
    </w:tblStylePr>
    <w:tblStylePr w:type="lastCol">
      <w:rPr>
        <w:b/>
        <w:bCs/>
      </w:rPr>
    </w:tblStylePr>
    <w:tblStylePr w:type="band1Vert">
      <w:tblPr/>
      <w:tcPr>
        <w:tcBorders>
          <w:top w:val="single" w:sz="8" w:space="0" w:color="F0A22E"/>
          <w:left w:val="single" w:sz="8" w:space="0" w:color="F0A22E"/>
          <w:bottom w:val="single" w:sz="8" w:space="0" w:color="F0A22E"/>
          <w:right w:val="single" w:sz="8" w:space="0" w:color="F0A22E"/>
        </w:tcBorders>
      </w:tcPr>
    </w:tblStylePr>
    <w:tblStylePr w:type="band1Horz">
      <w:tblPr/>
      <w:tcPr>
        <w:tcBorders>
          <w:top w:val="single" w:sz="8" w:space="0" w:color="F0A22E"/>
          <w:left w:val="single" w:sz="8" w:space="0" w:color="F0A22E"/>
          <w:bottom w:val="single" w:sz="8" w:space="0" w:color="F0A22E"/>
          <w:right w:val="single" w:sz="8" w:space="0" w:color="F0A22E"/>
        </w:tcBorders>
      </w:tcPr>
    </w:tblStylePr>
  </w:style>
  <w:style w:type="table" w:customStyle="1" w:styleId="411">
    <w:name w:val="Таблица с мрежа 4 – акцентиране 11"/>
    <w:basedOn w:val="TableNormal"/>
    <w:next w:val="GridTable4-Accent1"/>
    <w:uiPriority w:val="49"/>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insideV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insideV w:val="nil"/>
        </w:tcBorders>
        <w:shd w:val="clear" w:color="auto" w:fill="4F81BD"/>
      </w:tcPr>
    </w:tblStylePr>
    <w:tblStylePr w:type="lastRow">
      <w:rPr>
        <w:b/>
        <w:bCs/>
      </w:rPr>
      <w:tblPr/>
      <w:tcPr>
        <w:tcBorders>
          <w:top w:val="double" w:sz="4" w:space="0" w:color="4F81BD"/>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4110">
    <w:name w:val="Таблица със списък 4 – акцентиране 11"/>
    <w:basedOn w:val="TableNormal"/>
    <w:next w:val="ListTable4-Accent1"/>
    <w:uiPriority w:val="49"/>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95B3D7"/>
        <w:left w:val="single" w:sz="4" w:space="0" w:color="95B3D7"/>
        <w:bottom w:val="single" w:sz="4" w:space="0" w:color="95B3D7"/>
        <w:right w:val="single" w:sz="4" w:space="0" w:color="95B3D7"/>
        <w:insideH w:val="single" w:sz="4" w:space="0" w:color="95B3D7"/>
      </w:tblBorders>
    </w:tblPr>
    <w:tblStylePr w:type="firstRow">
      <w:rPr>
        <w:b/>
        <w:bCs/>
        <w:color w:val="FFFFFF"/>
      </w:rPr>
      <w:tblPr/>
      <w:tcPr>
        <w:tcBorders>
          <w:top w:val="single" w:sz="4" w:space="0" w:color="4F81BD"/>
          <w:left w:val="single" w:sz="4" w:space="0" w:color="4F81BD"/>
          <w:bottom w:val="single" w:sz="4" w:space="0" w:color="4F81BD"/>
          <w:right w:val="single" w:sz="4" w:space="0" w:color="4F81BD"/>
          <w:insideH w:val="nil"/>
        </w:tcBorders>
        <w:shd w:val="clear" w:color="auto" w:fill="4F81BD"/>
      </w:tcPr>
    </w:tblStylePr>
    <w:tblStylePr w:type="lastRow">
      <w:rPr>
        <w:b/>
        <w:bCs/>
      </w:rPr>
      <w:tblPr/>
      <w:tcPr>
        <w:tcBorders>
          <w:top w:val="double" w:sz="4" w:space="0" w:color="95B3D7"/>
        </w:tcBorders>
      </w:tcPr>
    </w:tblStylePr>
    <w:tblStylePr w:type="firstCol">
      <w:rPr>
        <w:b/>
        <w:bCs/>
      </w:rPr>
    </w:tblStylePr>
    <w:tblStylePr w:type="lastCol">
      <w:rPr>
        <w:b/>
        <w:bCs/>
      </w:rPr>
    </w:tblStylePr>
    <w:tblStylePr w:type="band1Vert">
      <w:tblPr/>
      <w:tcPr>
        <w:shd w:val="clear" w:color="auto" w:fill="DBE5F1"/>
      </w:tcPr>
    </w:tblStylePr>
    <w:tblStylePr w:type="band1Horz">
      <w:tblPr/>
      <w:tcPr>
        <w:shd w:val="clear" w:color="auto" w:fill="DBE5F1"/>
      </w:tcPr>
    </w:tblStylePr>
  </w:style>
  <w:style w:type="table" w:customStyle="1" w:styleId="511">
    <w:name w:val="Таблица с мрежа 5 тъмна – акцентиране 11"/>
    <w:basedOn w:val="TableNormal"/>
    <w:next w:val="GridTable5Dark-Accent1"/>
    <w:uiPriority w:val="50"/>
    <w:rsid w:val="000E443E"/>
    <w:pPr>
      <w:spacing w:after="0" w:line="240" w:lineRule="auto"/>
    </w:pPr>
    <w:rPr>
      <w:rFonts w:ascii="Calibri" w:eastAsia="Times New Roman" w:hAnsi="Calibri" w:cs="Times New Roman"/>
      <w:sz w:val="20"/>
      <w:szCs w:val="20"/>
    </w:rPr>
    <w:tblPr>
      <w:tblStyleRowBandSize w:val="1"/>
      <w:tblStyleColBandSize w:val="1"/>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DBE5F1"/>
    </w:tcPr>
    <w:tblStylePr w:type="firstRow">
      <w:rPr>
        <w:b/>
        <w:bCs/>
        <w:color w:val="FFFFFF"/>
      </w:rPr>
      <w:tblPr/>
      <w:tcPr>
        <w:tcBorders>
          <w:top w:val="single" w:sz="4" w:space="0" w:color="FFFFFF"/>
          <w:left w:val="single" w:sz="4" w:space="0" w:color="FFFFFF"/>
          <w:right w:val="single" w:sz="4" w:space="0" w:color="FFFFFF"/>
          <w:insideH w:val="nil"/>
          <w:insideV w:val="nil"/>
        </w:tcBorders>
        <w:shd w:val="clear" w:color="auto" w:fill="4F81BD"/>
      </w:tcPr>
    </w:tblStylePr>
    <w:tblStylePr w:type="lastRow">
      <w:rPr>
        <w:b/>
        <w:bCs/>
        <w:color w:val="FFFFFF"/>
      </w:rPr>
      <w:tblPr/>
      <w:tcPr>
        <w:tcBorders>
          <w:left w:val="single" w:sz="4" w:space="0" w:color="FFFFFF"/>
          <w:bottom w:val="single" w:sz="4" w:space="0" w:color="FFFFFF"/>
          <w:right w:val="single" w:sz="4" w:space="0" w:color="FFFFFF"/>
          <w:insideH w:val="nil"/>
          <w:insideV w:val="nil"/>
        </w:tcBorders>
        <w:shd w:val="clear" w:color="auto" w:fill="4F81BD"/>
      </w:tcPr>
    </w:tblStylePr>
    <w:tblStylePr w:type="firstCol">
      <w:rPr>
        <w:b/>
        <w:bCs/>
        <w:color w:val="FFFFFF"/>
      </w:rPr>
      <w:tblPr/>
      <w:tcPr>
        <w:tcBorders>
          <w:top w:val="single" w:sz="4" w:space="0" w:color="FFFFFF"/>
          <w:left w:val="single" w:sz="4" w:space="0" w:color="FFFFFF"/>
          <w:bottom w:val="single" w:sz="4" w:space="0" w:color="FFFFFF"/>
          <w:insideV w:val="nil"/>
        </w:tcBorders>
        <w:shd w:val="clear" w:color="auto" w:fill="4F81BD"/>
      </w:tcPr>
    </w:tblStylePr>
    <w:tblStylePr w:type="lastCol">
      <w:rPr>
        <w:b/>
        <w:bCs/>
        <w:color w:val="FFFFFF"/>
      </w:rPr>
      <w:tblPr/>
      <w:tcPr>
        <w:tcBorders>
          <w:top w:val="single" w:sz="4" w:space="0" w:color="FFFFFF"/>
          <w:bottom w:val="single" w:sz="4" w:space="0" w:color="FFFFFF"/>
          <w:right w:val="single" w:sz="4" w:space="0" w:color="FFFFFF"/>
          <w:insideV w:val="nil"/>
        </w:tcBorders>
        <w:shd w:val="clear" w:color="auto" w:fill="4F81BD"/>
      </w:tcPr>
    </w:tblStylePr>
    <w:tblStylePr w:type="band1Vert">
      <w:tblPr/>
      <w:tcPr>
        <w:shd w:val="clear" w:color="auto" w:fill="B8CCE4"/>
      </w:tcPr>
    </w:tblStylePr>
    <w:tblStylePr w:type="band1Horz">
      <w:tblPr/>
      <w:tcPr>
        <w:shd w:val="clear" w:color="auto" w:fill="B8CCE4"/>
      </w:tcPr>
    </w:tblStylePr>
  </w:style>
  <w:style w:type="table" w:styleId="GridTable4-Accent1">
    <w:name w:val="Grid Table 4 Accent 1"/>
    <w:basedOn w:val="TableNormal"/>
    <w:uiPriority w:val="49"/>
    <w:rsid w:val="000E443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1">
    <w:name w:val="List Table 4 Accent 1"/>
    <w:basedOn w:val="TableNormal"/>
    <w:uiPriority w:val="49"/>
    <w:rsid w:val="000E443E"/>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5Dark-Accent1">
    <w:name w:val="Grid Table 5 Dark Accent 1"/>
    <w:basedOn w:val="TableNormal"/>
    <w:uiPriority w:val="50"/>
    <w:rsid w:val="000E443E"/>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893559">
      <w:bodyDiv w:val="1"/>
      <w:marLeft w:val="0"/>
      <w:marRight w:val="0"/>
      <w:marTop w:val="0"/>
      <w:marBottom w:val="0"/>
      <w:divBdr>
        <w:top w:val="none" w:sz="0" w:space="0" w:color="auto"/>
        <w:left w:val="none" w:sz="0" w:space="0" w:color="auto"/>
        <w:bottom w:val="none" w:sz="0" w:space="0" w:color="auto"/>
        <w:right w:val="none" w:sz="0" w:space="0" w:color="auto"/>
      </w:divBdr>
    </w:div>
    <w:div w:id="26561716">
      <w:bodyDiv w:val="1"/>
      <w:marLeft w:val="0"/>
      <w:marRight w:val="0"/>
      <w:marTop w:val="0"/>
      <w:marBottom w:val="0"/>
      <w:divBdr>
        <w:top w:val="none" w:sz="0" w:space="0" w:color="auto"/>
        <w:left w:val="none" w:sz="0" w:space="0" w:color="auto"/>
        <w:bottom w:val="none" w:sz="0" w:space="0" w:color="auto"/>
        <w:right w:val="none" w:sz="0" w:space="0" w:color="auto"/>
      </w:divBdr>
    </w:div>
    <w:div w:id="28921882">
      <w:bodyDiv w:val="1"/>
      <w:marLeft w:val="0"/>
      <w:marRight w:val="0"/>
      <w:marTop w:val="0"/>
      <w:marBottom w:val="0"/>
      <w:divBdr>
        <w:top w:val="none" w:sz="0" w:space="0" w:color="auto"/>
        <w:left w:val="none" w:sz="0" w:space="0" w:color="auto"/>
        <w:bottom w:val="none" w:sz="0" w:space="0" w:color="auto"/>
        <w:right w:val="none" w:sz="0" w:space="0" w:color="auto"/>
      </w:divBdr>
    </w:div>
    <w:div w:id="30540767">
      <w:bodyDiv w:val="1"/>
      <w:marLeft w:val="0"/>
      <w:marRight w:val="0"/>
      <w:marTop w:val="0"/>
      <w:marBottom w:val="0"/>
      <w:divBdr>
        <w:top w:val="none" w:sz="0" w:space="0" w:color="auto"/>
        <w:left w:val="none" w:sz="0" w:space="0" w:color="auto"/>
        <w:bottom w:val="none" w:sz="0" w:space="0" w:color="auto"/>
        <w:right w:val="none" w:sz="0" w:space="0" w:color="auto"/>
      </w:divBdr>
    </w:div>
    <w:div w:id="38630013">
      <w:bodyDiv w:val="1"/>
      <w:marLeft w:val="0"/>
      <w:marRight w:val="0"/>
      <w:marTop w:val="0"/>
      <w:marBottom w:val="0"/>
      <w:divBdr>
        <w:top w:val="none" w:sz="0" w:space="0" w:color="auto"/>
        <w:left w:val="none" w:sz="0" w:space="0" w:color="auto"/>
        <w:bottom w:val="none" w:sz="0" w:space="0" w:color="auto"/>
        <w:right w:val="none" w:sz="0" w:space="0" w:color="auto"/>
      </w:divBdr>
    </w:div>
    <w:div w:id="57095887">
      <w:bodyDiv w:val="1"/>
      <w:marLeft w:val="0"/>
      <w:marRight w:val="0"/>
      <w:marTop w:val="0"/>
      <w:marBottom w:val="0"/>
      <w:divBdr>
        <w:top w:val="none" w:sz="0" w:space="0" w:color="auto"/>
        <w:left w:val="none" w:sz="0" w:space="0" w:color="auto"/>
        <w:bottom w:val="none" w:sz="0" w:space="0" w:color="auto"/>
        <w:right w:val="none" w:sz="0" w:space="0" w:color="auto"/>
      </w:divBdr>
    </w:div>
    <w:div w:id="78527961">
      <w:bodyDiv w:val="1"/>
      <w:marLeft w:val="0"/>
      <w:marRight w:val="0"/>
      <w:marTop w:val="0"/>
      <w:marBottom w:val="0"/>
      <w:divBdr>
        <w:top w:val="none" w:sz="0" w:space="0" w:color="auto"/>
        <w:left w:val="none" w:sz="0" w:space="0" w:color="auto"/>
        <w:bottom w:val="none" w:sz="0" w:space="0" w:color="auto"/>
        <w:right w:val="none" w:sz="0" w:space="0" w:color="auto"/>
      </w:divBdr>
    </w:div>
    <w:div w:id="130178113">
      <w:bodyDiv w:val="1"/>
      <w:marLeft w:val="0"/>
      <w:marRight w:val="0"/>
      <w:marTop w:val="0"/>
      <w:marBottom w:val="0"/>
      <w:divBdr>
        <w:top w:val="none" w:sz="0" w:space="0" w:color="auto"/>
        <w:left w:val="none" w:sz="0" w:space="0" w:color="auto"/>
        <w:bottom w:val="none" w:sz="0" w:space="0" w:color="auto"/>
        <w:right w:val="none" w:sz="0" w:space="0" w:color="auto"/>
      </w:divBdr>
    </w:div>
    <w:div w:id="130446801">
      <w:bodyDiv w:val="1"/>
      <w:marLeft w:val="0"/>
      <w:marRight w:val="0"/>
      <w:marTop w:val="0"/>
      <w:marBottom w:val="0"/>
      <w:divBdr>
        <w:top w:val="none" w:sz="0" w:space="0" w:color="auto"/>
        <w:left w:val="none" w:sz="0" w:space="0" w:color="auto"/>
        <w:bottom w:val="none" w:sz="0" w:space="0" w:color="auto"/>
        <w:right w:val="none" w:sz="0" w:space="0" w:color="auto"/>
      </w:divBdr>
    </w:div>
    <w:div w:id="137764194">
      <w:bodyDiv w:val="1"/>
      <w:marLeft w:val="0"/>
      <w:marRight w:val="0"/>
      <w:marTop w:val="0"/>
      <w:marBottom w:val="0"/>
      <w:divBdr>
        <w:top w:val="none" w:sz="0" w:space="0" w:color="auto"/>
        <w:left w:val="none" w:sz="0" w:space="0" w:color="auto"/>
        <w:bottom w:val="none" w:sz="0" w:space="0" w:color="auto"/>
        <w:right w:val="none" w:sz="0" w:space="0" w:color="auto"/>
      </w:divBdr>
    </w:div>
    <w:div w:id="185683930">
      <w:bodyDiv w:val="1"/>
      <w:marLeft w:val="0"/>
      <w:marRight w:val="0"/>
      <w:marTop w:val="0"/>
      <w:marBottom w:val="0"/>
      <w:divBdr>
        <w:top w:val="none" w:sz="0" w:space="0" w:color="auto"/>
        <w:left w:val="none" w:sz="0" w:space="0" w:color="auto"/>
        <w:bottom w:val="none" w:sz="0" w:space="0" w:color="auto"/>
        <w:right w:val="none" w:sz="0" w:space="0" w:color="auto"/>
      </w:divBdr>
    </w:div>
    <w:div w:id="186214776">
      <w:bodyDiv w:val="1"/>
      <w:marLeft w:val="0"/>
      <w:marRight w:val="0"/>
      <w:marTop w:val="0"/>
      <w:marBottom w:val="0"/>
      <w:divBdr>
        <w:top w:val="none" w:sz="0" w:space="0" w:color="auto"/>
        <w:left w:val="none" w:sz="0" w:space="0" w:color="auto"/>
        <w:bottom w:val="none" w:sz="0" w:space="0" w:color="auto"/>
        <w:right w:val="none" w:sz="0" w:space="0" w:color="auto"/>
      </w:divBdr>
    </w:div>
    <w:div w:id="187455837">
      <w:bodyDiv w:val="1"/>
      <w:marLeft w:val="0"/>
      <w:marRight w:val="0"/>
      <w:marTop w:val="0"/>
      <w:marBottom w:val="0"/>
      <w:divBdr>
        <w:top w:val="none" w:sz="0" w:space="0" w:color="auto"/>
        <w:left w:val="none" w:sz="0" w:space="0" w:color="auto"/>
        <w:bottom w:val="none" w:sz="0" w:space="0" w:color="auto"/>
        <w:right w:val="none" w:sz="0" w:space="0" w:color="auto"/>
      </w:divBdr>
    </w:div>
    <w:div w:id="216362083">
      <w:bodyDiv w:val="1"/>
      <w:marLeft w:val="0"/>
      <w:marRight w:val="0"/>
      <w:marTop w:val="0"/>
      <w:marBottom w:val="0"/>
      <w:divBdr>
        <w:top w:val="none" w:sz="0" w:space="0" w:color="auto"/>
        <w:left w:val="none" w:sz="0" w:space="0" w:color="auto"/>
        <w:bottom w:val="none" w:sz="0" w:space="0" w:color="auto"/>
        <w:right w:val="none" w:sz="0" w:space="0" w:color="auto"/>
      </w:divBdr>
    </w:div>
    <w:div w:id="267008772">
      <w:bodyDiv w:val="1"/>
      <w:marLeft w:val="0"/>
      <w:marRight w:val="0"/>
      <w:marTop w:val="0"/>
      <w:marBottom w:val="0"/>
      <w:divBdr>
        <w:top w:val="none" w:sz="0" w:space="0" w:color="auto"/>
        <w:left w:val="none" w:sz="0" w:space="0" w:color="auto"/>
        <w:bottom w:val="none" w:sz="0" w:space="0" w:color="auto"/>
        <w:right w:val="none" w:sz="0" w:space="0" w:color="auto"/>
      </w:divBdr>
    </w:div>
    <w:div w:id="300230230">
      <w:bodyDiv w:val="1"/>
      <w:marLeft w:val="0"/>
      <w:marRight w:val="0"/>
      <w:marTop w:val="0"/>
      <w:marBottom w:val="0"/>
      <w:divBdr>
        <w:top w:val="none" w:sz="0" w:space="0" w:color="auto"/>
        <w:left w:val="none" w:sz="0" w:space="0" w:color="auto"/>
        <w:bottom w:val="none" w:sz="0" w:space="0" w:color="auto"/>
        <w:right w:val="none" w:sz="0" w:space="0" w:color="auto"/>
      </w:divBdr>
    </w:div>
    <w:div w:id="309943528">
      <w:bodyDiv w:val="1"/>
      <w:marLeft w:val="0"/>
      <w:marRight w:val="0"/>
      <w:marTop w:val="0"/>
      <w:marBottom w:val="0"/>
      <w:divBdr>
        <w:top w:val="none" w:sz="0" w:space="0" w:color="auto"/>
        <w:left w:val="none" w:sz="0" w:space="0" w:color="auto"/>
        <w:bottom w:val="none" w:sz="0" w:space="0" w:color="auto"/>
        <w:right w:val="none" w:sz="0" w:space="0" w:color="auto"/>
      </w:divBdr>
    </w:div>
    <w:div w:id="317880468">
      <w:bodyDiv w:val="1"/>
      <w:marLeft w:val="0"/>
      <w:marRight w:val="0"/>
      <w:marTop w:val="0"/>
      <w:marBottom w:val="0"/>
      <w:divBdr>
        <w:top w:val="none" w:sz="0" w:space="0" w:color="auto"/>
        <w:left w:val="none" w:sz="0" w:space="0" w:color="auto"/>
        <w:bottom w:val="none" w:sz="0" w:space="0" w:color="auto"/>
        <w:right w:val="none" w:sz="0" w:space="0" w:color="auto"/>
      </w:divBdr>
    </w:div>
    <w:div w:id="348675629">
      <w:bodyDiv w:val="1"/>
      <w:marLeft w:val="0"/>
      <w:marRight w:val="0"/>
      <w:marTop w:val="0"/>
      <w:marBottom w:val="0"/>
      <w:divBdr>
        <w:top w:val="none" w:sz="0" w:space="0" w:color="auto"/>
        <w:left w:val="none" w:sz="0" w:space="0" w:color="auto"/>
        <w:bottom w:val="none" w:sz="0" w:space="0" w:color="auto"/>
        <w:right w:val="none" w:sz="0" w:space="0" w:color="auto"/>
      </w:divBdr>
    </w:div>
    <w:div w:id="498810145">
      <w:bodyDiv w:val="1"/>
      <w:marLeft w:val="0"/>
      <w:marRight w:val="0"/>
      <w:marTop w:val="0"/>
      <w:marBottom w:val="0"/>
      <w:divBdr>
        <w:top w:val="none" w:sz="0" w:space="0" w:color="auto"/>
        <w:left w:val="none" w:sz="0" w:space="0" w:color="auto"/>
        <w:bottom w:val="none" w:sz="0" w:space="0" w:color="auto"/>
        <w:right w:val="none" w:sz="0" w:space="0" w:color="auto"/>
      </w:divBdr>
    </w:div>
    <w:div w:id="538279612">
      <w:bodyDiv w:val="1"/>
      <w:marLeft w:val="0"/>
      <w:marRight w:val="0"/>
      <w:marTop w:val="0"/>
      <w:marBottom w:val="0"/>
      <w:divBdr>
        <w:top w:val="none" w:sz="0" w:space="0" w:color="auto"/>
        <w:left w:val="none" w:sz="0" w:space="0" w:color="auto"/>
        <w:bottom w:val="none" w:sz="0" w:space="0" w:color="auto"/>
        <w:right w:val="none" w:sz="0" w:space="0" w:color="auto"/>
      </w:divBdr>
    </w:div>
    <w:div w:id="546915462">
      <w:bodyDiv w:val="1"/>
      <w:marLeft w:val="0"/>
      <w:marRight w:val="0"/>
      <w:marTop w:val="0"/>
      <w:marBottom w:val="0"/>
      <w:divBdr>
        <w:top w:val="none" w:sz="0" w:space="0" w:color="auto"/>
        <w:left w:val="none" w:sz="0" w:space="0" w:color="auto"/>
        <w:bottom w:val="none" w:sz="0" w:space="0" w:color="auto"/>
        <w:right w:val="none" w:sz="0" w:space="0" w:color="auto"/>
      </w:divBdr>
    </w:div>
    <w:div w:id="571309060">
      <w:bodyDiv w:val="1"/>
      <w:marLeft w:val="0"/>
      <w:marRight w:val="0"/>
      <w:marTop w:val="0"/>
      <w:marBottom w:val="0"/>
      <w:divBdr>
        <w:top w:val="none" w:sz="0" w:space="0" w:color="auto"/>
        <w:left w:val="none" w:sz="0" w:space="0" w:color="auto"/>
        <w:bottom w:val="none" w:sz="0" w:space="0" w:color="auto"/>
        <w:right w:val="none" w:sz="0" w:space="0" w:color="auto"/>
      </w:divBdr>
    </w:div>
    <w:div w:id="604381273">
      <w:bodyDiv w:val="1"/>
      <w:marLeft w:val="0"/>
      <w:marRight w:val="0"/>
      <w:marTop w:val="0"/>
      <w:marBottom w:val="0"/>
      <w:divBdr>
        <w:top w:val="none" w:sz="0" w:space="0" w:color="auto"/>
        <w:left w:val="none" w:sz="0" w:space="0" w:color="auto"/>
        <w:bottom w:val="none" w:sz="0" w:space="0" w:color="auto"/>
        <w:right w:val="none" w:sz="0" w:space="0" w:color="auto"/>
      </w:divBdr>
    </w:div>
    <w:div w:id="620115470">
      <w:bodyDiv w:val="1"/>
      <w:marLeft w:val="0"/>
      <w:marRight w:val="0"/>
      <w:marTop w:val="0"/>
      <w:marBottom w:val="0"/>
      <w:divBdr>
        <w:top w:val="none" w:sz="0" w:space="0" w:color="auto"/>
        <w:left w:val="none" w:sz="0" w:space="0" w:color="auto"/>
        <w:bottom w:val="none" w:sz="0" w:space="0" w:color="auto"/>
        <w:right w:val="none" w:sz="0" w:space="0" w:color="auto"/>
      </w:divBdr>
    </w:div>
    <w:div w:id="629020273">
      <w:bodyDiv w:val="1"/>
      <w:marLeft w:val="0"/>
      <w:marRight w:val="0"/>
      <w:marTop w:val="0"/>
      <w:marBottom w:val="0"/>
      <w:divBdr>
        <w:top w:val="none" w:sz="0" w:space="0" w:color="auto"/>
        <w:left w:val="none" w:sz="0" w:space="0" w:color="auto"/>
        <w:bottom w:val="none" w:sz="0" w:space="0" w:color="auto"/>
        <w:right w:val="none" w:sz="0" w:space="0" w:color="auto"/>
      </w:divBdr>
    </w:div>
    <w:div w:id="667558367">
      <w:bodyDiv w:val="1"/>
      <w:marLeft w:val="0"/>
      <w:marRight w:val="0"/>
      <w:marTop w:val="0"/>
      <w:marBottom w:val="0"/>
      <w:divBdr>
        <w:top w:val="none" w:sz="0" w:space="0" w:color="auto"/>
        <w:left w:val="none" w:sz="0" w:space="0" w:color="auto"/>
        <w:bottom w:val="none" w:sz="0" w:space="0" w:color="auto"/>
        <w:right w:val="none" w:sz="0" w:space="0" w:color="auto"/>
      </w:divBdr>
    </w:div>
    <w:div w:id="688214630">
      <w:bodyDiv w:val="1"/>
      <w:marLeft w:val="0"/>
      <w:marRight w:val="0"/>
      <w:marTop w:val="0"/>
      <w:marBottom w:val="0"/>
      <w:divBdr>
        <w:top w:val="none" w:sz="0" w:space="0" w:color="auto"/>
        <w:left w:val="none" w:sz="0" w:space="0" w:color="auto"/>
        <w:bottom w:val="none" w:sz="0" w:space="0" w:color="auto"/>
        <w:right w:val="none" w:sz="0" w:space="0" w:color="auto"/>
      </w:divBdr>
    </w:div>
    <w:div w:id="702172324">
      <w:bodyDiv w:val="1"/>
      <w:marLeft w:val="0"/>
      <w:marRight w:val="0"/>
      <w:marTop w:val="0"/>
      <w:marBottom w:val="0"/>
      <w:divBdr>
        <w:top w:val="none" w:sz="0" w:space="0" w:color="auto"/>
        <w:left w:val="none" w:sz="0" w:space="0" w:color="auto"/>
        <w:bottom w:val="none" w:sz="0" w:space="0" w:color="auto"/>
        <w:right w:val="none" w:sz="0" w:space="0" w:color="auto"/>
      </w:divBdr>
    </w:div>
    <w:div w:id="715348671">
      <w:bodyDiv w:val="1"/>
      <w:marLeft w:val="0"/>
      <w:marRight w:val="0"/>
      <w:marTop w:val="0"/>
      <w:marBottom w:val="0"/>
      <w:divBdr>
        <w:top w:val="none" w:sz="0" w:space="0" w:color="auto"/>
        <w:left w:val="none" w:sz="0" w:space="0" w:color="auto"/>
        <w:bottom w:val="none" w:sz="0" w:space="0" w:color="auto"/>
        <w:right w:val="none" w:sz="0" w:space="0" w:color="auto"/>
      </w:divBdr>
    </w:div>
    <w:div w:id="746651960">
      <w:bodyDiv w:val="1"/>
      <w:marLeft w:val="0"/>
      <w:marRight w:val="0"/>
      <w:marTop w:val="0"/>
      <w:marBottom w:val="0"/>
      <w:divBdr>
        <w:top w:val="none" w:sz="0" w:space="0" w:color="auto"/>
        <w:left w:val="none" w:sz="0" w:space="0" w:color="auto"/>
        <w:bottom w:val="none" w:sz="0" w:space="0" w:color="auto"/>
        <w:right w:val="none" w:sz="0" w:space="0" w:color="auto"/>
      </w:divBdr>
    </w:div>
    <w:div w:id="795954152">
      <w:bodyDiv w:val="1"/>
      <w:marLeft w:val="0"/>
      <w:marRight w:val="0"/>
      <w:marTop w:val="0"/>
      <w:marBottom w:val="0"/>
      <w:divBdr>
        <w:top w:val="none" w:sz="0" w:space="0" w:color="auto"/>
        <w:left w:val="none" w:sz="0" w:space="0" w:color="auto"/>
        <w:bottom w:val="none" w:sz="0" w:space="0" w:color="auto"/>
        <w:right w:val="none" w:sz="0" w:space="0" w:color="auto"/>
      </w:divBdr>
    </w:div>
    <w:div w:id="801851160">
      <w:bodyDiv w:val="1"/>
      <w:marLeft w:val="0"/>
      <w:marRight w:val="0"/>
      <w:marTop w:val="0"/>
      <w:marBottom w:val="0"/>
      <w:divBdr>
        <w:top w:val="none" w:sz="0" w:space="0" w:color="auto"/>
        <w:left w:val="none" w:sz="0" w:space="0" w:color="auto"/>
        <w:bottom w:val="none" w:sz="0" w:space="0" w:color="auto"/>
        <w:right w:val="none" w:sz="0" w:space="0" w:color="auto"/>
      </w:divBdr>
    </w:div>
    <w:div w:id="803693172">
      <w:bodyDiv w:val="1"/>
      <w:marLeft w:val="0"/>
      <w:marRight w:val="0"/>
      <w:marTop w:val="0"/>
      <w:marBottom w:val="0"/>
      <w:divBdr>
        <w:top w:val="none" w:sz="0" w:space="0" w:color="auto"/>
        <w:left w:val="none" w:sz="0" w:space="0" w:color="auto"/>
        <w:bottom w:val="none" w:sz="0" w:space="0" w:color="auto"/>
        <w:right w:val="none" w:sz="0" w:space="0" w:color="auto"/>
      </w:divBdr>
    </w:div>
    <w:div w:id="815532076">
      <w:bodyDiv w:val="1"/>
      <w:marLeft w:val="0"/>
      <w:marRight w:val="0"/>
      <w:marTop w:val="0"/>
      <w:marBottom w:val="0"/>
      <w:divBdr>
        <w:top w:val="none" w:sz="0" w:space="0" w:color="auto"/>
        <w:left w:val="none" w:sz="0" w:space="0" w:color="auto"/>
        <w:bottom w:val="none" w:sz="0" w:space="0" w:color="auto"/>
        <w:right w:val="none" w:sz="0" w:space="0" w:color="auto"/>
      </w:divBdr>
    </w:div>
    <w:div w:id="816069386">
      <w:bodyDiv w:val="1"/>
      <w:marLeft w:val="0"/>
      <w:marRight w:val="0"/>
      <w:marTop w:val="0"/>
      <w:marBottom w:val="0"/>
      <w:divBdr>
        <w:top w:val="none" w:sz="0" w:space="0" w:color="auto"/>
        <w:left w:val="none" w:sz="0" w:space="0" w:color="auto"/>
        <w:bottom w:val="none" w:sz="0" w:space="0" w:color="auto"/>
        <w:right w:val="none" w:sz="0" w:space="0" w:color="auto"/>
      </w:divBdr>
    </w:div>
    <w:div w:id="824124721">
      <w:bodyDiv w:val="1"/>
      <w:marLeft w:val="0"/>
      <w:marRight w:val="0"/>
      <w:marTop w:val="0"/>
      <w:marBottom w:val="0"/>
      <w:divBdr>
        <w:top w:val="none" w:sz="0" w:space="0" w:color="auto"/>
        <w:left w:val="none" w:sz="0" w:space="0" w:color="auto"/>
        <w:bottom w:val="none" w:sz="0" w:space="0" w:color="auto"/>
        <w:right w:val="none" w:sz="0" w:space="0" w:color="auto"/>
      </w:divBdr>
    </w:div>
    <w:div w:id="838807742">
      <w:bodyDiv w:val="1"/>
      <w:marLeft w:val="0"/>
      <w:marRight w:val="0"/>
      <w:marTop w:val="0"/>
      <w:marBottom w:val="0"/>
      <w:divBdr>
        <w:top w:val="none" w:sz="0" w:space="0" w:color="auto"/>
        <w:left w:val="none" w:sz="0" w:space="0" w:color="auto"/>
        <w:bottom w:val="none" w:sz="0" w:space="0" w:color="auto"/>
        <w:right w:val="none" w:sz="0" w:space="0" w:color="auto"/>
      </w:divBdr>
    </w:div>
    <w:div w:id="839782819">
      <w:bodyDiv w:val="1"/>
      <w:marLeft w:val="0"/>
      <w:marRight w:val="0"/>
      <w:marTop w:val="0"/>
      <w:marBottom w:val="0"/>
      <w:divBdr>
        <w:top w:val="none" w:sz="0" w:space="0" w:color="auto"/>
        <w:left w:val="none" w:sz="0" w:space="0" w:color="auto"/>
        <w:bottom w:val="none" w:sz="0" w:space="0" w:color="auto"/>
        <w:right w:val="none" w:sz="0" w:space="0" w:color="auto"/>
      </w:divBdr>
    </w:div>
    <w:div w:id="857500106">
      <w:bodyDiv w:val="1"/>
      <w:marLeft w:val="0"/>
      <w:marRight w:val="0"/>
      <w:marTop w:val="0"/>
      <w:marBottom w:val="0"/>
      <w:divBdr>
        <w:top w:val="none" w:sz="0" w:space="0" w:color="auto"/>
        <w:left w:val="none" w:sz="0" w:space="0" w:color="auto"/>
        <w:bottom w:val="none" w:sz="0" w:space="0" w:color="auto"/>
        <w:right w:val="none" w:sz="0" w:space="0" w:color="auto"/>
      </w:divBdr>
    </w:div>
    <w:div w:id="864755934">
      <w:bodyDiv w:val="1"/>
      <w:marLeft w:val="0"/>
      <w:marRight w:val="0"/>
      <w:marTop w:val="0"/>
      <w:marBottom w:val="0"/>
      <w:divBdr>
        <w:top w:val="none" w:sz="0" w:space="0" w:color="auto"/>
        <w:left w:val="none" w:sz="0" w:space="0" w:color="auto"/>
        <w:bottom w:val="none" w:sz="0" w:space="0" w:color="auto"/>
        <w:right w:val="none" w:sz="0" w:space="0" w:color="auto"/>
      </w:divBdr>
    </w:div>
    <w:div w:id="948507547">
      <w:bodyDiv w:val="1"/>
      <w:marLeft w:val="0"/>
      <w:marRight w:val="0"/>
      <w:marTop w:val="0"/>
      <w:marBottom w:val="0"/>
      <w:divBdr>
        <w:top w:val="none" w:sz="0" w:space="0" w:color="auto"/>
        <w:left w:val="none" w:sz="0" w:space="0" w:color="auto"/>
        <w:bottom w:val="none" w:sz="0" w:space="0" w:color="auto"/>
        <w:right w:val="none" w:sz="0" w:space="0" w:color="auto"/>
      </w:divBdr>
    </w:div>
    <w:div w:id="961689391">
      <w:bodyDiv w:val="1"/>
      <w:marLeft w:val="0"/>
      <w:marRight w:val="0"/>
      <w:marTop w:val="0"/>
      <w:marBottom w:val="0"/>
      <w:divBdr>
        <w:top w:val="none" w:sz="0" w:space="0" w:color="auto"/>
        <w:left w:val="none" w:sz="0" w:space="0" w:color="auto"/>
        <w:bottom w:val="none" w:sz="0" w:space="0" w:color="auto"/>
        <w:right w:val="none" w:sz="0" w:space="0" w:color="auto"/>
      </w:divBdr>
    </w:div>
    <w:div w:id="1072586649">
      <w:bodyDiv w:val="1"/>
      <w:marLeft w:val="0"/>
      <w:marRight w:val="0"/>
      <w:marTop w:val="0"/>
      <w:marBottom w:val="0"/>
      <w:divBdr>
        <w:top w:val="none" w:sz="0" w:space="0" w:color="auto"/>
        <w:left w:val="none" w:sz="0" w:space="0" w:color="auto"/>
        <w:bottom w:val="none" w:sz="0" w:space="0" w:color="auto"/>
        <w:right w:val="none" w:sz="0" w:space="0" w:color="auto"/>
      </w:divBdr>
    </w:div>
    <w:div w:id="1091317762">
      <w:bodyDiv w:val="1"/>
      <w:marLeft w:val="0"/>
      <w:marRight w:val="0"/>
      <w:marTop w:val="0"/>
      <w:marBottom w:val="0"/>
      <w:divBdr>
        <w:top w:val="none" w:sz="0" w:space="0" w:color="auto"/>
        <w:left w:val="none" w:sz="0" w:space="0" w:color="auto"/>
        <w:bottom w:val="none" w:sz="0" w:space="0" w:color="auto"/>
        <w:right w:val="none" w:sz="0" w:space="0" w:color="auto"/>
      </w:divBdr>
    </w:div>
    <w:div w:id="1094980335">
      <w:bodyDiv w:val="1"/>
      <w:marLeft w:val="0"/>
      <w:marRight w:val="0"/>
      <w:marTop w:val="0"/>
      <w:marBottom w:val="0"/>
      <w:divBdr>
        <w:top w:val="none" w:sz="0" w:space="0" w:color="auto"/>
        <w:left w:val="none" w:sz="0" w:space="0" w:color="auto"/>
        <w:bottom w:val="none" w:sz="0" w:space="0" w:color="auto"/>
        <w:right w:val="none" w:sz="0" w:space="0" w:color="auto"/>
      </w:divBdr>
    </w:div>
    <w:div w:id="1116169312">
      <w:bodyDiv w:val="1"/>
      <w:marLeft w:val="0"/>
      <w:marRight w:val="0"/>
      <w:marTop w:val="0"/>
      <w:marBottom w:val="0"/>
      <w:divBdr>
        <w:top w:val="none" w:sz="0" w:space="0" w:color="auto"/>
        <w:left w:val="none" w:sz="0" w:space="0" w:color="auto"/>
        <w:bottom w:val="none" w:sz="0" w:space="0" w:color="auto"/>
        <w:right w:val="none" w:sz="0" w:space="0" w:color="auto"/>
      </w:divBdr>
    </w:div>
    <w:div w:id="1193809210">
      <w:bodyDiv w:val="1"/>
      <w:marLeft w:val="0"/>
      <w:marRight w:val="0"/>
      <w:marTop w:val="0"/>
      <w:marBottom w:val="0"/>
      <w:divBdr>
        <w:top w:val="none" w:sz="0" w:space="0" w:color="auto"/>
        <w:left w:val="none" w:sz="0" w:space="0" w:color="auto"/>
        <w:bottom w:val="none" w:sz="0" w:space="0" w:color="auto"/>
        <w:right w:val="none" w:sz="0" w:space="0" w:color="auto"/>
      </w:divBdr>
    </w:div>
    <w:div w:id="1210410540">
      <w:bodyDiv w:val="1"/>
      <w:marLeft w:val="0"/>
      <w:marRight w:val="0"/>
      <w:marTop w:val="0"/>
      <w:marBottom w:val="0"/>
      <w:divBdr>
        <w:top w:val="none" w:sz="0" w:space="0" w:color="auto"/>
        <w:left w:val="none" w:sz="0" w:space="0" w:color="auto"/>
        <w:bottom w:val="none" w:sz="0" w:space="0" w:color="auto"/>
        <w:right w:val="none" w:sz="0" w:space="0" w:color="auto"/>
      </w:divBdr>
    </w:div>
    <w:div w:id="1217157828">
      <w:bodyDiv w:val="1"/>
      <w:marLeft w:val="0"/>
      <w:marRight w:val="0"/>
      <w:marTop w:val="0"/>
      <w:marBottom w:val="0"/>
      <w:divBdr>
        <w:top w:val="none" w:sz="0" w:space="0" w:color="auto"/>
        <w:left w:val="none" w:sz="0" w:space="0" w:color="auto"/>
        <w:bottom w:val="none" w:sz="0" w:space="0" w:color="auto"/>
        <w:right w:val="none" w:sz="0" w:space="0" w:color="auto"/>
      </w:divBdr>
    </w:div>
    <w:div w:id="1242328702">
      <w:bodyDiv w:val="1"/>
      <w:marLeft w:val="0"/>
      <w:marRight w:val="0"/>
      <w:marTop w:val="0"/>
      <w:marBottom w:val="0"/>
      <w:divBdr>
        <w:top w:val="none" w:sz="0" w:space="0" w:color="auto"/>
        <w:left w:val="none" w:sz="0" w:space="0" w:color="auto"/>
        <w:bottom w:val="none" w:sz="0" w:space="0" w:color="auto"/>
        <w:right w:val="none" w:sz="0" w:space="0" w:color="auto"/>
      </w:divBdr>
    </w:div>
    <w:div w:id="1249584641">
      <w:bodyDiv w:val="1"/>
      <w:marLeft w:val="0"/>
      <w:marRight w:val="0"/>
      <w:marTop w:val="0"/>
      <w:marBottom w:val="0"/>
      <w:divBdr>
        <w:top w:val="none" w:sz="0" w:space="0" w:color="auto"/>
        <w:left w:val="none" w:sz="0" w:space="0" w:color="auto"/>
        <w:bottom w:val="none" w:sz="0" w:space="0" w:color="auto"/>
        <w:right w:val="none" w:sz="0" w:space="0" w:color="auto"/>
      </w:divBdr>
    </w:div>
    <w:div w:id="1259170922">
      <w:bodyDiv w:val="1"/>
      <w:marLeft w:val="0"/>
      <w:marRight w:val="0"/>
      <w:marTop w:val="0"/>
      <w:marBottom w:val="0"/>
      <w:divBdr>
        <w:top w:val="none" w:sz="0" w:space="0" w:color="auto"/>
        <w:left w:val="none" w:sz="0" w:space="0" w:color="auto"/>
        <w:bottom w:val="none" w:sz="0" w:space="0" w:color="auto"/>
        <w:right w:val="none" w:sz="0" w:space="0" w:color="auto"/>
      </w:divBdr>
    </w:div>
    <w:div w:id="1263605671">
      <w:bodyDiv w:val="1"/>
      <w:marLeft w:val="0"/>
      <w:marRight w:val="0"/>
      <w:marTop w:val="0"/>
      <w:marBottom w:val="0"/>
      <w:divBdr>
        <w:top w:val="none" w:sz="0" w:space="0" w:color="auto"/>
        <w:left w:val="none" w:sz="0" w:space="0" w:color="auto"/>
        <w:bottom w:val="none" w:sz="0" w:space="0" w:color="auto"/>
        <w:right w:val="none" w:sz="0" w:space="0" w:color="auto"/>
      </w:divBdr>
    </w:div>
    <w:div w:id="1265308315">
      <w:bodyDiv w:val="1"/>
      <w:marLeft w:val="0"/>
      <w:marRight w:val="0"/>
      <w:marTop w:val="0"/>
      <w:marBottom w:val="0"/>
      <w:divBdr>
        <w:top w:val="none" w:sz="0" w:space="0" w:color="auto"/>
        <w:left w:val="none" w:sz="0" w:space="0" w:color="auto"/>
        <w:bottom w:val="none" w:sz="0" w:space="0" w:color="auto"/>
        <w:right w:val="none" w:sz="0" w:space="0" w:color="auto"/>
      </w:divBdr>
    </w:div>
    <w:div w:id="1303659592">
      <w:bodyDiv w:val="1"/>
      <w:marLeft w:val="0"/>
      <w:marRight w:val="0"/>
      <w:marTop w:val="0"/>
      <w:marBottom w:val="0"/>
      <w:divBdr>
        <w:top w:val="none" w:sz="0" w:space="0" w:color="auto"/>
        <w:left w:val="none" w:sz="0" w:space="0" w:color="auto"/>
        <w:bottom w:val="none" w:sz="0" w:space="0" w:color="auto"/>
        <w:right w:val="none" w:sz="0" w:space="0" w:color="auto"/>
      </w:divBdr>
    </w:div>
    <w:div w:id="1434013589">
      <w:bodyDiv w:val="1"/>
      <w:marLeft w:val="0"/>
      <w:marRight w:val="0"/>
      <w:marTop w:val="0"/>
      <w:marBottom w:val="0"/>
      <w:divBdr>
        <w:top w:val="none" w:sz="0" w:space="0" w:color="auto"/>
        <w:left w:val="none" w:sz="0" w:space="0" w:color="auto"/>
        <w:bottom w:val="none" w:sz="0" w:space="0" w:color="auto"/>
        <w:right w:val="none" w:sz="0" w:space="0" w:color="auto"/>
      </w:divBdr>
    </w:div>
    <w:div w:id="1456145125">
      <w:bodyDiv w:val="1"/>
      <w:marLeft w:val="0"/>
      <w:marRight w:val="0"/>
      <w:marTop w:val="0"/>
      <w:marBottom w:val="0"/>
      <w:divBdr>
        <w:top w:val="none" w:sz="0" w:space="0" w:color="auto"/>
        <w:left w:val="none" w:sz="0" w:space="0" w:color="auto"/>
        <w:bottom w:val="none" w:sz="0" w:space="0" w:color="auto"/>
        <w:right w:val="none" w:sz="0" w:space="0" w:color="auto"/>
      </w:divBdr>
    </w:div>
    <w:div w:id="1524200686">
      <w:bodyDiv w:val="1"/>
      <w:marLeft w:val="0"/>
      <w:marRight w:val="0"/>
      <w:marTop w:val="0"/>
      <w:marBottom w:val="0"/>
      <w:divBdr>
        <w:top w:val="none" w:sz="0" w:space="0" w:color="auto"/>
        <w:left w:val="none" w:sz="0" w:space="0" w:color="auto"/>
        <w:bottom w:val="none" w:sz="0" w:space="0" w:color="auto"/>
        <w:right w:val="none" w:sz="0" w:space="0" w:color="auto"/>
      </w:divBdr>
    </w:div>
    <w:div w:id="1530145923">
      <w:bodyDiv w:val="1"/>
      <w:marLeft w:val="0"/>
      <w:marRight w:val="0"/>
      <w:marTop w:val="0"/>
      <w:marBottom w:val="0"/>
      <w:divBdr>
        <w:top w:val="none" w:sz="0" w:space="0" w:color="auto"/>
        <w:left w:val="none" w:sz="0" w:space="0" w:color="auto"/>
        <w:bottom w:val="none" w:sz="0" w:space="0" w:color="auto"/>
        <w:right w:val="none" w:sz="0" w:space="0" w:color="auto"/>
      </w:divBdr>
    </w:div>
    <w:div w:id="1531215684">
      <w:bodyDiv w:val="1"/>
      <w:marLeft w:val="0"/>
      <w:marRight w:val="0"/>
      <w:marTop w:val="0"/>
      <w:marBottom w:val="0"/>
      <w:divBdr>
        <w:top w:val="none" w:sz="0" w:space="0" w:color="auto"/>
        <w:left w:val="none" w:sz="0" w:space="0" w:color="auto"/>
        <w:bottom w:val="none" w:sz="0" w:space="0" w:color="auto"/>
        <w:right w:val="none" w:sz="0" w:space="0" w:color="auto"/>
      </w:divBdr>
    </w:div>
    <w:div w:id="1553156377">
      <w:bodyDiv w:val="1"/>
      <w:marLeft w:val="0"/>
      <w:marRight w:val="0"/>
      <w:marTop w:val="0"/>
      <w:marBottom w:val="0"/>
      <w:divBdr>
        <w:top w:val="none" w:sz="0" w:space="0" w:color="auto"/>
        <w:left w:val="none" w:sz="0" w:space="0" w:color="auto"/>
        <w:bottom w:val="none" w:sz="0" w:space="0" w:color="auto"/>
        <w:right w:val="none" w:sz="0" w:space="0" w:color="auto"/>
      </w:divBdr>
    </w:div>
    <w:div w:id="1554075468">
      <w:bodyDiv w:val="1"/>
      <w:marLeft w:val="0"/>
      <w:marRight w:val="0"/>
      <w:marTop w:val="0"/>
      <w:marBottom w:val="0"/>
      <w:divBdr>
        <w:top w:val="none" w:sz="0" w:space="0" w:color="auto"/>
        <w:left w:val="none" w:sz="0" w:space="0" w:color="auto"/>
        <w:bottom w:val="none" w:sz="0" w:space="0" w:color="auto"/>
        <w:right w:val="none" w:sz="0" w:space="0" w:color="auto"/>
      </w:divBdr>
    </w:div>
    <w:div w:id="1555003618">
      <w:bodyDiv w:val="1"/>
      <w:marLeft w:val="0"/>
      <w:marRight w:val="0"/>
      <w:marTop w:val="0"/>
      <w:marBottom w:val="0"/>
      <w:divBdr>
        <w:top w:val="none" w:sz="0" w:space="0" w:color="auto"/>
        <w:left w:val="none" w:sz="0" w:space="0" w:color="auto"/>
        <w:bottom w:val="none" w:sz="0" w:space="0" w:color="auto"/>
        <w:right w:val="none" w:sz="0" w:space="0" w:color="auto"/>
      </w:divBdr>
    </w:div>
    <w:div w:id="1570268959">
      <w:bodyDiv w:val="1"/>
      <w:marLeft w:val="0"/>
      <w:marRight w:val="0"/>
      <w:marTop w:val="0"/>
      <w:marBottom w:val="0"/>
      <w:divBdr>
        <w:top w:val="none" w:sz="0" w:space="0" w:color="auto"/>
        <w:left w:val="none" w:sz="0" w:space="0" w:color="auto"/>
        <w:bottom w:val="none" w:sz="0" w:space="0" w:color="auto"/>
        <w:right w:val="none" w:sz="0" w:space="0" w:color="auto"/>
      </w:divBdr>
    </w:div>
    <w:div w:id="1572697595">
      <w:bodyDiv w:val="1"/>
      <w:marLeft w:val="0"/>
      <w:marRight w:val="0"/>
      <w:marTop w:val="0"/>
      <w:marBottom w:val="0"/>
      <w:divBdr>
        <w:top w:val="none" w:sz="0" w:space="0" w:color="auto"/>
        <w:left w:val="none" w:sz="0" w:space="0" w:color="auto"/>
        <w:bottom w:val="none" w:sz="0" w:space="0" w:color="auto"/>
        <w:right w:val="none" w:sz="0" w:space="0" w:color="auto"/>
      </w:divBdr>
    </w:div>
    <w:div w:id="1603342008">
      <w:bodyDiv w:val="1"/>
      <w:marLeft w:val="0"/>
      <w:marRight w:val="0"/>
      <w:marTop w:val="0"/>
      <w:marBottom w:val="0"/>
      <w:divBdr>
        <w:top w:val="none" w:sz="0" w:space="0" w:color="auto"/>
        <w:left w:val="none" w:sz="0" w:space="0" w:color="auto"/>
        <w:bottom w:val="none" w:sz="0" w:space="0" w:color="auto"/>
        <w:right w:val="none" w:sz="0" w:space="0" w:color="auto"/>
      </w:divBdr>
    </w:div>
    <w:div w:id="1622228952">
      <w:bodyDiv w:val="1"/>
      <w:marLeft w:val="0"/>
      <w:marRight w:val="0"/>
      <w:marTop w:val="0"/>
      <w:marBottom w:val="0"/>
      <w:divBdr>
        <w:top w:val="none" w:sz="0" w:space="0" w:color="auto"/>
        <w:left w:val="none" w:sz="0" w:space="0" w:color="auto"/>
        <w:bottom w:val="none" w:sz="0" w:space="0" w:color="auto"/>
        <w:right w:val="none" w:sz="0" w:space="0" w:color="auto"/>
      </w:divBdr>
    </w:div>
    <w:div w:id="1639140262">
      <w:bodyDiv w:val="1"/>
      <w:marLeft w:val="0"/>
      <w:marRight w:val="0"/>
      <w:marTop w:val="0"/>
      <w:marBottom w:val="0"/>
      <w:divBdr>
        <w:top w:val="none" w:sz="0" w:space="0" w:color="auto"/>
        <w:left w:val="none" w:sz="0" w:space="0" w:color="auto"/>
        <w:bottom w:val="none" w:sz="0" w:space="0" w:color="auto"/>
        <w:right w:val="none" w:sz="0" w:space="0" w:color="auto"/>
      </w:divBdr>
    </w:div>
    <w:div w:id="1685979531">
      <w:bodyDiv w:val="1"/>
      <w:marLeft w:val="0"/>
      <w:marRight w:val="0"/>
      <w:marTop w:val="0"/>
      <w:marBottom w:val="0"/>
      <w:divBdr>
        <w:top w:val="none" w:sz="0" w:space="0" w:color="auto"/>
        <w:left w:val="none" w:sz="0" w:space="0" w:color="auto"/>
        <w:bottom w:val="none" w:sz="0" w:space="0" w:color="auto"/>
        <w:right w:val="none" w:sz="0" w:space="0" w:color="auto"/>
      </w:divBdr>
    </w:div>
    <w:div w:id="1752004497">
      <w:bodyDiv w:val="1"/>
      <w:marLeft w:val="0"/>
      <w:marRight w:val="0"/>
      <w:marTop w:val="0"/>
      <w:marBottom w:val="0"/>
      <w:divBdr>
        <w:top w:val="none" w:sz="0" w:space="0" w:color="auto"/>
        <w:left w:val="none" w:sz="0" w:space="0" w:color="auto"/>
        <w:bottom w:val="none" w:sz="0" w:space="0" w:color="auto"/>
        <w:right w:val="none" w:sz="0" w:space="0" w:color="auto"/>
      </w:divBdr>
    </w:div>
    <w:div w:id="1753774524">
      <w:bodyDiv w:val="1"/>
      <w:marLeft w:val="0"/>
      <w:marRight w:val="0"/>
      <w:marTop w:val="0"/>
      <w:marBottom w:val="0"/>
      <w:divBdr>
        <w:top w:val="none" w:sz="0" w:space="0" w:color="auto"/>
        <w:left w:val="none" w:sz="0" w:space="0" w:color="auto"/>
        <w:bottom w:val="none" w:sz="0" w:space="0" w:color="auto"/>
        <w:right w:val="none" w:sz="0" w:space="0" w:color="auto"/>
      </w:divBdr>
    </w:div>
    <w:div w:id="1810710855">
      <w:bodyDiv w:val="1"/>
      <w:marLeft w:val="0"/>
      <w:marRight w:val="0"/>
      <w:marTop w:val="0"/>
      <w:marBottom w:val="0"/>
      <w:divBdr>
        <w:top w:val="none" w:sz="0" w:space="0" w:color="auto"/>
        <w:left w:val="none" w:sz="0" w:space="0" w:color="auto"/>
        <w:bottom w:val="none" w:sz="0" w:space="0" w:color="auto"/>
        <w:right w:val="none" w:sz="0" w:space="0" w:color="auto"/>
      </w:divBdr>
    </w:div>
    <w:div w:id="1832985382">
      <w:bodyDiv w:val="1"/>
      <w:marLeft w:val="0"/>
      <w:marRight w:val="0"/>
      <w:marTop w:val="0"/>
      <w:marBottom w:val="0"/>
      <w:divBdr>
        <w:top w:val="none" w:sz="0" w:space="0" w:color="auto"/>
        <w:left w:val="none" w:sz="0" w:space="0" w:color="auto"/>
        <w:bottom w:val="none" w:sz="0" w:space="0" w:color="auto"/>
        <w:right w:val="none" w:sz="0" w:space="0" w:color="auto"/>
      </w:divBdr>
      <w:divsChild>
        <w:div w:id="1368945570">
          <w:marLeft w:val="0"/>
          <w:marRight w:val="0"/>
          <w:marTop w:val="0"/>
          <w:marBottom w:val="0"/>
          <w:divBdr>
            <w:top w:val="none" w:sz="0" w:space="0" w:color="auto"/>
            <w:left w:val="none" w:sz="0" w:space="0" w:color="auto"/>
            <w:bottom w:val="none" w:sz="0" w:space="0" w:color="auto"/>
            <w:right w:val="none" w:sz="0" w:space="0" w:color="auto"/>
          </w:divBdr>
        </w:div>
        <w:div w:id="1259827017">
          <w:marLeft w:val="0"/>
          <w:marRight w:val="0"/>
          <w:marTop w:val="0"/>
          <w:marBottom w:val="0"/>
          <w:divBdr>
            <w:top w:val="none" w:sz="0" w:space="0" w:color="auto"/>
            <w:left w:val="none" w:sz="0" w:space="0" w:color="auto"/>
            <w:bottom w:val="none" w:sz="0" w:space="0" w:color="auto"/>
            <w:right w:val="none" w:sz="0" w:space="0" w:color="auto"/>
          </w:divBdr>
        </w:div>
      </w:divsChild>
    </w:div>
    <w:div w:id="1833373520">
      <w:bodyDiv w:val="1"/>
      <w:marLeft w:val="0"/>
      <w:marRight w:val="0"/>
      <w:marTop w:val="0"/>
      <w:marBottom w:val="0"/>
      <w:divBdr>
        <w:top w:val="none" w:sz="0" w:space="0" w:color="auto"/>
        <w:left w:val="none" w:sz="0" w:space="0" w:color="auto"/>
        <w:bottom w:val="none" w:sz="0" w:space="0" w:color="auto"/>
        <w:right w:val="none" w:sz="0" w:space="0" w:color="auto"/>
      </w:divBdr>
    </w:div>
    <w:div w:id="1840120851">
      <w:bodyDiv w:val="1"/>
      <w:marLeft w:val="0"/>
      <w:marRight w:val="0"/>
      <w:marTop w:val="0"/>
      <w:marBottom w:val="0"/>
      <w:divBdr>
        <w:top w:val="none" w:sz="0" w:space="0" w:color="auto"/>
        <w:left w:val="none" w:sz="0" w:space="0" w:color="auto"/>
        <w:bottom w:val="none" w:sz="0" w:space="0" w:color="auto"/>
        <w:right w:val="none" w:sz="0" w:space="0" w:color="auto"/>
      </w:divBdr>
      <w:divsChild>
        <w:div w:id="201398">
          <w:marLeft w:val="547"/>
          <w:marRight w:val="0"/>
          <w:marTop w:val="0"/>
          <w:marBottom w:val="0"/>
          <w:divBdr>
            <w:top w:val="none" w:sz="0" w:space="0" w:color="auto"/>
            <w:left w:val="none" w:sz="0" w:space="0" w:color="auto"/>
            <w:bottom w:val="none" w:sz="0" w:space="0" w:color="auto"/>
            <w:right w:val="none" w:sz="0" w:space="0" w:color="auto"/>
          </w:divBdr>
        </w:div>
      </w:divsChild>
    </w:div>
    <w:div w:id="1922445812">
      <w:bodyDiv w:val="1"/>
      <w:marLeft w:val="0"/>
      <w:marRight w:val="0"/>
      <w:marTop w:val="0"/>
      <w:marBottom w:val="0"/>
      <w:divBdr>
        <w:top w:val="none" w:sz="0" w:space="0" w:color="auto"/>
        <w:left w:val="none" w:sz="0" w:space="0" w:color="auto"/>
        <w:bottom w:val="none" w:sz="0" w:space="0" w:color="auto"/>
        <w:right w:val="none" w:sz="0" w:space="0" w:color="auto"/>
      </w:divBdr>
    </w:div>
    <w:div w:id="1927643023">
      <w:bodyDiv w:val="1"/>
      <w:marLeft w:val="0"/>
      <w:marRight w:val="0"/>
      <w:marTop w:val="0"/>
      <w:marBottom w:val="0"/>
      <w:divBdr>
        <w:top w:val="none" w:sz="0" w:space="0" w:color="auto"/>
        <w:left w:val="none" w:sz="0" w:space="0" w:color="auto"/>
        <w:bottom w:val="none" w:sz="0" w:space="0" w:color="auto"/>
        <w:right w:val="none" w:sz="0" w:space="0" w:color="auto"/>
      </w:divBdr>
    </w:div>
    <w:div w:id="1980184890">
      <w:bodyDiv w:val="1"/>
      <w:marLeft w:val="0"/>
      <w:marRight w:val="0"/>
      <w:marTop w:val="0"/>
      <w:marBottom w:val="0"/>
      <w:divBdr>
        <w:top w:val="none" w:sz="0" w:space="0" w:color="auto"/>
        <w:left w:val="none" w:sz="0" w:space="0" w:color="auto"/>
        <w:bottom w:val="none" w:sz="0" w:space="0" w:color="auto"/>
        <w:right w:val="none" w:sz="0" w:space="0" w:color="auto"/>
      </w:divBdr>
    </w:div>
    <w:div w:id="1990355542">
      <w:bodyDiv w:val="1"/>
      <w:marLeft w:val="0"/>
      <w:marRight w:val="0"/>
      <w:marTop w:val="0"/>
      <w:marBottom w:val="0"/>
      <w:divBdr>
        <w:top w:val="none" w:sz="0" w:space="0" w:color="auto"/>
        <w:left w:val="none" w:sz="0" w:space="0" w:color="auto"/>
        <w:bottom w:val="none" w:sz="0" w:space="0" w:color="auto"/>
        <w:right w:val="none" w:sz="0" w:space="0" w:color="auto"/>
      </w:divBdr>
    </w:div>
    <w:div w:id="2033260797">
      <w:bodyDiv w:val="1"/>
      <w:marLeft w:val="0"/>
      <w:marRight w:val="0"/>
      <w:marTop w:val="0"/>
      <w:marBottom w:val="0"/>
      <w:divBdr>
        <w:top w:val="none" w:sz="0" w:space="0" w:color="auto"/>
        <w:left w:val="none" w:sz="0" w:space="0" w:color="auto"/>
        <w:bottom w:val="none" w:sz="0" w:space="0" w:color="auto"/>
        <w:right w:val="none" w:sz="0" w:space="0" w:color="auto"/>
      </w:divBdr>
    </w:div>
    <w:div w:id="2052612669">
      <w:bodyDiv w:val="1"/>
      <w:marLeft w:val="0"/>
      <w:marRight w:val="0"/>
      <w:marTop w:val="0"/>
      <w:marBottom w:val="0"/>
      <w:divBdr>
        <w:top w:val="none" w:sz="0" w:space="0" w:color="auto"/>
        <w:left w:val="none" w:sz="0" w:space="0" w:color="auto"/>
        <w:bottom w:val="none" w:sz="0" w:space="0" w:color="auto"/>
        <w:right w:val="none" w:sz="0" w:space="0" w:color="auto"/>
      </w:divBdr>
    </w:div>
    <w:div w:id="2074084190">
      <w:bodyDiv w:val="1"/>
      <w:marLeft w:val="0"/>
      <w:marRight w:val="0"/>
      <w:marTop w:val="0"/>
      <w:marBottom w:val="0"/>
      <w:divBdr>
        <w:top w:val="none" w:sz="0" w:space="0" w:color="auto"/>
        <w:left w:val="none" w:sz="0" w:space="0" w:color="auto"/>
        <w:bottom w:val="none" w:sz="0" w:space="0" w:color="auto"/>
        <w:right w:val="none" w:sz="0" w:space="0" w:color="auto"/>
      </w:divBdr>
    </w:div>
    <w:div w:id="2079596537">
      <w:bodyDiv w:val="1"/>
      <w:marLeft w:val="0"/>
      <w:marRight w:val="0"/>
      <w:marTop w:val="0"/>
      <w:marBottom w:val="0"/>
      <w:divBdr>
        <w:top w:val="none" w:sz="0" w:space="0" w:color="auto"/>
        <w:left w:val="none" w:sz="0" w:space="0" w:color="auto"/>
        <w:bottom w:val="none" w:sz="0" w:space="0" w:color="auto"/>
        <w:right w:val="none" w:sz="0" w:space="0" w:color="auto"/>
      </w:divBdr>
      <w:divsChild>
        <w:div w:id="2003578162">
          <w:marLeft w:val="547"/>
          <w:marRight w:val="0"/>
          <w:marTop w:val="0"/>
          <w:marBottom w:val="0"/>
          <w:divBdr>
            <w:top w:val="none" w:sz="0" w:space="0" w:color="auto"/>
            <w:left w:val="none" w:sz="0" w:space="0" w:color="auto"/>
            <w:bottom w:val="none" w:sz="0" w:space="0" w:color="auto"/>
            <w:right w:val="none" w:sz="0" w:space="0" w:color="auto"/>
          </w:divBdr>
        </w:div>
      </w:divsChild>
    </w:div>
    <w:div w:id="2086684075">
      <w:bodyDiv w:val="1"/>
      <w:marLeft w:val="0"/>
      <w:marRight w:val="0"/>
      <w:marTop w:val="0"/>
      <w:marBottom w:val="0"/>
      <w:divBdr>
        <w:top w:val="none" w:sz="0" w:space="0" w:color="auto"/>
        <w:left w:val="none" w:sz="0" w:space="0" w:color="auto"/>
        <w:bottom w:val="none" w:sz="0" w:space="0" w:color="auto"/>
        <w:right w:val="none" w:sz="0" w:space="0" w:color="auto"/>
      </w:divBdr>
    </w:div>
    <w:div w:id="2101487436">
      <w:bodyDiv w:val="1"/>
      <w:marLeft w:val="0"/>
      <w:marRight w:val="0"/>
      <w:marTop w:val="0"/>
      <w:marBottom w:val="0"/>
      <w:divBdr>
        <w:top w:val="none" w:sz="0" w:space="0" w:color="auto"/>
        <w:left w:val="none" w:sz="0" w:space="0" w:color="auto"/>
        <w:bottom w:val="none" w:sz="0" w:space="0" w:color="auto"/>
        <w:right w:val="none" w:sz="0" w:space="0" w:color="auto"/>
      </w:divBdr>
    </w:div>
    <w:div w:id="21445441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8.emf"/><Relationship Id="rId26" Type="http://schemas.openxmlformats.org/officeDocument/2006/relationships/header" Target="header3.xml"/><Relationship Id="rId39" Type="http://schemas.openxmlformats.org/officeDocument/2006/relationships/fontTable" Target="fontTable.xml"/><Relationship Id="rId21" Type="http://schemas.openxmlformats.org/officeDocument/2006/relationships/image" Target="media/image11.png"/><Relationship Id="rId34" Type="http://schemas.openxmlformats.org/officeDocument/2006/relationships/chart" Target="charts/chart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chart" Target="charts/chart3.xml"/><Relationship Id="rId25" Type="http://schemas.openxmlformats.org/officeDocument/2006/relationships/image" Target="media/image15.emf"/><Relationship Id="rId33" Type="http://schemas.openxmlformats.org/officeDocument/2006/relationships/chart" Target="charts/chart4.xml"/><Relationship Id="rId38"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chart" Target="charts/chart2.xml"/><Relationship Id="rId20" Type="http://schemas.openxmlformats.org/officeDocument/2006/relationships/image" Target="media/image10.png"/><Relationship Id="rId29" Type="http://schemas.openxmlformats.org/officeDocument/2006/relationships/diagramLayout" Target="diagrams/layou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emf"/><Relationship Id="rId32" Type="http://schemas.microsoft.com/office/2007/relationships/diagramDrawing" Target="diagrams/drawing1.xml"/><Relationship Id="rId37" Type="http://schemas.openxmlformats.org/officeDocument/2006/relationships/header" Target="header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1.xml"/><Relationship Id="rId23" Type="http://schemas.openxmlformats.org/officeDocument/2006/relationships/image" Target="media/image13.png"/><Relationship Id="rId28" Type="http://schemas.openxmlformats.org/officeDocument/2006/relationships/diagramData" Target="diagrams/data1.xml"/><Relationship Id="rId36" Type="http://schemas.openxmlformats.org/officeDocument/2006/relationships/image" Target="media/image16.emf"/><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diagramColors" Target="diagrams/colors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7.png"/><Relationship Id="rId22" Type="http://schemas.openxmlformats.org/officeDocument/2006/relationships/image" Target="media/image12.jpeg"/><Relationship Id="rId27" Type="http://schemas.openxmlformats.org/officeDocument/2006/relationships/footer" Target="footer2.xml"/><Relationship Id="rId30" Type="http://schemas.openxmlformats.org/officeDocument/2006/relationships/diagramQuickStyle" Target="diagrams/quickStyle1.xml"/><Relationship Id="rId35" Type="http://schemas.openxmlformats.org/officeDocument/2006/relationships/chart" Target="charts/chart6.xml"/><Relationship Id="rId8" Type="http://schemas.openxmlformats.org/officeDocument/2006/relationships/header" Target="header1.xml"/><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www.eufunds.bg"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ec.europa.eu/eurostat/statistics-%20explained/index.php?title=File:General_government_debt,_2022_and_2023_(%C2%B9)_(General_government_gross_debt,_%25_of_GDP).png2" TargetMode="External"/><Relationship Id="rId13" Type="http://schemas.openxmlformats.org/officeDocument/2006/relationships/hyperlink" Target="https://reader.elsevier.com/reader/sd/pii/S2352146521003756?token=7A0174D662D2620ED8225DE675F4C%20306096695B0D007209F7984CBBE1DBA83A4BD3F43CB780C8739D2205076DEAC56BF&amp;originRegion=eu-west-1&amp;originCreation=20211029054241" TargetMode="External"/><Relationship Id="rId18" Type="http://schemas.openxmlformats.org/officeDocument/2006/relationships/hyperlink" Target="https://www.lex.bg/laws/ldoc/2134907392" TargetMode="External"/><Relationship Id="rId3" Type="http://schemas.openxmlformats.org/officeDocument/2006/relationships/hyperlink" Target="https://ec.europa.eu/eurostat/databrowser/view/tec00115/default/line?lang=en" TargetMode="External"/><Relationship Id="rId21" Type="http://schemas.openxmlformats.org/officeDocument/2006/relationships/hyperlink" Target="https://www.eib.org/en/about/cr/footprint-methodologies.htm" TargetMode="External"/><Relationship Id="rId7" Type="http://schemas.openxmlformats.org/officeDocument/2006/relationships/hyperlink" Target="https://ec.europa.eu/eurostat/databrowser/view/tps00203/default/line?lang=en" TargetMode="External"/><Relationship Id="rId12" Type="http://schemas.openxmlformats.org/officeDocument/2006/relationships/hyperlink" Target="https://www.nsi.bg/bg/content/2996/&#1087;&#1088;&#1086;&#1075;&#1085;&#1086;&#1079;&#1072;-&#1079;&#1072;-&#1085;&#1072;&#1089;&#1077;&#1083;&#1077;&#1085;&#1080;&#1077;&#1090;&#1086;-&#1087;&#1086;-&#1086;&#1073;&#1083;&#1072;&#1089;&#1090;&#1080;-&#1080;-&#1087;&#1086;&#1083;" TargetMode="External"/><Relationship Id="rId17" Type="http://schemas.openxmlformats.org/officeDocument/2006/relationships/hyperlink" Target="https://eur-lex.europa.eu/legal-content/BG/TXT/?uri=CELEX%3A32017R0352" TargetMode="External"/><Relationship Id="rId2" Type="http://schemas.openxmlformats.org/officeDocument/2006/relationships/hyperlink" Target="https://www.statista.com/statistics/686147/gdp-growth-europe/" TargetMode="External"/><Relationship Id="rId16" Type="http://schemas.openxmlformats.org/officeDocument/2006/relationships/hyperlink" Target="https://ec.europa.eu/regional_policy/en/information/publications/guides/2021/economic-appraisal-vademecum-2021-2027-general-principles-and-sector-applications" TargetMode="External"/><Relationship Id="rId20" Type="http://schemas.openxmlformats.org/officeDocument/2006/relationships/hyperlink" Target="http://www.bgports.bg/bg/page/40" TargetMode="External"/><Relationship Id="rId1" Type="http://schemas.openxmlformats.org/officeDocument/2006/relationships/hyperlink" Target="https://nsi.bg/bg/content/806/&#1073;&#1098;&#1083;&#1075;&#1072;&#1088;&#1080;&#1103;-&#1080;-&#1077;&#1074;&#1088;&#1086;&#1087;&#1077;&#1081;&#1089;&#1082;&#1080;&#1103;-&#1089;&#1098;&#1102;&#1079;" TargetMode="External"/><Relationship Id="rId6" Type="http://schemas.openxmlformats.org/officeDocument/2006/relationships/hyperlink" Target="https://www.ecb.europa.eu/stats/financial_markets_and_interest_rates/long_term_interest_rates/html/index.en.html" TargetMode="External"/><Relationship Id="rId11" Type="http://schemas.openxmlformats.org/officeDocument/2006/relationships/hyperlink" Target="https://www.minfin.bg/bg/868" TargetMode="External"/><Relationship Id="rId5" Type="http://schemas.openxmlformats.org/officeDocument/2006/relationships/hyperlink" Target="https://ec.europa.eu/eurostat/web/euro-indicators" TargetMode="External"/><Relationship Id="rId15" Type="http://schemas.openxmlformats.org/officeDocument/2006/relationships/hyperlink" Target="https://nsi.bg/sites/default/files/files/pressreleases/Transport2021q2_T1R7MTK.pdf" TargetMode="External"/><Relationship Id="rId10" Type="http://schemas.openxmlformats.org/officeDocument/2006/relationships/hyperlink" Target="https://www.bnb.bg/bnbweb/groups/public/documents/bnb_download/s_macro_indicators_a1_pdf_bg.pdf" TargetMode="External"/><Relationship Id="rId19" Type="http://schemas.openxmlformats.org/officeDocument/2006/relationships/hyperlink" Target="http://www.bgports.bg/bg/page/40" TargetMode="External"/><Relationship Id="rId4" Type="http://schemas.openxmlformats.org/officeDocument/2006/relationships/hyperlink" Target="https://ec.europa.eu/eurostat/databrowser/view/tec00115/default/line?lang=en" TargetMode="External"/><Relationship Id="rId9" Type="http://schemas.openxmlformats.org/officeDocument/2006/relationships/hyperlink" Target="https://www.nsi.bg/bg/content/11474&#1073;&#1088;&#1091;&#1090;&#1077;&#1085;-&#1074;&#1098;&#1090;&#1088;&#1077;&#1096;&#1077;&#1085;-&#1087;&#1088;&#1086;&#1076;&#1091;&#1082;&#1090;-&#1087;&#1086;-&#1087;&#1072;&#1079;&#1072;&#1088;&#1085;&#1080;-&#1094;&#1077;&#1085;&#1080;" TargetMode="External"/><Relationship Id="rId14" Type="http://schemas.openxmlformats.org/officeDocument/2006/relationships/hyperlink" Target="http://www.nsi.bg/bg/content/1755/&#1084;&#1086;&#1088;&#1089;&#1082;&#1080;-&#1090;&#1088;&#1072;&#1085;&#1089;&#1087;&#1086;&#1088;&#1090;"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charts/_rels/chart1.xml.rels><?xml version="1.0" encoding="UTF-8" standalone="yes"?>
<Relationships xmlns="http://schemas.openxmlformats.org/package/2006/relationships"><Relationship Id="rId1" Type="http://schemas.openxmlformats.org/officeDocument/2006/relationships/oleObject" Target="file:///e:\Users\Maria\Desktop\&#1044;&#1088;&#1072;&#1075;&#1080;&#1088;&#1072;&#1085;&#1077;%20&#1044;&#1055;&#1055;&#1048;\&#1054;&#1073;&#1097;%20&#1087;&#1088;&#1086;&#1077;&#1082;&#1090;\&#1040;&#1056;&#1055;%20&#1094;&#1103;&#1083;%20&#1087;&#1088;&#1086;&#1077;&#1082;&#1090;\&#1044;&#1086;&#1087;&#1091;&#1089;&#1082;&#1072;&#1085;&#1080;&#1103;%20&#1079;&#1072;%20&#1084;&#1086;&#1076;&#1077;&#1083;&#1072;-&#1044;&#1088;&#1072;&#1075;&#1080;&#1088;&#1072;&#1085;&#1077;%20%20Global.xlsx" TargetMode="Externa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1" Type="http://schemas.openxmlformats.org/officeDocument/2006/relationships/oleObject" Target="file:///C:\Users\Mariya%20Tchakarova\Desktop\&#1044;&#1088;&#1072;&#1075;&#1080;&#1088;&#1072;&#1085;&#1077;%20&#1044;&#1055;&#1055;&#1048;\&#1054;&#1073;&#1097;%20&#1087;&#1088;&#1086;&#1077;&#1082;&#1090;\&#1040;&#1056;&#1055;%20&#1094;&#1103;&#1083;%20&#1087;&#1088;&#1086;&#1077;&#1082;&#1090;\&#1044;&#1086;&#1087;&#1091;&#1089;&#1082;&#1072;&#1085;&#1080;&#1103;%20&#1079;&#1072;%20&#1084;&#1086;&#1076;&#1077;&#1083;&#1072;-&#1044;&#1088;&#1072;&#1075;&#1080;&#1088;&#1072;&#1085;&#1077;%20%20new%20inv%20+.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Mariya%20Tchakarova\Desktop\&#1044;&#1088;&#1072;&#1075;&#1080;&#1088;&#1072;&#1085;&#1077;%20&#1044;&#1055;&#1055;&#1048;\&#1054;&#1073;&#1097;%20&#1087;&#1088;&#1086;&#1077;&#1082;&#1090;\&#1040;&#1056;&#1055;%20&#1094;&#1103;&#1083;%20&#1087;&#1088;&#1086;&#1077;&#1082;&#1090;\&#1044;&#1086;&#1087;&#1091;&#1089;&#1082;&#1072;&#1085;&#1080;&#1103;%20&#1079;&#1072;%20&#1084;&#1086;&#1076;&#1077;&#1083;&#1072;-&#1044;&#1088;&#1072;&#1075;&#1080;&#1088;&#1072;&#1085;&#1077;%20%20new%20inv%20+.xlsx" TargetMode="External"/></Relationships>
</file>

<file path=word/charts/_rels/chart6.xml.rels><?xml version="1.0" encoding="UTF-8" standalone="yes"?>
<Relationships xmlns="http://schemas.openxmlformats.org/package/2006/relationships"><Relationship Id="rId3" Type="http://schemas.openxmlformats.org/officeDocument/2006/relationships/oleObject" Target="file:///e:\Users\Maria\Desktop\MARIA\&#1044;&#1088;&#1072;&#1075;&#1080;&#1088;&#1072;&#1085;&#1077;%20&#1044;&#1055;&#1055;&#1048;\&#1054;&#1073;&#1097;%20&#1087;&#1088;&#1086;&#1077;&#1082;&#1090;\&#1040;&#1056;&#1055;%20&#1094;&#1103;&#1083;%20&#1087;&#1088;&#1086;&#1077;&#1082;&#1090;\&#1044;&#1086;&#1087;&#1091;&#1089;&#1082;&#1072;&#1085;&#1080;&#1103;%20&#1079;&#1072;%20&#1084;&#1086;&#1076;&#1077;&#1083;&#1072;-&#1044;&#1088;&#1072;&#1075;&#1080;&#1088;&#1072;&#1085;&#1077;%20%20Global.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Обработени товари в морските пристанища в хил.тона</a:t>
            </a:r>
          </a:p>
        </c:rich>
      </c:tx>
      <c:layout/>
      <c:overlay val="0"/>
      <c:spPr>
        <a:noFill/>
        <a:ln>
          <a:noFill/>
        </a:ln>
        <a:effectLst/>
      </c:spPr>
    </c:title>
    <c:autoTitleDeleted val="0"/>
    <c:plotArea>
      <c:layout/>
      <c:barChart>
        <c:barDir val="col"/>
        <c:grouping val="clustered"/>
        <c:varyColors val="0"/>
        <c:ser>
          <c:idx val="0"/>
          <c:order val="0"/>
          <c:tx>
            <c:strRef>
              <c:f>'Статистика 2022'!$I$10</c:f>
              <c:strCache>
                <c:ptCount val="1"/>
                <c:pt idx="0">
                  <c:v>млн.ткм</c:v>
                </c:pt>
              </c:strCache>
            </c:strRef>
          </c:tx>
          <c:spPr>
            <a:solidFill>
              <a:schemeClr val="accent1"/>
            </a:solidFill>
            <a:ln>
              <a:noFill/>
            </a:ln>
            <a:effectLst/>
          </c:spPr>
          <c:invertIfNegative val="0"/>
          <c:cat>
            <c:numRef>
              <c:f>'Статистика 2022'!$J$9:$V$9</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f>'Статистика 2022'!$J$10:$V$10</c:f>
              <c:numCache>
                <c:formatCode>General</c:formatCode>
                <c:ptCount val="13"/>
                <c:pt idx="0">
                  <c:v>25185</c:v>
                </c:pt>
                <c:pt idx="1">
                  <c:v>26012</c:v>
                </c:pt>
                <c:pt idx="2">
                  <c:v>28841</c:v>
                </c:pt>
                <c:pt idx="3">
                  <c:v>27235</c:v>
                </c:pt>
                <c:pt idx="4">
                  <c:v>27166</c:v>
                </c:pt>
                <c:pt idx="5">
                  <c:v>28685</c:v>
                </c:pt>
                <c:pt idx="6">
                  <c:v>30953</c:v>
                </c:pt>
                <c:pt idx="7">
                  <c:v>27868</c:v>
                </c:pt>
                <c:pt idx="8">
                  <c:v>30997</c:v>
                </c:pt>
                <c:pt idx="9">
                  <c:v>25258</c:v>
                </c:pt>
                <c:pt idx="10">
                  <c:v>27585</c:v>
                </c:pt>
                <c:pt idx="11" formatCode="0">
                  <c:v>29336.123</c:v>
                </c:pt>
                <c:pt idx="12" formatCode="0">
                  <c:v>28033.352999999999</c:v>
                </c:pt>
              </c:numCache>
            </c:numRef>
          </c:val>
          <c:extLst xmlns:c16r2="http://schemas.microsoft.com/office/drawing/2015/06/chart">
            <c:ext xmlns:c16="http://schemas.microsoft.com/office/drawing/2014/chart" uri="{C3380CC4-5D6E-409C-BE32-E72D297353CC}">
              <c16:uniqueId val="{00000000-1206-4065-ABC5-33D2E4340EDD}"/>
            </c:ext>
          </c:extLst>
        </c:ser>
        <c:dLbls>
          <c:showLegendKey val="0"/>
          <c:showVal val="0"/>
          <c:showCatName val="0"/>
          <c:showSerName val="0"/>
          <c:showPercent val="0"/>
          <c:showBubbleSize val="0"/>
        </c:dLbls>
        <c:gapWidth val="219"/>
        <c:overlap val="-27"/>
        <c:axId val="-962219008"/>
        <c:axId val="-962219552"/>
      </c:barChart>
      <c:catAx>
        <c:axId val="-9622190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9552"/>
        <c:crosses val="autoZero"/>
        <c:auto val="1"/>
        <c:lblAlgn val="ctr"/>
        <c:lblOffset val="100"/>
        <c:noMultiLvlLbl val="0"/>
      </c:catAx>
      <c:valAx>
        <c:axId val="-96221955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90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Обработени товари в </a:t>
            </a:r>
            <a:r>
              <a:rPr lang="bg-BG" sz="1050" baseline="0"/>
              <a:t>речните пристанища в хил. тона</a:t>
            </a:r>
            <a:endParaRPr lang="bg-BG" sz="1050"/>
          </a:p>
        </c:rich>
      </c:tx>
      <c:layout/>
      <c:overlay val="0"/>
      <c:spPr>
        <a:noFill/>
        <a:ln>
          <a:noFill/>
        </a:ln>
        <a:effectLst/>
      </c:spPr>
    </c:title>
    <c:autoTitleDeleted val="0"/>
    <c:plotArea>
      <c:layout/>
      <c:barChart>
        <c:barDir val="col"/>
        <c:grouping val="clustered"/>
        <c:varyColors val="0"/>
        <c:ser>
          <c:idx val="0"/>
          <c:order val="0"/>
          <c:tx>
            <c:strRef>
              <c:f>'Статистика 2022'!$I$20</c:f>
              <c:strCache>
                <c:ptCount val="1"/>
                <c:pt idx="0">
                  <c:v>млн.ткм</c:v>
                </c:pt>
              </c:strCache>
            </c:strRef>
          </c:tx>
          <c:spPr>
            <a:solidFill>
              <a:schemeClr val="accent2"/>
            </a:solidFill>
            <a:ln>
              <a:noFill/>
            </a:ln>
            <a:effectLst/>
          </c:spPr>
          <c:invertIfNegative val="0"/>
          <c:cat>
            <c:numRef>
              <c:f>'Статистика 2022'!$J$19:$V$19</c:f>
              <c:numCache>
                <c:formatCode>General</c:formatCode>
                <c:ptCount val="13"/>
                <c:pt idx="0">
                  <c:v>2011</c:v>
                </c:pt>
                <c:pt idx="1">
                  <c:v>2012</c:v>
                </c:pt>
                <c:pt idx="2">
                  <c:v>2013</c:v>
                </c:pt>
                <c:pt idx="3">
                  <c:v>2014</c:v>
                </c:pt>
                <c:pt idx="4">
                  <c:v>2015</c:v>
                </c:pt>
                <c:pt idx="5">
                  <c:v>2016</c:v>
                </c:pt>
                <c:pt idx="6">
                  <c:v>2017</c:v>
                </c:pt>
                <c:pt idx="7">
                  <c:v>2018</c:v>
                </c:pt>
                <c:pt idx="8">
                  <c:v>2019</c:v>
                </c:pt>
                <c:pt idx="9">
                  <c:v>2020</c:v>
                </c:pt>
                <c:pt idx="10">
                  <c:v>2021</c:v>
                </c:pt>
                <c:pt idx="11">
                  <c:v>2022</c:v>
                </c:pt>
                <c:pt idx="12">
                  <c:v>2023</c:v>
                </c:pt>
              </c:numCache>
            </c:numRef>
          </c:cat>
          <c:val>
            <c:numRef>
              <c:f>'Статистика 2022'!$J$20:$V$20</c:f>
              <c:numCache>
                <c:formatCode>General</c:formatCode>
                <c:ptCount val="13"/>
                <c:pt idx="0">
                  <c:v>4230</c:v>
                </c:pt>
                <c:pt idx="1">
                  <c:v>3894</c:v>
                </c:pt>
                <c:pt idx="2">
                  <c:v>3831</c:v>
                </c:pt>
                <c:pt idx="3">
                  <c:v>4529</c:v>
                </c:pt>
                <c:pt idx="4">
                  <c:v>4568</c:v>
                </c:pt>
                <c:pt idx="5">
                  <c:v>3993</c:v>
                </c:pt>
                <c:pt idx="6">
                  <c:v>3705</c:v>
                </c:pt>
                <c:pt idx="7">
                  <c:v>3547</c:v>
                </c:pt>
                <c:pt idx="8">
                  <c:v>4038</c:v>
                </c:pt>
                <c:pt idx="9">
                  <c:v>3815</c:v>
                </c:pt>
                <c:pt idx="10">
                  <c:v>3871</c:v>
                </c:pt>
                <c:pt idx="11">
                  <c:v>3806</c:v>
                </c:pt>
                <c:pt idx="12" formatCode="0">
                  <c:v>2456.7832763157894</c:v>
                </c:pt>
              </c:numCache>
            </c:numRef>
          </c:val>
          <c:extLst xmlns:c16r2="http://schemas.microsoft.com/office/drawing/2015/06/chart">
            <c:ext xmlns:c16="http://schemas.microsoft.com/office/drawing/2014/chart" uri="{C3380CC4-5D6E-409C-BE32-E72D297353CC}">
              <c16:uniqueId val="{00000000-2E80-4BB8-8FC8-E0B4092D82D0}"/>
            </c:ext>
          </c:extLst>
        </c:ser>
        <c:dLbls>
          <c:showLegendKey val="0"/>
          <c:showVal val="0"/>
          <c:showCatName val="0"/>
          <c:showSerName val="0"/>
          <c:showPercent val="0"/>
          <c:showBubbleSize val="0"/>
        </c:dLbls>
        <c:gapWidth val="219"/>
        <c:overlap val="-27"/>
        <c:axId val="-962232608"/>
        <c:axId val="-962218464"/>
      </c:barChart>
      <c:catAx>
        <c:axId val="-96223260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8464"/>
        <c:crosses val="autoZero"/>
        <c:auto val="1"/>
        <c:lblAlgn val="ctr"/>
        <c:lblOffset val="100"/>
        <c:noMultiLvlLbl val="0"/>
      </c:catAx>
      <c:valAx>
        <c:axId val="-9622184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32608"/>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50" b="0" i="0" u="none" strike="noStrike" kern="1200" spc="0" baseline="0">
                <a:solidFill>
                  <a:schemeClr val="tx1">
                    <a:lumMod val="65000"/>
                    <a:lumOff val="35000"/>
                  </a:schemeClr>
                </a:solidFill>
                <a:latin typeface="+mn-lt"/>
                <a:ea typeface="+mn-ea"/>
                <a:cs typeface="+mn-cs"/>
              </a:defRPr>
            </a:pPr>
            <a:r>
              <a:rPr lang="bg-BG" sz="1050"/>
              <a:t>Превозени</a:t>
            </a:r>
            <a:r>
              <a:rPr lang="bg-BG" sz="1050" baseline="0"/>
              <a:t> </a:t>
            </a:r>
            <a:r>
              <a:rPr lang="bg-BG" sz="1050"/>
              <a:t>бр. пътници с воден транспорт</a:t>
            </a:r>
          </a:p>
        </c:rich>
      </c:tx>
      <c:layout/>
      <c:overlay val="0"/>
      <c:spPr>
        <a:noFill/>
        <a:ln>
          <a:noFill/>
        </a:ln>
        <a:effectLst/>
      </c:spPr>
    </c:title>
    <c:autoTitleDeleted val="0"/>
    <c:plotArea>
      <c:layout/>
      <c:barChart>
        <c:barDir val="col"/>
        <c:grouping val="clustered"/>
        <c:varyColors val="0"/>
        <c:ser>
          <c:idx val="0"/>
          <c:order val="0"/>
          <c:tx>
            <c:strRef>
              <c:f>'Статистика 2022'!$A$29</c:f>
              <c:strCache>
                <c:ptCount val="1"/>
                <c:pt idx="0">
                  <c:v>бр.пътници за година</c:v>
                </c:pt>
              </c:strCache>
            </c:strRef>
          </c:tx>
          <c:spPr>
            <a:solidFill>
              <a:srgbClr val="92D050"/>
            </a:solidFill>
            <a:ln>
              <a:noFill/>
            </a:ln>
            <a:effectLst/>
          </c:spPr>
          <c:invertIfNegative val="0"/>
          <c:cat>
            <c:numRef>
              <c:f>'Статистика 2022'!$B$28:$K$28</c:f>
              <c:numCache>
                <c:formatCode>General</c:formatCode>
                <c:ptCount val="10"/>
                <c:pt idx="0">
                  <c:v>2014</c:v>
                </c:pt>
                <c:pt idx="1">
                  <c:v>2015</c:v>
                </c:pt>
                <c:pt idx="2">
                  <c:v>2016</c:v>
                </c:pt>
                <c:pt idx="3">
                  <c:v>2017</c:v>
                </c:pt>
                <c:pt idx="4">
                  <c:v>2018</c:v>
                </c:pt>
                <c:pt idx="5">
                  <c:v>2019</c:v>
                </c:pt>
                <c:pt idx="6">
                  <c:v>2020</c:v>
                </c:pt>
                <c:pt idx="7">
                  <c:v>2021</c:v>
                </c:pt>
                <c:pt idx="8">
                  <c:v>2022</c:v>
                </c:pt>
                <c:pt idx="9">
                  <c:v>2023</c:v>
                </c:pt>
              </c:numCache>
            </c:numRef>
          </c:cat>
          <c:val>
            <c:numRef>
              <c:f>'Статистика 2022'!$B$29:$K$29</c:f>
              <c:numCache>
                <c:formatCode>#,##0</c:formatCode>
                <c:ptCount val="10"/>
                <c:pt idx="0">
                  <c:v>90400</c:v>
                </c:pt>
                <c:pt idx="1">
                  <c:v>114700</c:v>
                </c:pt>
                <c:pt idx="2">
                  <c:v>119200</c:v>
                </c:pt>
                <c:pt idx="3">
                  <c:v>108500</c:v>
                </c:pt>
                <c:pt idx="4">
                  <c:v>113900</c:v>
                </c:pt>
                <c:pt idx="5" formatCode="General">
                  <c:v>127800</c:v>
                </c:pt>
                <c:pt idx="6" formatCode="General">
                  <c:v>65200</c:v>
                </c:pt>
                <c:pt idx="7" formatCode="General">
                  <c:v>96414</c:v>
                </c:pt>
                <c:pt idx="8" formatCode="0">
                  <c:v>98832.569973697173</c:v>
                </c:pt>
                <c:pt idx="9" formatCode="General">
                  <c:v>95500</c:v>
                </c:pt>
              </c:numCache>
            </c:numRef>
          </c:val>
          <c:extLst xmlns:c16r2="http://schemas.microsoft.com/office/drawing/2015/06/chart">
            <c:ext xmlns:c16="http://schemas.microsoft.com/office/drawing/2014/chart" uri="{C3380CC4-5D6E-409C-BE32-E72D297353CC}">
              <c16:uniqueId val="{00000000-39D8-48F8-AC09-FEEFC99DFACA}"/>
            </c:ext>
          </c:extLst>
        </c:ser>
        <c:dLbls>
          <c:showLegendKey val="0"/>
          <c:showVal val="0"/>
          <c:showCatName val="0"/>
          <c:showSerName val="0"/>
          <c:showPercent val="0"/>
          <c:showBubbleSize val="0"/>
        </c:dLbls>
        <c:gapWidth val="219"/>
        <c:overlap val="-27"/>
        <c:axId val="-962230976"/>
        <c:axId val="-962234784"/>
      </c:barChart>
      <c:catAx>
        <c:axId val="-9622309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34784"/>
        <c:crosses val="autoZero"/>
        <c:auto val="1"/>
        <c:lblAlgn val="ctr"/>
        <c:lblOffset val="100"/>
        <c:noMultiLvlLbl val="0"/>
      </c:catAx>
      <c:valAx>
        <c:axId val="-962234784"/>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3097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025371828521433E-2"/>
          <c:y val="5.0925925925925923E-2"/>
          <c:w val="0.86486351706036746"/>
          <c:h val="0.58646471274424028"/>
        </c:manualLayout>
      </c:layout>
      <c:barChart>
        <c:barDir val="col"/>
        <c:grouping val="clustered"/>
        <c:varyColors val="0"/>
        <c:ser>
          <c:idx val="0"/>
          <c:order val="0"/>
          <c:tx>
            <c:strRef>
              <c:f>графики!$B$9</c:f>
              <c:strCache>
                <c:ptCount val="1"/>
                <c:pt idx="0">
                  <c:v>Разходи за материали</c:v>
                </c:pt>
              </c:strCache>
            </c:strRef>
          </c:tx>
          <c:spPr>
            <a:solidFill>
              <a:schemeClr val="accent1"/>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графики!$C$9:$I$9</c:f>
              <c:numCache>
                <c:formatCode>General</c:formatCode>
                <c:ptCount val="6"/>
                <c:pt idx="0">
                  <c:v>1156</c:v>
                </c:pt>
                <c:pt idx="1">
                  <c:v>1108</c:v>
                </c:pt>
                <c:pt idx="2">
                  <c:v>1739</c:v>
                </c:pt>
                <c:pt idx="3">
                  <c:v>1649</c:v>
                </c:pt>
                <c:pt idx="4">
                  <c:v>2875</c:v>
                </c:pt>
                <c:pt idx="5">
                  <c:v>1677.5</c:v>
                </c:pt>
              </c:numCache>
            </c:numRef>
          </c:val>
          <c:extLst xmlns:c16r2="http://schemas.microsoft.com/office/drawing/2015/06/chart">
            <c:ext xmlns:c16="http://schemas.microsoft.com/office/drawing/2014/chart" uri="{C3380CC4-5D6E-409C-BE32-E72D297353CC}">
              <c16:uniqueId val="{00000000-8643-42A5-9B6F-CCD8B10F6BDF}"/>
            </c:ext>
          </c:extLst>
        </c:ser>
        <c:ser>
          <c:idx val="1"/>
          <c:order val="1"/>
          <c:tx>
            <c:strRef>
              <c:f>графики!$B$10</c:f>
              <c:strCache>
                <c:ptCount val="1"/>
                <c:pt idx="0">
                  <c:v>Разходи за външни услуги</c:v>
                </c:pt>
              </c:strCache>
            </c:strRef>
          </c:tx>
          <c:spPr>
            <a:solidFill>
              <a:schemeClr val="accent2"/>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графики!$C$10:$I$10</c:f>
              <c:numCache>
                <c:formatCode>General</c:formatCode>
                <c:ptCount val="6"/>
                <c:pt idx="0">
                  <c:v>5337</c:v>
                </c:pt>
                <c:pt idx="1">
                  <c:v>6332</c:v>
                </c:pt>
                <c:pt idx="2">
                  <c:v>5880</c:v>
                </c:pt>
                <c:pt idx="3">
                  <c:v>7002</c:v>
                </c:pt>
                <c:pt idx="4">
                  <c:v>10932</c:v>
                </c:pt>
                <c:pt idx="5">
                  <c:v>14042.5</c:v>
                </c:pt>
              </c:numCache>
            </c:numRef>
          </c:val>
          <c:extLst xmlns:c16r2="http://schemas.microsoft.com/office/drawing/2015/06/chart">
            <c:ext xmlns:c16="http://schemas.microsoft.com/office/drawing/2014/chart" uri="{C3380CC4-5D6E-409C-BE32-E72D297353CC}">
              <c16:uniqueId val="{00000001-8643-42A5-9B6F-CCD8B10F6BDF}"/>
            </c:ext>
          </c:extLst>
        </c:ser>
        <c:ser>
          <c:idx val="2"/>
          <c:order val="2"/>
          <c:tx>
            <c:strRef>
              <c:f>графики!$B$11</c:f>
              <c:strCache>
                <c:ptCount val="1"/>
                <c:pt idx="0">
                  <c:v>Средства за Работна заплата</c:v>
                </c:pt>
              </c:strCache>
            </c:strRef>
          </c:tx>
          <c:spPr>
            <a:solidFill>
              <a:schemeClr val="accent3"/>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графики!$C$11:$I$11</c:f>
              <c:numCache>
                <c:formatCode>General</c:formatCode>
                <c:ptCount val="6"/>
                <c:pt idx="0">
                  <c:v>10145</c:v>
                </c:pt>
                <c:pt idx="1">
                  <c:v>11155</c:v>
                </c:pt>
                <c:pt idx="2">
                  <c:v>12434</c:v>
                </c:pt>
                <c:pt idx="3">
                  <c:v>14176</c:v>
                </c:pt>
                <c:pt idx="4">
                  <c:v>15880</c:v>
                </c:pt>
                <c:pt idx="5">
                  <c:v>15402.24</c:v>
                </c:pt>
              </c:numCache>
            </c:numRef>
          </c:val>
          <c:extLst xmlns:c16r2="http://schemas.microsoft.com/office/drawing/2015/06/chart">
            <c:ext xmlns:c16="http://schemas.microsoft.com/office/drawing/2014/chart" uri="{C3380CC4-5D6E-409C-BE32-E72D297353CC}">
              <c16:uniqueId val="{00000002-8643-42A5-9B6F-CCD8B10F6BDF}"/>
            </c:ext>
          </c:extLst>
        </c:ser>
        <c:ser>
          <c:idx val="3"/>
          <c:order val="3"/>
          <c:tx>
            <c:strRef>
              <c:f>графики!$B$12</c:f>
              <c:strCache>
                <c:ptCount val="1"/>
                <c:pt idx="0">
                  <c:v>Поддръжка и текущи ремонти</c:v>
                </c:pt>
              </c:strCache>
            </c:strRef>
          </c:tx>
          <c:spPr>
            <a:solidFill>
              <a:schemeClr val="accent4"/>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графики!$C$12:$I$12</c:f>
              <c:numCache>
                <c:formatCode>General</c:formatCode>
                <c:ptCount val="6"/>
                <c:pt idx="0">
                  <c:v>24751</c:v>
                </c:pt>
                <c:pt idx="1">
                  <c:v>24354</c:v>
                </c:pt>
                <c:pt idx="2">
                  <c:v>28228</c:v>
                </c:pt>
                <c:pt idx="3">
                  <c:v>28748</c:v>
                </c:pt>
                <c:pt idx="4">
                  <c:v>27808</c:v>
                </c:pt>
                <c:pt idx="5">
                  <c:v>28730</c:v>
                </c:pt>
              </c:numCache>
            </c:numRef>
          </c:val>
          <c:extLst xmlns:c16r2="http://schemas.microsoft.com/office/drawing/2015/06/chart">
            <c:ext xmlns:c16="http://schemas.microsoft.com/office/drawing/2014/chart" uri="{C3380CC4-5D6E-409C-BE32-E72D297353CC}">
              <c16:uniqueId val="{00000003-8643-42A5-9B6F-CCD8B10F6BDF}"/>
            </c:ext>
          </c:extLst>
        </c:ser>
        <c:ser>
          <c:idx val="4"/>
          <c:order val="4"/>
          <c:tx>
            <c:strRef>
              <c:f>графики!$B$13</c:f>
              <c:strCache>
                <c:ptCount val="1"/>
                <c:pt idx="0">
                  <c:v>Административни</c:v>
                </c:pt>
              </c:strCache>
            </c:strRef>
          </c:tx>
          <c:spPr>
            <a:solidFill>
              <a:schemeClr val="accent5"/>
            </a:solidFill>
            <a:ln>
              <a:noFill/>
            </a:ln>
            <a:effectLst/>
          </c:spPr>
          <c:invertIfNegative val="0"/>
          <c:cat>
            <c:strRef>
              <c:f>графики!$C$8:$I$8</c:f>
              <c:strCache>
                <c:ptCount val="6"/>
                <c:pt idx="0">
                  <c:v>2018</c:v>
                </c:pt>
                <c:pt idx="1">
                  <c:v>2019</c:v>
                </c:pt>
                <c:pt idx="2">
                  <c:v>2020</c:v>
                </c:pt>
                <c:pt idx="3">
                  <c:v>2021</c:v>
                </c:pt>
                <c:pt idx="4">
                  <c:v>2022</c:v>
                </c:pt>
                <c:pt idx="5">
                  <c:v>2023*</c:v>
                </c:pt>
              </c:strCache>
            </c:strRef>
          </c:cat>
          <c:val>
            <c:numRef>
              <c:f>графики!$C$13:$I$13</c:f>
              <c:numCache>
                <c:formatCode>#,##0</c:formatCode>
                <c:ptCount val="6"/>
                <c:pt idx="0">
                  <c:v>3053.6035999999999</c:v>
                </c:pt>
                <c:pt idx="1">
                  <c:v>3269.7673200000004</c:v>
                </c:pt>
                <c:pt idx="2">
                  <c:v>2998.2729100000001</c:v>
                </c:pt>
                <c:pt idx="3">
                  <c:v>2561.2146100000004</c:v>
                </c:pt>
                <c:pt idx="4">
                  <c:v>2781</c:v>
                </c:pt>
                <c:pt idx="5" formatCode="General">
                  <c:v>3361.25</c:v>
                </c:pt>
              </c:numCache>
            </c:numRef>
          </c:val>
          <c:extLst xmlns:c16r2="http://schemas.microsoft.com/office/drawing/2015/06/chart">
            <c:ext xmlns:c16="http://schemas.microsoft.com/office/drawing/2014/chart" uri="{C3380CC4-5D6E-409C-BE32-E72D297353CC}">
              <c16:uniqueId val="{00000004-8643-42A5-9B6F-CCD8B10F6BDF}"/>
            </c:ext>
          </c:extLst>
        </c:ser>
        <c:dLbls>
          <c:showLegendKey val="0"/>
          <c:showVal val="0"/>
          <c:showCatName val="0"/>
          <c:showSerName val="0"/>
          <c:showPercent val="0"/>
          <c:showBubbleSize val="0"/>
        </c:dLbls>
        <c:gapWidth val="219"/>
        <c:overlap val="-27"/>
        <c:axId val="-962217920"/>
        <c:axId val="-962216832"/>
      </c:barChart>
      <c:catAx>
        <c:axId val="-96221792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6832"/>
        <c:crosses val="autoZero"/>
        <c:auto val="1"/>
        <c:lblAlgn val="ctr"/>
        <c:lblOffset val="100"/>
        <c:noMultiLvlLbl val="0"/>
      </c:catAx>
      <c:valAx>
        <c:axId val="-96221683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7920"/>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графики!$B$9</c:f>
              <c:strCache>
                <c:ptCount val="1"/>
                <c:pt idx="0">
                  <c:v>Разходи за материали</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графики!$C$9:$I$9</c:f>
              <c:numCache>
                <c:formatCode>General</c:formatCode>
                <c:ptCount val="6"/>
                <c:pt idx="0">
                  <c:v>1156</c:v>
                </c:pt>
                <c:pt idx="1">
                  <c:v>1108</c:v>
                </c:pt>
                <c:pt idx="2">
                  <c:v>1739</c:v>
                </c:pt>
                <c:pt idx="3">
                  <c:v>1649</c:v>
                </c:pt>
                <c:pt idx="4">
                  <c:v>2875</c:v>
                </c:pt>
                <c:pt idx="5">
                  <c:v>1677.5</c:v>
                </c:pt>
              </c:numCache>
            </c:numRef>
          </c:val>
          <c:smooth val="0"/>
          <c:extLst xmlns:c16r2="http://schemas.microsoft.com/office/drawing/2015/06/chart">
            <c:ext xmlns:c16="http://schemas.microsoft.com/office/drawing/2014/chart" uri="{C3380CC4-5D6E-409C-BE32-E72D297353CC}">
              <c16:uniqueId val="{00000000-7EB9-4BBB-8EE5-BFF1DD279544}"/>
            </c:ext>
          </c:extLst>
        </c:ser>
        <c:ser>
          <c:idx val="1"/>
          <c:order val="1"/>
          <c:tx>
            <c:strRef>
              <c:f>графики!$B$10</c:f>
              <c:strCache>
                <c:ptCount val="1"/>
                <c:pt idx="0">
                  <c:v>Разходи за външни услуги</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графики!$C$10:$I$10</c:f>
              <c:numCache>
                <c:formatCode>General</c:formatCode>
                <c:ptCount val="6"/>
                <c:pt idx="0">
                  <c:v>5337</c:v>
                </c:pt>
                <c:pt idx="1">
                  <c:v>6332</c:v>
                </c:pt>
                <c:pt idx="2">
                  <c:v>5880</c:v>
                </c:pt>
                <c:pt idx="3">
                  <c:v>7002</c:v>
                </c:pt>
                <c:pt idx="4">
                  <c:v>10932</c:v>
                </c:pt>
                <c:pt idx="5">
                  <c:v>14042.5</c:v>
                </c:pt>
              </c:numCache>
            </c:numRef>
          </c:val>
          <c:smooth val="0"/>
          <c:extLst xmlns:c16r2="http://schemas.microsoft.com/office/drawing/2015/06/chart">
            <c:ext xmlns:c16="http://schemas.microsoft.com/office/drawing/2014/chart" uri="{C3380CC4-5D6E-409C-BE32-E72D297353CC}">
              <c16:uniqueId val="{00000001-7EB9-4BBB-8EE5-BFF1DD279544}"/>
            </c:ext>
          </c:extLst>
        </c:ser>
        <c:ser>
          <c:idx val="2"/>
          <c:order val="2"/>
          <c:tx>
            <c:strRef>
              <c:f>графики!$B$11</c:f>
              <c:strCache>
                <c:ptCount val="1"/>
                <c:pt idx="0">
                  <c:v>Средства за Работна заплата</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графики!$C$11:$I$11</c:f>
              <c:numCache>
                <c:formatCode>General</c:formatCode>
                <c:ptCount val="6"/>
                <c:pt idx="0">
                  <c:v>10145</c:v>
                </c:pt>
                <c:pt idx="1">
                  <c:v>11155</c:v>
                </c:pt>
                <c:pt idx="2">
                  <c:v>12434</c:v>
                </c:pt>
                <c:pt idx="3">
                  <c:v>14176</c:v>
                </c:pt>
                <c:pt idx="4">
                  <c:v>15880</c:v>
                </c:pt>
                <c:pt idx="5">
                  <c:v>15402.24</c:v>
                </c:pt>
              </c:numCache>
            </c:numRef>
          </c:val>
          <c:smooth val="0"/>
          <c:extLst xmlns:c16r2="http://schemas.microsoft.com/office/drawing/2015/06/chart">
            <c:ext xmlns:c16="http://schemas.microsoft.com/office/drawing/2014/chart" uri="{C3380CC4-5D6E-409C-BE32-E72D297353CC}">
              <c16:uniqueId val="{00000002-7EB9-4BBB-8EE5-BFF1DD279544}"/>
            </c:ext>
          </c:extLst>
        </c:ser>
        <c:ser>
          <c:idx val="3"/>
          <c:order val="3"/>
          <c:tx>
            <c:strRef>
              <c:f>графики!$B$12</c:f>
              <c:strCache>
                <c:ptCount val="1"/>
                <c:pt idx="0">
                  <c:v>Поддръжка и текущи ремонти</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графики!$C$12:$I$12</c:f>
              <c:numCache>
                <c:formatCode>General</c:formatCode>
                <c:ptCount val="6"/>
                <c:pt idx="0">
                  <c:v>24751</c:v>
                </c:pt>
                <c:pt idx="1">
                  <c:v>24354</c:v>
                </c:pt>
                <c:pt idx="2">
                  <c:v>28228</c:v>
                </c:pt>
                <c:pt idx="3">
                  <c:v>28748</c:v>
                </c:pt>
                <c:pt idx="4">
                  <c:v>27808</c:v>
                </c:pt>
                <c:pt idx="5">
                  <c:v>28730</c:v>
                </c:pt>
              </c:numCache>
            </c:numRef>
          </c:val>
          <c:smooth val="0"/>
          <c:extLst xmlns:c16r2="http://schemas.microsoft.com/office/drawing/2015/06/chart">
            <c:ext xmlns:c16="http://schemas.microsoft.com/office/drawing/2014/chart" uri="{C3380CC4-5D6E-409C-BE32-E72D297353CC}">
              <c16:uniqueId val="{00000003-7EB9-4BBB-8EE5-BFF1DD279544}"/>
            </c:ext>
          </c:extLst>
        </c:ser>
        <c:ser>
          <c:idx val="4"/>
          <c:order val="4"/>
          <c:tx>
            <c:strRef>
              <c:f>графики!$B$13</c:f>
              <c:strCache>
                <c:ptCount val="1"/>
                <c:pt idx="0">
                  <c:v>Административни</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графики!$C$13:$I$13</c:f>
              <c:numCache>
                <c:formatCode>#,##0</c:formatCode>
                <c:ptCount val="6"/>
                <c:pt idx="0">
                  <c:v>3053.6035999999999</c:v>
                </c:pt>
                <c:pt idx="1">
                  <c:v>3269.7673200000004</c:v>
                </c:pt>
                <c:pt idx="2">
                  <c:v>2998.2729100000001</c:v>
                </c:pt>
                <c:pt idx="3">
                  <c:v>2561.2146100000004</c:v>
                </c:pt>
                <c:pt idx="4">
                  <c:v>2781</c:v>
                </c:pt>
                <c:pt idx="5" formatCode="General">
                  <c:v>3361.25</c:v>
                </c:pt>
              </c:numCache>
            </c:numRef>
          </c:val>
          <c:smooth val="0"/>
          <c:extLst xmlns:c16r2="http://schemas.microsoft.com/office/drawing/2015/06/chart">
            <c:ext xmlns:c16="http://schemas.microsoft.com/office/drawing/2014/chart" uri="{C3380CC4-5D6E-409C-BE32-E72D297353CC}">
              <c16:uniqueId val="{00000004-7EB9-4BBB-8EE5-BFF1DD279544}"/>
            </c:ext>
          </c:extLst>
        </c:ser>
        <c:ser>
          <c:idx val="5"/>
          <c:order val="5"/>
          <c:tx>
            <c:strRef>
              <c:f>графики!$B$14</c:f>
              <c:strCache>
                <c:ptCount val="1"/>
                <c:pt idx="0">
                  <c:v>Извършена работа</c:v>
                </c:pt>
              </c:strCache>
            </c:strRef>
          </c:tx>
          <c:spPr>
            <a:ln w="28575" cap="rnd">
              <a:solidFill>
                <a:srgbClr val="FF0000"/>
              </a:solidFill>
              <a:round/>
            </a:ln>
            <a:effectLst/>
          </c:spPr>
          <c:marker>
            <c:symbol val="circle"/>
            <c:size val="5"/>
            <c:spPr>
              <a:solidFill>
                <a:schemeClr val="accent6"/>
              </a:solidFill>
              <a:ln w="9525">
                <a:solidFill>
                  <a:srgbClr val="FF0000"/>
                </a:solidFill>
              </a:ln>
              <a:effectLst/>
            </c:spPr>
          </c:marker>
          <c:cat>
            <c:strRef>
              <c:f>графики!$C$8:$I$8</c:f>
              <c:strCache>
                <c:ptCount val="6"/>
                <c:pt idx="0">
                  <c:v>2018</c:v>
                </c:pt>
                <c:pt idx="1">
                  <c:v>2019</c:v>
                </c:pt>
                <c:pt idx="2">
                  <c:v>2020</c:v>
                </c:pt>
                <c:pt idx="3">
                  <c:v>2021</c:v>
                </c:pt>
                <c:pt idx="4">
                  <c:v>2022</c:v>
                </c:pt>
                <c:pt idx="5">
                  <c:v>2023*</c:v>
                </c:pt>
              </c:strCache>
            </c:strRef>
          </c:cat>
          <c:val>
            <c:numRef>
              <c:f>графики!$C$14:$I$14</c:f>
              <c:numCache>
                <c:formatCode>0</c:formatCode>
                <c:ptCount val="6"/>
                <c:pt idx="0">
                  <c:v>28716.720000000001</c:v>
                </c:pt>
                <c:pt idx="1">
                  <c:v>28791.57</c:v>
                </c:pt>
                <c:pt idx="2">
                  <c:v>24797.814999999999</c:v>
                </c:pt>
                <c:pt idx="3">
                  <c:v>27582.397000000001</c:v>
                </c:pt>
                <c:pt idx="4">
                  <c:v>31106.956999999999</c:v>
                </c:pt>
                <c:pt idx="5" formatCode="General">
                  <c:v>30187</c:v>
                </c:pt>
              </c:numCache>
            </c:numRef>
          </c:val>
          <c:smooth val="0"/>
          <c:extLst xmlns:c16r2="http://schemas.microsoft.com/office/drawing/2015/06/chart">
            <c:ext xmlns:c16="http://schemas.microsoft.com/office/drawing/2014/chart" uri="{C3380CC4-5D6E-409C-BE32-E72D297353CC}">
              <c16:uniqueId val="{00000005-7EB9-4BBB-8EE5-BFF1DD279544}"/>
            </c:ext>
          </c:extLst>
        </c:ser>
        <c:dLbls>
          <c:showLegendKey val="0"/>
          <c:showVal val="0"/>
          <c:showCatName val="0"/>
          <c:showSerName val="0"/>
          <c:showPercent val="0"/>
          <c:showBubbleSize val="0"/>
        </c:dLbls>
        <c:marker val="1"/>
        <c:smooth val="0"/>
        <c:axId val="-962217376"/>
        <c:axId val="-962216288"/>
      </c:lineChart>
      <c:catAx>
        <c:axId val="-962217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6288"/>
        <c:crosses val="autoZero"/>
        <c:auto val="1"/>
        <c:lblAlgn val="ctr"/>
        <c:lblOffset val="100"/>
        <c:noMultiLvlLbl val="0"/>
      </c:catAx>
      <c:valAx>
        <c:axId val="-962216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7376"/>
        <c:crosses val="autoZero"/>
        <c:crossBetween val="between"/>
      </c:valAx>
      <c:spPr>
        <a:noFill/>
        <a:ln>
          <a:noFill/>
        </a:ln>
        <a:effectLst/>
      </c:spPr>
    </c:plotArea>
    <c:legend>
      <c:legendPos val="b"/>
      <c:layout>
        <c:manualLayout>
          <c:xMode val="edge"/>
          <c:yMode val="edge"/>
          <c:x val="0.10938888888888888"/>
          <c:y val="0.78645669291338582"/>
          <c:w val="0.88677777777777789"/>
          <c:h val="0.1857655293088363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652936400967897"/>
          <c:y val="5.5555555555555552E-2"/>
          <c:w val="0.84992709244677744"/>
          <c:h val="0.66459025955088946"/>
        </c:manualLayout>
      </c:layout>
      <c:barChart>
        <c:barDir val="bar"/>
        <c:grouping val="clustered"/>
        <c:varyColors val="0"/>
        <c:ser>
          <c:idx val="0"/>
          <c:order val="0"/>
          <c:tx>
            <c:strRef>
              <c:f>графики!$B$3</c:f>
              <c:strCache>
                <c:ptCount val="1"/>
                <c:pt idx="0">
                  <c:v>Приходи общо по години</c:v>
                </c:pt>
              </c:strCache>
            </c:strRef>
          </c:tx>
          <c:spPr>
            <a:solidFill>
              <a:schemeClr val="accent1"/>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графики!$C$3:$I$3</c:f>
              <c:numCache>
                <c:formatCode>0</c:formatCode>
                <c:ptCount val="6"/>
                <c:pt idx="0">
                  <c:v>40408.143839999975</c:v>
                </c:pt>
                <c:pt idx="1">
                  <c:v>43854</c:v>
                </c:pt>
                <c:pt idx="2">
                  <c:v>37903</c:v>
                </c:pt>
                <c:pt idx="3">
                  <c:v>40320</c:v>
                </c:pt>
                <c:pt idx="4">
                  <c:v>46129</c:v>
                </c:pt>
                <c:pt idx="5">
                  <c:v>42467.5</c:v>
                </c:pt>
              </c:numCache>
            </c:numRef>
          </c:val>
          <c:extLst xmlns:c16r2="http://schemas.microsoft.com/office/drawing/2015/06/chart">
            <c:ext xmlns:c16="http://schemas.microsoft.com/office/drawing/2014/chart" uri="{C3380CC4-5D6E-409C-BE32-E72D297353CC}">
              <c16:uniqueId val="{00000000-F205-4F77-A69C-8C2AA89B4D91}"/>
            </c:ext>
          </c:extLst>
        </c:ser>
        <c:ser>
          <c:idx val="1"/>
          <c:order val="1"/>
          <c:tx>
            <c:strRef>
              <c:f>графики!$B$4</c:f>
              <c:strCache>
                <c:ptCount val="1"/>
                <c:pt idx="0">
                  <c:v>Приходи от морски пристанища</c:v>
                </c:pt>
              </c:strCache>
            </c:strRef>
          </c:tx>
          <c:spPr>
            <a:solidFill>
              <a:schemeClr val="accent2"/>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графики!$C$4:$I$4</c:f>
              <c:numCache>
                <c:formatCode>General</c:formatCode>
                <c:ptCount val="6"/>
                <c:pt idx="0">
                  <c:v>31349</c:v>
                </c:pt>
                <c:pt idx="1">
                  <c:v>34408</c:v>
                </c:pt>
                <c:pt idx="2">
                  <c:v>29702</c:v>
                </c:pt>
                <c:pt idx="3">
                  <c:v>28936</c:v>
                </c:pt>
                <c:pt idx="4">
                  <c:v>34464</c:v>
                </c:pt>
                <c:pt idx="5" formatCode="0">
                  <c:v>31728.412061826617</c:v>
                </c:pt>
              </c:numCache>
            </c:numRef>
          </c:val>
          <c:extLst xmlns:c16r2="http://schemas.microsoft.com/office/drawing/2015/06/chart">
            <c:ext xmlns:c16="http://schemas.microsoft.com/office/drawing/2014/chart" uri="{C3380CC4-5D6E-409C-BE32-E72D297353CC}">
              <c16:uniqueId val="{00000001-F205-4F77-A69C-8C2AA89B4D91}"/>
            </c:ext>
          </c:extLst>
        </c:ser>
        <c:ser>
          <c:idx val="2"/>
          <c:order val="2"/>
          <c:tx>
            <c:strRef>
              <c:f>графики!$B$5</c:f>
              <c:strCache>
                <c:ptCount val="1"/>
                <c:pt idx="0">
                  <c:v>Приходи от речни пристанища</c:v>
                </c:pt>
              </c:strCache>
            </c:strRef>
          </c:tx>
          <c:spPr>
            <a:solidFill>
              <a:schemeClr val="accent3"/>
            </a:solidFill>
            <a:ln>
              <a:noFill/>
            </a:ln>
            <a:effectLst/>
          </c:spPr>
          <c:invertIfNegative val="0"/>
          <c:cat>
            <c:numRef>
              <c:f>графики!$C$2:$I$2</c:f>
              <c:numCache>
                <c:formatCode>General</c:formatCode>
                <c:ptCount val="6"/>
                <c:pt idx="0">
                  <c:v>2018</c:v>
                </c:pt>
                <c:pt idx="1">
                  <c:v>2019</c:v>
                </c:pt>
                <c:pt idx="2">
                  <c:v>2020</c:v>
                </c:pt>
                <c:pt idx="3">
                  <c:v>2021</c:v>
                </c:pt>
                <c:pt idx="4">
                  <c:v>2022</c:v>
                </c:pt>
                <c:pt idx="5">
                  <c:v>2023</c:v>
                </c:pt>
              </c:numCache>
            </c:numRef>
          </c:cat>
          <c:val>
            <c:numRef>
              <c:f>графики!$C$5:$I$5</c:f>
              <c:numCache>
                <c:formatCode>General</c:formatCode>
                <c:ptCount val="6"/>
                <c:pt idx="0">
                  <c:v>1127</c:v>
                </c:pt>
                <c:pt idx="1">
                  <c:v>1183</c:v>
                </c:pt>
                <c:pt idx="2">
                  <c:v>1201</c:v>
                </c:pt>
                <c:pt idx="3">
                  <c:v>1388</c:v>
                </c:pt>
                <c:pt idx="4">
                  <c:v>1665</c:v>
                </c:pt>
                <c:pt idx="5" formatCode="0">
                  <c:v>1532.8402414966722</c:v>
                </c:pt>
              </c:numCache>
            </c:numRef>
          </c:val>
          <c:extLst xmlns:c16r2="http://schemas.microsoft.com/office/drawing/2015/06/chart">
            <c:ext xmlns:c16="http://schemas.microsoft.com/office/drawing/2014/chart" uri="{C3380CC4-5D6E-409C-BE32-E72D297353CC}">
              <c16:uniqueId val="{00000002-F205-4F77-A69C-8C2AA89B4D91}"/>
            </c:ext>
          </c:extLst>
        </c:ser>
        <c:dLbls>
          <c:showLegendKey val="0"/>
          <c:showVal val="0"/>
          <c:showCatName val="0"/>
          <c:showSerName val="0"/>
          <c:showPercent val="0"/>
          <c:showBubbleSize val="0"/>
        </c:dLbls>
        <c:gapWidth val="182"/>
        <c:axId val="-962215744"/>
        <c:axId val="-962215200"/>
      </c:barChart>
      <c:catAx>
        <c:axId val="-962215744"/>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5200"/>
        <c:crosses val="autoZero"/>
        <c:auto val="1"/>
        <c:lblAlgn val="ctr"/>
        <c:lblOffset val="100"/>
        <c:noMultiLvlLbl val="0"/>
      </c:catAx>
      <c:valAx>
        <c:axId val="-96221520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62215744"/>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6">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3494876-E8A4-45D1-AB32-B18B751D5DF8}" type="doc">
      <dgm:prSet loTypeId="urn:microsoft.com/office/officeart/2005/8/layout/lProcess2" loCatId="list" qsTypeId="urn:microsoft.com/office/officeart/2005/8/quickstyle/3d2" qsCatId="3D" csTypeId="urn:microsoft.com/office/officeart/2005/8/colors/colorful5" csCatId="colorful" phldr="1"/>
      <dgm:spPr/>
      <dgm:t>
        <a:bodyPr/>
        <a:lstStyle/>
        <a:p>
          <a:endParaRPr lang="en-US"/>
        </a:p>
      </dgm:t>
    </dgm:pt>
    <dgm:pt modelId="{83C6D66C-F7B8-43C8-9A20-D51F4E8FD444}">
      <dgm:prSet phldrT="[Text]"/>
      <dgm:spPr/>
      <dgm:t>
        <a:bodyPr/>
        <a:lstStyle/>
        <a:p>
          <a:pPr algn="ctr"/>
          <a:r>
            <a:rPr lang="bg-BG"/>
            <a:t>Входящи данни</a:t>
          </a:r>
          <a:endParaRPr lang="en-US"/>
        </a:p>
      </dgm:t>
    </dgm:pt>
    <dgm:pt modelId="{63A19670-9E0F-4FAF-BC10-BBA7851011F3}" type="parTrans" cxnId="{00747DA7-32CD-40BB-AD60-B06BBA1DE3D1}">
      <dgm:prSet/>
      <dgm:spPr/>
      <dgm:t>
        <a:bodyPr/>
        <a:lstStyle/>
        <a:p>
          <a:pPr algn="ctr"/>
          <a:endParaRPr lang="en-US"/>
        </a:p>
      </dgm:t>
    </dgm:pt>
    <dgm:pt modelId="{62F22003-F6BB-4985-B80D-648D383E6385}" type="sibTrans" cxnId="{00747DA7-32CD-40BB-AD60-B06BBA1DE3D1}">
      <dgm:prSet/>
      <dgm:spPr/>
      <dgm:t>
        <a:bodyPr/>
        <a:lstStyle/>
        <a:p>
          <a:pPr algn="ctr"/>
          <a:endParaRPr lang="en-US"/>
        </a:p>
      </dgm:t>
    </dgm:pt>
    <dgm:pt modelId="{CA6C74B7-466E-4EC5-99C7-B9E91AC1587A}">
      <dgm:prSet phldrT="[Text]"/>
      <dgm:spPr/>
      <dgm:t>
        <a:bodyPr/>
        <a:lstStyle/>
        <a:p>
          <a:pPr algn="ctr"/>
          <a:r>
            <a:rPr lang="bg-BG"/>
            <a:t>Резултати от анализа</a:t>
          </a:r>
          <a:endParaRPr lang="en-US"/>
        </a:p>
      </dgm:t>
    </dgm:pt>
    <dgm:pt modelId="{E11D6890-ECCE-42B1-9998-2CFBF9A3DCD4}" type="parTrans" cxnId="{D49A8D10-B9BE-41BE-8936-76609B85E950}">
      <dgm:prSet/>
      <dgm:spPr/>
      <dgm:t>
        <a:bodyPr/>
        <a:lstStyle/>
        <a:p>
          <a:pPr algn="ctr"/>
          <a:endParaRPr lang="en-US"/>
        </a:p>
      </dgm:t>
    </dgm:pt>
    <dgm:pt modelId="{BFB9E2E5-2745-4F47-8401-D5054480BC1D}" type="sibTrans" cxnId="{D49A8D10-B9BE-41BE-8936-76609B85E950}">
      <dgm:prSet/>
      <dgm:spPr/>
      <dgm:t>
        <a:bodyPr/>
        <a:lstStyle/>
        <a:p>
          <a:pPr algn="ctr"/>
          <a:endParaRPr lang="en-US"/>
        </a:p>
      </dgm:t>
    </dgm:pt>
    <dgm:pt modelId="{F9E195E9-63F9-4A4C-8602-D7F136458E64}">
      <dgm:prSet phldrT="[Text]"/>
      <dgm:spPr/>
      <dgm:t>
        <a:bodyPr/>
        <a:lstStyle/>
        <a:p>
          <a:pPr algn="ctr"/>
          <a:r>
            <a:rPr lang="bg-BG"/>
            <a:t>разделяне на разходите  на постоянни и променливи</a:t>
          </a:r>
          <a:endParaRPr lang="en-US"/>
        </a:p>
      </dgm:t>
    </dgm:pt>
    <dgm:pt modelId="{F3BBA8FD-817C-45A8-9330-589A03EF349D}" type="parTrans" cxnId="{DAA06596-86CB-4805-ADB0-7AD5F12BA26E}">
      <dgm:prSet/>
      <dgm:spPr/>
      <dgm:t>
        <a:bodyPr/>
        <a:lstStyle/>
        <a:p>
          <a:pPr algn="ctr"/>
          <a:endParaRPr lang="en-US"/>
        </a:p>
      </dgm:t>
    </dgm:pt>
    <dgm:pt modelId="{FFDF0CA7-2449-4569-99C7-901593C58964}" type="sibTrans" cxnId="{DAA06596-86CB-4805-ADB0-7AD5F12BA26E}">
      <dgm:prSet/>
      <dgm:spPr/>
      <dgm:t>
        <a:bodyPr/>
        <a:lstStyle/>
        <a:p>
          <a:pPr algn="ctr"/>
          <a:endParaRPr lang="en-US"/>
        </a:p>
      </dgm:t>
    </dgm:pt>
    <dgm:pt modelId="{34C7B68C-24E3-4D2C-91B6-9C67B7A2E217}">
      <dgm:prSet phldrT="[Text]"/>
      <dgm:spPr/>
      <dgm:t>
        <a:bodyPr/>
        <a:lstStyle/>
        <a:p>
          <a:pPr algn="ctr"/>
          <a:r>
            <a:rPr lang="bg-BG"/>
            <a:t> определяне на разходите за поддръжка е ре-инвестиции </a:t>
          </a:r>
          <a:endParaRPr lang="en-US"/>
        </a:p>
      </dgm:t>
    </dgm:pt>
    <dgm:pt modelId="{9C155FFA-52A4-4370-94DA-0714BC2D9803}" type="parTrans" cxnId="{AC032EB1-211D-4688-B3DC-918078AB6463}">
      <dgm:prSet/>
      <dgm:spPr/>
      <dgm:t>
        <a:bodyPr/>
        <a:lstStyle/>
        <a:p>
          <a:pPr algn="ctr"/>
          <a:endParaRPr lang="en-US"/>
        </a:p>
      </dgm:t>
    </dgm:pt>
    <dgm:pt modelId="{6973465E-BB45-43AE-84AC-AB9B019F3A13}" type="sibTrans" cxnId="{AC032EB1-211D-4688-B3DC-918078AB6463}">
      <dgm:prSet/>
      <dgm:spPr/>
      <dgm:t>
        <a:bodyPr/>
        <a:lstStyle/>
        <a:p>
          <a:pPr algn="ctr"/>
          <a:endParaRPr lang="en-US"/>
        </a:p>
      </dgm:t>
    </dgm:pt>
    <dgm:pt modelId="{16CBA4F1-AED3-4417-BC61-6268E4F9BB72}">
      <dgm:prSet phldrT="[Text]"/>
      <dgm:spPr/>
      <dgm:t>
        <a:bodyPr/>
        <a:lstStyle/>
        <a:p>
          <a:pPr algn="ctr"/>
          <a:r>
            <a:rPr lang="bg-BG"/>
            <a:t>Прогнозни разходи</a:t>
          </a:r>
          <a:endParaRPr lang="en-US"/>
        </a:p>
      </dgm:t>
    </dgm:pt>
    <dgm:pt modelId="{1A20641A-98F2-4F32-B50D-83C6EC562784}" type="parTrans" cxnId="{48A64981-0214-451F-BBFE-5BFEA47B212F}">
      <dgm:prSet/>
      <dgm:spPr/>
      <dgm:t>
        <a:bodyPr/>
        <a:lstStyle/>
        <a:p>
          <a:pPr algn="ctr"/>
          <a:endParaRPr lang="en-US"/>
        </a:p>
      </dgm:t>
    </dgm:pt>
    <dgm:pt modelId="{4AF81F61-3D12-45D8-8D71-FC25D1613167}" type="sibTrans" cxnId="{48A64981-0214-451F-BBFE-5BFEA47B212F}">
      <dgm:prSet/>
      <dgm:spPr/>
      <dgm:t>
        <a:bodyPr/>
        <a:lstStyle/>
        <a:p>
          <a:pPr algn="ctr"/>
          <a:endParaRPr lang="en-US"/>
        </a:p>
      </dgm:t>
    </dgm:pt>
    <dgm:pt modelId="{C0E95E18-24AC-470B-8DC5-87DCA00014EA}">
      <dgm:prSet phldrT="[Text]"/>
      <dgm:spPr/>
      <dgm:t>
        <a:bodyPr/>
        <a:lstStyle/>
        <a:p>
          <a:pPr algn="ctr"/>
          <a:r>
            <a:rPr lang="bg-BG"/>
            <a:t>определяне на единичните стойности</a:t>
          </a:r>
          <a:endParaRPr lang="en-US"/>
        </a:p>
      </dgm:t>
    </dgm:pt>
    <dgm:pt modelId="{10D27417-A935-411A-B30E-B3AE66733987}" type="parTrans" cxnId="{50BC95F9-63BF-47E3-ADA6-C68AA027F769}">
      <dgm:prSet/>
      <dgm:spPr/>
      <dgm:t>
        <a:bodyPr/>
        <a:lstStyle/>
        <a:p>
          <a:pPr algn="ctr"/>
          <a:endParaRPr lang="en-US"/>
        </a:p>
      </dgm:t>
    </dgm:pt>
    <dgm:pt modelId="{CF02E679-601D-4220-B1B8-A34A75B02426}" type="sibTrans" cxnId="{50BC95F9-63BF-47E3-ADA6-C68AA027F769}">
      <dgm:prSet/>
      <dgm:spPr/>
      <dgm:t>
        <a:bodyPr/>
        <a:lstStyle/>
        <a:p>
          <a:pPr algn="ctr"/>
          <a:endParaRPr lang="en-US"/>
        </a:p>
      </dgm:t>
    </dgm:pt>
    <dgm:pt modelId="{9ADD7F98-45FC-4522-ADA8-6428864D3BC8}">
      <dgm:prSet phldrT="[Text]"/>
      <dgm:spPr/>
      <dgm:t>
        <a:bodyPr/>
        <a:lstStyle/>
        <a:p>
          <a:pPr algn="ctr"/>
          <a:r>
            <a:rPr lang="bg-BG"/>
            <a:t>определяне на прогнозните инкрементални разходи за ЕиП</a:t>
          </a:r>
          <a:endParaRPr lang="en-US"/>
        </a:p>
      </dgm:t>
    </dgm:pt>
    <dgm:pt modelId="{F8E416F3-3935-4559-B789-C9D395769B9A}" type="parTrans" cxnId="{AEEEC715-2B85-4C75-855D-293FEE56EC2F}">
      <dgm:prSet/>
      <dgm:spPr/>
      <dgm:t>
        <a:bodyPr/>
        <a:lstStyle/>
        <a:p>
          <a:pPr algn="ctr"/>
          <a:endParaRPr lang="en-US"/>
        </a:p>
      </dgm:t>
    </dgm:pt>
    <dgm:pt modelId="{EFA4740F-E24A-4097-AEAF-15E0C87FFD05}" type="sibTrans" cxnId="{AEEEC715-2B85-4C75-855D-293FEE56EC2F}">
      <dgm:prSet/>
      <dgm:spPr/>
      <dgm:t>
        <a:bodyPr/>
        <a:lstStyle/>
        <a:p>
          <a:pPr algn="ctr"/>
          <a:endParaRPr lang="en-US"/>
        </a:p>
      </dgm:t>
    </dgm:pt>
    <dgm:pt modelId="{61711B36-9B9C-45BE-9B39-872B86EA1102}">
      <dgm:prSet/>
      <dgm:spPr/>
      <dgm:t>
        <a:bodyPr/>
        <a:lstStyle/>
        <a:p>
          <a:pPr algn="ctr"/>
          <a:r>
            <a:rPr lang="bg-BG"/>
            <a:t>сравнителен анализ  за достоверност</a:t>
          </a:r>
          <a:endParaRPr lang="en-US"/>
        </a:p>
      </dgm:t>
    </dgm:pt>
    <dgm:pt modelId="{EC8B1D7E-34E9-4AF9-9168-C6D8BAE17168}" type="parTrans" cxnId="{E5693519-A27F-476B-97D9-7A51A3E0055E}">
      <dgm:prSet/>
      <dgm:spPr/>
      <dgm:t>
        <a:bodyPr/>
        <a:lstStyle/>
        <a:p>
          <a:pPr algn="ctr"/>
          <a:endParaRPr lang="en-US"/>
        </a:p>
      </dgm:t>
    </dgm:pt>
    <dgm:pt modelId="{A756B4F0-6AA9-4CD1-97AE-3E7707BAABF9}" type="sibTrans" cxnId="{E5693519-A27F-476B-97D9-7A51A3E0055E}">
      <dgm:prSet/>
      <dgm:spPr/>
      <dgm:t>
        <a:bodyPr/>
        <a:lstStyle/>
        <a:p>
          <a:pPr algn="ctr"/>
          <a:endParaRPr lang="en-US"/>
        </a:p>
      </dgm:t>
    </dgm:pt>
    <dgm:pt modelId="{BBDD3D34-4BBF-4D05-9A73-CC9EAA00C0A2}">
      <dgm:prSet/>
      <dgm:spPr/>
      <dgm:t>
        <a:bodyPr/>
        <a:lstStyle/>
        <a:p>
          <a:pPr algn="ctr"/>
          <a:r>
            <a:rPr lang="bg-BG"/>
            <a:t>нормативна уредба </a:t>
          </a:r>
          <a:endParaRPr lang="en-US"/>
        </a:p>
      </dgm:t>
    </dgm:pt>
    <dgm:pt modelId="{AFAB5C39-0A91-4195-8ADD-36C1A94C38D1}" type="sibTrans" cxnId="{FEDB99FF-FB37-4F19-8D74-7BB6F287743D}">
      <dgm:prSet/>
      <dgm:spPr/>
      <dgm:t>
        <a:bodyPr/>
        <a:lstStyle/>
        <a:p>
          <a:pPr algn="ctr"/>
          <a:endParaRPr lang="en-US"/>
        </a:p>
      </dgm:t>
    </dgm:pt>
    <dgm:pt modelId="{6287951B-EE2F-4728-9D57-F96AA44FF123}" type="parTrans" cxnId="{FEDB99FF-FB37-4F19-8D74-7BB6F287743D}">
      <dgm:prSet/>
      <dgm:spPr/>
      <dgm:t>
        <a:bodyPr/>
        <a:lstStyle/>
        <a:p>
          <a:pPr algn="ctr"/>
          <a:endParaRPr lang="en-US"/>
        </a:p>
      </dgm:t>
    </dgm:pt>
    <dgm:pt modelId="{BA2EE869-6514-4248-8C7F-9C5244D08F9F}">
      <dgm:prSet phldrT="[Text]" custT="1"/>
      <dgm:spPr/>
      <dgm:t>
        <a:bodyPr/>
        <a:lstStyle/>
        <a:p>
          <a:pPr algn="ctr"/>
          <a:r>
            <a:rPr lang="bg-BG" sz="1100"/>
            <a:t>исторически данни от  ДППИ</a:t>
          </a:r>
        </a:p>
        <a:p>
          <a:pPr algn="ctr"/>
          <a:r>
            <a:rPr lang="bg-BG" sz="1000"/>
            <a:t> </a:t>
          </a:r>
          <a:endParaRPr lang="en-US" sz="1000"/>
        </a:p>
      </dgm:t>
    </dgm:pt>
    <dgm:pt modelId="{651AAC9A-0EE9-441B-B5AF-6A0674A67A8C}" type="sibTrans" cxnId="{716C5BBA-779E-4DD6-BAF8-951C69620F31}">
      <dgm:prSet/>
      <dgm:spPr/>
      <dgm:t>
        <a:bodyPr/>
        <a:lstStyle/>
        <a:p>
          <a:pPr algn="ctr"/>
          <a:endParaRPr lang="en-US"/>
        </a:p>
      </dgm:t>
    </dgm:pt>
    <dgm:pt modelId="{5077B31F-1F8F-4B92-B622-BC3350805129}" type="parTrans" cxnId="{716C5BBA-779E-4DD6-BAF8-951C69620F31}">
      <dgm:prSet/>
      <dgm:spPr/>
      <dgm:t>
        <a:bodyPr/>
        <a:lstStyle/>
        <a:p>
          <a:pPr algn="ctr"/>
          <a:endParaRPr lang="en-US"/>
        </a:p>
      </dgm:t>
    </dgm:pt>
    <dgm:pt modelId="{2F8FC92B-AAC9-444D-830E-59C557CCAFC6}">
      <dgm:prSet phldrT="[Text]"/>
      <dgm:spPr/>
      <dgm:t>
        <a:bodyPr/>
        <a:lstStyle/>
        <a:p>
          <a:pPr algn="ctr"/>
          <a:endParaRPr lang="en-US" sz="3600"/>
        </a:p>
      </dgm:t>
    </dgm:pt>
    <dgm:pt modelId="{52E84343-94D1-43EE-BEC4-828C18880A30}" type="sibTrans" cxnId="{38B90919-E422-47A6-B402-858DC2E81FED}">
      <dgm:prSet/>
      <dgm:spPr/>
      <dgm:t>
        <a:bodyPr/>
        <a:lstStyle/>
        <a:p>
          <a:pPr algn="ctr"/>
          <a:endParaRPr lang="en-US"/>
        </a:p>
      </dgm:t>
    </dgm:pt>
    <dgm:pt modelId="{CD6DB8A8-9BA5-4753-831C-337EA9CFC635}" type="parTrans" cxnId="{38B90919-E422-47A6-B402-858DC2E81FED}">
      <dgm:prSet/>
      <dgm:spPr/>
      <dgm:t>
        <a:bodyPr/>
        <a:lstStyle/>
        <a:p>
          <a:pPr algn="ctr"/>
          <a:endParaRPr lang="en-US"/>
        </a:p>
      </dgm:t>
    </dgm:pt>
    <dgm:pt modelId="{C2ABA254-4347-4C2C-AD5F-AD59A40820EA}" type="pres">
      <dgm:prSet presAssocID="{33494876-E8A4-45D1-AB32-B18B751D5DF8}" presName="theList" presStyleCnt="0">
        <dgm:presLayoutVars>
          <dgm:dir/>
          <dgm:animLvl val="lvl"/>
          <dgm:resizeHandles val="exact"/>
        </dgm:presLayoutVars>
      </dgm:prSet>
      <dgm:spPr/>
      <dgm:t>
        <a:bodyPr/>
        <a:lstStyle/>
        <a:p>
          <a:endParaRPr lang="en-US"/>
        </a:p>
      </dgm:t>
    </dgm:pt>
    <dgm:pt modelId="{DDEBA390-B142-4FA1-9219-9636B7B08028}" type="pres">
      <dgm:prSet presAssocID="{83C6D66C-F7B8-43C8-9A20-D51F4E8FD444}" presName="compNode" presStyleCnt="0"/>
      <dgm:spPr/>
    </dgm:pt>
    <dgm:pt modelId="{1390C492-EEAD-43F7-943B-72C909198D3A}" type="pres">
      <dgm:prSet presAssocID="{83C6D66C-F7B8-43C8-9A20-D51F4E8FD444}" presName="aNode" presStyleLbl="bgShp" presStyleIdx="0" presStyleCnt="3"/>
      <dgm:spPr/>
      <dgm:t>
        <a:bodyPr/>
        <a:lstStyle/>
        <a:p>
          <a:endParaRPr lang="en-US"/>
        </a:p>
      </dgm:t>
    </dgm:pt>
    <dgm:pt modelId="{D741E527-4316-467C-B9D1-DE3C56B004F9}" type="pres">
      <dgm:prSet presAssocID="{83C6D66C-F7B8-43C8-9A20-D51F4E8FD444}" presName="textNode" presStyleLbl="bgShp" presStyleIdx="0" presStyleCnt="3"/>
      <dgm:spPr/>
      <dgm:t>
        <a:bodyPr/>
        <a:lstStyle/>
        <a:p>
          <a:endParaRPr lang="en-US"/>
        </a:p>
      </dgm:t>
    </dgm:pt>
    <dgm:pt modelId="{79A71D91-F3F7-4318-9624-3AA596E41803}" type="pres">
      <dgm:prSet presAssocID="{83C6D66C-F7B8-43C8-9A20-D51F4E8FD444}" presName="compChildNode" presStyleCnt="0"/>
      <dgm:spPr/>
    </dgm:pt>
    <dgm:pt modelId="{971D88B1-2735-4B7A-99FA-88418A31E6B0}" type="pres">
      <dgm:prSet presAssocID="{83C6D66C-F7B8-43C8-9A20-D51F4E8FD444}" presName="theInnerList" presStyleCnt="0"/>
      <dgm:spPr/>
    </dgm:pt>
    <dgm:pt modelId="{9DBF7B04-E099-4C3B-BEDC-FB3EDB4FB139}" type="pres">
      <dgm:prSet presAssocID="{BA2EE869-6514-4248-8C7F-9C5244D08F9F}" presName="childNode" presStyleLbl="node1" presStyleIdx="0" presStyleCnt="7">
        <dgm:presLayoutVars>
          <dgm:bulletEnabled val="1"/>
        </dgm:presLayoutVars>
      </dgm:prSet>
      <dgm:spPr/>
      <dgm:t>
        <a:bodyPr/>
        <a:lstStyle/>
        <a:p>
          <a:endParaRPr lang="en-US"/>
        </a:p>
      </dgm:t>
    </dgm:pt>
    <dgm:pt modelId="{17E7C8B5-980B-43C0-8AE6-AACEAE66DA7F}" type="pres">
      <dgm:prSet presAssocID="{BA2EE869-6514-4248-8C7F-9C5244D08F9F}" presName="aSpace2" presStyleCnt="0"/>
      <dgm:spPr/>
    </dgm:pt>
    <dgm:pt modelId="{BC6D6174-AC93-4825-80A4-DB38D0EA39D4}" type="pres">
      <dgm:prSet presAssocID="{BBDD3D34-4BBF-4D05-9A73-CC9EAA00C0A2}" presName="childNode" presStyleLbl="node1" presStyleIdx="1" presStyleCnt="7">
        <dgm:presLayoutVars>
          <dgm:bulletEnabled val="1"/>
        </dgm:presLayoutVars>
      </dgm:prSet>
      <dgm:spPr/>
      <dgm:t>
        <a:bodyPr/>
        <a:lstStyle/>
        <a:p>
          <a:endParaRPr lang="en-US"/>
        </a:p>
      </dgm:t>
    </dgm:pt>
    <dgm:pt modelId="{E4A3C5D4-5FA6-49A8-830A-371EEA7D1B7C}" type="pres">
      <dgm:prSet presAssocID="{BBDD3D34-4BBF-4D05-9A73-CC9EAA00C0A2}" presName="aSpace2" presStyleCnt="0"/>
      <dgm:spPr/>
    </dgm:pt>
    <dgm:pt modelId="{F8F69468-CEC7-4D44-91B0-38D50AE57E13}" type="pres">
      <dgm:prSet presAssocID="{61711B36-9B9C-45BE-9B39-872B86EA1102}" presName="childNode" presStyleLbl="node1" presStyleIdx="2" presStyleCnt="7">
        <dgm:presLayoutVars>
          <dgm:bulletEnabled val="1"/>
        </dgm:presLayoutVars>
      </dgm:prSet>
      <dgm:spPr/>
      <dgm:t>
        <a:bodyPr/>
        <a:lstStyle/>
        <a:p>
          <a:endParaRPr lang="en-US"/>
        </a:p>
      </dgm:t>
    </dgm:pt>
    <dgm:pt modelId="{F0BE6AA4-AE70-4ADC-B5C9-657E33AB7049}" type="pres">
      <dgm:prSet presAssocID="{83C6D66C-F7B8-43C8-9A20-D51F4E8FD444}" presName="aSpace" presStyleCnt="0"/>
      <dgm:spPr/>
    </dgm:pt>
    <dgm:pt modelId="{95C23803-12D6-4F03-AB74-2DB1F03FAB28}" type="pres">
      <dgm:prSet presAssocID="{CA6C74B7-466E-4EC5-99C7-B9E91AC1587A}" presName="compNode" presStyleCnt="0"/>
      <dgm:spPr/>
    </dgm:pt>
    <dgm:pt modelId="{496A6531-6CEC-42C2-A597-FF020503494B}" type="pres">
      <dgm:prSet presAssocID="{CA6C74B7-466E-4EC5-99C7-B9E91AC1587A}" presName="aNode" presStyleLbl="bgShp" presStyleIdx="1" presStyleCnt="3"/>
      <dgm:spPr/>
      <dgm:t>
        <a:bodyPr/>
        <a:lstStyle/>
        <a:p>
          <a:endParaRPr lang="en-US"/>
        </a:p>
      </dgm:t>
    </dgm:pt>
    <dgm:pt modelId="{D3FE300C-820C-49A1-8339-EB3348EEA32D}" type="pres">
      <dgm:prSet presAssocID="{CA6C74B7-466E-4EC5-99C7-B9E91AC1587A}" presName="textNode" presStyleLbl="bgShp" presStyleIdx="1" presStyleCnt="3"/>
      <dgm:spPr/>
      <dgm:t>
        <a:bodyPr/>
        <a:lstStyle/>
        <a:p>
          <a:endParaRPr lang="en-US"/>
        </a:p>
      </dgm:t>
    </dgm:pt>
    <dgm:pt modelId="{D5DC4FDD-16B2-4DBA-99C7-C78DBB96EA3B}" type="pres">
      <dgm:prSet presAssocID="{CA6C74B7-466E-4EC5-99C7-B9E91AC1587A}" presName="compChildNode" presStyleCnt="0"/>
      <dgm:spPr/>
    </dgm:pt>
    <dgm:pt modelId="{24A39332-32E5-4FDF-8B33-B1A3B66D7864}" type="pres">
      <dgm:prSet presAssocID="{CA6C74B7-466E-4EC5-99C7-B9E91AC1587A}" presName="theInnerList" presStyleCnt="0"/>
      <dgm:spPr/>
    </dgm:pt>
    <dgm:pt modelId="{D61F894E-E7DB-4BEE-AEDD-95FD3C98F596}" type="pres">
      <dgm:prSet presAssocID="{F9E195E9-63F9-4A4C-8602-D7F136458E64}" presName="childNode" presStyleLbl="node1" presStyleIdx="3" presStyleCnt="7">
        <dgm:presLayoutVars>
          <dgm:bulletEnabled val="1"/>
        </dgm:presLayoutVars>
      </dgm:prSet>
      <dgm:spPr/>
      <dgm:t>
        <a:bodyPr/>
        <a:lstStyle/>
        <a:p>
          <a:endParaRPr lang="en-US"/>
        </a:p>
      </dgm:t>
    </dgm:pt>
    <dgm:pt modelId="{D9F7B031-6D59-4E8F-AAE3-FFC1C86284CF}" type="pres">
      <dgm:prSet presAssocID="{F9E195E9-63F9-4A4C-8602-D7F136458E64}" presName="aSpace2" presStyleCnt="0"/>
      <dgm:spPr/>
    </dgm:pt>
    <dgm:pt modelId="{20D996B4-2D05-421E-BCE9-08A7A9A51FC8}" type="pres">
      <dgm:prSet presAssocID="{34C7B68C-24E3-4D2C-91B6-9C67B7A2E217}" presName="childNode" presStyleLbl="node1" presStyleIdx="4" presStyleCnt="7">
        <dgm:presLayoutVars>
          <dgm:bulletEnabled val="1"/>
        </dgm:presLayoutVars>
      </dgm:prSet>
      <dgm:spPr/>
      <dgm:t>
        <a:bodyPr/>
        <a:lstStyle/>
        <a:p>
          <a:endParaRPr lang="en-US"/>
        </a:p>
      </dgm:t>
    </dgm:pt>
    <dgm:pt modelId="{A1D2ADF4-D5D6-426B-8292-7828D7CE06FB}" type="pres">
      <dgm:prSet presAssocID="{CA6C74B7-466E-4EC5-99C7-B9E91AC1587A}" presName="aSpace" presStyleCnt="0"/>
      <dgm:spPr/>
    </dgm:pt>
    <dgm:pt modelId="{8E0292FB-828E-4696-8067-5937E1968826}" type="pres">
      <dgm:prSet presAssocID="{16CBA4F1-AED3-4417-BC61-6268E4F9BB72}" presName="compNode" presStyleCnt="0"/>
      <dgm:spPr/>
    </dgm:pt>
    <dgm:pt modelId="{ED1D76BD-3DD7-4BAC-B4A3-4CE41A68ADA0}" type="pres">
      <dgm:prSet presAssocID="{16CBA4F1-AED3-4417-BC61-6268E4F9BB72}" presName="aNode" presStyleLbl="bgShp" presStyleIdx="2" presStyleCnt="3"/>
      <dgm:spPr/>
      <dgm:t>
        <a:bodyPr/>
        <a:lstStyle/>
        <a:p>
          <a:endParaRPr lang="en-US"/>
        </a:p>
      </dgm:t>
    </dgm:pt>
    <dgm:pt modelId="{73E80F1F-B0E7-4E9E-8B21-2C732A252EFB}" type="pres">
      <dgm:prSet presAssocID="{16CBA4F1-AED3-4417-BC61-6268E4F9BB72}" presName="textNode" presStyleLbl="bgShp" presStyleIdx="2" presStyleCnt="3"/>
      <dgm:spPr/>
      <dgm:t>
        <a:bodyPr/>
        <a:lstStyle/>
        <a:p>
          <a:endParaRPr lang="en-US"/>
        </a:p>
      </dgm:t>
    </dgm:pt>
    <dgm:pt modelId="{851FBEA8-B3E9-4B02-8896-511556C521B5}" type="pres">
      <dgm:prSet presAssocID="{16CBA4F1-AED3-4417-BC61-6268E4F9BB72}" presName="compChildNode" presStyleCnt="0"/>
      <dgm:spPr/>
    </dgm:pt>
    <dgm:pt modelId="{2D096636-0BCA-4115-B316-F91CEA7EA1A1}" type="pres">
      <dgm:prSet presAssocID="{16CBA4F1-AED3-4417-BC61-6268E4F9BB72}" presName="theInnerList" presStyleCnt="0"/>
      <dgm:spPr/>
    </dgm:pt>
    <dgm:pt modelId="{DFA51EF1-C20E-4045-AAC9-B8130755EEE9}" type="pres">
      <dgm:prSet presAssocID="{C0E95E18-24AC-470B-8DC5-87DCA00014EA}" presName="childNode" presStyleLbl="node1" presStyleIdx="5" presStyleCnt="7">
        <dgm:presLayoutVars>
          <dgm:bulletEnabled val="1"/>
        </dgm:presLayoutVars>
      </dgm:prSet>
      <dgm:spPr/>
      <dgm:t>
        <a:bodyPr/>
        <a:lstStyle/>
        <a:p>
          <a:endParaRPr lang="en-US"/>
        </a:p>
      </dgm:t>
    </dgm:pt>
    <dgm:pt modelId="{D3DEAE2B-5CDC-48EF-B4F1-B3A980676E13}" type="pres">
      <dgm:prSet presAssocID="{C0E95E18-24AC-470B-8DC5-87DCA00014EA}" presName="aSpace2" presStyleCnt="0"/>
      <dgm:spPr/>
    </dgm:pt>
    <dgm:pt modelId="{A9714FCB-C146-4401-95A2-8BFA3D91CEEF}" type="pres">
      <dgm:prSet presAssocID="{9ADD7F98-45FC-4522-ADA8-6428864D3BC8}" presName="childNode" presStyleLbl="node1" presStyleIdx="6" presStyleCnt="7">
        <dgm:presLayoutVars>
          <dgm:bulletEnabled val="1"/>
        </dgm:presLayoutVars>
      </dgm:prSet>
      <dgm:spPr/>
      <dgm:t>
        <a:bodyPr/>
        <a:lstStyle/>
        <a:p>
          <a:endParaRPr lang="en-US"/>
        </a:p>
      </dgm:t>
    </dgm:pt>
  </dgm:ptLst>
  <dgm:cxnLst>
    <dgm:cxn modelId="{1D9D7E61-7E76-48AB-9A23-92F235DE6743}" type="presOf" srcId="{83C6D66C-F7B8-43C8-9A20-D51F4E8FD444}" destId="{1390C492-EEAD-43F7-943B-72C909198D3A}" srcOrd="0" destOrd="0" presId="urn:microsoft.com/office/officeart/2005/8/layout/lProcess2"/>
    <dgm:cxn modelId="{FEDB99FF-FB37-4F19-8D74-7BB6F287743D}" srcId="{83C6D66C-F7B8-43C8-9A20-D51F4E8FD444}" destId="{BBDD3D34-4BBF-4D05-9A73-CC9EAA00C0A2}" srcOrd="1" destOrd="0" parTransId="{6287951B-EE2F-4728-9D57-F96AA44FF123}" sibTransId="{AFAB5C39-0A91-4195-8ADD-36C1A94C38D1}"/>
    <dgm:cxn modelId="{AEEEC715-2B85-4C75-855D-293FEE56EC2F}" srcId="{16CBA4F1-AED3-4417-BC61-6268E4F9BB72}" destId="{9ADD7F98-45FC-4522-ADA8-6428864D3BC8}" srcOrd="1" destOrd="0" parTransId="{F8E416F3-3935-4559-B789-C9D395769B9A}" sibTransId="{EFA4740F-E24A-4097-AEAF-15E0C87FFD05}"/>
    <dgm:cxn modelId="{50BC95F9-63BF-47E3-ADA6-C68AA027F769}" srcId="{16CBA4F1-AED3-4417-BC61-6268E4F9BB72}" destId="{C0E95E18-24AC-470B-8DC5-87DCA00014EA}" srcOrd="0" destOrd="0" parTransId="{10D27417-A935-411A-B30E-B3AE66733987}" sibTransId="{CF02E679-601D-4220-B1B8-A34A75B02426}"/>
    <dgm:cxn modelId="{DAA06596-86CB-4805-ADB0-7AD5F12BA26E}" srcId="{CA6C74B7-466E-4EC5-99C7-B9E91AC1587A}" destId="{F9E195E9-63F9-4A4C-8602-D7F136458E64}" srcOrd="0" destOrd="0" parTransId="{F3BBA8FD-817C-45A8-9330-589A03EF349D}" sibTransId="{FFDF0CA7-2449-4569-99C7-901593C58964}"/>
    <dgm:cxn modelId="{3059D3F1-5E52-4099-8D91-7E50EA114DAE}" type="presOf" srcId="{16CBA4F1-AED3-4417-BC61-6268E4F9BB72}" destId="{ED1D76BD-3DD7-4BAC-B4A3-4CE41A68ADA0}" srcOrd="0" destOrd="0" presId="urn:microsoft.com/office/officeart/2005/8/layout/lProcess2"/>
    <dgm:cxn modelId="{10D69610-6F66-4A13-BD7F-83DE4044C4F8}" type="presOf" srcId="{9ADD7F98-45FC-4522-ADA8-6428864D3BC8}" destId="{A9714FCB-C146-4401-95A2-8BFA3D91CEEF}" srcOrd="0" destOrd="0" presId="urn:microsoft.com/office/officeart/2005/8/layout/lProcess2"/>
    <dgm:cxn modelId="{15990220-E7A6-4CAD-B81A-74F136DCC5FB}" type="presOf" srcId="{2F8FC92B-AAC9-444D-830E-59C557CCAFC6}" destId="{9DBF7B04-E099-4C3B-BEDC-FB3EDB4FB139}" srcOrd="0" destOrd="1" presId="urn:microsoft.com/office/officeart/2005/8/layout/lProcess2"/>
    <dgm:cxn modelId="{FFC250ED-520C-4FE6-9644-1E66AF889B4F}" type="presOf" srcId="{34C7B68C-24E3-4D2C-91B6-9C67B7A2E217}" destId="{20D996B4-2D05-421E-BCE9-08A7A9A51FC8}" srcOrd="0" destOrd="0" presId="urn:microsoft.com/office/officeart/2005/8/layout/lProcess2"/>
    <dgm:cxn modelId="{D49A8D10-B9BE-41BE-8936-76609B85E950}" srcId="{33494876-E8A4-45D1-AB32-B18B751D5DF8}" destId="{CA6C74B7-466E-4EC5-99C7-B9E91AC1587A}" srcOrd="1" destOrd="0" parTransId="{E11D6890-ECCE-42B1-9998-2CFBF9A3DCD4}" sibTransId="{BFB9E2E5-2745-4F47-8401-D5054480BC1D}"/>
    <dgm:cxn modelId="{38B90919-E422-47A6-B402-858DC2E81FED}" srcId="{BA2EE869-6514-4248-8C7F-9C5244D08F9F}" destId="{2F8FC92B-AAC9-444D-830E-59C557CCAFC6}" srcOrd="0" destOrd="0" parTransId="{CD6DB8A8-9BA5-4753-831C-337EA9CFC635}" sibTransId="{52E84343-94D1-43EE-BEC4-828C18880A30}"/>
    <dgm:cxn modelId="{A0E96EE8-35E8-400C-B520-F82E50DC4BA8}" type="presOf" srcId="{33494876-E8A4-45D1-AB32-B18B751D5DF8}" destId="{C2ABA254-4347-4C2C-AD5F-AD59A40820EA}" srcOrd="0" destOrd="0" presId="urn:microsoft.com/office/officeart/2005/8/layout/lProcess2"/>
    <dgm:cxn modelId="{37B26582-D03E-4666-990B-F78958FA957E}" type="presOf" srcId="{F9E195E9-63F9-4A4C-8602-D7F136458E64}" destId="{D61F894E-E7DB-4BEE-AEDD-95FD3C98F596}" srcOrd="0" destOrd="0" presId="urn:microsoft.com/office/officeart/2005/8/layout/lProcess2"/>
    <dgm:cxn modelId="{685C403D-E2BA-4AEF-A00D-28369F9EEDAD}" type="presOf" srcId="{BA2EE869-6514-4248-8C7F-9C5244D08F9F}" destId="{9DBF7B04-E099-4C3B-BEDC-FB3EDB4FB139}" srcOrd="0" destOrd="0" presId="urn:microsoft.com/office/officeart/2005/8/layout/lProcess2"/>
    <dgm:cxn modelId="{3A29114C-900B-41B8-BD76-63DB38D7784F}" type="presOf" srcId="{61711B36-9B9C-45BE-9B39-872B86EA1102}" destId="{F8F69468-CEC7-4D44-91B0-38D50AE57E13}" srcOrd="0" destOrd="0" presId="urn:microsoft.com/office/officeart/2005/8/layout/lProcess2"/>
    <dgm:cxn modelId="{716C5BBA-779E-4DD6-BAF8-951C69620F31}" srcId="{83C6D66C-F7B8-43C8-9A20-D51F4E8FD444}" destId="{BA2EE869-6514-4248-8C7F-9C5244D08F9F}" srcOrd="0" destOrd="0" parTransId="{5077B31F-1F8F-4B92-B622-BC3350805129}" sibTransId="{651AAC9A-0EE9-441B-B5AF-6A0674A67A8C}"/>
    <dgm:cxn modelId="{9539C0E6-1C9A-46EC-AC77-09C0D2C347B8}" type="presOf" srcId="{CA6C74B7-466E-4EC5-99C7-B9E91AC1587A}" destId="{496A6531-6CEC-42C2-A597-FF020503494B}" srcOrd="0" destOrd="0" presId="urn:microsoft.com/office/officeart/2005/8/layout/lProcess2"/>
    <dgm:cxn modelId="{407F0929-0882-4F49-8FCE-C03E176B1959}" type="presOf" srcId="{BBDD3D34-4BBF-4D05-9A73-CC9EAA00C0A2}" destId="{BC6D6174-AC93-4825-80A4-DB38D0EA39D4}" srcOrd="0" destOrd="0" presId="urn:microsoft.com/office/officeart/2005/8/layout/lProcess2"/>
    <dgm:cxn modelId="{D458B59B-9FAB-49F2-B06E-4BB73F9B8BC5}" type="presOf" srcId="{16CBA4F1-AED3-4417-BC61-6268E4F9BB72}" destId="{73E80F1F-B0E7-4E9E-8B21-2C732A252EFB}" srcOrd="1" destOrd="0" presId="urn:microsoft.com/office/officeart/2005/8/layout/lProcess2"/>
    <dgm:cxn modelId="{CB577567-BC63-4349-9065-E867550C2371}" type="presOf" srcId="{83C6D66C-F7B8-43C8-9A20-D51F4E8FD444}" destId="{D741E527-4316-467C-B9D1-DE3C56B004F9}" srcOrd="1" destOrd="0" presId="urn:microsoft.com/office/officeart/2005/8/layout/lProcess2"/>
    <dgm:cxn modelId="{48A64981-0214-451F-BBFE-5BFEA47B212F}" srcId="{33494876-E8A4-45D1-AB32-B18B751D5DF8}" destId="{16CBA4F1-AED3-4417-BC61-6268E4F9BB72}" srcOrd="2" destOrd="0" parTransId="{1A20641A-98F2-4F32-B50D-83C6EC562784}" sibTransId="{4AF81F61-3D12-45D8-8D71-FC25D1613167}"/>
    <dgm:cxn modelId="{C647BF22-2367-4E36-8470-7D3680F9BB58}" type="presOf" srcId="{C0E95E18-24AC-470B-8DC5-87DCA00014EA}" destId="{DFA51EF1-C20E-4045-AAC9-B8130755EEE9}" srcOrd="0" destOrd="0" presId="urn:microsoft.com/office/officeart/2005/8/layout/lProcess2"/>
    <dgm:cxn modelId="{D81316EF-7478-401A-86B3-AE026F80A744}" type="presOf" srcId="{CA6C74B7-466E-4EC5-99C7-B9E91AC1587A}" destId="{D3FE300C-820C-49A1-8339-EB3348EEA32D}" srcOrd="1" destOrd="0" presId="urn:microsoft.com/office/officeart/2005/8/layout/lProcess2"/>
    <dgm:cxn modelId="{E5693519-A27F-476B-97D9-7A51A3E0055E}" srcId="{83C6D66C-F7B8-43C8-9A20-D51F4E8FD444}" destId="{61711B36-9B9C-45BE-9B39-872B86EA1102}" srcOrd="2" destOrd="0" parTransId="{EC8B1D7E-34E9-4AF9-9168-C6D8BAE17168}" sibTransId="{A756B4F0-6AA9-4CD1-97AE-3E7707BAABF9}"/>
    <dgm:cxn modelId="{00747DA7-32CD-40BB-AD60-B06BBA1DE3D1}" srcId="{33494876-E8A4-45D1-AB32-B18B751D5DF8}" destId="{83C6D66C-F7B8-43C8-9A20-D51F4E8FD444}" srcOrd="0" destOrd="0" parTransId="{63A19670-9E0F-4FAF-BC10-BBA7851011F3}" sibTransId="{62F22003-F6BB-4985-B80D-648D383E6385}"/>
    <dgm:cxn modelId="{AC032EB1-211D-4688-B3DC-918078AB6463}" srcId="{CA6C74B7-466E-4EC5-99C7-B9E91AC1587A}" destId="{34C7B68C-24E3-4D2C-91B6-9C67B7A2E217}" srcOrd="1" destOrd="0" parTransId="{9C155FFA-52A4-4370-94DA-0714BC2D9803}" sibTransId="{6973465E-BB45-43AE-84AC-AB9B019F3A13}"/>
    <dgm:cxn modelId="{5DBA355A-B2F0-47F3-8C26-D13F87D8431C}" type="presParOf" srcId="{C2ABA254-4347-4C2C-AD5F-AD59A40820EA}" destId="{DDEBA390-B142-4FA1-9219-9636B7B08028}" srcOrd="0" destOrd="0" presId="urn:microsoft.com/office/officeart/2005/8/layout/lProcess2"/>
    <dgm:cxn modelId="{6281E82B-D1D9-47D5-852F-58CDA79F26A5}" type="presParOf" srcId="{DDEBA390-B142-4FA1-9219-9636B7B08028}" destId="{1390C492-EEAD-43F7-943B-72C909198D3A}" srcOrd="0" destOrd="0" presId="urn:microsoft.com/office/officeart/2005/8/layout/lProcess2"/>
    <dgm:cxn modelId="{64719A73-DAA1-4A98-968A-B5AB12D8E23A}" type="presParOf" srcId="{DDEBA390-B142-4FA1-9219-9636B7B08028}" destId="{D741E527-4316-467C-B9D1-DE3C56B004F9}" srcOrd="1" destOrd="0" presId="urn:microsoft.com/office/officeart/2005/8/layout/lProcess2"/>
    <dgm:cxn modelId="{12943403-EDA5-42DE-8F17-E9610D0A4628}" type="presParOf" srcId="{DDEBA390-B142-4FA1-9219-9636B7B08028}" destId="{79A71D91-F3F7-4318-9624-3AA596E41803}" srcOrd="2" destOrd="0" presId="urn:microsoft.com/office/officeart/2005/8/layout/lProcess2"/>
    <dgm:cxn modelId="{DCE9DE87-FD59-4C00-AB2A-A3E6241E9E57}" type="presParOf" srcId="{79A71D91-F3F7-4318-9624-3AA596E41803}" destId="{971D88B1-2735-4B7A-99FA-88418A31E6B0}" srcOrd="0" destOrd="0" presId="urn:microsoft.com/office/officeart/2005/8/layout/lProcess2"/>
    <dgm:cxn modelId="{F893A49E-942D-40E3-84A1-A68D19E845A7}" type="presParOf" srcId="{971D88B1-2735-4B7A-99FA-88418A31E6B0}" destId="{9DBF7B04-E099-4C3B-BEDC-FB3EDB4FB139}" srcOrd="0" destOrd="0" presId="urn:microsoft.com/office/officeart/2005/8/layout/lProcess2"/>
    <dgm:cxn modelId="{599ECF51-5F3A-40FF-A1B3-B36BD90A83EF}" type="presParOf" srcId="{971D88B1-2735-4B7A-99FA-88418A31E6B0}" destId="{17E7C8B5-980B-43C0-8AE6-AACEAE66DA7F}" srcOrd="1" destOrd="0" presId="urn:microsoft.com/office/officeart/2005/8/layout/lProcess2"/>
    <dgm:cxn modelId="{365A753A-828E-4B21-B0D7-022E9811BB5E}" type="presParOf" srcId="{971D88B1-2735-4B7A-99FA-88418A31E6B0}" destId="{BC6D6174-AC93-4825-80A4-DB38D0EA39D4}" srcOrd="2" destOrd="0" presId="urn:microsoft.com/office/officeart/2005/8/layout/lProcess2"/>
    <dgm:cxn modelId="{3C03ECBD-262C-42C3-A718-29F1F3B534C1}" type="presParOf" srcId="{971D88B1-2735-4B7A-99FA-88418A31E6B0}" destId="{E4A3C5D4-5FA6-49A8-830A-371EEA7D1B7C}" srcOrd="3" destOrd="0" presId="urn:microsoft.com/office/officeart/2005/8/layout/lProcess2"/>
    <dgm:cxn modelId="{AD5D7CB2-C60F-47C3-B79C-85325D4C00EB}" type="presParOf" srcId="{971D88B1-2735-4B7A-99FA-88418A31E6B0}" destId="{F8F69468-CEC7-4D44-91B0-38D50AE57E13}" srcOrd="4" destOrd="0" presId="urn:microsoft.com/office/officeart/2005/8/layout/lProcess2"/>
    <dgm:cxn modelId="{FEA7A35F-DA4A-4A9D-A685-80773464E163}" type="presParOf" srcId="{C2ABA254-4347-4C2C-AD5F-AD59A40820EA}" destId="{F0BE6AA4-AE70-4ADC-B5C9-657E33AB7049}" srcOrd="1" destOrd="0" presId="urn:microsoft.com/office/officeart/2005/8/layout/lProcess2"/>
    <dgm:cxn modelId="{7C3C8E82-6EFE-44C5-9F94-ACF7214C8B1E}" type="presParOf" srcId="{C2ABA254-4347-4C2C-AD5F-AD59A40820EA}" destId="{95C23803-12D6-4F03-AB74-2DB1F03FAB28}" srcOrd="2" destOrd="0" presId="urn:microsoft.com/office/officeart/2005/8/layout/lProcess2"/>
    <dgm:cxn modelId="{E2295416-3756-4265-966F-C4F82AB2FB80}" type="presParOf" srcId="{95C23803-12D6-4F03-AB74-2DB1F03FAB28}" destId="{496A6531-6CEC-42C2-A597-FF020503494B}" srcOrd="0" destOrd="0" presId="urn:microsoft.com/office/officeart/2005/8/layout/lProcess2"/>
    <dgm:cxn modelId="{426CCFAF-6201-4279-8FA2-00A5A70AF5AB}" type="presParOf" srcId="{95C23803-12D6-4F03-AB74-2DB1F03FAB28}" destId="{D3FE300C-820C-49A1-8339-EB3348EEA32D}" srcOrd="1" destOrd="0" presId="urn:microsoft.com/office/officeart/2005/8/layout/lProcess2"/>
    <dgm:cxn modelId="{A3F694BC-C8FA-4E40-A5FA-91A94409CB8E}" type="presParOf" srcId="{95C23803-12D6-4F03-AB74-2DB1F03FAB28}" destId="{D5DC4FDD-16B2-4DBA-99C7-C78DBB96EA3B}" srcOrd="2" destOrd="0" presId="urn:microsoft.com/office/officeart/2005/8/layout/lProcess2"/>
    <dgm:cxn modelId="{E70D028D-7154-4811-9FB2-B97F91D484D3}" type="presParOf" srcId="{D5DC4FDD-16B2-4DBA-99C7-C78DBB96EA3B}" destId="{24A39332-32E5-4FDF-8B33-B1A3B66D7864}" srcOrd="0" destOrd="0" presId="urn:microsoft.com/office/officeart/2005/8/layout/lProcess2"/>
    <dgm:cxn modelId="{3868FBE6-3D09-472C-91BE-2B663ED38ED4}" type="presParOf" srcId="{24A39332-32E5-4FDF-8B33-B1A3B66D7864}" destId="{D61F894E-E7DB-4BEE-AEDD-95FD3C98F596}" srcOrd="0" destOrd="0" presId="urn:microsoft.com/office/officeart/2005/8/layout/lProcess2"/>
    <dgm:cxn modelId="{5D764A19-D3E5-4141-9D27-F77751773919}" type="presParOf" srcId="{24A39332-32E5-4FDF-8B33-B1A3B66D7864}" destId="{D9F7B031-6D59-4E8F-AAE3-FFC1C86284CF}" srcOrd="1" destOrd="0" presId="urn:microsoft.com/office/officeart/2005/8/layout/lProcess2"/>
    <dgm:cxn modelId="{6C86B15B-0B52-43D0-B3D4-5C320649E053}" type="presParOf" srcId="{24A39332-32E5-4FDF-8B33-B1A3B66D7864}" destId="{20D996B4-2D05-421E-BCE9-08A7A9A51FC8}" srcOrd="2" destOrd="0" presId="urn:microsoft.com/office/officeart/2005/8/layout/lProcess2"/>
    <dgm:cxn modelId="{06C561F4-9050-42EE-9DED-673EBC66B810}" type="presParOf" srcId="{C2ABA254-4347-4C2C-AD5F-AD59A40820EA}" destId="{A1D2ADF4-D5D6-426B-8292-7828D7CE06FB}" srcOrd="3" destOrd="0" presId="urn:microsoft.com/office/officeart/2005/8/layout/lProcess2"/>
    <dgm:cxn modelId="{268E38BF-8D7C-47EC-9804-7981DF0AC178}" type="presParOf" srcId="{C2ABA254-4347-4C2C-AD5F-AD59A40820EA}" destId="{8E0292FB-828E-4696-8067-5937E1968826}" srcOrd="4" destOrd="0" presId="urn:microsoft.com/office/officeart/2005/8/layout/lProcess2"/>
    <dgm:cxn modelId="{52CF7256-E396-4C68-9140-02F9A75AA0A4}" type="presParOf" srcId="{8E0292FB-828E-4696-8067-5937E1968826}" destId="{ED1D76BD-3DD7-4BAC-B4A3-4CE41A68ADA0}" srcOrd="0" destOrd="0" presId="urn:microsoft.com/office/officeart/2005/8/layout/lProcess2"/>
    <dgm:cxn modelId="{FFD74B86-D125-4343-B4BA-7BF73BB86D7D}" type="presParOf" srcId="{8E0292FB-828E-4696-8067-5937E1968826}" destId="{73E80F1F-B0E7-4E9E-8B21-2C732A252EFB}" srcOrd="1" destOrd="0" presId="urn:microsoft.com/office/officeart/2005/8/layout/lProcess2"/>
    <dgm:cxn modelId="{2005FAAC-110A-46CF-820F-31787E579482}" type="presParOf" srcId="{8E0292FB-828E-4696-8067-5937E1968826}" destId="{851FBEA8-B3E9-4B02-8896-511556C521B5}" srcOrd="2" destOrd="0" presId="urn:microsoft.com/office/officeart/2005/8/layout/lProcess2"/>
    <dgm:cxn modelId="{3ACBA80B-E471-41E6-B34B-F2801F3EE403}" type="presParOf" srcId="{851FBEA8-B3E9-4B02-8896-511556C521B5}" destId="{2D096636-0BCA-4115-B316-F91CEA7EA1A1}" srcOrd="0" destOrd="0" presId="urn:microsoft.com/office/officeart/2005/8/layout/lProcess2"/>
    <dgm:cxn modelId="{DFCE22F9-38AD-4753-8A61-894D37F9C10B}" type="presParOf" srcId="{2D096636-0BCA-4115-B316-F91CEA7EA1A1}" destId="{DFA51EF1-C20E-4045-AAC9-B8130755EEE9}" srcOrd="0" destOrd="0" presId="urn:microsoft.com/office/officeart/2005/8/layout/lProcess2"/>
    <dgm:cxn modelId="{BD40B771-BC3E-4246-8561-EC0EB91D1E60}" type="presParOf" srcId="{2D096636-0BCA-4115-B316-F91CEA7EA1A1}" destId="{D3DEAE2B-5CDC-48EF-B4F1-B3A980676E13}" srcOrd="1" destOrd="0" presId="urn:microsoft.com/office/officeart/2005/8/layout/lProcess2"/>
    <dgm:cxn modelId="{4BCE8F64-3F3E-460C-8AEC-64D82ADBF8B4}" type="presParOf" srcId="{2D096636-0BCA-4115-B316-F91CEA7EA1A1}" destId="{A9714FCB-C146-4401-95A2-8BFA3D91CEEF}" srcOrd="2" destOrd="0" presId="urn:microsoft.com/office/officeart/2005/8/layout/lProcess2"/>
  </dgm:cxnLst>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90C492-EEAD-43F7-943B-72C909198D3A}">
      <dsp:nvSpPr>
        <dsp:cNvPr id="0" name=""/>
        <dsp:cNvSpPr/>
      </dsp:nvSpPr>
      <dsp:spPr>
        <a:xfrm>
          <a:off x="577"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bg-BG" sz="2200" kern="1200"/>
            <a:t>Входящи данни</a:t>
          </a:r>
          <a:endParaRPr lang="en-US" sz="2200" kern="1200"/>
        </a:p>
      </dsp:txBody>
      <dsp:txXfrm>
        <a:off x="577" y="0"/>
        <a:ext cx="1501257" cy="832675"/>
      </dsp:txXfrm>
    </dsp:sp>
    <dsp:sp modelId="{9DBF7B04-E099-4C3B-BEDC-FB3EDB4FB139}">
      <dsp:nvSpPr>
        <dsp:cNvPr id="0" name=""/>
        <dsp:cNvSpPr/>
      </dsp:nvSpPr>
      <dsp:spPr>
        <a:xfrm>
          <a:off x="150703" y="832912"/>
          <a:ext cx="1201005" cy="545291"/>
        </a:xfrm>
        <a:prstGeom prst="roundRect">
          <a:avLst>
            <a:gd name="adj" fmla="val 10000"/>
          </a:avLst>
        </a:prstGeom>
        <a:gradFill rotWithShape="0">
          <a:gsLst>
            <a:gs pos="0">
              <a:schemeClr val="accent5">
                <a:hueOff val="0"/>
                <a:satOff val="0"/>
                <a:lumOff val="0"/>
                <a:alphaOff val="0"/>
                <a:shade val="51000"/>
                <a:satMod val="130000"/>
              </a:schemeClr>
            </a:gs>
            <a:gs pos="80000">
              <a:schemeClr val="accent5">
                <a:hueOff val="0"/>
                <a:satOff val="0"/>
                <a:lumOff val="0"/>
                <a:alphaOff val="0"/>
                <a:shade val="93000"/>
                <a:satMod val="130000"/>
              </a:schemeClr>
            </a:gs>
            <a:gs pos="100000">
              <a:schemeClr val="accent5">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t" anchorCtr="0">
          <a:noAutofit/>
        </a:bodyPr>
        <a:lstStyle/>
        <a:p>
          <a:pPr lvl="0" algn="ctr" defTabSz="488950">
            <a:lnSpc>
              <a:spcPct val="90000"/>
            </a:lnSpc>
            <a:spcBef>
              <a:spcPct val="0"/>
            </a:spcBef>
            <a:spcAft>
              <a:spcPct val="35000"/>
            </a:spcAft>
          </a:pPr>
          <a:r>
            <a:rPr lang="bg-BG" sz="1100" kern="1200"/>
            <a:t>исторически данни от  ДППИ</a:t>
          </a:r>
        </a:p>
        <a:p>
          <a:pPr lvl="0" algn="ctr" defTabSz="488950">
            <a:lnSpc>
              <a:spcPct val="90000"/>
            </a:lnSpc>
            <a:spcBef>
              <a:spcPct val="0"/>
            </a:spcBef>
            <a:spcAft>
              <a:spcPct val="35000"/>
            </a:spcAft>
          </a:pPr>
          <a:r>
            <a:rPr lang="bg-BG" sz="1000" kern="1200"/>
            <a:t> </a:t>
          </a:r>
          <a:endParaRPr lang="en-US" sz="1000" kern="1200"/>
        </a:p>
        <a:p>
          <a:pPr marL="285750" lvl="1" indent="-285750" algn="ctr" defTabSz="1600200">
            <a:lnSpc>
              <a:spcPct val="90000"/>
            </a:lnSpc>
            <a:spcBef>
              <a:spcPct val="0"/>
            </a:spcBef>
            <a:spcAft>
              <a:spcPct val="15000"/>
            </a:spcAft>
            <a:buChar char="••"/>
          </a:pPr>
          <a:endParaRPr lang="en-US" sz="3600" kern="1200"/>
        </a:p>
      </dsp:txBody>
      <dsp:txXfrm>
        <a:off x="166674" y="848883"/>
        <a:ext cx="1169063" cy="513349"/>
      </dsp:txXfrm>
    </dsp:sp>
    <dsp:sp modelId="{BC6D6174-AC93-4825-80A4-DB38D0EA39D4}">
      <dsp:nvSpPr>
        <dsp:cNvPr id="0" name=""/>
        <dsp:cNvSpPr/>
      </dsp:nvSpPr>
      <dsp:spPr>
        <a:xfrm>
          <a:off x="150703" y="1462094"/>
          <a:ext cx="1201005" cy="545291"/>
        </a:xfrm>
        <a:prstGeom prst="roundRect">
          <a:avLst>
            <a:gd name="adj" fmla="val 10000"/>
          </a:avLst>
        </a:prstGeom>
        <a:gradFill rotWithShape="0">
          <a:gsLst>
            <a:gs pos="0">
              <a:schemeClr val="accent5">
                <a:hueOff val="-1655646"/>
                <a:satOff val="6635"/>
                <a:lumOff val="1438"/>
                <a:alphaOff val="0"/>
                <a:shade val="51000"/>
                <a:satMod val="130000"/>
              </a:schemeClr>
            </a:gs>
            <a:gs pos="80000">
              <a:schemeClr val="accent5">
                <a:hueOff val="-1655646"/>
                <a:satOff val="6635"/>
                <a:lumOff val="1438"/>
                <a:alphaOff val="0"/>
                <a:shade val="93000"/>
                <a:satMod val="130000"/>
              </a:schemeClr>
            </a:gs>
            <a:gs pos="100000">
              <a:schemeClr val="accent5">
                <a:hueOff val="-1655646"/>
                <a:satOff val="6635"/>
                <a:lumOff val="143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нормативна уредба </a:t>
          </a:r>
          <a:endParaRPr lang="en-US" sz="1100" kern="1200"/>
        </a:p>
      </dsp:txBody>
      <dsp:txXfrm>
        <a:off x="166674" y="1478065"/>
        <a:ext cx="1169063" cy="513349"/>
      </dsp:txXfrm>
    </dsp:sp>
    <dsp:sp modelId="{F8F69468-CEC7-4D44-91B0-38D50AE57E13}">
      <dsp:nvSpPr>
        <dsp:cNvPr id="0" name=""/>
        <dsp:cNvSpPr/>
      </dsp:nvSpPr>
      <dsp:spPr>
        <a:xfrm>
          <a:off x="150703" y="2091277"/>
          <a:ext cx="1201005" cy="545291"/>
        </a:xfrm>
        <a:prstGeom prst="roundRect">
          <a:avLst>
            <a:gd name="adj" fmla="val 10000"/>
          </a:avLst>
        </a:prstGeom>
        <a:gradFill rotWithShape="0">
          <a:gsLst>
            <a:gs pos="0">
              <a:schemeClr val="accent5">
                <a:hueOff val="-3311292"/>
                <a:satOff val="13270"/>
                <a:lumOff val="2876"/>
                <a:alphaOff val="0"/>
                <a:shade val="51000"/>
                <a:satMod val="130000"/>
              </a:schemeClr>
            </a:gs>
            <a:gs pos="80000">
              <a:schemeClr val="accent5">
                <a:hueOff val="-3311292"/>
                <a:satOff val="13270"/>
                <a:lumOff val="2876"/>
                <a:alphaOff val="0"/>
                <a:shade val="93000"/>
                <a:satMod val="130000"/>
              </a:schemeClr>
            </a:gs>
            <a:gs pos="100000">
              <a:schemeClr val="accent5">
                <a:hueOff val="-3311292"/>
                <a:satOff val="13270"/>
                <a:lumOff val="2876"/>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сравнителен анализ  за достоверност</a:t>
          </a:r>
          <a:endParaRPr lang="en-US" sz="1100" kern="1200"/>
        </a:p>
      </dsp:txBody>
      <dsp:txXfrm>
        <a:off x="166674" y="2107248"/>
        <a:ext cx="1169063" cy="513349"/>
      </dsp:txXfrm>
    </dsp:sp>
    <dsp:sp modelId="{496A6531-6CEC-42C2-A597-FF020503494B}">
      <dsp:nvSpPr>
        <dsp:cNvPr id="0" name=""/>
        <dsp:cNvSpPr/>
      </dsp:nvSpPr>
      <dsp:spPr>
        <a:xfrm>
          <a:off x="1614428"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bg-BG" sz="2200" kern="1200"/>
            <a:t>Резултати от анализа</a:t>
          </a:r>
          <a:endParaRPr lang="en-US" sz="2200" kern="1200"/>
        </a:p>
      </dsp:txBody>
      <dsp:txXfrm>
        <a:off x="1614428" y="0"/>
        <a:ext cx="1501257" cy="832675"/>
      </dsp:txXfrm>
    </dsp:sp>
    <dsp:sp modelId="{D61F894E-E7DB-4BEE-AEDD-95FD3C98F596}">
      <dsp:nvSpPr>
        <dsp:cNvPr id="0" name=""/>
        <dsp:cNvSpPr/>
      </dsp:nvSpPr>
      <dsp:spPr>
        <a:xfrm>
          <a:off x="1764554" y="833488"/>
          <a:ext cx="1201005" cy="836876"/>
        </a:xfrm>
        <a:prstGeom prst="roundRect">
          <a:avLst>
            <a:gd name="adj" fmla="val 10000"/>
          </a:avLst>
        </a:prstGeom>
        <a:gradFill rotWithShape="0">
          <a:gsLst>
            <a:gs pos="0">
              <a:schemeClr val="accent5">
                <a:hueOff val="-4966938"/>
                <a:satOff val="19906"/>
                <a:lumOff val="4314"/>
                <a:alphaOff val="0"/>
                <a:shade val="51000"/>
                <a:satMod val="130000"/>
              </a:schemeClr>
            </a:gs>
            <a:gs pos="80000">
              <a:schemeClr val="accent5">
                <a:hueOff val="-4966938"/>
                <a:satOff val="19906"/>
                <a:lumOff val="4314"/>
                <a:alphaOff val="0"/>
                <a:shade val="93000"/>
                <a:satMod val="130000"/>
              </a:schemeClr>
            </a:gs>
            <a:gs pos="100000">
              <a:schemeClr val="accent5">
                <a:hueOff val="-4966938"/>
                <a:satOff val="19906"/>
                <a:lumOff val="4314"/>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разделяне на разходите  на постоянни и променливи</a:t>
          </a:r>
          <a:endParaRPr lang="en-US" sz="1100" kern="1200"/>
        </a:p>
      </dsp:txBody>
      <dsp:txXfrm>
        <a:off x="1789065" y="857999"/>
        <a:ext cx="1151983" cy="787854"/>
      </dsp:txXfrm>
    </dsp:sp>
    <dsp:sp modelId="{20D996B4-2D05-421E-BCE9-08A7A9A51FC8}">
      <dsp:nvSpPr>
        <dsp:cNvPr id="0" name=""/>
        <dsp:cNvSpPr/>
      </dsp:nvSpPr>
      <dsp:spPr>
        <a:xfrm>
          <a:off x="1764554" y="1799115"/>
          <a:ext cx="1201005" cy="836876"/>
        </a:xfrm>
        <a:prstGeom prst="roundRect">
          <a:avLst>
            <a:gd name="adj" fmla="val 10000"/>
          </a:avLst>
        </a:prstGeom>
        <a:gradFill rotWithShape="0">
          <a:gsLst>
            <a:gs pos="0">
              <a:schemeClr val="accent5">
                <a:hueOff val="-6622584"/>
                <a:satOff val="26541"/>
                <a:lumOff val="5752"/>
                <a:alphaOff val="0"/>
                <a:shade val="51000"/>
                <a:satMod val="130000"/>
              </a:schemeClr>
            </a:gs>
            <a:gs pos="80000">
              <a:schemeClr val="accent5">
                <a:hueOff val="-6622584"/>
                <a:satOff val="26541"/>
                <a:lumOff val="5752"/>
                <a:alphaOff val="0"/>
                <a:shade val="93000"/>
                <a:satMod val="130000"/>
              </a:schemeClr>
            </a:gs>
            <a:gs pos="100000">
              <a:schemeClr val="accent5">
                <a:hueOff val="-6622584"/>
                <a:satOff val="26541"/>
                <a:lumOff val="5752"/>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 определяне на разходите за поддръжка е ре-инвестиции </a:t>
          </a:r>
          <a:endParaRPr lang="en-US" sz="1100" kern="1200"/>
        </a:p>
      </dsp:txBody>
      <dsp:txXfrm>
        <a:off x="1789065" y="1823626"/>
        <a:ext cx="1151983" cy="787854"/>
      </dsp:txXfrm>
    </dsp:sp>
    <dsp:sp modelId="{ED1D76BD-3DD7-4BAC-B4A3-4CE41A68ADA0}">
      <dsp:nvSpPr>
        <dsp:cNvPr id="0" name=""/>
        <dsp:cNvSpPr/>
      </dsp:nvSpPr>
      <dsp:spPr>
        <a:xfrm>
          <a:off x="3228280" y="0"/>
          <a:ext cx="1501257" cy="2775584"/>
        </a:xfrm>
        <a:prstGeom prst="roundRect">
          <a:avLst>
            <a:gd name="adj" fmla="val 10000"/>
          </a:avLst>
        </a:prstGeom>
        <a:gradFill rotWithShape="0">
          <a:gsLst>
            <a:gs pos="0">
              <a:schemeClr val="accent5">
                <a:tint val="40000"/>
                <a:hueOff val="0"/>
                <a:satOff val="0"/>
                <a:lumOff val="0"/>
                <a:alphaOff val="0"/>
                <a:shade val="51000"/>
                <a:satMod val="130000"/>
              </a:schemeClr>
            </a:gs>
            <a:gs pos="80000">
              <a:schemeClr val="accent5">
                <a:tint val="40000"/>
                <a:hueOff val="0"/>
                <a:satOff val="0"/>
                <a:lumOff val="0"/>
                <a:alphaOff val="0"/>
                <a:shade val="93000"/>
                <a:satMod val="130000"/>
              </a:schemeClr>
            </a:gs>
            <a:gs pos="100000">
              <a:schemeClr val="accent5">
                <a:tint val="40000"/>
                <a:hueOff val="0"/>
                <a:satOff val="0"/>
                <a:lumOff val="0"/>
                <a:alphaOff val="0"/>
                <a:shade val="94000"/>
                <a:satMod val="135000"/>
              </a:scheme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chemeClr val="bg1"/>
          </a:contourClr>
        </a:sp3d>
      </dsp:spPr>
      <dsp:style>
        <a:lnRef idx="0">
          <a:scrgbClr r="0" g="0" b="0"/>
        </a:lnRef>
        <a:fillRef idx="3">
          <a:scrgbClr r="0" g="0" b="0"/>
        </a:fillRef>
        <a:effectRef idx="0">
          <a:scrgbClr r="0" g="0" b="0"/>
        </a:effectRef>
        <a:fontRef idx="minor"/>
      </dsp:style>
      <dsp:txBody>
        <a:bodyPr spcFirstLastPara="0" vert="horz" wrap="square" lIns="83820" tIns="83820" rIns="83820" bIns="83820" numCol="1" spcCol="1270" anchor="ctr" anchorCtr="0">
          <a:noAutofit/>
        </a:bodyPr>
        <a:lstStyle/>
        <a:p>
          <a:pPr lvl="0" algn="ctr" defTabSz="977900">
            <a:lnSpc>
              <a:spcPct val="90000"/>
            </a:lnSpc>
            <a:spcBef>
              <a:spcPct val="0"/>
            </a:spcBef>
            <a:spcAft>
              <a:spcPct val="35000"/>
            </a:spcAft>
          </a:pPr>
          <a:r>
            <a:rPr lang="bg-BG" sz="2200" kern="1200"/>
            <a:t>Прогнозни разходи</a:t>
          </a:r>
          <a:endParaRPr lang="en-US" sz="2200" kern="1200"/>
        </a:p>
      </dsp:txBody>
      <dsp:txXfrm>
        <a:off x="3228280" y="0"/>
        <a:ext cx="1501257" cy="832675"/>
      </dsp:txXfrm>
    </dsp:sp>
    <dsp:sp modelId="{DFA51EF1-C20E-4045-AAC9-B8130755EEE9}">
      <dsp:nvSpPr>
        <dsp:cNvPr id="0" name=""/>
        <dsp:cNvSpPr/>
      </dsp:nvSpPr>
      <dsp:spPr>
        <a:xfrm>
          <a:off x="3378406" y="833488"/>
          <a:ext cx="1201005" cy="836876"/>
        </a:xfrm>
        <a:prstGeom prst="roundRect">
          <a:avLst>
            <a:gd name="adj" fmla="val 10000"/>
          </a:avLst>
        </a:prstGeom>
        <a:gradFill rotWithShape="0">
          <a:gsLst>
            <a:gs pos="0">
              <a:schemeClr val="accent5">
                <a:hueOff val="-8278230"/>
                <a:satOff val="33176"/>
                <a:lumOff val="7190"/>
                <a:alphaOff val="0"/>
                <a:shade val="51000"/>
                <a:satMod val="130000"/>
              </a:schemeClr>
            </a:gs>
            <a:gs pos="80000">
              <a:schemeClr val="accent5">
                <a:hueOff val="-8278230"/>
                <a:satOff val="33176"/>
                <a:lumOff val="7190"/>
                <a:alphaOff val="0"/>
                <a:shade val="93000"/>
                <a:satMod val="130000"/>
              </a:schemeClr>
            </a:gs>
            <a:gs pos="100000">
              <a:schemeClr val="accent5">
                <a:hueOff val="-8278230"/>
                <a:satOff val="33176"/>
                <a:lumOff val="719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определяне на единичните стойности</a:t>
          </a:r>
          <a:endParaRPr lang="en-US" sz="1100" kern="1200"/>
        </a:p>
      </dsp:txBody>
      <dsp:txXfrm>
        <a:off x="3402917" y="857999"/>
        <a:ext cx="1151983" cy="787854"/>
      </dsp:txXfrm>
    </dsp:sp>
    <dsp:sp modelId="{A9714FCB-C146-4401-95A2-8BFA3D91CEEF}">
      <dsp:nvSpPr>
        <dsp:cNvPr id="0" name=""/>
        <dsp:cNvSpPr/>
      </dsp:nvSpPr>
      <dsp:spPr>
        <a:xfrm>
          <a:off x="3378406" y="1799115"/>
          <a:ext cx="1201005" cy="836876"/>
        </a:xfrm>
        <a:prstGeom prst="roundRect">
          <a:avLst>
            <a:gd name="adj" fmla="val 10000"/>
          </a:avLst>
        </a:prstGeom>
        <a:gradFill rotWithShape="0">
          <a:gsLst>
            <a:gs pos="0">
              <a:schemeClr val="accent5">
                <a:hueOff val="-9933876"/>
                <a:satOff val="39811"/>
                <a:lumOff val="8628"/>
                <a:alphaOff val="0"/>
                <a:shade val="51000"/>
                <a:satMod val="130000"/>
              </a:schemeClr>
            </a:gs>
            <a:gs pos="80000">
              <a:schemeClr val="accent5">
                <a:hueOff val="-9933876"/>
                <a:satOff val="39811"/>
                <a:lumOff val="8628"/>
                <a:alphaOff val="0"/>
                <a:shade val="93000"/>
                <a:satMod val="130000"/>
              </a:schemeClr>
            </a:gs>
            <a:gs pos="100000">
              <a:schemeClr val="accent5">
                <a:hueOff val="-9933876"/>
                <a:satOff val="39811"/>
                <a:lumOff val="8628"/>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27940" tIns="20955" rIns="27940" bIns="20955" numCol="1" spcCol="1270" anchor="ctr" anchorCtr="0">
          <a:noAutofit/>
        </a:bodyPr>
        <a:lstStyle/>
        <a:p>
          <a:pPr lvl="0" algn="ctr" defTabSz="488950">
            <a:lnSpc>
              <a:spcPct val="90000"/>
            </a:lnSpc>
            <a:spcBef>
              <a:spcPct val="0"/>
            </a:spcBef>
            <a:spcAft>
              <a:spcPct val="35000"/>
            </a:spcAft>
          </a:pPr>
          <a:r>
            <a:rPr lang="bg-BG" sz="1100" kern="1200"/>
            <a:t>определяне на прогнозните инкрементални разходи за ЕиП</a:t>
          </a:r>
          <a:endParaRPr lang="en-US" sz="1100" kern="1200"/>
        </a:p>
      </dsp:txBody>
      <dsp:txXfrm>
        <a:off x="3402917" y="1823626"/>
        <a:ext cx="1151983" cy="787854"/>
      </dsp:txXfrm>
    </dsp:sp>
  </dsp:spTree>
</dsp:drawing>
</file>

<file path=word/diagrams/layout1.xml><?xml version="1.0" encoding="utf-8"?>
<dgm:layoutDef xmlns:dgm="http://schemas.openxmlformats.org/drawingml/2006/diagram" xmlns:a="http://schemas.openxmlformats.org/drawingml/2006/main" uniqueId="urn:microsoft.com/office/officeart/2005/8/layout/lProcess2">
  <dgm:title val=""/>
  <dgm:desc val=""/>
  <dgm:catLst>
    <dgm:cat type="list" pri="10000"/>
    <dgm:cat type="relationship" pri="13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13" srcId="1" destId="11" srcOrd="0" destOrd="0"/>
        <dgm:cxn modelId="14" srcId="1" destId="12" srcOrd="0" destOrd="0"/>
        <dgm:cxn modelId="23" srcId="2" destId="21" srcOrd="0" destOrd="0"/>
        <dgm:cxn modelId="24" srcId="2" destId="22" srcOrd="0" destOrd="0"/>
        <dgm:cxn modelId="33" srcId="3" destId="31" srcOrd="0" destOrd="0"/>
        <dgm:cxn modelId="34" srcId="3" destId="32" srcOrd="0" destOrd="0"/>
      </dgm:cxnLst>
      <dgm:bg/>
      <dgm:whole/>
    </dgm:dataModel>
  </dgm:sampData>
  <dgm:styleData useDef="1">
    <dgm:dataModel>
      <dgm:ptLst/>
      <dgm:bg/>
      <dgm:whole/>
    </dgm:dataModel>
  </dgm:styleData>
  <dgm:clrData useDef="1">
    <dgm:dataModel>
      <dgm:ptLst/>
      <dgm:bg/>
      <dgm:whole/>
    </dgm:dataModel>
  </dgm:clrData>
  <dgm:layoutNode name="theList">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Node" refType="w"/>
      <dgm:constr type="h" for="ch" forName="compNode" refType="h"/>
      <dgm:constr type="w" for="ch" forName="aSpace" refType="w" fact="0.075"/>
      <dgm:constr type="h" for="des" forName="aSpace2" refType="h" fact="0.1"/>
      <dgm:constr type="primFontSz" for="des" forName="textNode" op="equ"/>
      <dgm:constr type="primFontSz" for="des" forName="childNode" op="equ"/>
    </dgm:constrLst>
    <dgm:ruleLst/>
    <dgm:forEach name="aNodeForEach" axis="ch" ptType="node">
      <dgm:layoutNode name="compNode">
        <dgm:alg type="composite"/>
        <dgm:shape xmlns:r="http://schemas.openxmlformats.org/officeDocument/2006/relationships" r:blip="">
          <dgm:adjLst/>
        </dgm:shape>
        <dgm:presOf/>
        <dgm:constrLst>
          <dgm:constr type="w" for="ch" forName="aNode" refType="w"/>
          <dgm:constr type="h" for="ch" forName="aNode" refType="h"/>
          <dgm:constr type="w" for="ch" forName="textNode" refType="w"/>
          <dgm:constr type="h" for="ch" forName="textNode" refType="h" fact="0.3"/>
          <dgm:constr type="ctrX" for="ch" forName="textNode" refType="w" fact="0.5"/>
          <dgm:constr type="w" for="ch" forName="compChildNode" refType="w" fact="0.8"/>
          <dgm:constr type="h" for="ch" forName="compChildNode" refType="h" fact="0.65"/>
          <dgm:constr type="t" for="ch" forName="compChildNode" refType="h" fact="0.3"/>
          <dgm:constr type="ctrX" for="ch" forName="compChildNode" refType="w" fact="0.5"/>
        </dgm:constrLst>
        <dgm:ruleLst/>
        <dgm:layoutNode name="aNode" styleLbl="bgShp">
          <dgm:alg type="sp"/>
          <dgm:shape xmlns:r="http://schemas.openxmlformats.org/officeDocument/2006/relationships" type="roundRect" r:blip="">
            <dgm:adjLst>
              <dgm:adj idx="1" val="0.1"/>
            </dgm:adjLst>
          </dgm:shape>
          <dgm:presOf axis="self"/>
          <dgm:constrLst/>
          <dgm:ruleLst/>
        </dgm:layoutNode>
        <dgm:layoutNode name="textNode" styleLbl="bgShp">
          <dgm:alg type="tx"/>
          <dgm:shape xmlns:r="http://schemas.openxmlformats.org/officeDocument/2006/relationships" type="rect" r:blip="" hideGeom="1">
            <dgm:adjLst>
              <dgm:adj idx="1" val="0.1"/>
            </dgm:adjLst>
          </dgm:shape>
          <dgm:presOf axis="self"/>
          <dgm:constrLst>
            <dgm:constr type="primFontSz" val="65"/>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compChildNode">
          <dgm:alg type="composite"/>
          <dgm:shape xmlns:r="http://schemas.openxmlformats.org/officeDocument/2006/relationships" r:blip="">
            <dgm:adjLst/>
          </dgm:shape>
          <dgm:presOf/>
          <dgm:constrLst>
            <dgm:constr type="w" for="des" forName="childNode" refType="w"/>
            <dgm:constr type="h" for="des" forName="childNode" refType="h"/>
          </dgm:constrLst>
          <dgm:ruleLst/>
          <dgm:layoutNode name="theInnerList">
            <dgm:alg type="lin">
              <dgm:param type="linDir" val="fromT"/>
            </dgm:alg>
            <dgm:shape xmlns:r="http://schemas.openxmlformats.org/officeDocument/2006/relationships" r:blip="">
              <dgm:adjLst/>
            </dgm:shape>
            <dgm:presOf/>
            <dgm:constrLst/>
            <dgm:ruleLst/>
            <dgm:forEach name="childNodeForEach" axis="ch" ptType="node">
              <dgm:layoutNode name="child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tMarg" refType="primFontSz" fact="0.15"/>
                  <dgm:constr type="bMarg" refType="primFontSz" fact="0.15"/>
                  <dgm:constr type="lMarg" refType="primFontSz" fact="0.2"/>
                  <dgm:constr type="rMarg" refType="primFontSz" fact="0.2"/>
                </dgm:constrLst>
                <dgm:ruleLst>
                  <dgm:rule type="primFontSz" val="5" fact="NaN" max="NaN"/>
                </dgm:ruleLst>
              </dgm:layoutNode>
              <dgm:choose name="Name3">
                <dgm:if name="Name4" axis="self" ptType="node" func="revPos" op="equ" val="1"/>
                <dgm:else name="Name5">
                  <dgm:layoutNode name="aSpace2">
                    <dgm:alg type="sp"/>
                    <dgm:shape xmlns:r="http://schemas.openxmlformats.org/officeDocument/2006/relationships" r:blip="">
                      <dgm:adjLst/>
                    </dgm:shape>
                    <dgm:presOf/>
                    <dgm:constrLst/>
                    <dgm:ruleLst/>
                  </dgm:layoutNode>
                </dgm:else>
              </dgm:choose>
            </dgm:forEach>
          </dgm:layoutNode>
        </dgm:layoutNode>
      </dgm:layoutNode>
      <dgm:choose name="Name6">
        <dgm:if name="Name7" axis="self" ptType="node" func="revPos" op="equ" val="1"/>
        <dgm:else name="Name8">
          <dgm:layoutNode name="aSpace">
            <dgm:alg type="sp"/>
            <dgm:shape xmlns:r="http://schemas.openxmlformats.org/officeDocument/2006/relationships" r:blip="">
              <dgm:adjLst/>
            </dgm:shape>
            <dgm:presOf/>
            <dgm:constrLst/>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2007 - 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2007 - 2010">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2007 - 2010">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7B429F35-C59C-4745-A62F-04F368E234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87</Pages>
  <Words>21698</Words>
  <Characters>123683</Characters>
  <Application>Microsoft Office Word</Application>
  <DocSecurity>0</DocSecurity>
  <Lines>1030</Lines>
  <Paragraphs>290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145091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Eliz Bohosyan</dc:creator>
  <cp:lastModifiedBy>Eliz Bohosyan</cp:lastModifiedBy>
  <cp:revision>4</cp:revision>
  <cp:lastPrinted>2021-11-04T10:48:00Z</cp:lastPrinted>
  <dcterms:created xsi:type="dcterms:W3CDTF">2025-07-03T11:40:00Z</dcterms:created>
  <dcterms:modified xsi:type="dcterms:W3CDTF">2025-07-03T11:52:00Z</dcterms:modified>
</cp:coreProperties>
</file>