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EE" w:rsidRDefault="00B34BEE"/>
    <w:p w:rsidR="00DE7EF0" w:rsidRPr="000408FA" w:rsidRDefault="00DE7EF0" w:rsidP="000408FA">
      <w:pPr>
        <w:spacing w:before="120" w:after="120" w:line="240" w:lineRule="auto"/>
        <w:ind w:left="6663" w:firstLine="708"/>
        <w:rPr>
          <w:rFonts w:ascii="Verdana" w:hAnsi="Verdana"/>
          <w:b/>
          <w:sz w:val="20"/>
          <w:szCs w:val="20"/>
        </w:rPr>
      </w:pPr>
      <w:r w:rsidRPr="000408FA">
        <w:rPr>
          <w:rFonts w:ascii="Verdana" w:hAnsi="Verdana"/>
          <w:b/>
          <w:sz w:val="20"/>
          <w:szCs w:val="20"/>
        </w:rPr>
        <w:t>Приложение № 3</w:t>
      </w:r>
    </w:p>
    <w:p w:rsidR="00DE7EF0" w:rsidRPr="000408FA" w:rsidRDefault="00DE7EF0" w:rsidP="00DE7EF0">
      <w:pPr>
        <w:spacing w:before="120" w:after="120" w:line="240" w:lineRule="auto"/>
        <w:ind w:left="7371"/>
        <w:rPr>
          <w:rFonts w:ascii="Verdana" w:hAnsi="Verdana"/>
          <w:b/>
          <w:sz w:val="20"/>
          <w:szCs w:val="20"/>
        </w:rPr>
      </w:pPr>
      <w:r w:rsidRPr="000408FA">
        <w:rPr>
          <w:rFonts w:ascii="Verdana" w:hAnsi="Verdana"/>
          <w:b/>
          <w:sz w:val="20"/>
          <w:szCs w:val="20"/>
        </w:rPr>
        <w:t>към заповед</w:t>
      </w:r>
      <w:r w:rsidR="0082122B" w:rsidRPr="000408FA">
        <w:rPr>
          <w:rFonts w:ascii="Verdana" w:hAnsi="Verdana"/>
          <w:b/>
          <w:sz w:val="20"/>
          <w:szCs w:val="20"/>
        </w:rPr>
        <w:t xml:space="preserve"> № МДР-ПП-09-</w:t>
      </w:r>
      <w:r w:rsidR="000408FA" w:rsidRPr="000408FA">
        <w:rPr>
          <w:rFonts w:ascii="Verdana" w:hAnsi="Verdana"/>
          <w:b/>
          <w:sz w:val="20"/>
          <w:szCs w:val="20"/>
          <w:lang w:val="en-US"/>
        </w:rPr>
        <w:t xml:space="preserve">81/21.10.2024 </w:t>
      </w:r>
      <w:bookmarkStart w:id="0" w:name="_GoBack"/>
      <w:bookmarkEnd w:id="0"/>
    </w:p>
    <w:p w:rsidR="000C3859" w:rsidRDefault="000C3859" w:rsidP="00DE7EF0">
      <w:pPr>
        <w:spacing w:before="120" w:after="120" w:line="240" w:lineRule="auto"/>
        <w:jc w:val="center"/>
        <w:rPr>
          <w:rFonts w:ascii="Verdana" w:hAnsi="Verdana"/>
          <w:b/>
        </w:rPr>
      </w:pPr>
    </w:p>
    <w:p w:rsidR="00DE7EF0" w:rsidRDefault="00DE7EF0" w:rsidP="00DE7EF0">
      <w:pPr>
        <w:spacing w:before="120" w:after="120" w:line="240" w:lineRule="auto"/>
        <w:jc w:val="center"/>
        <w:rPr>
          <w:rFonts w:ascii="Verdana" w:hAnsi="Verdana"/>
          <w:b/>
        </w:rPr>
      </w:pPr>
      <w:r w:rsidRPr="00DE7EF0">
        <w:rPr>
          <w:rFonts w:ascii="Verdana" w:hAnsi="Verdana"/>
          <w:b/>
        </w:rPr>
        <w:t>МИНИСТЕРСТВО НА ЗЕМЕДЕЛИЕТО И ХРАНИТЕ</w:t>
      </w:r>
    </w:p>
    <w:p w:rsidR="00A75320" w:rsidRDefault="00A75320" w:rsidP="00DE7EF0">
      <w:pPr>
        <w:spacing w:before="120" w:after="120" w:line="240" w:lineRule="auto"/>
        <w:jc w:val="center"/>
        <w:rPr>
          <w:rFonts w:ascii="Verdana" w:hAnsi="Verdana"/>
          <w:b/>
        </w:rPr>
      </w:pPr>
    </w:p>
    <w:p w:rsidR="000C3859" w:rsidRPr="00DE7EF0" w:rsidRDefault="000C3859" w:rsidP="00DE7EF0">
      <w:pPr>
        <w:spacing w:before="120" w:after="120" w:line="240" w:lineRule="auto"/>
        <w:jc w:val="center"/>
        <w:rPr>
          <w:rFonts w:ascii="Verdana" w:hAnsi="Verdana"/>
          <w:b/>
        </w:rPr>
      </w:pPr>
    </w:p>
    <w:p w:rsidR="00DE7EF0" w:rsidRPr="00DE7EF0" w:rsidRDefault="00DE7EF0" w:rsidP="00DE7EF0">
      <w:pPr>
        <w:spacing w:before="120" w:after="120" w:line="240" w:lineRule="auto"/>
        <w:jc w:val="center"/>
        <w:rPr>
          <w:rFonts w:ascii="Verdana" w:hAnsi="Verdana"/>
          <w:b/>
          <w:sz w:val="32"/>
          <w:szCs w:val="32"/>
        </w:rPr>
      </w:pPr>
      <w:r w:rsidRPr="00DE7EF0">
        <w:rPr>
          <w:rFonts w:ascii="Verdana" w:hAnsi="Verdana"/>
          <w:b/>
          <w:sz w:val="32"/>
          <w:szCs w:val="32"/>
        </w:rPr>
        <w:t>О Б Я В А</w:t>
      </w:r>
    </w:p>
    <w:p w:rsidR="00DE7EF0" w:rsidRPr="00DE7EF0" w:rsidRDefault="00DE7EF0" w:rsidP="00DE7EF0">
      <w:pPr>
        <w:spacing w:before="120" w:after="120" w:line="240" w:lineRule="auto"/>
        <w:jc w:val="center"/>
        <w:rPr>
          <w:rFonts w:ascii="Verdana" w:hAnsi="Verdana"/>
          <w:b/>
        </w:rPr>
      </w:pPr>
      <w:r w:rsidRPr="00DE7EF0">
        <w:rPr>
          <w:rFonts w:ascii="Verdana" w:hAnsi="Verdana"/>
          <w:b/>
        </w:rPr>
        <w:t>за открита процедура чрез подбор на проекти</w:t>
      </w:r>
    </w:p>
    <w:p w:rsidR="000C3859" w:rsidRDefault="000C3859" w:rsidP="00DE7EF0">
      <w:pPr>
        <w:spacing w:before="120" w:after="120" w:line="240" w:lineRule="auto"/>
        <w:jc w:val="both"/>
        <w:rPr>
          <w:rFonts w:ascii="Verdana" w:hAnsi="Verdana"/>
        </w:rPr>
      </w:pP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>Дирекция „Морско дело и рибарство“ – Управляващ орган на Програмата за морско дело, рибарство и аквакултури 2021-2027</w:t>
      </w:r>
      <w:r w:rsidR="008A42B3">
        <w:rPr>
          <w:rFonts w:ascii="Verdana" w:hAnsi="Verdana"/>
        </w:rPr>
        <w:t xml:space="preserve"> (</w:t>
      </w:r>
      <w:r w:rsidR="008A42B3" w:rsidRPr="008A42B3">
        <w:rPr>
          <w:rFonts w:ascii="Verdana" w:hAnsi="Verdana"/>
        </w:rPr>
        <w:t>ПМДРА</w:t>
      </w:r>
      <w:r w:rsidR="008A42B3">
        <w:rPr>
          <w:rFonts w:ascii="Verdana" w:hAnsi="Verdana"/>
        </w:rPr>
        <w:t>)</w:t>
      </w:r>
      <w:r w:rsidRPr="00DE7EF0">
        <w:rPr>
          <w:rFonts w:ascii="Verdana" w:hAnsi="Verdana"/>
        </w:rPr>
        <w:t xml:space="preserve"> кани желаещите да представят проек</w:t>
      </w:r>
      <w:r>
        <w:rPr>
          <w:rFonts w:ascii="Verdana" w:hAnsi="Verdana"/>
        </w:rPr>
        <w:t>тни предложения по Приоритет: 2</w:t>
      </w:r>
      <w:r w:rsidRPr="00DE7EF0">
        <w:rPr>
          <w:rFonts w:ascii="Verdana" w:hAnsi="Verdana"/>
        </w:rPr>
        <w:t xml:space="preserve"> </w:t>
      </w:r>
      <w:r>
        <w:rPr>
          <w:rFonts w:ascii="Verdana" w:hAnsi="Verdana"/>
        </w:rPr>
        <w:t>„</w:t>
      </w:r>
      <w:r w:rsidRPr="00DE7EF0">
        <w:rPr>
          <w:rFonts w:ascii="Verdana" w:hAnsi="Verdana"/>
        </w:rPr>
        <w:t>Насърчаване на устойчиви дейности в областта на аквакултурите, преработката и предлагането на пазара на продукти от риболов и аквакултури</w:t>
      </w:r>
      <w:r>
        <w:rPr>
          <w:rFonts w:ascii="Verdana" w:hAnsi="Verdana"/>
        </w:rPr>
        <w:t>“</w:t>
      </w:r>
      <w:r w:rsidRPr="00DE7EF0">
        <w:rPr>
          <w:rFonts w:ascii="Verdana" w:hAnsi="Verdana"/>
        </w:rPr>
        <w:t>, като по този начин допринася за продоволс</w:t>
      </w:r>
      <w:r>
        <w:rPr>
          <w:rFonts w:ascii="Verdana" w:hAnsi="Verdana"/>
        </w:rPr>
        <w:t>твената сигурност в Съюза, като</w:t>
      </w:r>
    </w:p>
    <w:p w:rsidR="00DE7EF0" w:rsidRDefault="00DE7EF0" w:rsidP="00DE7EF0">
      <w:pPr>
        <w:spacing w:before="120" w:after="12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ОБЯВЯВА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  <w:b/>
        </w:rPr>
      </w:pPr>
      <w:r w:rsidRPr="00DE7EF0">
        <w:rPr>
          <w:rFonts w:ascii="Verdana" w:hAnsi="Verdana"/>
          <w:b/>
        </w:rPr>
        <w:t>п</w:t>
      </w:r>
      <w:r>
        <w:rPr>
          <w:rFonts w:ascii="Verdana" w:hAnsi="Verdana"/>
          <w:b/>
        </w:rPr>
        <w:t>роцедура чрез подбор на проекти</w:t>
      </w:r>
      <w:r w:rsidRPr="00DE7EF0">
        <w:rPr>
          <w:rFonts w:ascii="Verdana" w:hAnsi="Verdana"/>
          <w:b/>
        </w:rPr>
        <w:t xml:space="preserve"> BG14MFPR001-2.00</w:t>
      </w:r>
      <w:r w:rsidR="001D6D2F">
        <w:rPr>
          <w:rFonts w:ascii="Verdana" w:hAnsi="Verdana"/>
          <w:b/>
        </w:rPr>
        <w:t>4</w:t>
      </w:r>
      <w:r w:rsidRPr="00DE7EF0">
        <w:rPr>
          <w:rFonts w:ascii="Verdana" w:hAnsi="Verdana"/>
          <w:b/>
        </w:rPr>
        <w:t xml:space="preserve"> „</w:t>
      </w:r>
      <w:r w:rsidR="001D6D2F" w:rsidRPr="001D6D2F">
        <w:rPr>
          <w:rFonts w:ascii="Verdana" w:hAnsi="Verdana"/>
          <w:b/>
        </w:rPr>
        <w:t>Планове за производство и предлагане на пазара</w:t>
      </w:r>
      <w:r w:rsidRPr="00DE7EF0">
        <w:rPr>
          <w:rFonts w:ascii="Verdana" w:hAnsi="Verdana"/>
          <w:b/>
        </w:rPr>
        <w:t>“, вид дейност</w:t>
      </w:r>
      <w:r>
        <w:rPr>
          <w:rFonts w:ascii="Verdana" w:hAnsi="Verdana"/>
          <w:b/>
        </w:rPr>
        <w:t xml:space="preserve"> 2.</w:t>
      </w:r>
      <w:r w:rsidR="001D6D2F">
        <w:rPr>
          <w:rFonts w:ascii="Verdana" w:hAnsi="Verdana"/>
          <w:b/>
        </w:rPr>
        <w:t>2</w:t>
      </w:r>
      <w:r>
        <w:rPr>
          <w:rFonts w:ascii="Verdana" w:hAnsi="Verdana"/>
          <w:b/>
        </w:rPr>
        <w:t>.</w:t>
      </w:r>
      <w:r w:rsidR="001D6D2F">
        <w:rPr>
          <w:rFonts w:ascii="Verdana" w:hAnsi="Verdana"/>
          <w:b/>
        </w:rPr>
        <w:t>3</w:t>
      </w:r>
      <w:r>
        <w:rPr>
          <w:rFonts w:ascii="Verdana" w:hAnsi="Verdana"/>
          <w:b/>
        </w:rPr>
        <w:t>.</w:t>
      </w:r>
      <w:r w:rsidRPr="00DE7EF0">
        <w:rPr>
          <w:rFonts w:ascii="Verdana" w:hAnsi="Verdana"/>
          <w:b/>
        </w:rPr>
        <w:t xml:space="preserve"> „</w:t>
      </w:r>
      <w:r w:rsidR="001D6D2F" w:rsidRPr="001D6D2F">
        <w:rPr>
          <w:rFonts w:ascii="Verdana" w:hAnsi="Verdana"/>
          <w:b/>
        </w:rPr>
        <w:t>Планове за производство и предлагане на пазара</w:t>
      </w:r>
      <w:r w:rsidRPr="00DE7EF0">
        <w:rPr>
          <w:rFonts w:ascii="Verdana" w:hAnsi="Verdana"/>
          <w:b/>
        </w:rPr>
        <w:t>”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  <w:b/>
        </w:rPr>
      </w:pPr>
      <w:r w:rsidRPr="00DE7EF0">
        <w:rPr>
          <w:rFonts w:ascii="Verdana" w:hAnsi="Verdana"/>
          <w:b/>
        </w:rPr>
        <w:t>Основната цел на процедурата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Изпълнението на дейностите </w:t>
      </w:r>
      <w:r w:rsidR="003559F9" w:rsidRPr="00DE7EF0">
        <w:rPr>
          <w:rFonts w:ascii="Verdana" w:hAnsi="Verdana"/>
        </w:rPr>
        <w:t>п</w:t>
      </w:r>
      <w:r w:rsidR="003559F9">
        <w:rPr>
          <w:rFonts w:ascii="Verdana" w:hAnsi="Verdana"/>
        </w:rPr>
        <w:t>о</w:t>
      </w:r>
      <w:r w:rsidR="003559F9" w:rsidRPr="00DE7EF0">
        <w:rPr>
          <w:rFonts w:ascii="Verdana" w:hAnsi="Verdana"/>
        </w:rPr>
        <w:t xml:space="preserve"> </w:t>
      </w:r>
      <w:r w:rsidRPr="00DE7EF0">
        <w:rPr>
          <w:rFonts w:ascii="Verdana" w:hAnsi="Verdana"/>
        </w:rPr>
        <w:t>настоящата процедура ще допринесе за постигане на специфичната цел: 2.</w:t>
      </w:r>
      <w:r w:rsidR="001D6D2F">
        <w:rPr>
          <w:rFonts w:ascii="Verdana" w:hAnsi="Verdana"/>
        </w:rPr>
        <w:t>2</w:t>
      </w:r>
      <w:r w:rsidRPr="00DE7EF0">
        <w:rPr>
          <w:rFonts w:ascii="Verdana" w:hAnsi="Verdana"/>
        </w:rPr>
        <w:t xml:space="preserve"> „</w:t>
      </w:r>
      <w:r w:rsidR="001D6D2F" w:rsidRPr="001D6D2F">
        <w:rPr>
          <w:rFonts w:ascii="Verdana" w:hAnsi="Verdana"/>
        </w:rPr>
        <w:t>Насърчаване на предлагането на пазара, качеството и добавената стойност на продуктите от риболов и аквакултури, както и преработването на тези продукти</w:t>
      </w:r>
      <w:r w:rsidRPr="00DE7EF0">
        <w:rPr>
          <w:rFonts w:ascii="Verdana" w:hAnsi="Verdana"/>
        </w:rPr>
        <w:t>“ от Приоритет: 2. „Насърчаване на устойчиви дейности в областта на аквакултурите, преработката и предлагането на пазара на продукти от риболов и аквакултури, като по този начин допринася за продо</w:t>
      </w:r>
      <w:r>
        <w:rPr>
          <w:rFonts w:ascii="Verdana" w:hAnsi="Verdana"/>
        </w:rPr>
        <w:t>волствената сигурност в Съюза“.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>Чрез прилагането на дейност „</w:t>
      </w:r>
      <w:r w:rsidR="001D6D2F" w:rsidRPr="001D6D2F">
        <w:rPr>
          <w:rFonts w:ascii="Verdana" w:hAnsi="Verdana"/>
        </w:rPr>
        <w:t>Планове за производство и предлагане на пазара</w:t>
      </w:r>
      <w:r w:rsidRPr="00DE7EF0">
        <w:rPr>
          <w:rFonts w:ascii="Verdana" w:hAnsi="Verdana"/>
        </w:rPr>
        <w:t>“ се цели подобряване на конкурентоспособността и жизнеспособността на предприятията в сектора на аквакултурите.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  <w:b/>
        </w:rPr>
        <w:t>Приложими режими на държавни/минимални помощи</w:t>
      </w:r>
    </w:p>
    <w:p w:rsidR="00DE7EF0" w:rsidRPr="001D6D2F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1D6D2F">
        <w:rPr>
          <w:rFonts w:ascii="Verdana" w:hAnsi="Verdana"/>
        </w:rPr>
        <w:t>Подпомагането по настоящата процедура не представлява държавна помощ.</w:t>
      </w:r>
    </w:p>
    <w:p w:rsidR="00DE7EF0" w:rsidRPr="001D6D2F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1D6D2F">
        <w:rPr>
          <w:rFonts w:ascii="Verdana" w:hAnsi="Verdana"/>
        </w:rPr>
        <w:t xml:space="preserve">В </w:t>
      </w:r>
      <w:r w:rsidR="003559F9" w:rsidRPr="001D6D2F">
        <w:rPr>
          <w:rFonts w:ascii="Verdana" w:hAnsi="Verdana"/>
        </w:rPr>
        <w:t xml:space="preserve">чл. </w:t>
      </w:r>
      <w:r w:rsidRPr="001D6D2F">
        <w:rPr>
          <w:rFonts w:ascii="Verdana" w:hAnsi="Verdana"/>
        </w:rPr>
        <w:t xml:space="preserve">10, параграф 1 от Регламент (ЕС) 2021/1139 </w:t>
      </w:r>
      <w:r w:rsidR="003559F9" w:rsidRPr="001D6D2F">
        <w:rPr>
          <w:rFonts w:ascii="Verdana" w:hAnsi="Verdana"/>
        </w:rPr>
        <w:t xml:space="preserve">на Европейския парламент и на Съвета от 7 юли 2021 година за създаване на Европейския фонд за морско дело, рибарство и аквакултури и за изменение на Регламент (ЕС) 2017/1004 (Регламент (ЕС) 2021/1139) </w:t>
      </w:r>
      <w:r w:rsidRPr="001D6D2F">
        <w:rPr>
          <w:rFonts w:ascii="Verdana" w:hAnsi="Verdana"/>
        </w:rPr>
        <w:t xml:space="preserve">се посочва, че членове 107, 108 и 109 от ДФЕС се прилагат спрямо помощи, предоставени от държавите членки на предприятия от сектора на рибарството и аквакултурите. </w:t>
      </w:r>
    </w:p>
    <w:p w:rsidR="00DE7EF0" w:rsidRPr="001D6D2F" w:rsidRDefault="00DE7EF0" w:rsidP="00D308E6">
      <w:pPr>
        <w:spacing w:before="120" w:after="120" w:line="240" w:lineRule="auto"/>
        <w:jc w:val="both"/>
        <w:rPr>
          <w:rFonts w:ascii="Verdana" w:hAnsi="Verdana"/>
        </w:rPr>
      </w:pPr>
      <w:r w:rsidRPr="001D6D2F">
        <w:rPr>
          <w:rFonts w:ascii="Verdana" w:hAnsi="Verdana"/>
        </w:rPr>
        <w:lastRenderedPageBreak/>
        <w:t xml:space="preserve">В </w:t>
      </w:r>
      <w:r w:rsidR="003559F9" w:rsidRPr="001D6D2F">
        <w:rPr>
          <w:rFonts w:ascii="Verdana" w:hAnsi="Verdana"/>
        </w:rPr>
        <w:t xml:space="preserve">чл. </w:t>
      </w:r>
      <w:r w:rsidRPr="001D6D2F">
        <w:rPr>
          <w:rFonts w:ascii="Verdana" w:hAnsi="Verdana"/>
        </w:rPr>
        <w:t xml:space="preserve">10, параграф 2 от Регламент (ЕС) 2021/1139 обаче се предвижда изключение от това общо правило, съгласно което членове 107, 108 и 109 от ДФЕС не се прилагат за плащания, извършени от държавите членки съгласно Регламент (ЕС) 2021/1139 и попадащи в приложното поле на </w:t>
      </w:r>
      <w:r w:rsidR="00D308E6" w:rsidRPr="001D6D2F">
        <w:rPr>
          <w:rFonts w:ascii="Verdana" w:hAnsi="Verdana"/>
        </w:rPr>
        <w:t xml:space="preserve">чл. </w:t>
      </w:r>
      <w:r w:rsidRPr="001D6D2F">
        <w:rPr>
          <w:rFonts w:ascii="Verdana" w:hAnsi="Verdana"/>
        </w:rPr>
        <w:t xml:space="preserve">42 от </w:t>
      </w:r>
      <w:r w:rsidR="00D308E6" w:rsidRPr="001D6D2F">
        <w:rPr>
          <w:rFonts w:ascii="Verdana" w:hAnsi="Verdana"/>
        </w:rPr>
        <w:t>Договора за функционирането на Европейския съюз (</w:t>
      </w:r>
      <w:r w:rsidRPr="001D6D2F">
        <w:rPr>
          <w:rFonts w:ascii="Verdana" w:hAnsi="Verdana"/>
        </w:rPr>
        <w:t>ДФЕС</w:t>
      </w:r>
      <w:r w:rsidR="00D308E6" w:rsidRPr="001D6D2F">
        <w:rPr>
          <w:rFonts w:ascii="Verdana" w:hAnsi="Verdana"/>
        </w:rPr>
        <w:t>)</w:t>
      </w:r>
      <w:r w:rsidRPr="001D6D2F">
        <w:rPr>
          <w:rFonts w:ascii="Verdana" w:hAnsi="Verdana"/>
        </w:rPr>
        <w:t xml:space="preserve">. Съгласно </w:t>
      </w:r>
      <w:r w:rsidR="00D308E6" w:rsidRPr="001D6D2F">
        <w:rPr>
          <w:rFonts w:ascii="Verdana" w:hAnsi="Verdana"/>
        </w:rPr>
        <w:t xml:space="preserve">чл. </w:t>
      </w:r>
      <w:r w:rsidRPr="001D6D2F">
        <w:rPr>
          <w:rFonts w:ascii="Verdana" w:hAnsi="Verdana"/>
        </w:rPr>
        <w:t xml:space="preserve">10, параграф 3 от </w:t>
      </w:r>
      <w:r w:rsidR="00D308E6" w:rsidRPr="001D6D2F">
        <w:rPr>
          <w:rFonts w:ascii="Verdana" w:hAnsi="Verdana"/>
        </w:rPr>
        <w:t>същия регламент</w:t>
      </w:r>
      <w:r w:rsidRPr="001D6D2F">
        <w:rPr>
          <w:rFonts w:ascii="Verdana" w:hAnsi="Verdana"/>
        </w:rPr>
        <w:t xml:space="preserve"> членове 107, 108 и 109 от ДФЕС се прилагат, ако в националните разпоредби се предвижда публично финансиране по отношение на сектора на рибарството и аквакултурите, което надхвърля разпоредбите на Регламент (ЕС) 2021/1139. В този случай правилата за държавна помощ се прилагат по отношение на това публично финансиране като цяло.</w:t>
      </w:r>
    </w:p>
    <w:p w:rsidR="00DE7EF0" w:rsidRPr="001D6D2F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1D6D2F">
        <w:rPr>
          <w:rFonts w:ascii="Verdana" w:hAnsi="Verdana"/>
        </w:rPr>
        <w:t xml:space="preserve">Степента, в която разпоредбите на ДФЕС по отношение на държавната помощ се прилагат за помощи, предоставени в сектора на рибарството аквакултурите, е определена в </w:t>
      </w:r>
      <w:r w:rsidR="00D308E6" w:rsidRPr="001D6D2F">
        <w:rPr>
          <w:rFonts w:ascii="Verdana" w:hAnsi="Verdana"/>
        </w:rPr>
        <w:t xml:space="preserve">чл. </w:t>
      </w:r>
      <w:r w:rsidRPr="001D6D2F">
        <w:rPr>
          <w:rFonts w:ascii="Verdana" w:hAnsi="Verdana"/>
        </w:rPr>
        <w:t xml:space="preserve">10 от Регламент (ЕС) № 2021/1139. Това е посочено в съображение (14) от Съобщение на Комисията 2023/C 107/01  „Насоки за държавна помощ за рибарството и аквакултурите“ (Насоките на ЕК). </w:t>
      </w:r>
    </w:p>
    <w:p w:rsidR="00DE7EF0" w:rsidRPr="001D6D2F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1D6D2F">
        <w:rPr>
          <w:rFonts w:ascii="Verdana" w:hAnsi="Verdana"/>
        </w:rPr>
        <w:t>Като се вземе предвид гореизложеното, и следвайки съображения (14) от Съобщение на Комисията 2023/С107/01 „Насоки за държавна помощ за рибарството и а</w:t>
      </w:r>
      <w:r w:rsidR="00A75320" w:rsidRPr="001D6D2F">
        <w:rPr>
          <w:rFonts w:ascii="Verdana" w:hAnsi="Verdana"/>
        </w:rPr>
        <w:t>квакултурите“ (Насоките на ЕК):</w:t>
      </w:r>
    </w:p>
    <w:p w:rsidR="00DE7EF0" w:rsidRPr="001D6D2F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1D6D2F">
        <w:rPr>
          <w:rFonts w:ascii="Verdana" w:hAnsi="Verdana"/>
        </w:rPr>
        <w:t>- условията по настоящата процедура не надхвърлят предвид</w:t>
      </w:r>
      <w:r w:rsidR="00A75320" w:rsidRPr="001D6D2F">
        <w:rPr>
          <w:rFonts w:ascii="Verdana" w:hAnsi="Verdana"/>
        </w:rPr>
        <w:t xml:space="preserve">еното в Регламент </w:t>
      </w:r>
      <w:r w:rsidR="00D308E6" w:rsidRPr="001D6D2F">
        <w:rPr>
          <w:rFonts w:ascii="Verdana" w:hAnsi="Verdana"/>
        </w:rPr>
        <w:t>(</w:t>
      </w:r>
      <w:r w:rsidR="00A75320" w:rsidRPr="001D6D2F">
        <w:rPr>
          <w:rFonts w:ascii="Verdana" w:hAnsi="Verdana"/>
        </w:rPr>
        <w:t>ЕС</w:t>
      </w:r>
      <w:r w:rsidR="00D308E6" w:rsidRPr="001D6D2F">
        <w:rPr>
          <w:rFonts w:ascii="Verdana" w:hAnsi="Verdana"/>
        </w:rPr>
        <w:t>)</w:t>
      </w:r>
      <w:r w:rsidR="00A75320" w:rsidRPr="001D6D2F">
        <w:rPr>
          <w:rFonts w:ascii="Verdana" w:hAnsi="Verdana"/>
        </w:rPr>
        <w:t xml:space="preserve"> 2021/1139;</w:t>
      </w:r>
    </w:p>
    <w:p w:rsidR="00DE7EF0" w:rsidRPr="001D6D2F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1D6D2F">
        <w:rPr>
          <w:rFonts w:ascii="Verdana" w:hAnsi="Verdana"/>
        </w:rPr>
        <w:t>- плащанията по процедурата попадат в сектора на рибарството и аквакултурите, с оглед на това, че подпомагането се отнася до дейност, която е предвидена в дял II, глава III, раздел I, чл. 26 от Регламент</w:t>
      </w:r>
      <w:r w:rsidR="00D308E6" w:rsidRPr="001D6D2F">
        <w:rPr>
          <w:rFonts w:ascii="Verdana" w:hAnsi="Verdana"/>
        </w:rPr>
        <w:t xml:space="preserve"> (ЕС)</w:t>
      </w:r>
      <w:r w:rsidRPr="001D6D2F">
        <w:rPr>
          <w:rFonts w:ascii="Verdana" w:hAnsi="Verdana"/>
        </w:rPr>
        <w:t xml:space="preserve"> 2021/1139 „Насърчаване на устойчивите дейности, свързани с аквакултурите, и на преработването и предлагането на пазара на продукти от риболов и аквакултури, като по този начин се допринася за продоволствената сигурност в Съюза“; </w:t>
      </w:r>
    </w:p>
    <w:p w:rsidR="00DE7EF0" w:rsidRPr="00B5575F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1D6D2F">
        <w:rPr>
          <w:rFonts w:ascii="Verdana" w:hAnsi="Verdana"/>
        </w:rPr>
        <w:t xml:space="preserve">- в </w:t>
      </w:r>
      <w:r w:rsidRPr="00B5575F">
        <w:rPr>
          <w:rFonts w:ascii="Verdana" w:hAnsi="Verdana"/>
        </w:rPr>
        <w:t>прилагане на дерогацията на чл. 10, параграф 2 от посочения регламент;</w:t>
      </w:r>
    </w:p>
    <w:p w:rsidR="00DE7EF0" w:rsidRPr="00B5575F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B5575F">
        <w:rPr>
          <w:rFonts w:ascii="Verdana" w:hAnsi="Verdana"/>
        </w:rPr>
        <w:t xml:space="preserve">- </w:t>
      </w:r>
      <w:r w:rsidR="00B5575F" w:rsidRPr="00B5575F">
        <w:rPr>
          <w:rFonts w:ascii="Verdana" w:hAnsi="Verdana"/>
        </w:rPr>
        <w:t>дейностите не се извършват от икономически субект</w:t>
      </w:r>
    </w:p>
    <w:p w:rsidR="00DE7EF0" w:rsidRPr="00B5575F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B5575F">
        <w:rPr>
          <w:rFonts w:ascii="Verdana" w:hAnsi="Verdana"/>
        </w:rPr>
        <w:t xml:space="preserve">По настоящата мярка </w:t>
      </w:r>
      <w:r w:rsidR="00D308E6" w:rsidRPr="00B5575F">
        <w:rPr>
          <w:rFonts w:ascii="Verdana" w:hAnsi="Verdana"/>
        </w:rPr>
        <w:t xml:space="preserve">чл. </w:t>
      </w:r>
      <w:r w:rsidRPr="00B5575F">
        <w:rPr>
          <w:rFonts w:ascii="Verdana" w:hAnsi="Verdana"/>
        </w:rPr>
        <w:t xml:space="preserve">107, 108 и 109 от ДФЕС са неприложими и подпомагането по настоящата мярка не представлява държавна помощ. </w:t>
      </w:r>
    </w:p>
    <w:p w:rsidR="00DE7EF0" w:rsidRPr="00B5575F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B5575F">
        <w:rPr>
          <w:rFonts w:ascii="Verdana" w:hAnsi="Verdana"/>
        </w:rPr>
        <w:t xml:space="preserve">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https://stateaid.minfin.bg/bg/573 </w:t>
      </w:r>
    </w:p>
    <w:p w:rsidR="00DE7EF0" w:rsidRPr="004A7B8B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4A7B8B">
        <w:rPr>
          <w:rFonts w:ascii="Verdana" w:hAnsi="Verdana"/>
        </w:rPr>
        <w:t xml:space="preserve">Процедурата за безвъзмездна финансова помощ </w:t>
      </w:r>
      <w:r w:rsidRPr="004A7B8B">
        <w:rPr>
          <w:rFonts w:ascii="Verdana" w:hAnsi="Verdana"/>
          <w:b/>
        </w:rPr>
        <w:t>се реализира с финансовата подкрепа на Европейския съюз</w:t>
      </w:r>
      <w:r w:rsidR="0042508C" w:rsidRPr="004A7B8B">
        <w:rPr>
          <w:rFonts w:ascii="Verdana" w:hAnsi="Verdana"/>
          <w:b/>
        </w:rPr>
        <w:t xml:space="preserve"> (ЕС)</w:t>
      </w:r>
      <w:r w:rsidRPr="004A7B8B">
        <w:rPr>
          <w:rFonts w:ascii="Verdana" w:hAnsi="Verdana"/>
          <w:b/>
        </w:rPr>
        <w:t xml:space="preserve"> чрез Европейския фонд за морско дело, рибарство и аквакултури</w:t>
      </w:r>
      <w:r w:rsidR="00A75320" w:rsidRPr="004A7B8B">
        <w:rPr>
          <w:rFonts w:ascii="Verdana" w:hAnsi="Verdana"/>
        </w:rPr>
        <w:t>.</w:t>
      </w:r>
    </w:p>
    <w:p w:rsidR="00DE7EF0" w:rsidRPr="004A7B8B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4A7B8B">
        <w:rPr>
          <w:rFonts w:ascii="Verdana" w:hAnsi="Verdana"/>
        </w:rPr>
        <w:t>Проектите следва да се изпълняват на тер</w:t>
      </w:r>
      <w:r w:rsidR="00A75320" w:rsidRPr="004A7B8B">
        <w:rPr>
          <w:rFonts w:ascii="Verdana" w:hAnsi="Verdana"/>
        </w:rPr>
        <w:t>иторията на Република България.</w:t>
      </w:r>
    </w:p>
    <w:p w:rsidR="00DE7EF0" w:rsidRPr="004A7B8B" w:rsidRDefault="00DE7EF0" w:rsidP="00DE7EF0">
      <w:pPr>
        <w:spacing w:before="120" w:after="120" w:line="240" w:lineRule="auto"/>
        <w:jc w:val="both"/>
        <w:rPr>
          <w:rFonts w:ascii="Verdana" w:hAnsi="Verdana"/>
          <w:b/>
        </w:rPr>
      </w:pPr>
      <w:r w:rsidRPr="004A7B8B">
        <w:rPr>
          <w:rFonts w:ascii="Verdana" w:hAnsi="Verdana"/>
          <w:b/>
        </w:rPr>
        <w:t>Общият размер на безвъзмездната финансова помощ по</w:t>
      </w:r>
      <w:r w:rsidR="00A75320" w:rsidRPr="004A7B8B">
        <w:rPr>
          <w:rFonts w:ascii="Verdana" w:hAnsi="Verdana"/>
          <w:b/>
        </w:rPr>
        <w:t xml:space="preserve"> процедурата е </w:t>
      </w:r>
      <w:r w:rsidR="004A7B8B" w:rsidRPr="004A7B8B">
        <w:rPr>
          <w:rFonts w:ascii="Verdana" w:hAnsi="Verdana"/>
          <w:b/>
        </w:rPr>
        <w:t xml:space="preserve">586 740 </w:t>
      </w:r>
      <w:r w:rsidR="00A75320" w:rsidRPr="004A7B8B">
        <w:rPr>
          <w:rFonts w:ascii="Verdana" w:hAnsi="Verdana"/>
          <w:b/>
        </w:rPr>
        <w:t>лева.</w:t>
      </w:r>
    </w:p>
    <w:p w:rsidR="00DE7EF0" w:rsidRPr="004A7B8B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4A7B8B">
        <w:rPr>
          <w:rFonts w:ascii="Verdana" w:hAnsi="Verdana"/>
        </w:rPr>
        <w:t>Финансовата помощ по реда на настоящата процедура е безвъзмездна и се предоставя в рамките на определения бюджет за дейност „</w:t>
      </w:r>
      <w:r w:rsidR="004A7B8B" w:rsidRPr="004A7B8B">
        <w:rPr>
          <w:rFonts w:ascii="Verdana" w:hAnsi="Verdana"/>
        </w:rPr>
        <w:t>Планове за производство и предлагане на пазара</w:t>
      </w:r>
      <w:r w:rsidRPr="004A7B8B">
        <w:rPr>
          <w:rFonts w:ascii="Verdana" w:hAnsi="Verdana"/>
        </w:rPr>
        <w:t>“ в ПМДРА, от които:</w:t>
      </w:r>
    </w:p>
    <w:p w:rsidR="00DE7EF0" w:rsidRPr="004A7B8B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4A7B8B">
        <w:rPr>
          <w:rFonts w:ascii="Verdana" w:hAnsi="Verdana"/>
        </w:rPr>
        <w:t>- процент на съфинансиране от ЕФМДРА – 70%</w:t>
      </w:r>
    </w:p>
    <w:p w:rsidR="00DE7EF0" w:rsidRPr="004A7B8B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4A7B8B">
        <w:rPr>
          <w:rFonts w:ascii="Verdana" w:hAnsi="Verdana"/>
        </w:rPr>
        <w:t xml:space="preserve">- процент на съфинансиране от националния бюджет – 30%. </w:t>
      </w:r>
    </w:p>
    <w:p w:rsidR="00DE7EF0" w:rsidRPr="004A7B8B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4A7B8B">
        <w:rPr>
          <w:rFonts w:ascii="Verdana" w:hAnsi="Verdana"/>
          <w:b/>
        </w:rPr>
        <w:lastRenderedPageBreak/>
        <w:t>Минимален размер</w:t>
      </w:r>
      <w:r w:rsidRPr="004A7B8B">
        <w:rPr>
          <w:rFonts w:ascii="Verdana" w:hAnsi="Verdana"/>
        </w:rPr>
        <w:t xml:space="preserve"> на допустимата безвъзмездната финансова помощ за един проект – </w:t>
      </w:r>
      <w:r w:rsidR="004A7B8B" w:rsidRPr="004A7B8B">
        <w:rPr>
          <w:rFonts w:ascii="Verdana" w:hAnsi="Verdana"/>
        </w:rPr>
        <w:t>1</w:t>
      </w:r>
      <w:r w:rsidRPr="004A7B8B">
        <w:rPr>
          <w:rFonts w:ascii="Verdana" w:hAnsi="Verdana"/>
        </w:rPr>
        <w:t>0</w:t>
      </w:r>
      <w:r w:rsidR="00A75320" w:rsidRPr="004A7B8B">
        <w:rPr>
          <w:rFonts w:ascii="Verdana" w:hAnsi="Verdana"/>
          <w:b/>
        </w:rPr>
        <w:t> </w:t>
      </w:r>
      <w:r w:rsidRPr="004A7B8B">
        <w:rPr>
          <w:rFonts w:ascii="Verdana" w:hAnsi="Verdana"/>
        </w:rPr>
        <w:t>000 лева.</w:t>
      </w:r>
    </w:p>
    <w:p w:rsidR="00DE7EF0" w:rsidRPr="004A7B8B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4A7B8B">
        <w:rPr>
          <w:rFonts w:ascii="Verdana" w:hAnsi="Verdana"/>
          <w:b/>
        </w:rPr>
        <w:t xml:space="preserve">Максимален размер </w:t>
      </w:r>
      <w:r w:rsidRPr="004A7B8B">
        <w:rPr>
          <w:rFonts w:ascii="Verdana" w:hAnsi="Verdana"/>
        </w:rPr>
        <w:t>на допустимата безвъзмездната фи</w:t>
      </w:r>
      <w:r w:rsidR="004A7B8B" w:rsidRPr="004A7B8B">
        <w:rPr>
          <w:rFonts w:ascii="Verdana" w:hAnsi="Verdana"/>
        </w:rPr>
        <w:t>нансова помощ за един проект – 2</w:t>
      </w:r>
      <w:r w:rsidRPr="004A7B8B">
        <w:rPr>
          <w:rFonts w:ascii="Verdana" w:hAnsi="Verdana"/>
        </w:rPr>
        <w:t>00</w:t>
      </w:r>
      <w:r w:rsidR="00A75320" w:rsidRPr="004A7B8B">
        <w:rPr>
          <w:rFonts w:ascii="Verdana" w:hAnsi="Verdana"/>
        </w:rPr>
        <w:t> </w:t>
      </w:r>
      <w:r w:rsidRPr="004A7B8B">
        <w:rPr>
          <w:rFonts w:ascii="Verdana" w:hAnsi="Verdana"/>
        </w:rPr>
        <w:t>000 лева.</w:t>
      </w:r>
    </w:p>
    <w:p w:rsidR="00DE7EF0" w:rsidRPr="004A7B8B" w:rsidRDefault="00DE7EF0" w:rsidP="00DE7EF0">
      <w:pPr>
        <w:spacing w:before="120" w:after="120" w:line="240" w:lineRule="auto"/>
        <w:jc w:val="both"/>
        <w:rPr>
          <w:rFonts w:ascii="Verdana" w:hAnsi="Verdana"/>
          <w:b/>
        </w:rPr>
      </w:pPr>
      <w:r w:rsidRPr="004A7B8B">
        <w:rPr>
          <w:rFonts w:ascii="Verdana" w:hAnsi="Verdana"/>
          <w:b/>
        </w:rPr>
        <w:t>Съответствие с принципите на хоризонталните политики на ЕС</w:t>
      </w:r>
    </w:p>
    <w:p w:rsidR="00DE7EF0" w:rsidRPr="004A7B8B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4A7B8B">
        <w:rPr>
          <w:rFonts w:ascii="Verdana" w:hAnsi="Verdana"/>
        </w:rPr>
        <w:t xml:space="preserve">По настоящата процедура следва да е налице съответствие на проектните предложения със следните хоризонталните принципи на ЕС, заложени в чл. 9 на Регламент (ЕС) 2021/1060 </w:t>
      </w:r>
      <w:r w:rsidR="008A42B3" w:rsidRPr="004A7B8B">
        <w:rPr>
          <w:rFonts w:ascii="Verdana" w:hAnsi="Verdana"/>
        </w:rPr>
        <w:t>на Европейския парламент и на Съвета от 24 юни 2021 година за установяване на общоприложимите разпоредби за Европейския фонд за регионално развитие, Европейския социален фонд плюс, Кохезионния фонд, Фонда за справедлив преход и Европейския фонд за морско дело, рибарство и аквакултури, както и на финансовите правила за тях и за фонд „Убежище, миграция и интеграция“, фонд „Вътрешна сигурност“ и Инструмента за финансова подкрепа за управлението на границите и визовата политика</w:t>
      </w:r>
      <w:r w:rsidRPr="004A7B8B">
        <w:rPr>
          <w:rFonts w:ascii="Verdana" w:hAnsi="Verdana"/>
        </w:rPr>
        <w:t>:</w:t>
      </w:r>
    </w:p>
    <w:p w:rsidR="00DE7EF0" w:rsidRPr="004A7B8B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4A7B8B">
        <w:rPr>
          <w:rFonts w:ascii="Verdana" w:hAnsi="Verdana"/>
        </w:rPr>
        <w:t>- равенството между мъжете и жените, интегрирането на принципа на равенство между половете и отчитането на социалните аспекти на пола;</w:t>
      </w:r>
    </w:p>
    <w:p w:rsidR="00DE7EF0" w:rsidRPr="004A7B8B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4A7B8B">
        <w:rPr>
          <w:rFonts w:ascii="Verdana" w:hAnsi="Verdana"/>
        </w:rPr>
        <w:t>- недопускане на всякаква дискриминация, основана на пол, расов или етнически произход, религия или вероизповедание, увреждане, възраст или сексуална ориентация,</w:t>
      </w:r>
    </w:p>
    <w:p w:rsidR="00DE7EF0" w:rsidRPr="004A7B8B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4A7B8B">
        <w:rPr>
          <w:rFonts w:ascii="Verdana" w:hAnsi="Verdana"/>
        </w:rPr>
        <w:t xml:space="preserve">- проектното предложение следва да съблюдава принципите, заложени в „Хартата на основните права на ЕС (Хартата)  и „Конвенцията на ООН за правата на хората с увреждания (КПХУ) в съответствие с Решение 2010/48/ЕО на Съвета . </w:t>
      </w:r>
    </w:p>
    <w:p w:rsidR="00DE7EF0" w:rsidRPr="004A7B8B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4A7B8B">
        <w:rPr>
          <w:rFonts w:ascii="Verdana" w:hAnsi="Verdana"/>
        </w:rPr>
        <w:t xml:space="preserve">- целта за насърчаване на устойчивото развитие, посочена в </w:t>
      </w:r>
      <w:r w:rsidR="0042508C" w:rsidRPr="004A7B8B">
        <w:rPr>
          <w:rFonts w:ascii="Verdana" w:hAnsi="Verdana"/>
        </w:rPr>
        <w:t xml:space="preserve">чл. </w:t>
      </w:r>
      <w:r w:rsidRPr="004A7B8B">
        <w:rPr>
          <w:rFonts w:ascii="Verdana" w:hAnsi="Verdana"/>
        </w:rPr>
        <w:t>11 от ДФЕС, като се отчитат целите на ООН за устойчиво развитие, Парижкото споразумение и принципа за „ненанасяне на значителни вреди“.</w:t>
      </w:r>
    </w:p>
    <w:p w:rsidR="00DE7EF0" w:rsidRPr="004A7B8B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4A7B8B">
        <w:rPr>
          <w:rFonts w:ascii="Verdana" w:hAnsi="Verdana"/>
        </w:rPr>
        <w:t xml:space="preserve">Във Формуляра за кандидатстване, т. „Допълнителна информация, необходима за оценка на проектното предложение“, кандидатите следва да представят описание на съответствието на проектното предложение с посочените хоризонтални принципи на ЕС, вкл. принципите, заложени в Хартата на основните права на ЕС и КПХУ. </w:t>
      </w:r>
    </w:p>
    <w:p w:rsidR="00DE7EF0" w:rsidRPr="004A7B8B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4A7B8B">
        <w:rPr>
          <w:rFonts w:ascii="Verdana" w:hAnsi="Verdana"/>
        </w:rPr>
        <w:t>Насоки за прилагане на Хартата на основните права на ЕС могат да бъдат намерени на следния адрес: https://www.eufunds.bg/bg/node/8223</w:t>
      </w:r>
    </w:p>
    <w:p w:rsidR="00DE7EF0" w:rsidRPr="004A7B8B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4A7B8B">
        <w:rPr>
          <w:rFonts w:ascii="Verdana" w:hAnsi="Verdana"/>
        </w:rPr>
        <w:t xml:space="preserve">Насоки за прилагане на Конвенцията на ООН за правата на хората с увреждания могат да бъдат намерени на следния адрес: </w:t>
      </w:r>
      <w:hyperlink r:id="rId6" w:history="1">
        <w:r w:rsidR="00A75320" w:rsidRPr="004A7B8B">
          <w:rPr>
            <w:rStyle w:val="Hyperlink"/>
            <w:rFonts w:ascii="Verdana" w:hAnsi="Verdana"/>
            <w:i/>
            <w:color w:val="auto"/>
          </w:rPr>
          <w:t>https://www.eufunds.bg/bg/node/8224</w:t>
        </w:r>
      </w:hyperlink>
      <w:r w:rsidR="005C257F" w:rsidRPr="004A7B8B">
        <w:rPr>
          <w:rStyle w:val="Hyperlink"/>
          <w:rFonts w:ascii="Verdana" w:hAnsi="Verdana"/>
          <w:i/>
          <w:color w:val="auto"/>
        </w:rPr>
        <w:t>.</w:t>
      </w:r>
    </w:p>
    <w:p w:rsidR="00DE7EF0" w:rsidRPr="004A7B8B" w:rsidRDefault="00DE7EF0" w:rsidP="00DE7EF0">
      <w:pPr>
        <w:spacing w:before="120" w:after="120" w:line="240" w:lineRule="auto"/>
        <w:jc w:val="both"/>
        <w:rPr>
          <w:rFonts w:ascii="Verdana" w:hAnsi="Verdana"/>
          <w:b/>
        </w:rPr>
      </w:pPr>
      <w:r w:rsidRPr="004A7B8B">
        <w:rPr>
          <w:rFonts w:ascii="Verdana" w:hAnsi="Verdana"/>
          <w:b/>
        </w:rPr>
        <w:t>Допустими за фи</w:t>
      </w:r>
      <w:r w:rsidR="00A75320" w:rsidRPr="004A7B8B">
        <w:rPr>
          <w:rFonts w:ascii="Verdana" w:hAnsi="Verdana"/>
          <w:b/>
        </w:rPr>
        <w:t>нансиране са следните дейности:</w:t>
      </w:r>
    </w:p>
    <w:p w:rsidR="00DE7EF0" w:rsidRPr="004A7B8B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4A7B8B">
        <w:rPr>
          <w:rFonts w:ascii="Verdana" w:hAnsi="Verdana"/>
        </w:rPr>
        <w:t xml:space="preserve">Безвъзмездна финансова помощ по настоящата процедура се предоставя </w:t>
      </w:r>
      <w:r w:rsidR="0028676C">
        <w:rPr>
          <w:rFonts w:ascii="Verdana" w:hAnsi="Verdana"/>
        </w:rPr>
        <w:t xml:space="preserve">за </w:t>
      </w:r>
      <w:r w:rsidR="0028676C" w:rsidRPr="0028676C">
        <w:rPr>
          <w:rFonts w:ascii="Verdana" w:hAnsi="Verdana"/>
        </w:rPr>
        <w:t>финансирането на следните групи дейности</w:t>
      </w:r>
      <w:r w:rsidRPr="004A7B8B">
        <w:rPr>
          <w:rFonts w:ascii="Verdana" w:hAnsi="Verdana"/>
        </w:rPr>
        <w:t>:</w:t>
      </w:r>
    </w:p>
    <w:p w:rsidR="0028676C" w:rsidRPr="006235FF" w:rsidRDefault="0028676C" w:rsidP="0028676C">
      <w:pPr>
        <w:spacing w:before="120" w:after="120" w:line="240" w:lineRule="auto"/>
        <w:jc w:val="both"/>
        <w:rPr>
          <w:rFonts w:ascii="Verdana" w:hAnsi="Verdana"/>
        </w:rPr>
      </w:pPr>
      <w:r w:rsidRPr="006235FF">
        <w:rPr>
          <w:rFonts w:ascii="Verdana" w:hAnsi="Verdana"/>
        </w:rPr>
        <w:t xml:space="preserve">1. Дейности по изпълнение на планове за производство и предлагане на пазара на организации на производители </w:t>
      </w:r>
      <w:r w:rsidR="006235FF" w:rsidRPr="006235FF">
        <w:rPr>
          <w:rFonts w:ascii="Verdana" w:hAnsi="Verdana"/>
        </w:rPr>
        <w:t xml:space="preserve">(ОП) </w:t>
      </w:r>
      <w:r w:rsidRPr="006235FF">
        <w:rPr>
          <w:rFonts w:ascii="Verdana" w:hAnsi="Verdana"/>
        </w:rPr>
        <w:t>и асоциации на организации на производители</w:t>
      </w:r>
      <w:r w:rsidR="006235FF" w:rsidRPr="006235FF">
        <w:rPr>
          <w:rFonts w:ascii="Verdana" w:hAnsi="Verdana"/>
        </w:rPr>
        <w:t xml:space="preserve"> (АОП)</w:t>
      </w:r>
      <w:r w:rsidRPr="006235FF">
        <w:rPr>
          <w:rFonts w:ascii="Verdana" w:hAnsi="Verdana"/>
        </w:rPr>
        <w:t>;</w:t>
      </w:r>
    </w:p>
    <w:p w:rsidR="0028676C" w:rsidRPr="006235FF" w:rsidRDefault="0028676C" w:rsidP="0028676C">
      <w:pPr>
        <w:spacing w:before="120" w:after="120" w:line="240" w:lineRule="auto"/>
        <w:jc w:val="both"/>
        <w:rPr>
          <w:rFonts w:ascii="Verdana" w:hAnsi="Verdana"/>
        </w:rPr>
      </w:pPr>
      <w:r w:rsidRPr="006235FF">
        <w:rPr>
          <w:rFonts w:ascii="Verdana" w:hAnsi="Verdana"/>
        </w:rPr>
        <w:t>2. Дейности за изпълнение на програмата за производство за видовете, обект на улов или отглеждане от ОП или АОП;</w:t>
      </w:r>
    </w:p>
    <w:p w:rsidR="0028676C" w:rsidRPr="006235FF" w:rsidRDefault="0028676C" w:rsidP="0028676C">
      <w:pPr>
        <w:spacing w:before="120" w:after="120" w:line="240" w:lineRule="auto"/>
        <w:jc w:val="both"/>
        <w:rPr>
          <w:rFonts w:ascii="Verdana" w:hAnsi="Verdana"/>
        </w:rPr>
      </w:pPr>
      <w:r w:rsidRPr="006235FF">
        <w:rPr>
          <w:rFonts w:ascii="Verdana" w:hAnsi="Verdana"/>
        </w:rPr>
        <w:t>3. Дейности за изпълнение на пазарна стратегия за осигуряване на съответствие с пазарните изисквания, в случай че такива са определени;</w:t>
      </w:r>
    </w:p>
    <w:p w:rsidR="0028676C" w:rsidRPr="006235FF" w:rsidRDefault="0028676C" w:rsidP="0028676C">
      <w:pPr>
        <w:spacing w:before="120" w:after="120" w:line="240" w:lineRule="auto"/>
        <w:jc w:val="both"/>
        <w:rPr>
          <w:rFonts w:ascii="Verdana" w:hAnsi="Verdana"/>
        </w:rPr>
      </w:pPr>
      <w:r w:rsidRPr="006235FF">
        <w:rPr>
          <w:rFonts w:ascii="Verdana" w:hAnsi="Verdana"/>
        </w:rPr>
        <w:lastRenderedPageBreak/>
        <w:t>4. Дейности по изпълнение на мерки за постигане на целите, определени в чл. 3, чл. 7 (за ОП) и чл. 10 (</w:t>
      </w:r>
      <w:r w:rsidR="006235FF" w:rsidRPr="006235FF">
        <w:rPr>
          <w:rFonts w:ascii="Verdana" w:hAnsi="Verdana"/>
        </w:rPr>
        <w:t>з</w:t>
      </w:r>
      <w:r w:rsidRPr="006235FF">
        <w:rPr>
          <w:rFonts w:ascii="Verdana" w:hAnsi="Verdana"/>
        </w:rPr>
        <w:t>а АОП) от Регламент (ЕС) № 1379/2013;</w:t>
      </w:r>
    </w:p>
    <w:p w:rsidR="0028676C" w:rsidRPr="006235FF" w:rsidRDefault="0028676C" w:rsidP="0028676C">
      <w:pPr>
        <w:spacing w:before="120" w:after="120" w:line="240" w:lineRule="auto"/>
        <w:jc w:val="both"/>
        <w:rPr>
          <w:rFonts w:ascii="Verdana" w:hAnsi="Verdana"/>
        </w:rPr>
      </w:pPr>
      <w:r w:rsidRPr="006235FF">
        <w:rPr>
          <w:rFonts w:ascii="Verdana" w:hAnsi="Verdana"/>
        </w:rPr>
        <w:t>5. Дейности за подкрепа за адаптиране на пазарите към променящото се търсене в контекста на кризи (например развитие на къси вериги, диверсификация на продукти и пазарни обекти);</w:t>
      </w:r>
    </w:p>
    <w:p w:rsidR="0028676C" w:rsidRPr="006235FF" w:rsidRDefault="0028676C" w:rsidP="0028676C">
      <w:pPr>
        <w:spacing w:before="120" w:after="120" w:line="240" w:lineRule="auto"/>
        <w:jc w:val="both"/>
        <w:rPr>
          <w:rFonts w:ascii="Verdana" w:hAnsi="Verdana"/>
        </w:rPr>
      </w:pPr>
      <w:r w:rsidRPr="006235FF">
        <w:rPr>
          <w:rFonts w:ascii="Verdana" w:hAnsi="Verdana"/>
        </w:rPr>
        <w:t>6. Дейности за подкрепа за прогнозиране и управление на сериозни смущения на пазара (например действия за управление на риска в производствените и маркетинговите планове, обединяване на производствени помещения и оборудване),</w:t>
      </w:r>
    </w:p>
    <w:p w:rsidR="0028676C" w:rsidRPr="006235FF" w:rsidRDefault="0028676C" w:rsidP="0028676C">
      <w:pPr>
        <w:spacing w:before="120" w:after="120" w:line="240" w:lineRule="auto"/>
        <w:jc w:val="both"/>
        <w:rPr>
          <w:rFonts w:ascii="Verdana" w:hAnsi="Verdana"/>
        </w:rPr>
      </w:pPr>
      <w:r w:rsidRPr="006235FF">
        <w:rPr>
          <w:rFonts w:ascii="Verdana" w:hAnsi="Verdana"/>
        </w:rPr>
        <w:t>7. Дейности за запазване на съществуващ пазарен дял и разширяването му, включително позиционирането на нови пазари, чрез участие или организация на изложения, панаири и др. събития, както и разработване и прилагане на пазарни стратегии;</w:t>
      </w:r>
    </w:p>
    <w:p w:rsidR="0028676C" w:rsidRPr="006235FF" w:rsidRDefault="0028676C" w:rsidP="0028676C">
      <w:pPr>
        <w:spacing w:before="120" w:after="120" w:line="240" w:lineRule="auto"/>
        <w:jc w:val="both"/>
        <w:rPr>
          <w:rFonts w:ascii="Verdana" w:hAnsi="Verdana"/>
        </w:rPr>
      </w:pPr>
      <w:r w:rsidRPr="006235FF">
        <w:rPr>
          <w:rFonts w:ascii="Verdana" w:hAnsi="Verdana"/>
        </w:rPr>
        <w:t>8. Дейности за управление на риболовни дейности, за съвместно управление на мерки за опазване, партньорства между рибари и учени, участие на местни общности, зависими от рибарството, партньорство с местните власти за предотвратяване, намаляване и пасивно събиране на морски отпадъци и др. дейности, допринасящи за опазване на околната среда;</w:t>
      </w:r>
    </w:p>
    <w:p w:rsidR="0028676C" w:rsidRPr="006235FF" w:rsidRDefault="0028676C" w:rsidP="0028676C">
      <w:pPr>
        <w:spacing w:before="120" w:after="120" w:line="240" w:lineRule="auto"/>
        <w:jc w:val="both"/>
        <w:rPr>
          <w:rFonts w:ascii="Verdana" w:hAnsi="Verdana"/>
        </w:rPr>
      </w:pPr>
      <w:r w:rsidRPr="006235FF">
        <w:rPr>
          <w:rFonts w:ascii="Verdana" w:hAnsi="Verdana"/>
        </w:rPr>
        <w:t>9. Дейности за подкрепа на инициативи за опазване на околната среда и на биологичното разнообразие в Черно море, включително и в зоните по Натура 2000 (в това число: събиране на отпадъци, информационни кампании, обучения, споделяне на знания и др.);</w:t>
      </w:r>
    </w:p>
    <w:p w:rsidR="00DE7EF0" w:rsidRPr="006235FF" w:rsidRDefault="0028676C" w:rsidP="0028676C">
      <w:pPr>
        <w:spacing w:before="120" w:after="120" w:line="240" w:lineRule="auto"/>
        <w:jc w:val="both"/>
        <w:rPr>
          <w:rFonts w:ascii="Verdana" w:hAnsi="Verdana"/>
        </w:rPr>
      </w:pPr>
      <w:r w:rsidRPr="006235FF">
        <w:rPr>
          <w:rFonts w:ascii="Verdana" w:hAnsi="Verdana"/>
        </w:rPr>
        <w:t>10. Дейности за насърчаване на биологичното производство, вкл. и подкрепа за сертифициране на биологични и/или защитени географски продукти.</w:t>
      </w:r>
    </w:p>
    <w:p w:rsidR="00C918A0" w:rsidRPr="001D6D2F" w:rsidRDefault="00C918A0" w:rsidP="00DE7EF0">
      <w:pPr>
        <w:spacing w:before="120" w:after="120" w:line="240" w:lineRule="auto"/>
        <w:jc w:val="both"/>
        <w:rPr>
          <w:rFonts w:ascii="Verdana" w:hAnsi="Verdana"/>
          <w:color w:val="7030A0"/>
        </w:rPr>
      </w:pPr>
    </w:p>
    <w:p w:rsidR="004D584A" w:rsidRPr="006235FF" w:rsidRDefault="0028676C" w:rsidP="004D584A">
      <w:pPr>
        <w:spacing w:before="120" w:after="120" w:line="240" w:lineRule="auto"/>
        <w:jc w:val="both"/>
        <w:rPr>
          <w:rFonts w:ascii="Verdana" w:hAnsi="Verdana"/>
        </w:rPr>
      </w:pPr>
      <w:r w:rsidRPr="006235FF">
        <w:rPr>
          <w:rFonts w:ascii="Verdana" w:hAnsi="Verdana"/>
        </w:rPr>
        <w:t>К</w:t>
      </w:r>
      <w:r w:rsidR="004D584A" w:rsidRPr="006235FF">
        <w:rPr>
          <w:rFonts w:ascii="Verdana" w:hAnsi="Verdana"/>
        </w:rPr>
        <w:t xml:space="preserve">раен срок за подаване на проектни предложения: 17:00 часа на </w:t>
      </w:r>
      <w:r w:rsidR="00576910">
        <w:rPr>
          <w:rFonts w:ascii="Verdana" w:hAnsi="Verdana"/>
        </w:rPr>
        <w:t>27.</w:t>
      </w:r>
      <w:r w:rsidR="004D584A" w:rsidRPr="006235FF">
        <w:rPr>
          <w:rFonts w:ascii="Verdana" w:hAnsi="Verdana"/>
        </w:rPr>
        <w:t>12.2024 г.</w:t>
      </w:r>
    </w:p>
    <w:sectPr w:rsidR="004D584A" w:rsidRPr="006235FF" w:rsidSect="00A75320">
      <w:footerReference w:type="default" r:id="rId7"/>
      <w:headerReference w:type="first" r:id="rId8"/>
      <w:pgSz w:w="12240" w:h="15840" w:code="1"/>
      <w:pgMar w:top="1134" w:right="1041" w:bottom="851" w:left="1134" w:header="567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2BA" w:rsidRDefault="00FF42BA" w:rsidP="00DE7EF0">
      <w:pPr>
        <w:spacing w:after="0" w:line="240" w:lineRule="auto"/>
      </w:pPr>
      <w:r>
        <w:separator/>
      </w:r>
    </w:p>
  </w:endnote>
  <w:endnote w:type="continuationSeparator" w:id="0">
    <w:p w:rsidR="00FF42BA" w:rsidRDefault="00FF42BA" w:rsidP="00DE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-75428062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E7EF0" w:rsidRPr="00DE7EF0" w:rsidRDefault="00DE7EF0" w:rsidP="00DE7EF0">
            <w:pPr>
              <w:pStyle w:val="Footer"/>
              <w:jc w:val="right"/>
              <w:rPr>
                <w:rFonts w:ascii="Verdana" w:hAnsi="Verdana"/>
                <w:sz w:val="16"/>
                <w:szCs w:val="16"/>
              </w:rPr>
            </w:pPr>
            <w:r w:rsidRPr="00A75320">
              <w:rPr>
                <w:rFonts w:ascii="Verdana" w:hAnsi="Verdana"/>
                <w:sz w:val="16"/>
                <w:szCs w:val="16"/>
                <w:lang w:val="en-US"/>
              </w:rPr>
              <w:t xml:space="preserve">Page </w: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begin"/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instrText xml:space="preserve"> PAGE </w:instrTex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408FA">
              <w:rPr>
                <w:rFonts w:ascii="Verdana" w:hAnsi="Verdana"/>
                <w:b/>
                <w:bCs/>
                <w:noProof/>
                <w:sz w:val="16"/>
                <w:szCs w:val="16"/>
                <w:lang w:val="en-US"/>
              </w:rPr>
              <w:t>2</w: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A75320">
              <w:rPr>
                <w:rFonts w:ascii="Verdana" w:hAnsi="Verdana"/>
                <w:sz w:val="16"/>
                <w:szCs w:val="16"/>
                <w:lang w:val="en-US"/>
              </w:rPr>
              <w:t xml:space="preserve"> of </w: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begin"/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instrText xml:space="preserve"> NUMPAGES  </w:instrTex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0408FA">
              <w:rPr>
                <w:rFonts w:ascii="Verdana" w:hAnsi="Verdana"/>
                <w:b/>
                <w:bCs/>
                <w:noProof/>
                <w:sz w:val="16"/>
                <w:szCs w:val="16"/>
                <w:lang w:val="en-US"/>
              </w:rPr>
              <w:t>4</w: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2BA" w:rsidRDefault="00FF42BA" w:rsidP="00DE7EF0">
      <w:pPr>
        <w:spacing w:after="0" w:line="240" w:lineRule="auto"/>
      </w:pPr>
      <w:r>
        <w:separator/>
      </w:r>
    </w:p>
  </w:footnote>
  <w:footnote w:type="continuationSeparator" w:id="0">
    <w:p w:rsidR="00FF42BA" w:rsidRDefault="00FF42BA" w:rsidP="00DE7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F0" w:rsidRPr="00DE7EF0" w:rsidRDefault="00DE7EF0" w:rsidP="00DE7EF0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Calibri"/>
        <w:b/>
        <w:bCs/>
      </w:rPr>
    </w:pPr>
    <w:r w:rsidRPr="00DE7EF0">
      <w:rPr>
        <w:rFonts w:ascii="Verdana" w:eastAsia="Calibri" w:hAnsi="Verdana" w:cs="Calibri"/>
        <w:noProof/>
        <w:lang w:eastAsia="bg-BG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2385060</wp:posOffset>
          </wp:positionH>
          <wp:positionV relativeFrom="paragraph">
            <wp:posOffset>-46355</wp:posOffset>
          </wp:positionV>
          <wp:extent cx="1503045" cy="810895"/>
          <wp:effectExtent l="0" t="0" r="1905" b="8255"/>
          <wp:wrapTight wrapText="bothSides">
            <wp:wrapPolygon edited="0">
              <wp:start x="7665" y="0"/>
              <wp:lineTo x="548" y="8626"/>
              <wp:lineTo x="0" y="11164"/>
              <wp:lineTo x="0" y="19790"/>
              <wp:lineTo x="2190" y="20805"/>
              <wp:lineTo x="7392" y="21312"/>
              <wp:lineTo x="13962" y="21312"/>
              <wp:lineTo x="19163" y="20805"/>
              <wp:lineTo x="21354" y="19790"/>
              <wp:lineTo x="21080" y="14208"/>
              <wp:lineTo x="20532" y="9134"/>
              <wp:lineTo x="13688" y="0"/>
              <wp:lineTo x="7665" y="0"/>
            </wp:wrapPolygon>
          </wp:wrapTight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7EF0">
      <w:rPr>
        <w:rFonts w:ascii="Verdana" w:eastAsia="Calibri" w:hAnsi="Verdana" w:cs="Calibri"/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5112385</wp:posOffset>
          </wp:positionH>
          <wp:positionV relativeFrom="paragraph">
            <wp:posOffset>8255</wp:posOffset>
          </wp:positionV>
          <wp:extent cx="2125980" cy="796925"/>
          <wp:effectExtent l="0" t="0" r="7620" b="3175"/>
          <wp:wrapSquare wrapText="bothSides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7EF0" w:rsidRPr="00DE7EF0" w:rsidRDefault="00DE7EF0" w:rsidP="00DE7EF0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Calibri"/>
        <w:b/>
        <w:bCs/>
      </w:rPr>
    </w:pPr>
    <w:r w:rsidRPr="00DE7EF0">
      <w:rPr>
        <w:rFonts w:ascii="Verdana" w:eastAsia="Calibri" w:hAnsi="Verdana" w:cs="Calibri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1938655</wp:posOffset>
              </wp:positionH>
              <wp:positionV relativeFrom="paragraph">
                <wp:posOffset>554990</wp:posOffset>
              </wp:positionV>
              <wp:extent cx="2628900" cy="238760"/>
              <wp:effectExtent l="0" t="0" r="0" b="889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EF0" w:rsidRPr="009404BD" w:rsidRDefault="00DE7EF0" w:rsidP="00DE7EF0">
                          <w:pPr>
                            <w:spacing w:after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9404BD"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МИНИСТ</w:t>
                          </w:r>
                          <w:r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ЕРСТВО НА ЗЕМЕДЕЛИЕТО И ХРАНИТЕ</w:t>
                          </w:r>
                        </w:p>
                        <w:p w:rsidR="00DE7EF0" w:rsidRDefault="00DE7EF0" w:rsidP="00DE7EF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52.65pt;margin-top:43.7pt;width:207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" filled="f" stroked="f">
              <v:textbox>
                <w:txbxContent>
                  <w:p w:rsidR="00DE7EF0" w:rsidRPr="009404BD" w:rsidRDefault="00DE7EF0" w:rsidP="00DE7EF0">
                    <w:pPr>
                      <w:spacing w:after="0"/>
                      <w:textAlignment w:val="baseline"/>
                      <w:rPr>
                        <w:sz w:val="16"/>
                        <w:szCs w:val="16"/>
                      </w:rPr>
                    </w:pPr>
                    <w:r w:rsidRPr="009404BD">
                      <w:rPr>
                        <w:rFonts w:ascii="Candara" w:hAnsi="Candara" w:cs="Candara"/>
                        <w:color w:val="000000"/>
                        <w:kern w:val="24"/>
                        <w:sz w:val="16"/>
                        <w:szCs w:val="16"/>
                      </w:rPr>
                      <w:t>МИНИСТ</w:t>
                    </w:r>
                    <w:r>
                      <w:rPr>
                        <w:rFonts w:ascii="Candara" w:hAnsi="Candara" w:cs="Candara"/>
                        <w:color w:val="000000"/>
                        <w:kern w:val="24"/>
                        <w:sz w:val="16"/>
                        <w:szCs w:val="16"/>
                      </w:rPr>
                      <w:t>ЕРСТВО НА ЗЕМЕДЕЛИЕТО И ХРАНИТЕ</w:t>
                    </w:r>
                  </w:p>
                  <w:p w:rsidR="00DE7EF0" w:rsidRDefault="00DE7EF0" w:rsidP="00DE7EF0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E7EF0">
      <w:rPr>
        <w:rFonts w:ascii="Verdana" w:eastAsia="Calibri" w:hAnsi="Verdana" w:cs="Calibri"/>
        <w:b/>
        <w:noProof/>
        <w:lang w:eastAsia="bg-BG"/>
      </w:rPr>
      <w:drawing>
        <wp:inline distT="0" distB="0" distL="0" distR="0">
          <wp:extent cx="2121535" cy="453390"/>
          <wp:effectExtent l="0" t="0" r="0" b="381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7EF0" w:rsidRDefault="00DE7E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BC"/>
    <w:rsid w:val="000408FA"/>
    <w:rsid w:val="000C3859"/>
    <w:rsid w:val="000F5158"/>
    <w:rsid w:val="00113267"/>
    <w:rsid w:val="001B5313"/>
    <w:rsid w:val="001D6D2F"/>
    <w:rsid w:val="0028676C"/>
    <w:rsid w:val="002A5103"/>
    <w:rsid w:val="003559F9"/>
    <w:rsid w:val="00407F18"/>
    <w:rsid w:val="0042508C"/>
    <w:rsid w:val="004A7B8B"/>
    <w:rsid w:val="004D584A"/>
    <w:rsid w:val="00576910"/>
    <w:rsid w:val="005C257F"/>
    <w:rsid w:val="006235FF"/>
    <w:rsid w:val="007A5E5D"/>
    <w:rsid w:val="0082122B"/>
    <w:rsid w:val="00822728"/>
    <w:rsid w:val="00851A3F"/>
    <w:rsid w:val="008930C0"/>
    <w:rsid w:val="008A42B3"/>
    <w:rsid w:val="009214CF"/>
    <w:rsid w:val="00931761"/>
    <w:rsid w:val="00A75320"/>
    <w:rsid w:val="00B34BEE"/>
    <w:rsid w:val="00B5575F"/>
    <w:rsid w:val="00C918A0"/>
    <w:rsid w:val="00D308E6"/>
    <w:rsid w:val="00DE7EF0"/>
    <w:rsid w:val="00E110BC"/>
    <w:rsid w:val="00E328B7"/>
    <w:rsid w:val="00EC1160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CA1DA8"/>
  <w15:docId w15:val="{365EBE97-4D6A-49C2-91B3-0D4F1AD4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EF0"/>
  </w:style>
  <w:style w:type="paragraph" w:styleId="Footer">
    <w:name w:val="footer"/>
    <w:basedOn w:val="Normal"/>
    <w:link w:val="FooterChar"/>
    <w:uiPriority w:val="99"/>
    <w:unhideWhenUsed/>
    <w:rsid w:val="00DE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EF0"/>
  </w:style>
  <w:style w:type="character" w:styleId="Hyperlink">
    <w:name w:val="Hyperlink"/>
    <w:basedOn w:val="DefaultParagraphFont"/>
    <w:uiPriority w:val="99"/>
    <w:unhideWhenUsed/>
    <w:rsid w:val="00A753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funds.bg/bg/node/822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Stoimen Yochev</dc:creator>
  <cp:keywords/>
  <dc:description/>
  <cp:lastModifiedBy>Elena Aleksieva</cp:lastModifiedBy>
  <cp:revision>21</cp:revision>
  <dcterms:created xsi:type="dcterms:W3CDTF">2024-07-24T12:43:00Z</dcterms:created>
  <dcterms:modified xsi:type="dcterms:W3CDTF">2024-10-22T07:23:00Z</dcterms:modified>
</cp:coreProperties>
</file>