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81E" w:rsidRDefault="00F56F6D">
      <w:pPr>
        <w:pStyle w:val="BodyText"/>
        <w:rPr>
          <w:rFonts w:ascii="Times New Roman"/>
          <w:sz w:val="20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5236210</wp:posOffset>
                </wp:positionH>
                <wp:positionV relativeFrom="page">
                  <wp:posOffset>368300</wp:posOffset>
                </wp:positionV>
                <wp:extent cx="1790700" cy="152400"/>
                <wp:effectExtent l="0" t="0" r="0" b="0"/>
                <wp:wrapNone/>
                <wp:docPr id="20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0700" cy="152400"/>
                          <a:chOff x="8246" y="580"/>
                          <a:chExt cx="2820" cy="240"/>
                        </a:xfrm>
                      </wpg:grpSpPr>
                      <pic:pic xmlns:pic="http://schemas.openxmlformats.org/drawingml/2006/picture">
                        <pic:nvPicPr>
                          <pic:cNvPr id="21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46" y="580"/>
                            <a:ext cx="2820" cy="2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46" y="580"/>
                            <a:ext cx="360" cy="2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246" y="580"/>
                            <a:ext cx="282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381E" w:rsidRDefault="002217EF">
                              <w:pPr>
                                <w:spacing w:before="52"/>
                                <w:ind w:left="427"/>
                                <w:rPr>
                                  <w:rFonts w:ascii="Microsoft Sans Serif"/>
                                  <w:sz w:val="13"/>
                                </w:rPr>
                              </w:pPr>
                              <w:r>
                                <w:rPr>
                                  <w:rFonts w:ascii="Microsoft Sans Serif"/>
                                  <w:w w:val="105"/>
                                  <w:sz w:val="13"/>
                                </w:rPr>
                                <w:t>Ref.</w:t>
                              </w:r>
                              <w:r>
                                <w:rPr>
                                  <w:rFonts w:ascii="Microsoft Sans Serif"/>
                                  <w:spacing w:val="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/>
                                  <w:w w:val="105"/>
                                  <w:sz w:val="13"/>
                                </w:rPr>
                                <w:t>Ares(2022)5216701</w:t>
                              </w:r>
                              <w:r>
                                <w:rPr>
                                  <w:rFonts w:ascii="Microsoft Sans Serif"/>
                                  <w:spacing w:val="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/>
                                  <w:w w:val="105"/>
                                  <w:sz w:val="13"/>
                                </w:rPr>
                                <w:t>-</w:t>
                              </w:r>
                              <w:r>
                                <w:rPr>
                                  <w:rFonts w:ascii="Microsoft Sans Serif"/>
                                  <w:spacing w:val="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icrosoft Sans Serif"/>
                                  <w:w w:val="105"/>
                                  <w:sz w:val="13"/>
                                </w:rPr>
                                <w:t>18/07/2022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412.3pt;margin-top:29pt;width:141pt;height:12pt;z-index:15729152;mso-position-horizontal-relative:page;mso-position-vertical-relative:page" coordorigin="8246,580" coordsize="2820,2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7" type="#_x0000_t75" style="position:absolute;left:8246;top:580;width:2820;height: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">
                  <v:imagedata r:id="rId9" o:title=""/>
                </v:shape>
                <v:shape id="Picture 16" o:spid="_x0000_s1028" type="#_x0000_t75" style="position:absolute;left:8246;top:580;width:360;height: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9" type="#_x0000_t202" style="position:absolute;left:8246;top:580;width:282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:rsidR="0065381E" w:rsidRDefault="002217EF">
                        <w:pPr>
                          <w:spacing w:before="52"/>
                          <w:ind w:left="427"/>
                          <w:rPr>
                            <w:rFonts w:ascii="Microsoft Sans Serif"/>
                            <w:sz w:val="13"/>
                          </w:rPr>
                        </w:pPr>
                        <w:r>
                          <w:rPr>
                            <w:rFonts w:ascii="Microsoft Sans Serif"/>
                            <w:w w:val="105"/>
                            <w:sz w:val="13"/>
                          </w:rPr>
                          <w:t>Ref.</w:t>
                        </w:r>
                        <w:r>
                          <w:rPr>
                            <w:rFonts w:ascii="Microsoft Sans Serif"/>
                            <w:spacing w:val="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/>
                            <w:w w:val="105"/>
                            <w:sz w:val="13"/>
                          </w:rPr>
                          <w:t>Ares(2022)5216701</w:t>
                        </w:r>
                        <w:r>
                          <w:rPr>
                            <w:rFonts w:ascii="Microsoft Sans Serif"/>
                            <w:spacing w:val="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/>
                            <w:w w:val="105"/>
                            <w:sz w:val="13"/>
                          </w:rPr>
                          <w:t>-</w:t>
                        </w:r>
                        <w:r>
                          <w:rPr>
                            <w:rFonts w:ascii="Microsoft Sans Serif"/>
                            <w:spacing w:val="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icrosoft Sans Serif"/>
                            <w:w w:val="105"/>
                            <w:sz w:val="13"/>
                          </w:rPr>
                          <w:t>18/07/2022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65381E" w:rsidRDefault="0065381E">
      <w:pPr>
        <w:pStyle w:val="BodyText"/>
        <w:rPr>
          <w:rFonts w:ascii="Times New Roman"/>
          <w:sz w:val="20"/>
        </w:rPr>
      </w:pPr>
    </w:p>
    <w:p w:rsidR="0065381E" w:rsidRDefault="0065381E">
      <w:pPr>
        <w:pStyle w:val="BodyText"/>
        <w:rPr>
          <w:rFonts w:ascii="Times New Roman"/>
          <w:sz w:val="20"/>
        </w:rPr>
      </w:pPr>
    </w:p>
    <w:p w:rsidR="0065381E" w:rsidRDefault="0065381E">
      <w:pPr>
        <w:pStyle w:val="BodyText"/>
        <w:spacing w:before="4"/>
        <w:rPr>
          <w:rFonts w:ascii="Times New Roman"/>
          <w:sz w:val="25"/>
        </w:rPr>
      </w:pPr>
    </w:p>
    <w:p w:rsidR="0065381E" w:rsidRDefault="002217EF">
      <w:pPr>
        <w:pStyle w:val="BodyText"/>
        <w:ind w:left="3653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>
            <wp:extent cx="1845631" cy="618458"/>
            <wp:effectExtent l="0" t="0" r="0" b="0"/>
            <wp:docPr id="1" name="image3.jpeg" descr="\\s-olaf-fas14h\USERHOME\angelaw\Desktop\en-hi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5631" cy="618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381E" w:rsidRDefault="0065381E">
      <w:pPr>
        <w:pStyle w:val="BodyText"/>
        <w:rPr>
          <w:rFonts w:ascii="Times New Roman"/>
          <w:sz w:val="20"/>
        </w:rPr>
      </w:pPr>
    </w:p>
    <w:p w:rsidR="0065381E" w:rsidRDefault="0065381E">
      <w:pPr>
        <w:pStyle w:val="BodyText"/>
        <w:rPr>
          <w:rFonts w:ascii="Times New Roman"/>
          <w:sz w:val="20"/>
        </w:rPr>
      </w:pPr>
    </w:p>
    <w:p w:rsidR="0065381E" w:rsidRDefault="0065381E">
      <w:pPr>
        <w:pStyle w:val="BodyText"/>
        <w:rPr>
          <w:rFonts w:ascii="Times New Roman"/>
          <w:sz w:val="20"/>
        </w:rPr>
      </w:pPr>
    </w:p>
    <w:p w:rsidR="0065381E" w:rsidRDefault="0065381E">
      <w:pPr>
        <w:pStyle w:val="BodyText"/>
        <w:rPr>
          <w:rFonts w:ascii="Times New Roman"/>
          <w:sz w:val="20"/>
        </w:rPr>
      </w:pPr>
    </w:p>
    <w:p w:rsidR="0065381E" w:rsidRDefault="0065381E">
      <w:pPr>
        <w:pStyle w:val="BodyText"/>
        <w:rPr>
          <w:rFonts w:ascii="Times New Roman"/>
          <w:sz w:val="20"/>
        </w:rPr>
      </w:pPr>
    </w:p>
    <w:p w:rsidR="0065381E" w:rsidRDefault="0065381E">
      <w:pPr>
        <w:pStyle w:val="BodyText"/>
        <w:rPr>
          <w:rFonts w:ascii="Times New Roman"/>
          <w:sz w:val="20"/>
        </w:rPr>
      </w:pPr>
    </w:p>
    <w:p w:rsidR="0065381E" w:rsidRDefault="0065381E">
      <w:pPr>
        <w:pStyle w:val="BodyText"/>
        <w:rPr>
          <w:rFonts w:ascii="Times New Roman"/>
          <w:sz w:val="20"/>
        </w:rPr>
      </w:pPr>
    </w:p>
    <w:p w:rsidR="0065381E" w:rsidRDefault="0065381E">
      <w:pPr>
        <w:pStyle w:val="BodyText"/>
        <w:rPr>
          <w:rFonts w:ascii="Times New Roman"/>
          <w:sz w:val="20"/>
        </w:rPr>
      </w:pPr>
    </w:p>
    <w:p w:rsidR="0065381E" w:rsidRDefault="0065381E">
      <w:pPr>
        <w:pStyle w:val="BodyText"/>
        <w:rPr>
          <w:rFonts w:ascii="Times New Roman"/>
          <w:sz w:val="20"/>
        </w:rPr>
      </w:pPr>
    </w:p>
    <w:p w:rsidR="0065381E" w:rsidRDefault="0065381E">
      <w:pPr>
        <w:pStyle w:val="BodyText"/>
        <w:rPr>
          <w:rFonts w:ascii="Times New Roman"/>
          <w:sz w:val="20"/>
        </w:rPr>
      </w:pPr>
    </w:p>
    <w:p w:rsidR="0065381E" w:rsidRDefault="0065381E">
      <w:pPr>
        <w:pStyle w:val="BodyText"/>
        <w:rPr>
          <w:rFonts w:ascii="Times New Roman"/>
          <w:sz w:val="20"/>
        </w:rPr>
      </w:pPr>
    </w:p>
    <w:p w:rsidR="0065381E" w:rsidRDefault="0065381E">
      <w:pPr>
        <w:pStyle w:val="BodyText"/>
        <w:rPr>
          <w:rFonts w:ascii="Times New Roman"/>
          <w:sz w:val="20"/>
        </w:rPr>
      </w:pPr>
    </w:p>
    <w:p w:rsidR="0065381E" w:rsidRDefault="0065381E">
      <w:pPr>
        <w:pStyle w:val="BodyText"/>
        <w:rPr>
          <w:rFonts w:ascii="Times New Roman"/>
          <w:sz w:val="20"/>
        </w:rPr>
      </w:pPr>
    </w:p>
    <w:p w:rsidR="006471DA" w:rsidRPr="006471DA" w:rsidRDefault="006471DA" w:rsidP="006471DA">
      <w:pPr>
        <w:pStyle w:val="BodyText"/>
        <w:jc w:val="center"/>
        <w:rPr>
          <w:b/>
          <w:bCs/>
          <w:color w:val="006FC0"/>
          <w:sz w:val="44"/>
          <w:szCs w:val="44"/>
        </w:rPr>
      </w:pPr>
      <w:r w:rsidRPr="006471DA">
        <w:rPr>
          <w:b/>
          <w:bCs/>
          <w:color w:val="006FC0"/>
          <w:sz w:val="44"/>
          <w:szCs w:val="44"/>
        </w:rPr>
        <w:t>СЪВЕТ ЗА БОРБА С ИЗМАМИТЕ</w:t>
      </w:r>
    </w:p>
    <w:p w:rsidR="0065381E" w:rsidRPr="006471DA" w:rsidRDefault="006471DA" w:rsidP="006471DA">
      <w:pPr>
        <w:pStyle w:val="BodyText"/>
        <w:jc w:val="center"/>
        <w:rPr>
          <w:b/>
          <w:sz w:val="44"/>
          <w:lang w:val="bg-BG"/>
        </w:rPr>
      </w:pPr>
      <w:r w:rsidRPr="006471DA">
        <w:rPr>
          <w:b/>
          <w:bCs/>
          <w:color w:val="006FC0"/>
          <w:sz w:val="44"/>
          <w:szCs w:val="44"/>
        </w:rPr>
        <w:t>за закупуване на ИТ хардуер и софтуер по проекти, финансирани от ЕС</w:t>
      </w:r>
    </w:p>
    <w:p w:rsidR="0065381E" w:rsidRDefault="0065381E">
      <w:pPr>
        <w:pStyle w:val="BodyText"/>
        <w:rPr>
          <w:b/>
          <w:sz w:val="44"/>
        </w:rPr>
      </w:pPr>
    </w:p>
    <w:p w:rsidR="0065381E" w:rsidRDefault="006471DA">
      <w:pPr>
        <w:spacing w:before="355" w:line="438" w:lineRule="exact"/>
        <w:ind w:left="220"/>
        <w:rPr>
          <w:b/>
          <w:sz w:val="36"/>
        </w:rPr>
      </w:pPr>
      <w:r>
        <w:rPr>
          <w:b/>
          <w:sz w:val="36"/>
          <w:lang w:val="bg-BG"/>
        </w:rPr>
        <w:t>ОЛАФ</w:t>
      </w:r>
      <w:r w:rsidR="002217EF">
        <w:rPr>
          <w:b/>
          <w:spacing w:val="-4"/>
          <w:sz w:val="36"/>
        </w:rPr>
        <w:t xml:space="preserve"> </w:t>
      </w:r>
      <w:r w:rsidRPr="006471DA">
        <w:rPr>
          <w:b/>
          <w:sz w:val="36"/>
        </w:rPr>
        <w:t>Център за знания за борба с измамите</w:t>
      </w:r>
    </w:p>
    <w:p w:rsidR="0065381E" w:rsidRDefault="006471DA">
      <w:pPr>
        <w:spacing w:line="267" w:lineRule="exact"/>
        <w:ind w:left="220"/>
        <w:rPr>
          <w:i/>
        </w:rPr>
      </w:pPr>
      <w:r>
        <w:rPr>
          <w:i/>
          <w:lang w:val="bg-BG"/>
        </w:rPr>
        <w:t>Юли</w:t>
      </w:r>
      <w:r w:rsidR="002217EF">
        <w:rPr>
          <w:i/>
          <w:spacing w:val="-1"/>
        </w:rPr>
        <w:t xml:space="preserve"> </w:t>
      </w:r>
      <w:r w:rsidR="002217EF">
        <w:rPr>
          <w:i/>
        </w:rPr>
        <w:t>2022</w:t>
      </w:r>
    </w:p>
    <w:p w:rsidR="0065381E" w:rsidRDefault="0065381E">
      <w:pPr>
        <w:pStyle w:val="BodyText"/>
        <w:rPr>
          <w:i/>
          <w:sz w:val="20"/>
        </w:rPr>
      </w:pPr>
    </w:p>
    <w:p w:rsidR="0065381E" w:rsidRDefault="0065381E">
      <w:pPr>
        <w:pStyle w:val="BodyText"/>
        <w:rPr>
          <w:i/>
          <w:sz w:val="20"/>
        </w:rPr>
      </w:pPr>
    </w:p>
    <w:p w:rsidR="0065381E" w:rsidRDefault="0065381E">
      <w:pPr>
        <w:pStyle w:val="BodyText"/>
        <w:rPr>
          <w:i/>
          <w:sz w:val="20"/>
        </w:rPr>
      </w:pPr>
    </w:p>
    <w:p w:rsidR="0065381E" w:rsidRDefault="0065381E">
      <w:pPr>
        <w:pStyle w:val="BodyText"/>
        <w:rPr>
          <w:i/>
          <w:sz w:val="20"/>
        </w:rPr>
      </w:pPr>
    </w:p>
    <w:p w:rsidR="0065381E" w:rsidRDefault="0065381E">
      <w:pPr>
        <w:pStyle w:val="BodyText"/>
        <w:rPr>
          <w:i/>
          <w:sz w:val="20"/>
        </w:rPr>
      </w:pPr>
    </w:p>
    <w:p w:rsidR="0065381E" w:rsidRDefault="00F56F6D">
      <w:pPr>
        <w:pStyle w:val="BodyText"/>
        <w:spacing w:before="4"/>
        <w:rPr>
          <w:i/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614045</wp:posOffset>
                </wp:positionH>
                <wp:positionV relativeFrom="paragraph">
                  <wp:posOffset>201295</wp:posOffset>
                </wp:positionV>
                <wp:extent cx="6334125" cy="2311400"/>
                <wp:effectExtent l="0" t="0" r="0" b="0"/>
                <wp:wrapTopAndBottom/>
                <wp:docPr id="1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23114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471DA" w:rsidRPr="006471DA" w:rsidRDefault="006471DA" w:rsidP="006471DA">
                            <w:pPr>
                              <w:spacing w:line="259" w:lineRule="auto"/>
                              <w:ind w:left="108" w:right="106"/>
                              <w:jc w:val="both"/>
                              <w:rPr>
                                <w:i/>
                              </w:rPr>
                            </w:pPr>
                            <w:r w:rsidRPr="006471DA">
                              <w:rPr>
                                <w:i/>
                              </w:rPr>
                              <w:t xml:space="preserve">OLAF се бори срещу измамите, корупцията и всяка друга незаконна дейност, засягаща финансовите интереси на ЕС. Освен провеждането на разследвания, </w:t>
                            </w:r>
                            <w:r>
                              <w:rPr>
                                <w:i/>
                                <w:lang w:val="bg-BG"/>
                              </w:rPr>
                              <w:t>ОЛАФ</w:t>
                            </w:r>
                            <w:r w:rsidRPr="006471DA">
                              <w:rPr>
                                <w:i/>
                              </w:rPr>
                              <w:t xml:space="preserve"> развива знания, за да информира за разумни политики за борба с измамите както на ниво ЕС, така и на ниво държави-членки. Тези знания са резултат от анализа на информация от различни източници.</w:t>
                            </w:r>
                          </w:p>
                          <w:p w:rsidR="006471DA" w:rsidRPr="006471DA" w:rsidRDefault="006471DA" w:rsidP="006471DA">
                            <w:pPr>
                              <w:spacing w:line="259" w:lineRule="auto"/>
                              <w:ind w:left="108" w:right="106"/>
                              <w:jc w:val="both"/>
                              <w:rPr>
                                <w:i/>
                              </w:rPr>
                            </w:pPr>
                          </w:p>
                          <w:p w:rsidR="006471DA" w:rsidRPr="006471DA" w:rsidRDefault="006471DA" w:rsidP="006471DA">
                            <w:pPr>
                              <w:spacing w:line="259" w:lineRule="auto"/>
                              <w:ind w:left="108" w:right="106"/>
                              <w:jc w:val="both"/>
                              <w:rPr>
                                <w:i/>
                              </w:rPr>
                            </w:pPr>
                            <w:r w:rsidRPr="006471DA">
                              <w:rPr>
                                <w:i/>
                              </w:rPr>
                              <w:t xml:space="preserve">Центърът за знания за борба с измамите на </w:t>
                            </w:r>
                            <w:r>
                              <w:rPr>
                                <w:i/>
                                <w:lang w:val="bg-BG"/>
                              </w:rPr>
                              <w:t>ОЛАФ</w:t>
                            </w:r>
                            <w:r w:rsidRPr="006471DA">
                              <w:rPr>
                                <w:i/>
                              </w:rPr>
                              <w:t xml:space="preserve"> подготви този документ въз основа на опита на </w:t>
                            </w:r>
                            <w:r>
                              <w:rPr>
                                <w:i/>
                                <w:lang w:val="bg-BG"/>
                              </w:rPr>
                              <w:t>ОЛАФ</w:t>
                            </w:r>
                            <w:r w:rsidRPr="006471DA">
                              <w:rPr>
                                <w:i/>
                              </w:rPr>
                              <w:t xml:space="preserve"> в разследванията. Целта на този документ е да предостави съвети на компетентните национални органи за намаляване на риска от нередности, включително измами.</w:t>
                            </w:r>
                          </w:p>
                          <w:p w:rsidR="006471DA" w:rsidRPr="006471DA" w:rsidRDefault="006471DA" w:rsidP="006471DA">
                            <w:pPr>
                              <w:spacing w:line="259" w:lineRule="auto"/>
                              <w:ind w:left="108" w:right="106"/>
                              <w:jc w:val="both"/>
                              <w:rPr>
                                <w:i/>
                              </w:rPr>
                            </w:pPr>
                          </w:p>
                          <w:p w:rsidR="0065381E" w:rsidRDefault="006471DA" w:rsidP="006471DA">
                            <w:pPr>
                              <w:spacing w:line="259" w:lineRule="auto"/>
                              <w:ind w:left="108" w:right="106"/>
                              <w:jc w:val="both"/>
                              <w:rPr>
                                <w:i/>
                              </w:rPr>
                            </w:pPr>
                            <w:r w:rsidRPr="006471DA">
                              <w:rPr>
                                <w:i/>
                              </w:rPr>
                              <w:t>ОТКАЗ ОТ ОТГОВОРНОСТ: Този документ е предназначен да използва дейностите за предотвратяване на измами на компетентните национални органи в държавите-членки. То не представлява официална позиция на Комисията.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48.35pt;margin-top:15.85pt;width:498.75pt;height:18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" filled="f" strokeweight=".48pt">
                <v:textbox inset="0,0,0,0">
                  <w:txbxContent>
                    <w:p w:rsidR="006471DA" w:rsidRPr="006471DA" w:rsidRDefault="006471DA" w:rsidP="006471DA">
                      <w:pPr>
                        <w:spacing w:line="259" w:lineRule="auto"/>
                        <w:ind w:left="108" w:right="106"/>
                        <w:jc w:val="both"/>
                        <w:rPr>
                          <w:i/>
                        </w:rPr>
                      </w:pPr>
                      <w:r w:rsidRPr="006471DA">
                        <w:rPr>
                          <w:i/>
                        </w:rPr>
                        <w:t xml:space="preserve">OLAF се бори срещу измамите, корупцията и всяка друга незаконна дейност, засягаща финансовите интереси на ЕС. Освен провеждането на разследвания, </w:t>
                      </w:r>
                      <w:r>
                        <w:rPr>
                          <w:i/>
                          <w:lang w:val="bg-BG"/>
                        </w:rPr>
                        <w:t>ОЛАФ</w:t>
                      </w:r>
                      <w:r w:rsidRPr="006471DA">
                        <w:rPr>
                          <w:i/>
                        </w:rPr>
                        <w:t xml:space="preserve"> развива знания, за да информира за разумни политики за борба с измамите както на ниво ЕС, така и на ниво държави-членки. Тези знания са резултат от анализа на информация от различни източници.</w:t>
                      </w:r>
                    </w:p>
                    <w:p w:rsidR="006471DA" w:rsidRPr="006471DA" w:rsidRDefault="006471DA" w:rsidP="006471DA">
                      <w:pPr>
                        <w:spacing w:line="259" w:lineRule="auto"/>
                        <w:ind w:left="108" w:right="106"/>
                        <w:jc w:val="both"/>
                        <w:rPr>
                          <w:i/>
                        </w:rPr>
                      </w:pPr>
                    </w:p>
                    <w:p w:rsidR="006471DA" w:rsidRPr="006471DA" w:rsidRDefault="006471DA" w:rsidP="006471DA">
                      <w:pPr>
                        <w:spacing w:line="259" w:lineRule="auto"/>
                        <w:ind w:left="108" w:right="106"/>
                        <w:jc w:val="both"/>
                        <w:rPr>
                          <w:i/>
                        </w:rPr>
                      </w:pPr>
                      <w:r w:rsidRPr="006471DA">
                        <w:rPr>
                          <w:i/>
                        </w:rPr>
                        <w:t xml:space="preserve">Центърът за знания за борба с измамите на </w:t>
                      </w:r>
                      <w:r>
                        <w:rPr>
                          <w:i/>
                          <w:lang w:val="bg-BG"/>
                        </w:rPr>
                        <w:t>ОЛАФ</w:t>
                      </w:r>
                      <w:r w:rsidRPr="006471DA">
                        <w:rPr>
                          <w:i/>
                        </w:rPr>
                        <w:t xml:space="preserve"> подготви този документ въз основа на опита на </w:t>
                      </w:r>
                      <w:r>
                        <w:rPr>
                          <w:i/>
                          <w:lang w:val="bg-BG"/>
                        </w:rPr>
                        <w:t>ОЛАФ</w:t>
                      </w:r>
                      <w:r w:rsidRPr="006471DA">
                        <w:rPr>
                          <w:i/>
                        </w:rPr>
                        <w:t xml:space="preserve"> в разследванията. Целта на този документ е да предостави съвети на компетентните национални органи за намаляване на риска от нередности, включително измами.</w:t>
                      </w:r>
                    </w:p>
                    <w:p w:rsidR="006471DA" w:rsidRPr="006471DA" w:rsidRDefault="006471DA" w:rsidP="006471DA">
                      <w:pPr>
                        <w:spacing w:line="259" w:lineRule="auto"/>
                        <w:ind w:left="108" w:right="106"/>
                        <w:jc w:val="both"/>
                        <w:rPr>
                          <w:i/>
                        </w:rPr>
                      </w:pPr>
                    </w:p>
                    <w:p w:rsidR="0065381E" w:rsidRDefault="006471DA" w:rsidP="006471DA">
                      <w:pPr>
                        <w:spacing w:line="259" w:lineRule="auto"/>
                        <w:ind w:left="108" w:right="106"/>
                        <w:jc w:val="both"/>
                        <w:rPr>
                          <w:i/>
                        </w:rPr>
                      </w:pPr>
                      <w:r w:rsidRPr="006471DA">
                        <w:rPr>
                          <w:i/>
                        </w:rPr>
                        <w:t>ОТКАЗ ОТ ОТГОВОРНОСТ: Този документ е предназначен да използва дейностите за предотвратяване на измами на компетентните национални органи в държавите-членки. То не представлява официална позиция на Комисията.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5381E" w:rsidRDefault="0065381E">
      <w:pPr>
        <w:sectPr w:rsidR="0065381E">
          <w:type w:val="continuous"/>
          <w:pgSz w:w="11910" w:h="16840"/>
          <w:pgMar w:top="560" w:right="860" w:bottom="280" w:left="860" w:header="720" w:footer="720" w:gutter="0"/>
          <w:cols w:space="720"/>
        </w:sectPr>
      </w:pPr>
    </w:p>
    <w:p w:rsidR="0065381E" w:rsidRDefault="0065381E">
      <w:pPr>
        <w:pStyle w:val="BodyText"/>
        <w:spacing w:before="1"/>
        <w:rPr>
          <w:i/>
          <w:sz w:val="19"/>
        </w:rPr>
      </w:pPr>
    </w:p>
    <w:p w:rsidR="006471DA" w:rsidRDefault="006471DA" w:rsidP="006471DA">
      <w:pPr>
        <w:pStyle w:val="BodyText"/>
        <w:spacing w:before="11"/>
        <w:ind w:left="180"/>
        <w:jc w:val="both"/>
      </w:pPr>
      <w:r>
        <w:t>Дигитализацията е един от основните приоритети на Европа. Европейските структурни и инвестиционни фондове предостав</w:t>
      </w:r>
      <w:r>
        <w:rPr>
          <w:lang w:val="bg-BG"/>
        </w:rPr>
        <w:t>ят</w:t>
      </w:r>
      <w:r>
        <w:t xml:space="preserve"> приблизително 21,4 милиарда евро за инвестиции в информационни и комуникационни технологии през периода на финансиране 2014-2020 г. Освен това многогодишната финансова рамка 2021-2027 г. подкрепя цифровизацията чрез различни инструменти за финансиране.</w:t>
      </w:r>
    </w:p>
    <w:p w:rsidR="006471DA" w:rsidRDefault="006471DA" w:rsidP="006471DA">
      <w:pPr>
        <w:pStyle w:val="BodyText"/>
        <w:spacing w:before="11"/>
        <w:jc w:val="both"/>
      </w:pPr>
    </w:p>
    <w:p w:rsidR="006471DA" w:rsidRDefault="006471DA" w:rsidP="006471DA">
      <w:pPr>
        <w:pStyle w:val="BodyText"/>
        <w:spacing w:before="11"/>
        <w:ind w:left="180"/>
        <w:jc w:val="both"/>
      </w:pPr>
      <w:r>
        <w:t>Съгласно Механизма за възстановяване и устойчивост (</w:t>
      </w:r>
      <w:r>
        <w:rPr>
          <w:lang w:val="bg-BG"/>
        </w:rPr>
        <w:t>МВУ</w:t>
      </w:r>
      <w:r>
        <w:t>), ключовият инструмент в сърцето на NextGenerationEU, националните планове трябва да съдържат „мерки, които ефективно допринасят за цифровия преход или за справяне с предизвикателствата, произтичащи от него, и които отчитат сума, която представлява при най-малко 20 %”</w:t>
      </w:r>
      <w:r>
        <w:rPr>
          <w:vertAlign w:val="superscript"/>
          <w:lang w:val="bg-BG"/>
        </w:rPr>
        <w:t>1</w:t>
      </w:r>
      <w:r>
        <w:t xml:space="preserve"> от общото разпределение на плановете. През март 2022 г. разходите, поети за насърчаване на цифровия преход, представляват 26% от вече одобрените национални планове.</w:t>
      </w:r>
    </w:p>
    <w:p w:rsidR="006471DA" w:rsidRDefault="006471DA" w:rsidP="006471DA">
      <w:pPr>
        <w:pStyle w:val="BodyText"/>
        <w:spacing w:before="11"/>
        <w:jc w:val="both"/>
      </w:pPr>
    </w:p>
    <w:p w:rsidR="0065381E" w:rsidRDefault="006471DA" w:rsidP="006471DA">
      <w:pPr>
        <w:pStyle w:val="BodyText"/>
        <w:spacing w:before="11"/>
        <w:ind w:left="180"/>
        <w:jc w:val="both"/>
        <w:rPr>
          <w:sz w:val="22"/>
        </w:rPr>
      </w:pPr>
      <w:r>
        <w:t>При изпълнение на своята мисия да защитава финансовите интереси на ЕС чрез разследване на измами, корупция и всякакви други незаконни дейности, Европейската служба за борба с измамите (</w:t>
      </w:r>
      <w:r>
        <w:rPr>
          <w:lang w:val="bg-BG"/>
        </w:rPr>
        <w:t>ОЛАФ</w:t>
      </w:r>
      <w:r>
        <w:t>) разследва редица случаи, свързани с инвестиции в цифровия преход в проекти, финансирани от Европейските структурни и Инвестиционни фондове. Тези случаи разкриват важни недостатъци и слабости в изпълнението, управлението или контрола на проектите. Те се отнасят по-специално до:</w:t>
      </w:r>
    </w:p>
    <w:p w:rsidR="006471DA" w:rsidRPr="006471DA" w:rsidRDefault="006471DA" w:rsidP="006471DA">
      <w:pPr>
        <w:pStyle w:val="BodyText"/>
        <w:numPr>
          <w:ilvl w:val="0"/>
          <w:numId w:val="3"/>
        </w:numPr>
        <w:spacing w:before="11"/>
        <w:jc w:val="both"/>
        <w:rPr>
          <w:szCs w:val="22"/>
        </w:rPr>
      </w:pPr>
      <w:r w:rsidRPr="006471DA">
        <w:rPr>
          <w:szCs w:val="22"/>
        </w:rPr>
        <w:t>големи проекти, включващи еднократна покупка – по-специално по рамкови споразумения – на голям брой лицензи и услуги за ИТ хардуерно оборудване и/или софтуер за ИТ, изпълнявани от национални публични органи (като бенефициенти на проекта, финансиран от ЕС);</w:t>
      </w:r>
    </w:p>
    <w:p w:rsidR="0065381E" w:rsidRPr="006471DA" w:rsidRDefault="006471DA" w:rsidP="006471DA">
      <w:pPr>
        <w:pStyle w:val="BodyText"/>
        <w:numPr>
          <w:ilvl w:val="0"/>
          <w:numId w:val="3"/>
        </w:numPr>
        <w:spacing w:before="11"/>
        <w:jc w:val="both"/>
        <w:rPr>
          <w:szCs w:val="22"/>
        </w:rPr>
      </w:pPr>
      <w:r w:rsidRPr="006471DA">
        <w:rPr>
          <w:szCs w:val="22"/>
        </w:rPr>
        <w:t>няколко малки иновативни ИТ проекта, при които група дружества изкуствено са създали условия за неправомерно получаване на средства от ЕС, по-специално като са се редували като бенефициенти и доставчици на проекти (на бенефициентите на проектите) и като са представяли няколко пъти едни и същи или много подобни ИТ софтуер като иновативни продукти.</w:t>
      </w:r>
    </w:p>
    <w:p w:rsidR="006471DA" w:rsidRDefault="006471DA" w:rsidP="006471DA">
      <w:pPr>
        <w:pStyle w:val="BodyText"/>
        <w:ind w:left="180"/>
        <w:jc w:val="both"/>
      </w:pPr>
      <w:r>
        <w:t xml:space="preserve">Въз основа на опита от тези случаи </w:t>
      </w:r>
      <w:r>
        <w:rPr>
          <w:lang w:val="bg-BG"/>
        </w:rPr>
        <w:t>ОЛАФ</w:t>
      </w:r>
      <w:r>
        <w:t xml:space="preserve"> анализира основните проблеми и идентифицира свързаните с тях рискове, за да формулира съвети за борба с измамите.</w:t>
      </w:r>
    </w:p>
    <w:p w:rsidR="006471DA" w:rsidRDefault="006471DA" w:rsidP="006471DA">
      <w:pPr>
        <w:pStyle w:val="BodyText"/>
        <w:jc w:val="both"/>
      </w:pPr>
    </w:p>
    <w:p w:rsidR="0065381E" w:rsidRDefault="006471DA" w:rsidP="006471DA">
      <w:pPr>
        <w:pStyle w:val="BodyText"/>
        <w:ind w:left="180"/>
        <w:jc w:val="both"/>
        <w:rPr>
          <w:sz w:val="20"/>
        </w:rPr>
      </w:pPr>
      <w:r>
        <w:t>Настоящият документ описва идентифицираните три основни проблемни области, като за всяка от тях предоставя списък със свързани червени знамена и предложения за възможни смекчаващи мерки. Казус от практиката илюстрира възникналите проблеми.</w:t>
      </w:r>
    </w:p>
    <w:p w:rsidR="0065381E" w:rsidRDefault="0065381E">
      <w:pPr>
        <w:pStyle w:val="BodyText"/>
        <w:rPr>
          <w:sz w:val="20"/>
        </w:rPr>
      </w:pPr>
    </w:p>
    <w:p w:rsidR="0065381E" w:rsidRDefault="0065381E">
      <w:pPr>
        <w:pStyle w:val="BodyText"/>
        <w:rPr>
          <w:sz w:val="20"/>
        </w:rPr>
      </w:pPr>
    </w:p>
    <w:p w:rsidR="0065381E" w:rsidRDefault="0065381E">
      <w:pPr>
        <w:pStyle w:val="BodyText"/>
        <w:rPr>
          <w:sz w:val="20"/>
        </w:rPr>
      </w:pPr>
    </w:p>
    <w:p w:rsidR="0065381E" w:rsidRDefault="0065381E">
      <w:pPr>
        <w:pStyle w:val="BodyText"/>
        <w:rPr>
          <w:sz w:val="20"/>
        </w:rPr>
      </w:pPr>
    </w:p>
    <w:p w:rsidR="0065381E" w:rsidRDefault="0065381E">
      <w:pPr>
        <w:pStyle w:val="BodyText"/>
        <w:rPr>
          <w:sz w:val="20"/>
        </w:rPr>
      </w:pPr>
    </w:p>
    <w:p w:rsidR="0065381E" w:rsidRPr="006471DA" w:rsidRDefault="0065381E">
      <w:pPr>
        <w:pStyle w:val="BodyText"/>
        <w:rPr>
          <w:sz w:val="20"/>
          <w:lang w:val="bg-BG"/>
        </w:rPr>
      </w:pPr>
    </w:p>
    <w:p w:rsidR="0065381E" w:rsidRDefault="0065381E">
      <w:pPr>
        <w:pStyle w:val="BodyText"/>
        <w:rPr>
          <w:sz w:val="20"/>
        </w:rPr>
      </w:pPr>
    </w:p>
    <w:p w:rsidR="0065381E" w:rsidRDefault="0065381E">
      <w:pPr>
        <w:pStyle w:val="BodyText"/>
        <w:rPr>
          <w:sz w:val="20"/>
        </w:rPr>
      </w:pPr>
    </w:p>
    <w:p w:rsidR="0065381E" w:rsidRDefault="0065381E">
      <w:pPr>
        <w:pStyle w:val="BodyText"/>
        <w:rPr>
          <w:sz w:val="20"/>
          <w:lang w:val="bg-BG"/>
        </w:rPr>
      </w:pPr>
    </w:p>
    <w:p w:rsidR="006471DA" w:rsidRPr="006471DA" w:rsidRDefault="006471DA">
      <w:pPr>
        <w:pStyle w:val="BodyText"/>
        <w:rPr>
          <w:sz w:val="20"/>
          <w:lang w:val="bg-BG"/>
        </w:rPr>
      </w:pPr>
    </w:p>
    <w:p w:rsidR="0065381E" w:rsidRDefault="0065381E">
      <w:pPr>
        <w:pStyle w:val="BodyText"/>
        <w:rPr>
          <w:sz w:val="20"/>
        </w:rPr>
      </w:pPr>
    </w:p>
    <w:p w:rsidR="0065381E" w:rsidRDefault="0065381E">
      <w:pPr>
        <w:pStyle w:val="BodyText"/>
        <w:rPr>
          <w:sz w:val="20"/>
        </w:rPr>
      </w:pPr>
    </w:p>
    <w:p w:rsidR="0065381E" w:rsidRDefault="0065381E">
      <w:pPr>
        <w:pStyle w:val="BodyText"/>
        <w:rPr>
          <w:sz w:val="20"/>
        </w:rPr>
      </w:pPr>
    </w:p>
    <w:p w:rsidR="0065381E" w:rsidRDefault="00F56F6D">
      <w:pPr>
        <w:pStyle w:val="BodyText"/>
        <w:spacing w:before="1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103505</wp:posOffset>
                </wp:positionV>
                <wp:extent cx="1829435" cy="8890"/>
                <wp:effectExtent l="0" t="0" r="0" b="0"/>
                <wp:wrapTopAndBottom/>
                <wp:docPr id="1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35E9D3" id="Rectangle 12" o:spid="_x0000_s1026" style="position:absolute;margin-left:54pt;margin-top:8.15pt;width:144.05pt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uOvdwIAAPs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65381E" w:rsidRDefault="002217EF">
      <w:pPr>
        <w:spacing w:before="73"/>
        <w:ind w:left="220" w:right="10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9"/>
          <w:sz w:val="20"/>
        </w:rPr>
        <w:t xml:space="preserve"> </w:t>
      </w:r>
      <w:r>
        <w:rPr>
          <w:sz w:val="20"/>
        </w:rPr>
        <w:t>Art.</w:t>
      </w:r>
      <w:r>
        <w:rPr>
          <w:spacing w:val="10"/>
          <w:sz w:val="20"/>
        </w:rPr>
        <w:t xml:space="preserve"> </w:t>
      </w:r>
      <w:r>
        <w:rPr>
          <w:sz w:val="20"/>
        </w:rPr>
        <w:t>19</w:t>
      </w:r>
      <w:r>
        <w:rPr>
          <w:spacing w:val="9"/>
          <w:sz w:val="20"/>
        </w:rPr>
        <w:t xml:space="preserve"> </w:t>
      </w:r>
      <w:r>
        <w:rPr>
          <w:sz w:val="20"/>
        </w:rPr>
        <w:t>of</w:t>
      </w:r>
      <w:r>
        <w:rPr>
          <w:spacing w:val="10"/>
          <w:sz w:val="20"/>
        </w:rPr>
        <w:t xml:space="preserve"> </w:t>
      </w:r>
      <w:r>
        <w:rPr>
          <w:sz w:val="20"/>
        </w:rPr>
        <w:t>Regulation</w:t>
      </w:r>
      <w:r>
        <w:rPr>
          <w:spacing w:val="11"/>
          <w:sz w:val="20"/>
        </w:rPr>
        <w:t xml:space="preserve"> </w:t>
      </w:r>
      <w:r>
        <w:rPr>
          <w:sz w:val="20"/>
        </w:rPr>
        <w:t>(EU)</w:t>
      </w:r>
      <w:r>
        <w:rPr>
          <w:spacing w:val="10"/>
          <w:sz w:val="20"/>
        </w:rPr>
        <w:t xml:space="preserve"> </w:t>
      </w:r>
      <w:r>
        <w:rPr>
          <w:sz w:val="20"/>
        </w:rPr>
        <w:t>2021/241</w:t>
      </w:r>
      <w:r>
        <w:rPr>
          <w:spacing w:val="9"/>
          <w:sz w:val="20"/>
        </w:rPr>
        <w:t xml:space="preserve"> </w:t>
      </w:r>
      <w:r>
        <w:rPr>
          <w:sz w:val="20"/>
        </w:rPr>
        <w:t>of</w:t>
      </w:r>
      <w:r>
        <w:rPr>
          <w:spacing w:val="9"/>
          <w:sz w:val="20"/>
        </w:rPr>
        <w:t xml:space="preserve"> </w:t>
      </w:r>
      <w:r>
        <w:rPr>
          <w:sz w:val="20"/>
        </w:rPr>
        <w:t>the</w:t>
      </w:r>
      <w:r>
        <w:rPr>
          <w:spacing w:val="9"/>
          <w:sz w:val="20"/>
        </w:rPr>
        <w:t xml:space="preserve"> </w:t>
      </w:r>
      <w:r>
        <w:rPr>
          <w:sz w:val="20"/>
        </w:rPr>
        <w:t>European</w:t>
      </w:r>
      <w:r>
        <w:rPr>
          <w:spacing w:val="11"/>
          <w:sz w:val="20"/>
        </w:rPr>
        <w:t xml:space="preserve"> </w:t>
      </w:r>
      <w:r>
        <w:rPr>
          <w:sz w:val="20"/>
        </w:rPr>
        <w:t>Parliament</w:t>
      </w:r>
      <w:r>
        <w:rPr>
          <w:spacing w:val="11"/>
          <w:sz w:val="20"/>
        </w:rPr>
        <w:t xml:space="preserve"> </w:t>
      </w:r>
      <w:r>
        <w:rPr>
          <w:sz w:val="20"/>
        </w:rPr>
        <w:t>and</w:t>
      </w:r>
      <w:r>
        <w:rPr>
          <w:spacing w:val="10"/>
          <w:sz w:val="20"/>
        </w:rPr>
        <w:t xml:space="preserve"> </w:t>
      </w:r>
      <w:r>
        <w:rPr>
          <w:sz w:val="20"/>
        </w:rPr>
        <w:t>of</w:t>
      </w:r>
      <w:r>
        <w:rPr>
          <w:spacing w:val="9"/>
          <w:sz w:val="20"/>
        </w:rPr>
        <w:t xml:space="preserve"> </w:t>
      </w:r>
      <w:r>
        <w:rPr>
          <w:sz w:val="20"/>
        </w:rPr>
        <w:t>the</w:t>
      </w:r>
      <w:r>
        <w:rPr>
          <w:spacing w:val="9"/>
          <w:sz w:val="20"/>
        </w:rPr>
        <w:t xml:space="preserve"> </w:t>
      </w:r>
      <w:r>
        <w:rPr>
          <w:sz w:val="20"/>
        </w:rPr>
        <w:t>Council</w:t>
      </w:r>
      <w:r>
        <w:rPr>
          <w:spacing w:val="9"/>
          <w:sz w:val="20"/>
        </w:rPr>
        <w:t xml:space="preserve"> </w:t>
      </w:r>
      <w:r>
        <w:rPr>
          <w:sz w:val="20"/>
        </w:rPr>
        <w:t>of</w:t>
      </w:r>
      <w:r>
        <w:rPr>
          <w:spacing w:val="9"/>
          <w:sz w:val="20"/>
        </w:rPr>
        <w:t xml:space="preserve"> </w:t>
      </w:r>
      <w:r>
        <w:rPr>
          <w:sz w:val="20"/>
        </w:rPr>
        <w:t>12</w:t>
      </w:r>
      <w:r>
        <w:rPr>
          <w:spacing w:val="10"/>
          <w:sz w:val="20"/>
        </w:rPr>
        <w:t xml:space="preserve"> </w:t>
      </w:r>
      <w:r>
        <w:rPr>
          <w:sz w:val="20"/>
        </w:rPr>
        <w:t>February</w:t>
      </w:r>
      <w:r>
        <w:rPr>
          <w:spacing w:val="11"/>
          <w:sz w:val="20"/>
        </w:rPr>
        <w:t xml:space="preserve"> </w:t>
      </w:r>
      <w:r>
        <w:rPr>
          <w:sz w:val="20"/>
        </w:rPr>
        <w:t>2021</w:t>
      </w:r>
      <w:r>
        <w:rPr>
          <w:spacing w:val="9"/>
          <w:sz w:val="20"/>
        </w:rPr>
        <w:t xml:space="preserve"> </w:t>
      </w:r>
      <w:r>
        <w:rPr>
          <w:sz w:val="20"/>
        </w:rPr>
        <w:t>establishing</w:t>
      </w:r>
      <w:r>
        <w:rPr>
          <w:spacing w:val="-4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Recovery and Resilience</w:t>
      </w:r>
      <w:r>
        <w:rPr>
          <w:spacing w:val="-1"/>
          <w:sz w:val="20"/>
        </w:rPr>
        <w:t xml:space="preserve"> </w:t>
      </w:r>
      <w:r>
        <w:rPr>
          <w:sz w:val="20"/>
        </w:rPr>
        <w:t>Facility, OJ</w:t>
      </w:r>
      <w:r>
        <w:rPr>
          <w:spacing w:val="-2"/>
          <w:sz w:val="20"/>
        </w:rPr>
        <w:t xml:space="preserve"> </w:t>
      </w:r>
      <w:r>
        <w:rPr>
          <w:sz w:val="20"/>
        </w:rPr>
        <w:t>L 57, 18.2.2021,</w:t>
      </w:r>
      <w:r>
        <w:rPr>
          <w:spacing w:val="-1"/>
          <w:sz w:val="20"/>
        </w:rPr>
        <w:t xml:space="preserve"> </w:t>
      </w:r>
      <w:r>
        <w:rPr>
          <w:sz w:val="20"/>
        </w:rPr>
        <w:t>p. 41.</w:t>
      </w:r>
    </w:p>
    <w:p w:rsidR="0065381E" w:rsidRPr="006471DA" w:rsidRDefault="0065381E">
      <w:pPr>
        <w:rPr>
          <w:sz w:val="20"/>
          <w:lang w:val="bg-BG"/>
        </w:rPr>
        <w:sectPr w:rsidR="0065381E" w:rsidRPr="006471DA">
          <w:headerReference w:type="default" r:id="rId12"/>
          <w:pgSz w:w="11910" w:h="16840"/>
          <w:pgMar w:top="1720" w:right="860" w:bottom="280" w:left="860" w:header="1488" w:footer="0" w:gutter="0"/>
          <w:cols w:space="720"/>
        </w:sectPr>
      </w:pPr>
    </w:p>
    <w:p w:rsidR="0065381E" w:rsidRDefault="00F56F6D">
      <w:pPr>
        <w:pStyle w:val="BodyText"/>
        <w:rPr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431680" behindDoc="1" locked="0" layoutInCell="1" allowOverlap="1">
                <wp:simplePos x="0" y="0"/>
                <wp:positionH relativeFrom="page">
                  <wp:posOffset>658495</wp:posOffset>
                </wp:positionH>
                <wp:positionV relativeFrom="page">
                  <wp:posOffset>920750</wp:posOffset>
                </wp:positionV>
                <wp:extent cx="6334125" cy="571500"/>
                <wp:effectExtent l="0" t="0" r="0" b="0"/>
                <wp:wrapNone/>
                <wp:docPr id="1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5715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5381E" w:rsidRPr="006471DA" w:rsidRDefault="006471DA" w:rsidP="006471DA">
                            <w:pPr>
                              <w:ind w:left="108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 w:rsidRPr="006471DA">
                              <w:rPr>
                                <w:b/>
                                <w:sz w:val="25"/>
                                <w:szCs w:val="24"/>
                              </w:rPr>
                              <w:t>Проблемна област 1: Използване на неадекватни рамкови споразумения за закупуване на ИТ хардуерно оборудване и софтуерни лицензи и услуги в проекти, финансирани от ЕС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51.85pt;margin-top:72.5pt;width:498.75pt;height:45pt;z-index:-1588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" filled="f" strokeweight=".48pt">
                <v:textbox inset="0,0,0,0">
                  <w:txbxContent>
                    <w:p w:rsidR="0065381E" w:rsidRPr="006471DA" w:rsidRDefault="006471DA" w:rsidP="006471DA">
                      <w:pPr>
                        <w:ind w:left="108"/>
                        <w:jc w:val="both"/>
                        <w:rPr>
                          <w:b/>
                          <w:sz w:val="24"/>
                        </w:rPr>
                      </w:pPr>
                      <w:r w:rsidRPr="006471DA">
                        <w:rPr>
                          <w:b/>
                          <w:sz w:val="25"/>
                          <w:szCs w:val="24"/>
                        </w:rPr>
                        <w:t>Проблемна област 1: Използване на неадекватни рамкови споразумения за закупуване на ИТ хардуерно оборудване и софтуерни лицензи и услуги в проекти, финансирани от ЕС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65381E" w:rsidRDefault="0065381E">
      <w:pPr>
        <w:pStyle w:val="BodyText"/>
        <w:spacing w:before="5"/>
        <w:rPr>
          <w:sz w:val="25"/>
        </w:rPr>
      </w:pPr>
    </w:p>
    <w:p w:rsidR="006471DA" w:rsidRDefault="006471DA">
      <w:pPr>
        <w:pStyle w:val="Heading1"/>
        <w:spacing w:before="52"/>
      </w:pPr>
    </w:p>
    <w:p w:rsidR="0065381E" w:rsidRDefault="006471DA">
      <w:pPr>
        <w:pStyle w:val="Heading1"/>
        <w:spacing w:before="52"/>
        <w:rPr>
          <w:b w:val="0"/>
        </w:rPr>
      </w:pPr>
      <w:r>
        <w:rPr>
          <w:lang w:val="bg-BG"/>
        </w:rPr>
        <w:t>Описание на проблема</w:t>
      </w:r>
      <w:r w:rsidR="002217EF">
        <w:rPr>
          <w:b w:val="0"/>
        </w:rPr>
        <w:t>:</w:t>
      </w:r>
    </w:p>
    <w:p w:rsidR="0065381E" w:rsidRDefault="0065381E">
      <w:pPr>
        <w:pStyle w:val="BodyText"/>
        <w:spacing w:before="11"/>
        <w:rPr>
          <w:sz w:val="22"/>
        </w:rPr>
      </w:pPr>
    </w:p>
    <w:p w:rsidR="006471DA" w:rsidRDefault="006471DA" w:rsidP="006471DA">
      <w:pPr>
        <w:pStyle w:val="BodyText"/>
        <w:numPr>
          <w:ilvl w:val="0"/>
          <w:numId w:val="4"/>
        </w:numPr>
        <w:spacing w:before="11"/>
        <w:jc w:val="both"/>
        <w:rPr>
          <w:szCs w:val="22"/>
          <w:lang w:val="bg-BG"/>
        </w:rPr>
      </w:pPr>
      <w:r w:rsidRPr="006471DA">
        <w:rPr>
          <w:szCs w:val="22"/>
        </w:rPr>
        <w:t>Публични/възлагащи органи (бенефициенти на финансирани от ЕС проекти) често използват (или са задължени да използват) рамкови споразумения (с повторно откриване на конкурс) за закупуване на голям брой ИТ хардуерно оборудване и софтуерни лицензи и услуги. В някои специфични ситуации тези рамкови спора</w:t>
      </w:r>
      <w:r>
        <w:rPr>
          <w:szCs w:val="22"/>
        </w:rPr>
        <w:t>зумения може да не са подходящи</w:t>
      </w:r>
      <w:r>
        <w:rPr>
          <w:szCs w:val="22"/>
          <w:lang w:val="bg-BG"/>
        </w:rPr>
        <w:t>;</w:t>
      </w:r>
    </w:p>
    <w:p w:rsidR="006471DA" w:rsidRDefault="006471DA" w:rsidP="006471DA">
      <w:pPr>
        <w:pStyle w:val="BodyText"/>
        <w:numPr>
          <w:ilvl w:val="0"/>
          <w:numId w:val="4"/>
        </w:numPr>
        <w:spacing w:before="11"/>
        <w:jc w:val="both"/>
        <w:rPr>
          <w:szCs w:val="22"/>
          <w:lang w:val="bg-BG"/>
        </w:rPr>
      </w:pPr>
      <w:r w:rsidRPr="006471DA">
        <w:rPr>
          <w:szCs w:val="22"/>
        </w:rPr>
        <w:t>Когато различни видове възлагащи органи използват едно и също рамково споразумение, най-добрата стойност за парите може да не е гарантирана, тъй като цените по споразумението може да не включват конкретна потенциално приложима преференциална цена (напр. за големи количества, доставени за конкре</w:t>
      </w:r>
      <w:r>
        <w:rPr>
          <w:szCs w:val="22"/>
        </w:rPr>
        <w:t>тна категория публичен субект )</w:t>
      </w:r>
      <w:r>
        <w:rPr>
          <w:szCs w:val="22"/>
          <w:lang w:val="bg-BG"/>
        </w:rPr>
        <w:t>;</w:t>
      </w:r>
    </w:p>
    <w:p w:rsidR="006471DA" w:rsidRDefault="006471DA" w:rsidP="006471DA">
      <w:pPr>
        <w:pStyle w:val="BodyText"/>
        <w:numPr>
          <w:ilvl w:val="0"/>
          <w:numId w:val="4"/>
        </w:numPr>
        <w:spacing w:before="11"/>
        <w:jc w:val="both"/>
        <w:rPr>
          <w:szCs w:val="22"/>
          <w:lang w:val="bg-BG"/>
        </w:rPr>
      </w:pPr>
      <w:r w:rsidRPr="006471DA">
        <w:rPr>
          <w:szCs w:val="22"/>
        </w:rPr>
        <w:t>Когато се използват рамкови споразумения, прозрачността се намалява, тъй като всички потоци от информация остават между възлагащия орган и икономическите опер</w:t>
      </w:r>
      <w:r>
        <w:rPr>
          <w:szCs w:val="22"/>
        </w:rPr>
        <w:t>атори, подписали споразумението</w:t>
      </w:r>
      <w:r>
        <w:rPr>
          <w:szCs w:val="22"/>
          <w:lang w:val="bg-BG"/>
        </w:rPr>
        <w:t>;</w:t>
      </w:r>
    </w:p>
    <w:p w:rsidR="0065381E" w:rsidRDefault="006471DA" w:rsidP="006471DA">
      <w:pPr>
        <w:pStyle w:val="BodyText"/>
        <w:numPr>
          <w:ilvl w:val="0"/>
          <w:numId w:val="4"/>
        </w:numPr>
        <w:spacing w:before="11"/>
        <w:jc w:val="both"/>
        <w:rPr>
          <w:szCs w:val="22"/>
          <w:lang w:val="bg-BG"/>
        </w:rPr>
      </w:pPr>
      <w:r w:rsidRPr="006471DA">
        <w:rPr>
          <w:szCs w:val="22"/>
        </w:rPr>
        <w:t>Конкуренцията е намалена, тъй като рамковите споразумения ограничават броя на потенциалните оференти при повторното отваряне на конкурса. Следователно компаниите, подписали рамков договор, биха могли по-лесно да си поделят (националния) пазар.</w:t>
      </w:r>
    </w:p>
    <w:p w:rsidR="006471DA" w:rsidRPr="006471DA" w:rsidRDefault="006471DA" w:rsidP="006471DA">
      <w:pPr>
        <w:pStyle w:val="BodyText"/>
        <w:spacing w:before="11"/>
        <w:ind w:left="720"/>
        <w:jc w:val="both"/>
        <w:rPr>
          <w:szCs w:val="22"/>
          <w:lang w:val="bg-BG"/>
        </w:rPr>
      </w:pPr>
    </w:p>
    <w:p w:rsidR="0065381E" w:rsidRDefault="006471DA">
      <w:pPr>
        <w:pStyle w:val="Heading1"/>
      </w:pPr>
      <w:r>
        <w:rPr>
          <w:lang w:val="bg-BG"/>
        </w:rPr>
        <w:t>Червени фалгове</w:t>
      </w:r>
      <w:r w:rsidR="002217EF">
        <w:t>:</w:t>
      </w:r>
    </w:p>
    <w:p w:rsidR="0065381E" w:rsidRDefault="0065381E">
      <w:pPr>
        <w:pStyle w:val="BodyText"/>
        <w:spacing w:before="11"/>
        <w:rPr>
          <w:b/>
          <w:sz w:val="22"/>
        </w:rPr>
      </w:pPr>
    </w:p>
    <w:p w:rsidR="006471DA" w:rsidRPr="006471DA" w:rsidRDefault="006471DA" w:rsidP="00881F5E">
      <w:pPr>
        <w:pStyle w:val="BodyText"/>
        <w:numPr>
          <w:ilvl w:val="0"/>
          <w:numId w:val="5"/>
        </w:numPr>
        <w:spacing w:before="5"/>
        <w:jc w:val="both"/>
        <w:rPr>
          <w:szCs w:val="22"/>
        </w:rPr>
      </w:pPr>
      <w:r w:rsidRPr="006471DA">
        <w:rPr>
          <w:szCs w:val="22"/>
        </w:rPr>
        <w:t>Задължително използване на рамкови споразумения.</w:t>
      </w:r>
    </w:p>
    <w:p w:rsidR="006471DA" w:rsidRPr="006471DA" w:rsidRDefault="006471DA" w:rsidP="00881F5E">
      <w:pPr>
        <w:pStyle w:val="BodyText"/>
        <w:numPr>
          <w:ilvl w:val="0"/>
          <w:numId w:val="5"/>
        </w:numPr>
        <w:spacing w:before="5"/>
        <w:jc w:val="both"/>
        <w:rPr>
          <w:szCs w:val="22"/>
        </w:rPr>
      </w:pPr>
      <w:r w:rsidRPr="006471DA">
        <w:rPr>
          <w:szCs w:val="22"/>
        </w:rPr>
        <w:t>Даден възложител винаги има един и същ доставчик.</w:t>
      </w:r>
    </w:p>
    <w:p w:rsidR="006471DA" w:rsidRPr="006471DA" w:rsidRDefault="006471DA" w:rsidP="00881F5E">
      <w:pPr>
        <w:pStyle w:val="BodyText"/>
        <w:numPr>
          <w:ilvl w:val="0"/>
          <w:numId w:val="5"/>
        </w:numPr>
        <w:spacing w:before="5"/>
        <w:jc w:val="both"/>
        <w:rPr>
          <w:szCs w:val="22"/>
        </w:rPr>
      </w:pPr>
      <w:r w:rsidRPr="006471DA">
        <w:rPr>
          <w:szCs w:val="22"/>
        </w:rPr>
        <w:t>Единична оферта при повторно откриване на конкурса.</w:t>
      </w:r>
    </w:p>
    <w:p w:rsidR="006471DA" w:rsidRPr="006471DA" w:rsidRDefault="006471DA" w:rsidP="00881F5E">
      <w:pPr>
        <w:pStyle w:val="BodyText"/>
        <w:numPr>
          <w:ilvl w:val="0"/>
          <w:numId w:val="5"/>
        </w:numPr>
        <w:spacing w:before="5"/>
        <w:jc w:val="both"/>
        <w:rPr>
          <w:szCs w:val="22"/>
        </w:rPr>
      </w:pPr>
      <w:r w:rsidRPr="006471DA">
        <w:rPr>
          <w:szCs w:val="22"/>
        </w:rPr>
        <w:t>Въпреки че са подадени няколко оферти, могат да се наблюдават необичайни модели на оферти (напр. цените на офертите са точен процент една от друга; печелившата оферта е точно под прага на приемливите цени, точно на бюджетна цена, твърде висока, твърде близо, твърде далеч отделно, кръгли числа, непълни и т.н.).</w:t>
      </w:r>
    </w:p>
    <w:p w:rsidR="006471DA" w:rsidRPr="006471DA" w:rsidRDefault="006471DA" w:rsidP="00881F5E">
      <w:pPr>
        <w:pStyle w:val="BodyText"/>
        <w:numPr>
          <w:ilvl w:val="0"/>
          <w:numId w:val="5"/>
        </w:numPr>
        <w:spacing w:before="5"/>
        <w:jc w:val="both"/>
        <w:rPr>
          <w:szCs w:val="22"/>
        </w:rPr>
      </w:pPr>
      <w:r w:rsidRPr="006471DA">
        <w:rPr>
          <w:szCs w:val="22"/>
        </w:rPr>
        <w:t>Някои компании, част от рамково споразумение, винаги наддават една срещу друга при повторното откриване на конкурса, докато други никога не го правят.</w:t>
      </w:r>
    </w:p>
    <w:p w:rsidR="006471DA" w:rsidRPr="006471DA" w:rsidRDefault="006471DA" w:rsidP="00881F5E">
      <w:pPr>
        <w:pStyle w:val="BodyText"/>
        <w:numPr>
          <w:ilvl w:val="0"/>
          <w:numId w:val="5"/>
        </w:numPr>
        <w:spacing w:before="5"/>
        <w:jc w:val="both"/>
        <w:rPr>
          <w:szCs w:val="22"/>
        </w:rPr>
      </w:pPr>
      <w:r w:rsidRPr="006471DA">
        <w:rPr>
          <w:szCs w:val="22"/>
        </w:rPr>
        <w:t>Комбиниране на закупуване на софтуер и обучение/софтуерна поддръжка в една и съща обществена поръчка.</w:t>
      </w:r>
    </w:p>
    <w:p w:rsidR="006471DA" w:rsidRPr="006471DA" w:rsidRDefault="006471DA" w:rsidP="00881F5E">
      <w:pPr>
        <w:pStyle w:val="BodyText"/>
        <w:numPr>
          <w:ilvl w:val="0"/>
          <w:numId w:val="5"/>
        </w:numPr>
        <w:spacing w:before="5"/>
        <w:jc w:val="both"/>
        <w:rPr>
          <w:szCs w:val="22"/>
        </w:rPr>
      </w:pPr>
      <w:r w:rsidRPr="006471DA">
        <w:rPr>
          <w:szCs w:val="22"/>
        </w:rPr>
        <w:t>Предварителна поръчка на хардуер или софтуер от производителя преди възлагането на договора.</w:t>
      </w:r>
    </w:p>
    <w:p w:rsidR="0065381E" w:rsidRPr="006471DA" w:rsidRDefault="006471DA" w:rsidP="00881F5E">
      <w:pPr>
        <w:pStyle w:val="BodyText"/>
        <w:numPr>
          <w:ilvl w:val="0"/>
          <w:numId w:val="5"/>
        </w:numPr>
        <w:spacing w:before="5"/>
        <w:jc w:val="both"/>
        <w:rPr>
          <w:szCs w:val="22"/>
        </w:rPr>
      </w:pPr>
      <w:r w:rsidRPr="006471DA">
        <w:rPr>
          <w:szCs w:val="22"/>
        </w:rPr>
        <w:t>Прехвърляне на софтуерни лицензи от производителя към крайния потребител („предварително зареждане“) преди възлагането на договора.</w:t>
      </w:r>
    </w:p>
    <w:p w:rsidR="006471DA" w:rsidRPr="006471DA" w:rsidRDefault="006471DA" w:rsidP="006471DA">
      <w:pPr>
        <w:pStyle w:val="BodyText"/>
        <w:spacing w:before="5"/>
        <w:ind w:left="720"/>
        <w:rPr>
          <w:szCs w:val="22"/>
        </w:rPr>
      </w:pPr>
    </w:p>
    <w:p w:rsidR="0065381E" w:rsidRDefault="00881F5E">
      <w:pPr>
        <w:pStyle w:val="Heading1"/>
      </w:pPr>
      <w:r w:rsidRPr="00881F5E">
        <w:t>Смекчаващи мерки/решения</w:t>
      </w:r>
      <w:r w:rsidR="002217EF">
        <w:t>:</w:t>
      </w:r>
    </w:p>
    <w:p w:rsidR="0065381E" w:rsidRDefault="0065381E">
      <w:pPr>
        <w:pStyle w:val="BodyText"/>
        <w:spacing w:before="11"/>
        <w:rPr>
          <w:b/>
          <w:sz w:val="22"/>
        </w:rPr>
      </w:pPr>
    </w:p>
    <w:p w:rsidR="00881F5E" w:rsidRPr="00881F5E" w:rsidRDefault="00881F5E" w:rsidP="00881F5E">
      <w:pPr>
        <w:pStyle w:val="ListParagraph"/>
        <w:numPr>
          <w:ilvl w:val="0"/>
          <w:numId w:val="6"/>
        </w:numPr>
        <w:spacing w:line="297" w:lineRule="exact"/>
        <w:rPr>
          <w:sz w:val="24"/>
        </w:rPr>
      </w:pPr>
      <w:r w:rsidRPr="00881F5E">
        <w:rPr>
          <w:sz w:val="24"/>
        </w:rPr>
        <w:t>Оценка на необходимостта и адекватността на рамковите споразумения в сравнение с други начини за възлагане на обществени поръчки, напр. чрез открити процедури.</w:t>
      </w:r>
    </w:p>
    <w:p w:rsidR="00881F5E" w:rsidRPr="00881F5E" w:rsidRDefault="00881F5E" w:rsidP="00881F5E">
      <w:pPr>
        <w:pStyle w:val="ListParagraph"/>
        <w:numPr>
          <w:ilvl w:val="0"/>
          <w:numId w:val="6"/>
        </w:numPr>
        <w:spacing w:line="297" w:lineRule="exact"/>
        <w:rPr>
          <w:sz w:val="24"/>
        </w:rPr>
      </w:pPr>
      <w:r w:rsidRPr="00881F5E">
        <w:rPr>
          <w:sz w:val="24"/>
        </w:rPr>
        <w:t>Използване на задължителни рамкови споразумения само за групи от субекти, които попадат в един и същи тип ценови категории.</w:t>
      </w:r>
    </w:p>
    <w:p w:rsidR="00881F5E" w:rsidRPr="00881F5E" w:rsidRDefault="00881F5E" w:rsidP="00881F5E">
      <w:pPr>
        <w:pStyle w:val="ListParagraph"/>
        <w:numPr>
          <w:ilvl w:val="0"/>
          <w:numId w:val="6"/>
        </w:numPr>
        <w:spacing w:line="297" w:lineRule="exact"/>
        <w:rPr>
          <w:sz w:val="24"/>
        </w:rPr>
      </w:pPr>
      <w:r w:rsidRPr="00881F5E">
        <w:rPr>
          <w:sz w:val="24"/>
        </w:rPr>
        <w:t>Осигуряване на независим експертен съвет на ниво публичен орган/бенефициент за оценка на нуждите и разходите за ИТ проекти.</w:t>
      </w:r>
    </w:p>
    <w:p w:rsidR="00881F5E" w:rsidRPr="00881F5E" w:rsidRDefault="00881F5E" w:rsidP="00881F5E">
      <w:pPr>
        <w:pStyle w:val="ListParagraph"/>
        <w:numPr>
          <w:ilvl w:val="0"/>
          <w:numId w:val="6"/>
        </w:numPr>
        <w:spacing w:line="297" w:lineRule="exact"/>
        <w:rPr>
          <w:sz w:val="24"/>
        </w:rPr>
      </w:pPr>
      <w:r w:rsidRPr="00881F5E">
        <w:rPr>
          <w:sz w:val="24"/>
        </w:rPr>
        <w:t>Използване на различни ИТ консултанти за</w:t>
      </w:r>
      <w:r>
        <w:rPr>
          <w:sz w:val="24"/>
          <w:lang w:val="bg-BG"/>
        </w:rPr>
        <w:t>:</w:t>
      </w:r>
    </w:p>
    <w:p w:rsidR="00881F5E" w:rsidRPr="00881F5E" w:rsidRDefault="00881F5E" w:rsidP="00881F5E">
      <w:pPr>
        <w:pStyle w:val="ListParagraph"/>
        <w:numPr>
          <w:ilvl w:val="0"/>
          <w:numId w:val="7"/>
        </w:numPr>
        <w:spacing w:line="297" w:lineRule="exact"/>
        <w:ind w:left="1260"/>
        <w:rPr>
          <w:sz w:val="24"/>
        </w:rPr>
      </w:pPr>
      <w:r w:rsidRPr="00881F5E">
        <w:rPr>
          <w:sz w:val="24"/>
        </w:rPr>
        <w:lastRenderedPageBreak/>
        <w:t>подготовка на кандидатурата на проекта</w:t>
      </w:r>
    </w:p>
    <w:p w:rsidR="00881F5E" w:rsidRPr="00881F5E" w:rsidRDefault="00881F5E" w:rsidP="00881F5E">
      <w:pPr>
        <w:pStyle w:val="ListParagraph"/>
        <w:numPr>
          <w:ilvl w:val="0"/>
          <w:numId w:val="7"/>
        </w:numPr>
        <w:spacing w:line="297" w:lineRule="exact"/>
        <w:ind w:left="1260"/>
        <w:rPr>
          <w:sz w:val="24"/>
        </w:rPr>
      </w:pPr>
      <w:r w:rsidRPr="00881F5E">
        <w:rPr>
          <w:sz w:val="24"/>
        </w:rPr>
        <w:t>подготовка на тръжната документация</w:t>
      </w:r>
    </w:p>
    <w:p w:rsidR="0065381E" w:rsidRPr="00881F5E" w:rsidRDefault="00881F5E" w:rsidP="00881F5E">
      <w:pPr>
        <w:pStyle w:val="ListParagraph"/>
        <w:numPr>
          <w:ilvl w:val="0"/>
          <w:numId w:val="7"/>
        </w:numPr>
        <w:spacing w:line="297" w:lineRule="exact"/>
        <w:ind w:left="1260"/>
        <w:rPr>
          <w:sz w:val="24"/>
        </w:rPr>
      </w:pPr>
      <w:r w:rsidRPr="00881F5E">
        <w:rPr>
          <w:sz w:val="24"/>
        </w:rPr>
        <w:t>подпомагане на оценката на търга и</w:t>
      </w:r>
      <w:r>
        <w:rPr>
          <w:sz w:val="24"/>
          <w:lang w:val="bg-BG"/>
        </w:rPr>
        <w:t xml:space="preserve"> </w:t>
      </w:r>
      <w:r w:rsidRPr="00881F5E">
        <w:rPr>
          <w:sz w:val="24"/>
        </w:rPr>
        <w:t>изпълнението на проекта.</w:t>
      </w:r>
    </w:p>
    <w:p w:rsidR="00881F5E" w:rsidRPr="00881F5E" w:rsidRDefault="00881F5E" w:rsidP="00881F5E">
      <w:pPr>
        <w:pStyle w:val="ListParagraph"/>
        <w:numPr>
          <w:ilvl w:val="0"/>
          <w:numId w:val="7"/>
        </w:numPr>
        <w:spacing w:line="297" w:lineRule="exact"/>
        <w:ind w:left="1260"/>
        <w:rPr>
          <w:sz w:val="24"/>
        </w:rPr>
        <w:sectPr w:rsidR="00881F5E" w:rsidRPr="00881F5E">
          <w:headerReference w:type="default" r:id="rId13"/>
          <w:pgSz w:w="11910" w:h="16840"/>
          <w:pgMar w:top="1740" w:right="860" w:bottom="280" w:left="860" w:header="1520" w:footer="0" w:gutter="0"/>
          <w:cols w:space="720"/>
        </w:sectPr>
      </w:pPr>
    </w:p>
    <w:p w:rsidR="0065381E" w:rsidRDefault="00F56F6D">
      <w:pPr>
        <w:pStyle w:val="BodyText"/>
        <w:spacing w:before="6"/>
        <w:rPr>
          <w:sz w:val="2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432704" behindDoc="1" locked="0" layoutInCell="1" allowOverlap="1">
                <wp:simplePos x="0" y="0"/>
                <wp:positionH relativeFrom="page">
                  <wp:posOffset>610870</wp:posOffset>
                </wp:positionH>
                <wp:positionV relativeFrom="page">
                  <wp:posOffset>914400</wp:posOffset>
                </wp:positionV>
                <wp:extent cx="6339840" cy="224790"/>
                <wp:effectExtent l="0" t="0" r="0" b="0"/>
                <wp:wrapNone/>
                <wp:docPr id="1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9840" cy="224790"/>
                        </a:xfrm>
                        <a:custGeom>
                          <a:avLst/>
                          <a:gdLst>
                            <a:gd name="T0" fmla="+- 0 972 962"/>
                            <a:gd name="T1" fmla="*/ T0 w 9984"/>
                            <a:gd name="T2" fmla="+- 0 1440 1440"/>
                            <a:gd name="T3" fmla="*/ 1440 h 354"/>
                            <a:gd name="T4" fmla="+- 0 962 962"/>
                            <a:gd name="T5" fmla="*/ T4 w 9984"/>
                            <a:gd name="T6" fmla="+- 0 1440 1440"/>
                            <a:gd name="T7" fmla="*/ 1440 h 354"/>
                            <a:gd name="T8" fmla="+- 0 962 962"/>
                            <a:gd name="T9" fmla="*/ T8 w 9984"/>
                            <a:gd name="T10" fmla="+- 0 1450 1440"/>
                            <a:gd name="T11" fmla="*/ 1450 h 354"/>
                            <a:gd name="T12" fmla="+- 0 962 962"/>
                            <a:gd name="T13" fmla="*/ T12 w 9984"/>
                            <a:gd name="T14" fmla="+- 0 1450 1440"/>
                            <a:gd name="T15" fmla="*/ 1450 h 354"/>
                            <a:gd name="T16" fmla="+- 0 962 962"/>
                            <a:gd name="T17" fmla="*/ T16 w 9984"/>
                            <a:gd name="T18" fmla="+- 0 1784 1440"/>
                            <a:gd name="T19" fmla="*/ 1784 h 354"/>
                            <a:gd name="T20" fmla="+- 0 962 962"/>
                            <a:gd name="T21" fmla="*/ T20 w 9984"/>
                            <a:gd name="T22" fmla="+- 0 1793 1440"/>
                            <a:gd name="T23" fmla="*/ 1793 h 354"/>
                            <a:gd name="T24" fmla="+- 0 972 962"/>
                            <a:gd name="T25" fmla="*/ T24 w 9984"/>
                            <a:gd name="T26" fmla="+- 0 1793 1440"/>
                            <a:gd name="T27" fmla="*/ 1793 h 354"/>
                            <a:gd name="T28" fmla="+- 0 972 962"/>
                            <a:gd name="T29" fmla="*/ T28 w 9984"/>
                            <a:gd name="T30" fmla="+- 0 1784 1440"/>
                            <a:gd name="T31" fmla="*/ 1784 h 354"/>
                            <a:gd name="T32" fmla="+- 0 972 962"/>
                            <a:gd name="T33" fmla="*/ T32 w 9984"/>
                            <a:gd name="T34" fmla="+- 0 1450 1440"/>
                            <a:gd name="T35" fmla="*/ 1450 h 354"/>
                            <a:gd name="T36" fmla="+- 0 972 962"/>
                            <a:gd name="T37" fmla="*/ T36 w 9984"/>
                            <a:gd name="T38" fmla="+- 0 1450 1440"/>
                            <a:gd name="T39" fmla="*/ 1450 h 354"/>
                            <a:gd name="T40" fmla="+- 0 972 962"/>
                            <a:gd name="T41" fmla="*/ T40 w 9984"/>
                            <a:gd name="T42" fmla="+- 0 1440 1440"/>
                            <a:gd name="T43" fmla="*/ 1440 h 354"/>
                            <a:gd name="T44" fmla="+- 0 10946 962"/>
                            <a:gd name="T45" fmla="*/ T44 w 9984"/>
                            <a:gd name="T46" fmla="+- 0 1440 1440"/>
                            <a:gd name="T47" fmla="*/ 1440 h 354"/>
                            <a:gd name="T48" fmla="+- 0 10937 962"/>
                            <a:gd name="T49" fmla="*/ T48 w 9984"/>
                            <a:gd name="T50" fmla="+- 0 1440 1440"/>
                            <a:gd name="T51" fmla="*/ 1440 h 354"/>
                            <a:gd name="T52" fmla="+- 0 972 962"/>
                            <a:gd name="T53" fmla="*/ T52 w 9984"/>
                            <a:gd name="T54" fmla="+- 0 1440 1440"/>
                            <a:gd name="T55" fmla="*/ 1440 h 354"/>
                            <a:gd name="T56" fmla="+- 0 972 962"/>
                            <a:gd name="T57" fmla="*/ T56 w 9984"/>
                            <a:gd name="T58" fmla="+- 0 1450 1440"/>
                            <a:gd name="T59" fmla="*/ 1450 h 354"/>
                            <a:gd name="T60" fmla="+- 0 10937 962"/>
                            <a:gd name="T61" fmla="*/ T60 w 9984"/>
                            <a:gd name="T62" fmla="+- 0 1450 1440"/>
                            <a:gd name="T63" fmla="*/ 1450 h 354"/>
                            <a:gd name="T64" fmla="+- 0 10937 962"/>
                            <a:gd name="T65" fmla="*/ T64 w 9984"/>
                            <a:gd name="T66" fmla="+- 0 1784 1440"/>
                            <a:gd name="T67" fmla="*/ 1784 h 354"/>
                            <a:gd name="T68" fmla="+- 0 972 962"/>
                            <a:gd name="T69" fmla="*/ T68 w 9984"/>
                            <a:gd name="T70" fmla="+- 0 1784 1440"/>
                            <a:gd name="T71" fmla="*/ 1784 h 354"/>
                            <a:gd name="T72" fmla="+- 0 972 962"/>
                            <a:gd name="T73" fmla="*/ T72 w 9984"/>
                            <a:gd name="T74" fmla="+- 0 1793 1440"/>
                            <a:gd name="T75" fmla="*/ 1793 h 354"/>
                            <a:gd name="T76" fmla="+- 0 10937 962"/>
                            <a:gd name="T77" fmla="*/ T76 w 9984"/>
                            <a:gd name="T78" fmla="+- 0 1793 1440"/>
                            <a:gd name="T79" fmla="*/ 1793 h 354"/>
                            <a:gd name="T80" fmla="+- 0 10946 962"/>
                            <a:gd name="T81" fmla="*/ T80 w 9984"/>
                            <a:gd name="T82" fmla="+- 0 1793 1440"/>
                            <a:gd name="T83" fmla="*/ 1793 h 354"/>
                            <a:gd name="T84" fmla="+- 0 10946 962"/>
                            <a:gd name="T85" fmla="*/ T84 w 9984"/>
                            <a:gd name="T86" fmla="+- 0 1784 1440"/>
                            <a:gd name="T87" fmla="*/ 1784 h 354"/>
                            <a:gd name="T88" fmla="+- 0 10946 962"/>
                            <a:gd name="T89" fmla="*/ T88 w 9984"/>
                            <a:gd name="T90" fmla="+- 0 1450 1440"/>
                            <a:gd name="T91" fmla="*/ 1450 h 354"/>
                            <a:gd name="T92" fmla="+- 0 10946 962"/>
                            <a:gd name="T93" fmla="*/ T92 w 9984"/>
                            <a:gd name="T94" fmla="+- 0 1450 1440"/>
                            <a:gd name="T95" fmla="*/ 1450 h 354"/>
                            <a:gd name="T96" fmla="+- 0 10946 962"/>
                            <a:gd name="T97" fmla="*/ T96 w 9984"/>
                            <a:gd name="T98" fmla="+- 0 1440 1440"/>
                            <a:gd name="T99" fmla="*/ 1440 h 3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9984" h="354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44"/>
                              </a:lnTo>
                              <a:lnTo>
                                <a:pt x="0" y="353"/>
                              </a:lnTo>
                              <a:lnTo>
                                <a:pt x="10" y="353"/>
                              </a:lnTo>
                              <a:lnTo>
                                <a:pt x="10" y="344"/>
                              </a:ln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9984" y="0"/>
                              </a:moveTo>
                              <a:lnTo>
                                <a:pt x="9975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9975" y="10"/>
                              </a:lnTo>
                              <a:lnTo>
                                <a:pt x="9975" y="344"/>
                              </a:lnTo>
                              <a:lnTo>
                                <a:pt x="10" y="344"/>
                              </a:lnTo>
                              <a:lnTo>
                                <a:pt x="10" y="353"/>
                              </a:lnTo>
                              <a:lnTo>
                                <a:pt x="9975" y="353"/>
                              </a:lnTo>
                              <a:lnTo>
                                <a:pt x="9984" y="353"/>
                              </a:lnTo>
                              <a:lnTo>
                                <a:pt x="9984" y="344"/>
                              </a:lnTo>
                              <a:lnTo>
                                <a:pt x="9984" y="10"/>
                              </a:lnTo>
                              <a:lnTo>
                                <a:pt x="99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66DC1A" id="AutoShape 10" o:spid="_x0000_s1026" style="position:absolute;margin-left:48.1pt;margin-top:1in;width:499.2pt;height:17.7pt;z-index:-1588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984,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" path="m10,l,,,10,,344r,9l10,353r,-9l10,10,10,xm9984,r-9,l10,r,10l9975,10r,334l10,344r,9l9975,353r9,l9984,344r,-334l9984,xe" fillcolor="black" stroked="f">
                <v:path arrowok="t" o:connecttype="custom" o:connectlocs="6350,914400;0,914400;0,920750;0,920750;0,1132840;0,1138555;6350,1138555;6350,1132840;6350,920750;6350,920750;6350,914400;6339840,914400;6334125,914400;6350,914400;6350,920750;6334125,920750;6334125,1132840;6350,1132840;6350,1138555;6334125,1138555;6339840,1138555;6339840,1132840;6339840,920750;6339840,920750;6339840,914400" o:connectangles="0,0,0,0,0,0,0,0,0,0,0,0,0,0,0,0,0,0,0,0,0,0,0,0,0"/>
                <w10:wrap anchorx="page" anchory="page"/>
              </v:shape>
            </w:pict>
          </mc:Fallback>
        </mc:AlternateContent>
      </w:r>
    </w:p>
    <w:p w:rsidR="0065381E" w:rsidRDefault="00881F5E">
      <w:pPr>
        <w:pStyle w:val="Heading1"/>
        <w:spacing w:before="51"/>
      </w:pPr>
      <w:r>
        <w:rPr>
          <w:lang w:val="bg-BG"/>
        </w:rPr>
        <w:t>Описание на проблема</w:t>
      </w:r>
      <w:r w:rsidR="002217EF">
        <w:t>:</w:t>
      </w:r>
    </w:p>
    <w:p w:rsidR="00881F5E" w:rsidRPr="00881F5E" w:rsidRDefault="00881F5E" w:rsidP="00881F5E">
      <w:pPr>
        <w:pStyle w:val="BodyText"/>
        <w:numPr>
          <w:ilvl w:val="1"/>
          <w:numId w:val="6"/>
        </w:numPr>
        <w:spacing w:before="6"/>
        <w:ind w:left="540"/>
        <w:jc w:val="both"/>
        <w:rPr>
          <w:szCs w:val="22"/>
        </w:rPr>
      </w:pPr>
      <w:r w:rsidRPr="00881F5E">
        <w:rPr>
          <w:szCs w:val="22"/>
        </w:rPr>
        <w:t>Бенефициентът/възложителят не знае какви потенциални специални цени има право да получи и дали/каква допълнителна отстъпка е получ</w:t>
      </w:r>
      <w:r>
        <w:rPr>
          <w:szCs w:val="22"/>
        </w:rPr>
        <w:t>ил доставчикът от производителя</w:t>
      </w:r>
      <w:r>
        <w:rPr>
          <w:szCs w:val="22"/>
          <w:lang w:val="bg-BG"/>
        </w:rPr>
        <w:t>;</w:t>
      </w:r>
    </w:p>
    <w:p w:rsidR="00881F5E" w:rsidRPr="00881F5E" w:rsidRDefault="00881F5E" w:rsidP="00881F5E">
      <w:pPr>
        <w:pStyle w:val="BodyText"/>
        <w:numPr>
          <w:ilvl w:val="1"/>
          <w:numId w:val="6"/>
        </w:numPr>
        <w:spacing w:before="6"/>
        <w:ind w:left="540"/>
        <w:jc w:val="both"/>
        <w:rPr>
          <w:szCs w:val="22"/>
        </w:rPr>
      </w:pPr>
      <w:r w:rsidRPr="00881F5E">
        <w:rPr>
          <w:szCs w:val="22"/>
        </w:rPr>
        <w:t>Бенефициентът може да не е запознат с пълната верига от подизпълнители.</w:t>
      </w:r>
    </w:p>
    <w:p w:rsidR="0065381E" w:rsidRPr="00881F5E" w:rsidRDefault="00881F5E" w:rsidP="00881F5E">
      <w:pPr>
        <w:pStyle w:val="BodyText"/>
        <w:numPr>
          <w:ilvl w:val="1"/>
          <w:numId w:val="6"/>
        </w:numPr>
        <w:spacing w:before="6"/>
        <w:ind w:left="540"/>
        <w:jc w:val="both"/>
        <w:rPr>
          <w:szCs w:val="22"/>
        </w:rPr>
      </w:pPr>
      <w:r w:rsidRPr="00881F5E">
        <w:rPr>
          <w:szCs w:val="22"/>
        </w:rPr>
        <w:t>Може да се появи корупция поради непрозрачността на цените и веригата на подизпълнителите за крайния потребител/възложителя.</w:t>
      </w:r>
    </w:p>
    <w:p w:rsidR="00881F5E" w:rsidRPr="00881F5E" w:rsidRDefault="00881F5E" w:rsidP="00881F5E">
      <w:pPr>
        <w:pStyle w:val="BodyText"/>
        <w:spacing w:before="6"/>
        <w:ind w:left="540"/>
        <w:jc w:val="both"/>
        <w:rPr>
          <w:szCs w:val="22"/>
        </w:rPr>
      </w:pPr>
    </w:p>
    <w:p w:rsidR="0065381E" w:rsidRDefault="00881F5E" w:rsidP="00881F5E">
      <w:pPr>
        <w:pStyle w:val="Heading1"/>
        <w:jc w:val="both"/>
      </w:pPr>
      <w:r>
        <w:rPr>
          <w:lang w:val="bg-BG"/>
        </w:rPr>
        <w:t>Червени флагове</w:t>
      </w:r>
      <w:r w:rsidR="002217EF">
        <w:t>:</w:t>
      </w:r>
    </w:p>
    <w:p w:rsidR="0065381E" w:rsidRDefault="0065381E" w:rsidP="00881F5E">
      <w:pPr>
        <w:pStyle w:val="BodyText"/>
        <w:spacing w:before="12"/>
        <w:jc w:val="both"/>
        <w:rPr>
          <w:b/>
          <w:sz w:val="22"/>
        </w:rPr>
      </w:pPr>
    </w:p>
    <w:p w:rsidR="00881F5E" w:rsidRPr="00881F5E" w:rsidRDefault="00881F5E" w:rsidP="00881F5E">
      <w:pPr>
        <w:pStyle w:val="BodyText"/>
        <w:numPr>
          <w:ilvl w:val="0"/>
          <w:numId w:val="10"/>
        </w:numPr>
        <w:tabs>
          <w:tab w:val="left" w:pos="540"/>
        </w:tabs>
        <w:spacing w:before="12"/>
        <w:ind w:left="540"/>
        <w:jc w:val="both"/>
        <w:rPr>
          <w:szCs w:val="22"/>
        </w:rPr>
      </w:pPr>
      <w:r w:rsidRPr="00881F5E">
        <w:rPr>
          <w:szCs w:val="22"/>
        </w:rPr>
        <w:t>Сложна верига от поддоставчици.</w:t>
      </w:r>
    </w:p>
    <w:p w:rsidR="00881F5E" w:rsidRPr="00881F5E" w:rsidRDefault="00881F5E" w:rsidP="00881F5E">
      <w:pPr>
        <w:pStyle w:val="BodyText"/>
        <w:numPr>
          <w:ilvl w:val="0"/>
          <w:numId w:val="10"/>
        </w:numPr>
        <w:tabs>
          <w:tab w:val="left" w:pos="540"/>
        </w:tabs>
        <w:spacing w:before="12"/>
        <w:ind w:left="540"/>
        <w:jc w:val="both"/>
        <w:rPr>
          <w:sz w:val="22"/>
        </w:rPr>
      </w:pPr>
      <w:r w:rsidRPr="00881F5E">
        <w:rPr>
          <w:szCs w:val="22"/>
        </w:rPr>
        <w:t>Верига от поддоставчици, пресичащи границите.</w:t>
      </w:r>
    </w:p>
    <w:p w:rsidR="0065381E" w:rsidRPr="00881F5E" w:rsidRDefault="00881F5E" w:rsidP="00881F5E">
      <w:pPr>
        <w:pStyle w:val="BodyText"/>
        <w:numPr>
          <w:ilvl w:val="0"/>
          <w:numId w:val="10"/>
        </w:numPr>
        <w:tabs>
          <w:tab w:val="left" w:pos="540"/>
        </w:tabs>
        <w:spacing w:before="12"/>
        <w:ind w:left="540"/>
        <w:jc w:val="both"/>
        <w:rPr>
          <w:sz w:val="22"/>
        </w:rPr>
      </w:pPr>
      <w:r w:rsidRPr="00881F5E">
        <w:rPr>
          <w:szCs w:val="22"/>
        </w:rPr>
        <w:t>Веригата от поддоставчици включва поддоставчици, които нямат опит и/или оперативен капацитет в дадения сектор.</w:t>
      </w:r>
    </w:p>
    <w:p w:rsidR="00881F5E" w:rsidRPr="00881F5E" w:rsidRDefault="00881F5E" w:rsidP="00881F5E">
      <w:pPr>
        <w:pStyle w:val="BodyText"/>
        <w:tabs>
          <w:tab w:val="left" w:pos="540"/>
        </w:tabs>
        <w:spacing w:before="12"/>
        <w:ind w:left="540"/>
        <w:rPr>
          <w:sz w:val="22"/>
        </w:rPr>
      </w:pPr>
    </w:p>
    <w:p w:rsidR="0065381E" w:rsidRDefault="00881F5E">
      <w:pPr>
        <w:pStyle w:val="Heading1"/>
      </w:pPr>
      <w:r w:rsidRPr="00881F5E">
        <w:t>Смекчаващи мерки/решения</w:t>
      </w:r>
      <w:r w:rsidR="002217EF">
        <w:t>:</w:t>
      </w:r>
    </w:p>
    <w:p w:rsidR="0065381E" w:rsidRDefault="0065381E">
      <w:pPr>
        <w:pStyle w:val="BodyText"/>
        <w:spacing w:before="11"/>
        <w:rPr>
          <w:b/>
          <w:sz w:val="22"/>
        </w:rPr>
      </w:pPr>
    </w:p>
    <w:p w:rsidR="00881F5E" w:rsidRPr="00881F5E" w:rsidRDefault="00881F5E" w:rsidP="00881F5E">
      <w:pPr>
        <w:pStyle w:val="BodyText"/>
        <w:numPr>
          <w:ilvl w:val="0"/>
          <w:numId w:val="11"/>
        </w:numPr>
        <w:ind w:left="540"/>
        <w:jc w:val="both"/>
        <w:rPr>
          <w:szCs w:val="22"/>
        </w:rPr>
      </w:pPr>
      <w:r w:rsidRPr="00881F5E">
        <w:rPr>
          <w:szCs w:val="22"/>
        </w:rPr>
        <w:t>Включване в договора с доставчика на клауза за прозрачност, обхващаща по-специално всяка специална цена и допълнителна отстъпка, договорени от производителя към доставчика в сравнение с ценовата листа на (рамковия) договор.</w:t>
      </w:r>
    </w:p>
    <w:p w:rsidR="00881F5E" w:rsidRPr="00881F5E" w:rsidRDefault="00881F5E" w:rsidP="00881F5E">
      <w:pPr>
        <w:pStyle w:val="BodyText"/>
        <w:numPr>
          <w:ilvl w:val="0"/>
          <w:numId w:val="11"/>
        </w:numPr>
        <w:ind w:left="540"/>
        <w:jc w:val="both"/>
        <w:rPr>
          <w:szCs w:val="22"/>
        </w:rPr>
      </w:pPr>
      <w:r w:rsidRPr="00881F5E">
        <w:rPr>
          <w:szCs w:val="22"/>
        </w:rPr>
        <w:t>Включване на договорно задължение за доставчика да декларира пред възложителя всеки поддоставчик по веригата между доставчик и производител.</w:t>
      </w:r>
    </w:p>
    <w:p w:rsidR="00881F5E" w:rsidRPr="00881F5E" w:rsidRDefault="00881F5E" w:rsidP="00881F5E">
      <w:pPr>
        <w:pStyle w:val="BodyText"/>
        <w:numPr>
          <w:ilvl w:val="0"/>
          <w:numId w:val="11"/>
        </w:numPr>
        <w:ind w:left="540"/>
        <w:jc w:val="both"/>
        <w:rPr>
          <w:szCs w:val="22"/>
        </w:rPr>
      </w:pPr>
      <w:r w:rsidRPr="00881F5E">
        <w:rPr>
          <w:szCs w:val="22"/>
        </w:rPr>
        <w:t>Забрана за прехвърляне на софтуерни лицензи от производителя към крайния потребител преди възлагането на договора.</w:t>
      </w:r>
    </w:p>
    <w:p w:rsidR="00881F5E" w:rsidRPr="00881F5E" w:rsidRDefault="00881F5E" w:rsidP="00881F5E">
      <w:pPr>
        <w:pStyle w:val="BodyText"/>
        <w:numPr>
          <w:ilvl w:val="0"/>
          <w:numId w:val="11"/>
        </w:numPr>
        <w:ind w:left="540"/>
        <w:jc w:val="both"/>
        <w:rPr>
          <w:sz w:val="20"/>
        </w:rPr>
      </w:pPr>
      <w:r w:rsidRPr="00881F5E">
        <w:rPr>
          <w:szCs w:val="22"/>
        </w:rPr>
        <w:t>Забрана на всякакво споразумение или поръчка между възлагащия орган и производителя/препродавача относно бъдещия договор преди възлагането на договора.</w:t>
      </w:r>
    </w:p>
    <w:p w:rsidR="0065381E" w:rsidRPr="00881F5E" w:rsidRDefault="00881F5E" w:rsidP="00881F5E">
      <w:pPr>
        <w:pStyle w:val="BodyText"/>
        <w:numPr>
          <w:ilvl w:val="0"/>
          <w:numId w:val="11"/>
        </w:numPr>
        <w:ind w:left="540"/>
        <w:jc w:val="both"/>
        <w:rPr>
          <w:sz w:val="20"/>
        </w:rPr>
      </w:pPr>
      <w:r w:rsidRPr="00881F5E">
        <w:rPr>
          <w:szCs w:val="22"/>
        </w:rPr>
        <w:t>Когато е възможно, сключване на договор директно с производителя или неговия официален препродавач. Когато не е възможно, свържете се директно с производителя, за да попитате/преговаряте за условия за категории купувачи и специални отстъпки (изпълнете рутинно запитване за борба с измамите).</w:t>
      </w:r>
    </w:p>
    <w:p w:rsidR="0065381E" w:rsidRDefault="0065381E">
      <w:pPr>
        <w:pStyle w:val="BodyText"/>
        <w:rPr>
          <w:sz w:val="20"/>
        </w:rPr>
      </w:pPr>
    </w:p>
    <w:p w:rsidR="0065381E" w:rsidRDefault="00F56F6D">
      <w:pPr>
        <w:pStyle w:val="BodyText"/>
        <w:spacing w:before="11"/>
        <w:rPr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614045</wp:posOffset>
                </wp:positionH>
                <wp:positionV relativeFrom="paragraph">
                  <wp:posOffset>236855</wp:posOffset>
                </wp:positionV>
                <wp:extent cx="6334125" cy="419735"/>
                <wp:effectExtent l="0" t="0" r="0" b="0"/>
                <wp:wrapTopAndBottom/>
                <wp:docPr id="1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197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5381E" w:rsidRDefault="00881F5E">
                            <w:pPr>
                              <w:spacing w:before="21"/>
                              <w:ind w:left="108"/>
                              <w:rPr>
                                <w:b/>
                                <w:sz w:val="24"/>
                              </w:rPr>
                            </w:pPr>
                            <w:r w:rsidRPr="00881F5E">
                              <w:rPr>
                                <w:b/>
                                <w:sz w:val="24"/>
                              </w:rPr>
                              <w:t>Проблемна област 3: Липса на техническа експертиза на държавните органи и публичните субекти при изпълнението/контрола на инвестициите в цифров преход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48.35pt;margin-top:18.65pt;width:498.75pt;height:33.0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" filled="f" strokeweight=".48pt">
                <v:textbox inset="0,0,0,0">
                  <w:txbxContent>
                    <w:p w:rsidR="0065381E" w:rsidRDefault="00881F5E">
                      <w:pPr>
                        <w:spacing w:before="21"/>
                        <w:ind w:left="108"/>
                        <w:rPr>
                          <w:b/>
                          <w:sz w:val="24"/>
                        </w:rPr>
                      </w:pPr>
                      <w:r w:rsidRPr="00881F5E">
                        <w:rPr>
                          <w:b/>
                          <w:sz w:val="24"/>
                        </w:rPr>
                        <w:t>Проблемна област 3: Липса на техническа експертиза на държавните органи и публичните субекти при изпълнението/контрола на инвестициите в цифров преход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5381E" w:rsidRDefault="0065381E">
      <w:pPr>
        <w:pStyle w:val="BodyText"/>
        <w:spacing w:before="4"/>
        <w:rPr>
          <w:sz w:val="16"/>
        </w:rPr>
      </w:pPr>
    </w:p>
    <w:p w:rsidR="0065381E" w:rsidRDefault="00881F5E">
      <w:pPr>
        <w:pStyle w:val="Heading1"/>
        <w:spacing w:before="51"/>
      </w:pPr>
      <w:r>
        <w:rPr>
          <w:lang w:val="bg-BG"/>
        </w:rPr>
        <w:t>Описание на проблема</w:t>
      </w:r>
      <w:r w:rsidR="002217EF">
        <w:t>:</w:t>
      </w:r>
    </w:p>
    <w:p w:rsidR="00881F5E" w:rsidRPr="00881F5E" w:rsidRDefault="00881F5E" w:rsidP="00881F5E">
      <w:pPr>
        <w:spacing w:line="232" w:lineRule="auto"/>
        <w:ind w:left="270"/>
        <w:rPr>
          <w:sz w:val="24"/>
          <w:szCs w:val="24"/>
        </w:rPr>
      </w:pPr>
      <w:r w:rsidRPr="00881F5E">
        <w:rPr>
          <w:sz w:val="24"/>
          <w:szCs w:val="24"/>
        </w:rPr>
        <w:t>Липсата на техническа експертиза на ниво държавни органи и обществени организации може да бъде проблем:</w:t>
      </w:r>
    </w:p>
    <w:p w:rsidR="00881F5E" w:rsidRPr="00881F5E" w:rsidRDefault="00881F5E" w:rsidP="00881F5E">
      <w:pPr>
        <w:pStyle w:val="ListParagraph"/>
        <w:numPr>
          <w:ilvl w:val="0"/>
          <w:numId w:val="6"/>
        </w:numPr>
        <w:spacing w:line="232" w:lineRule="auto"/>
        <w:rPr>
          <w:sz w:val="24"/>
          <w:szCs w:val="24"/>
        </w:rPr>
      </w:pPr>
      <w:r w:rsidRPr="00881F5E">
        <w:rPr>
          <w:sz w:val="24"/>
          <w:szCs w:val="24"/>
        </w:rPr>
        <w:t>когато държавният орган/п</w:t>
      </w:r>
      <w:r>
        <w:rPr>
          <w:sz w:val="24"/>
          <w:szCs w:val="24"/>
        </w:rPr>
        <w:t>убличният субект е възложителят</w:t>
      </w:r>
      <w:r>
        <w:rPr>
          <w:sz w:val="24"/>
          <w:szCs w:val="24"/>
          <w:lang w:val="bg-BG"/>
        </w:rPr>
        <w:t>;</w:t>
      </w:r>
    </w:p>
    <w:p w:rsidR="0065381E" w:rsidRPr="00881F5E" w:rsidRDefault="00881F5E" w:rsidP="00881F5E">
      <w:pPr>
        <w:pStyle w:val="ListParagraph"/>
        <w:numPr>
          <w:ilvl w:val="0"/>
          <w:numId w:val="6"/>
        </w:numPr>
        <w:spacing w:line="232" w:lineRule="auto"/>
        <w:rPr>
          <w:sz w:val="24"/>
          <w:szCs w:val="24"/>
        </w:rPr>
      </w:pPr>
      <w:r w:rsidRPr="00881F5E">
        <w:rPr>
          <w:sz w:val="24"/>
          <w:szCs w:val="24"/>
        </w:rPr>
        <w:t>когато държавният орган/публичният субект отговаря за управлението и контрола на инвестиционните проекти.</w:t>
      </w:r>
    </w:p>
    <w:p w:rsidR="00881F5E" w:rsidRPr="00881F5E" w:rsidRDefault="00881F5E" w:rsidP="00881F5E">
      <w:pPr>
        <w:pStyle w:val="ListParagraph"/>
        <w:numPr>
          <w:ilvl w:val="0"/>
          <w:numId w:val="6"/>
        </w:numPr>
        <w:spacing w:line="232" w:lineRule="auto"/>
        <w:rPr>
          <w:sz w:val="24"/>
          <w:szCs w:val="24"/>
        </w:rPr>
        <w:sectPr w:rsidR="00881F5E" w:rsidRPr="00881F5E">
          <w:headerReference w:type="default" r:id="rId14"/>
          <w:pgSz w:w="11910" w:h="16840"/>
          <w:pgMar w:top="1740" w:right="860" w:bottom="280" w:left="860" w:header="1520" w:footer="0" w:gutter="0"/>
          <w:cols w:space="720"/>
        </w:sectPr>
      </w:pPr>
    </w:p>
    <w:p w:rsidR="0065381E" w:rsidRDefault="0065381E">
      <w:pPr>
        <w:pStyle w:val="BodyText"/>
        <w:spacing w:before="1"/>
        <w:rPr>
          <w:sz w:val="15"/>
        </w:rPr>
      </w:pPr>
    </w:p>
    <w:p w:rsidR="00881F5E" w:rsidRPr="00881F5E" w:rsidRDefault="00881F5E" w:rsidP="00881F5E">
      <w:pPr>
        <w:pStyle w:val="BodyText"/>
        <w:numPr>
          <w:ilvl w:val="0"/>
          <w:numId w:val="6"/>
        </w:numPr>
        <w:spacing w:before="4"/>
        <w:jc w:val="both"/>
        <w:rPr>
          <w:sz w:val="22"/>
        </w:rPr>
      </w:pPr>
      <w:r w:rsidRPr="00881F5E">
        <w:rPr>
          <w:szCs w:val="22"/>
        </w:rPr>
        <w:t>Участие на производителя в дефинирането на предмета на поръчката или неговите технически спецификации (това може да се случи на ранен етап, например по време на подготовката на кандидатстването за ЕС проект).</w:t>
      </w:r>
    </w:p>
    <w:p w:rsidR="0065381E" w:rsidRPr="00881F5E" w:rsidRDefault="00881F5E" w:rsidP="00881F5E">
      <w:pPr>
        <w:pStyle w:val="BodyText"/>
        <w:numPr>
          <w:ilvl w:val="0"/>
          <w:numId w:val="6"/>
        </w:numPr>
        <w:spacing w:before="4"/>
        <w:jc w:val="both"/>
        <w:rPr>
          <w:sz w:val="22"/>
        </w:rPr>
      </w:pPr>
      <w:r w:rsidRPr="00881F5E">
        <w:rPr>
          <w:szCs w:val="22"/>
        </w:rPr>
        <w:t>Контролът от страна на държавния орган/публичния субект, отговарящ за управлението и контрола, е ограничен до формални аспекти и не включва съдържанието на проектите</w:t>
      </w:r>
      <w:r>
        <w:rPr>
          <w:szCs w:val="22"/>
          <w:lang w:val="bg-BG"/>
        </w:rPr>
        <w:t>.</w:t>
      </w:r>
    </w:p>
    <w:p w:rsidR="00881F5E" w:rsidRPr="00881F5E" w:rsidRDefault="00881F5E" w:rsidP="00881F5E">
      <w:pPr>
        <w:pStyle w:val="BodyText"/>
        <w:spacing w:before="4"/>
        <w:rPr>
          <w:sz w:val="22"/>
        </w:rPr>
      </w:pPr>
    </w:p>
    <w:p w:rsidR="0065381E" w:rsidRDefault="00881F5E">
      <w:pPr>
        <w:pStyle w:val="Heading1"/>
        <w:spacing w:before="1"/>
        <w:jc w:val="both"/>
      </w:pPr>
      <w:r w:rsidRPr="00881F5E">
        <w:t>Смекчаващи мерки/решения</w:t>
      </w:r>
      <w:r w:rsidR="002217EF">
        <w:t>:</w:t>
      </w:r>
    </w:p>
    <w:p w:rsidR="0065381E" w:rsidRDefault="0065381E" w:rsidP="00881F5E">
      <w:pPr>
        <w:pStyle w:val="BodyText"/>
        <w:spacing w:before="11"/>
        <w:jc w:val="both"/>
        <w:rPr>
          <w:b/>
          <w:sz w:val="22"/>
        </w:rPr>
      </w:pPr>
    </w:p>
    <w:p w:rsidR="00881F5E" w:rsidRPr="00881F5E" w:rsidRDefault="00881F5E" w:rsidP="00881F5E">
      <w:pPr>
        <w:pStyle w:val="BodyText"/>
        <w:numPr>
          <w:ilvl w:val="0"/>
          <w:numId w:val="6"/>
        </w:numPr>
        <w:jc w:val="both"/>
        <w:rPr>
          <w:szCs w:val="22"/>
        </w:rPr>
      </w:pPr>
      <w:r w:rsidRPr="00881F5E">
        <w:rPr>
          <w:szCs w:val="22"/>
        </w:rPr>
        <w:t>Уверете се, че независимият експертен опит е наличен на ниво услуги на правителството/обществените органи, за да се избегне участието на производителя на ИТ софтуер/хардуер в оценката на нуждите за закупуване на дадени лицензи или в избора на един или друг производител.</w:t>
      </w:r>
    </w:p>
    <w:p w:rsidR="00881F5E" w:rsidRPr="00881F5E" w:rsidRDefault="00881F5E" w:rsidP="00881F5E">
      <w:pPr>
        <w:pStyle w:val="BodyText"/>
        <w:numPr>
          <w:ilvl w:val="0"/>
          <w:numId w:val="6"/>
        </w:numPr>
        <w:jc w:val="both"/>
        <w:rPr>
          <w:szCs w:val="22"/>
        </w:rPr>
      </w:pPr>
      <w:r w:rsidRPr="00881F5E">
        <w:rPr>
          <w:szCs w:val="22"/>
        </w:rPr>
        <w:t>За възложителя: за големи проекти, ангажиране на ИТ експертна фирма за изготвяне на проектната заявка и тръжните спецификации и друга фирма за оценка на търга и изпълнение на проекта.</w:t>
      </w:r>
    </w:p>
    <w:p w:rsidR="00881F5E" w:rsidRPr="00881F5E" w:rsidRDefault="00881F5E" w:rsidP="00881F5E">
      <w:pPr>
        <w:pStyle w:val="BodyText"/>
        <w:numPr>
          <w:ilvl w:val="0"/>
          <w:numId w:val="6"/>
        </w:numPr>
        <w:jc w:val="both"/>
        <w:rPr>
          <w:szCs w:val="22"/>
        </w:rPr>
      </w:pPr>
      <w:r w:rsidRPr="00881F5E">
        <w:rPr>
          <w:szCs w:val="22"/>
        </w:rPr>
        <w:t>За възложителя: за големи проекти да се наеме ИТ експертна компания за помощ при подготовката на проекта, ако е възможно от друга държава членка.</w:t>
      </w:r>
    </w:p>
    <w:p w:rsidR="00881F5E" w:rsidRPr="00881F5E" w:rsidRDefault="00881F5E" w:rsidP="00881F5E">
      <w:pPr>
        <w:pStyle w:val="BodyText"/>
        <w:numPr>
          <w:ilvl w:val="0"/>
          <w:numId w:val="6"/>
        </w:numPr>
        <w:jc w:val="both"/>
        <w:rPr>
          <w:sz w:val="26"/>
        </w:rPr>
      </w:pPr>
      <w:r w:rsidRPr="00881F5E">
        <w:rPr>
          <w:szCs w:val="22"/>
        </w:rPr>
        <w:t xml:space="preserve">За управляващия и контролен орган: ако дадена </w:t>
      </w:r>
      <w:r>
        <w:rPr>
          <w:szCs w:val="22"/>
          <w:lang w:val="bg-BG"/>
        </w:rPr>
        <w:t>МВУ</w:t>
      </w:r>
      <w:r w:rsidRPr="00881F5E">
        <w:rPr>
          <w:szCs w:val="22"/>
        </w:rPr>
        <w:t xml:space="preserve"> мярка включва значителен брой малки ИТ иновативни проекти, изпълнявани от частни компании, провеждайте контроли на базата на извадки и сравнявайте приложенията на проекти и докладите за изпълнение на проекти, за да откриете прилики, например чрез използване на софтуер за плагиатство.</w:t>
      </w:r>
    </w:p>
    <w:p w:rsidR="0065381E" w:rsidRPr="00881F5E" w:rsidRDefault="00881F5E" w:rsidP="00881F5E">
      <w:pPr>
        <w:pStyle w:val="BodyText"/>
        <w:numPr>
          <w:ilvl w:val="0"/>
          <w:numId w:val="6"/>
        </w:numPr>
        <w:jc w:val="both"/>
        <w:rPr>
          <w:sz w:val="26"/>
        </w:rPr>
      </w:pPr>
      <w:r w:rsidRPr="00881F5E">
        <w:rPr>
          <w:szCs w:val="22"/>
        </w:rPr>
        <w:t xml:space="preserve">За управляващия и контролния орган: ако дадена </w:t>
      </w:r>
      <w:r>
        <w:rPr>
          <w:szCs w:val="22"/>
          <w:lang w:val="bg-BG"/>
        </w:rPr>
        <w:t>МВУ</w:t>
      </w:r>
      <w:r w:rsidRPr="00881F5E">
        <w:rPr>
          <w:szCs w:val="22"/>
        </w:rPr>
        <w:t xml:space="preserve"> мярка включва значителен брой малки ИТ иновативни проекти, управляващият и контролният орган трябва да идентифицира кога членове на една и съща група компании се редуват като бенефициенти и доставчици/поддоставчици на проекти. Проверката може да се основава на събраните данни за крайни получатели, изпълнители, подизпълнители и действителни собственици в съответствие със задължението, посочено в Регламента за </w:t>
      </w:r>
      <w:r>
        <w:rPr>
          <w:szCs w:val="22"/>
          <w:lang w:val="bg-BG"/>
        </w:rPr>
        <w:t>МВУ</w:t>
      </w:r>
      <w:r>
        <w:rPr>
          <w:szCs w:val="22"/>
          <w:vertAlign w:val="superscript"/>
          <w:lang w:val="bg-BG"/>
        </w:rPr>
        <w:t>2</w:t>
      </w:r>
      <w:r w:rsidRPr="00881F5E">
        <w:rPr>
          <w:szCs w:val="22"/>
        </w:rPr>
        <w:t>.</w:t>
      </w:r>
    </w:p>
    <w:p w:rsidR="0065381E" w:rsidRDefault="0065381E">
      <w:pPr>
        <w:pStyle w:val="BodyText"/>
        <w:spacing w:before="4"/>
        <w:rPr>
          <w:sz w:val="20"/>
        </w:rPr>
      </w:pPr>
    </w:p>
    <w:p w:rsidR="0065381E" w:rsidRDefault="002217EF">
      <w:pPr>
        <w:pStyle w:val="Heading1"/>
        <w:ind w:left="3188" w:right="3183"/>
        <w:jc w:val="center"/>
      </w:pPr>
      <w:r>
        <w:t>***</w:t>
      </w:r>
    </w:p>
    <w:p w:rsidR="0065381E" w:rsidRDefault="0065381E">
      <w:pPr>
        <w:pStyle w:val="BodyText"/>
        <w:spacing w:before="11"/>
        <w:rPr>
          <w:b/>
        </w:rPr>
      </w:pPr>
    </w:p>
    <w:p w:rsidR="009356FF" w:rsidRDefault="00881F5E" w:rsidP="009356FF">
      <w:pPr>
        <w:pStyle w:val="BodyText"/>
        <w:ind w:left="270"/>
        <w:jc w:val="both"/>
        <w:rPr>
          <w:lang w:val="bg-BG"/>
        </w:rPr>
      </w:pPr>
      <w:r>
        <w:t>Настоящият документ има за цел да помогне на публичните администрации в държавите-членки да оценят целесъобразността на рамковите споразумения, да повишат прозрачността при възлагане на обществени поръчки, да подобрят техническите проверки, извършвани в допълнение към административните проверки, и по този начин да увеличат ползите от фондовете на ЕС.</w:t>
      </w:r>
    </w:p>
    <w:p w:rsidR="009356FF" w:rsidRDefault="009356FF" w:rsidP="009356FF">
      <w:pPr>
        <w:pStyle w:val="BodyText"/>
        <w:ind w:left="270"/>
        <w:jc w:val="both"/>
        <w:rPr>
          <w:lang w:val="bg-BG"/>
        </w:rPr>
      </w:pPr>
    </w:p>
    <w:p w:rsidR="009356FF" w:rsidRDefault="00881F5E" w:rsidP="009356FF">
      <w:pPr>
        <w:pStyle w:val="BodyText"/>
        <w:ind w:left="270"/>
        <w:jc w:val="both"/>
        <w:rPr>
          <w:lang w:val="bg-BG"/>
        </w:rPr>
      </w:pPr>
      <w:r>
        <w:t>Държавите-членки се насърчават да вземат под внимание елементите за борба с измамите, включени в този документ, по-специално в контекста на изпълнени</w:t>
      </w:r>
      <w:r w:rsidR="009356FF">
        <w:t xml:space="preserve">ето на националните планове по </w:t>
      </w:r>
      <w:r w:rsidR="009356FF">
        <w:rPr>
          <w:lang w:val="bg-BG"/>
        </w:rPr>
        <w:t>МВУ</w:t>
      </w:r>
      <w:r>
        <w:t xml:space="preserve">. Въпреки това, тъй като този документ е резултат от разследващия опит на </w:t>
      </w:r>
      <w:r w:rsidR="009356FF">
        <w:rPr>
          <w:lang w:val="bg-BG"/>
        </w:rPr>
        <w:t>ОЛАФ</w:t>
      </w:r>
      <w:r>
        <w:t xml:space="preserve"> в областта на европейските структурни и инвестиционни фондове, националните органи, отговорни за изпълнението, управлението и контрола на тези фондове през текущия програмен период, също могат да се възползват от съветите в него.</w:t>
      </w:r>
    </w:p>
    <w:p w:rsidR="009356FF" w:rsidRDefault="009356FF" w:rsidP="009356FF">
      <w:pPr>
        <w:pStyle w:val="BodyText"/>
        <w:ind w:left="270"/>
        <w:jc w:val="both"/>
        <w:rPr>
          <w:lang w:val="bg-BG"/>
        </w:rPr>
      </w:pPr>
    </w:p>
    <w:p w:rsidR="0065381E" w:rsidRPr="009356FF" w:rsidRDefault="00881F5E" w:rsidP="009356FF">
      <w:pPr>
        <w:pStyle w:val="BodyText"/>
        <w:ind w:left="270"/>
        <w:jc w:val="both"/>
        <w:rPr>
          <w:lang w:val="bg-BG"/>
        </w:rPr>
      </w:pPr>
      <w:r>
        <w:t xml:space="preserve">Този документ е част от дейностите на </w:t>
      </w:r>
      <w:r w:rsidR="009356FF">
        <w:rPr>
          <w:lang w:val="bg-BG"/>
        </w:rPr>
        <w:t>ОЛАФ</w:t>
      </w:r>
      <w:r>
        <w:t xml:space="preserve"> за предотвратяване на измами по отношение на държавите-членки.</w:t>
      </w:r>
    </w:p>
    <w:p w:rsidR="0065381E" w:rsidRDefault="0065381E">
      <w:pPr>
        <w:pStyle w:val="BodyText"/>
        <w:rPr>
          <w:sz w:val="20"/>
        </w:rPr>
      </w:pPr>
    </w:p>
    <w:p w:rsidR="0065381E" w:rsidRDefault="00F56F6D">
      <w:pPr>
        <w:pStyle w:val="BodyText"/>
        <w:spacing w:before="2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165735</wp:posOffset>
                </wp:positionV>
                <wp:extent cx="1829435" cy="8890"/>
                <wp:effectExtent l="0" t="0" r="0" b="0"/>
                <wp:wrapTopAndBottom/>
                <wp:docPr id="1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6B976A" id="Rectangle 8" o:spid="_x0000_s1026" style="position:absolute;margin-left:54pt;margin-top:13.05pt;width:144.05pt;height:.7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65381E" w:rsidRDefault="002217EF">
      <w:pPr>
        <w:spacing w:before="73"/>
        <w:ind w:left="220" w:right="243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3"/>
          <w:sz w:val="20"/>
        </w:rPr>
        <w:t xml:space="preserve"> </w:t>
      </w:r>
      <w:r>
        <w:rPr>
          <w:sz w:val="20"/>
        </w:rPr>
        <w:t>Art.</w:t>
      </w:r>
      <w:r>
        <w:rPr>
          <w:spacing w:val="-2"/>
          <w:sz w:val="20"/>
        </w:rPr>
        <w:t xml:space="preserve"> </w:t>
      </w:r>
      <w:r>
        <w:rPr>
          <w:sz w:val="20"/>
        </w:rPr>
        <w:t>22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Regulation</w:t>
      </w:r>
      <w:r>
        <w:rPr>
          <w:spacing w:val="-1"/>
          <w:sz w:val="20"/>
        </w:rPr>
        <w:t xml:space="preserve"> </w:t>
      </w:r>
      <w:r>
        <w:rPr>
          <w:sz w:val="20"/>
        </w:rPr>
        <w:t>(EU)</w:t>
      </w:r>
      <w:r>
        <w:rPr>
          <w:spacing w:val="-3"/>
          <w:sz w:val="20"/>
        </w:rPr>
        <w:t xml:space="preserve"> </w:t>
      </w:r>
      <w:r>
        <w:rPr>
          <w:sz w:val="20"/>
        </w:rPr>
        <w:t>2021/241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European</w:t>
      </w:r>
      <w:r>
        <w:rPr>
          <w:spacing w:val="-1"/>
          <w:sz w:val="20"/>
        </w:rPr>
        <w:t xml:space="preserve"> </w:t>
      </w:r>
      <w:r>
        <w:rPr>
          <w:sz w:val="20"/>
        </w:rPr>
        <w:t>Parliament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Council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12 February</w:t>
      </w:r>
      <w:r>
        <w:rPr>
          <w:spacing w:val="-2"/>
          <w:sz w:val="20"/>
        </w:rPr>
        <w:t xml:space="preserve"> </w:t>
      </w:r>
      <w:r>
        <w:rPr>
          <w:sz w:val="20"/>
        </w:rPr>
        <w:t>2021</w:t>
      </w:r>
      <w:r>
        <w:rPr>
          <w:spacing w:val="-3"/>
          <w:sz w:val="20"/>
        </w:rPr>
        <w:t xml:space="preserve"> </w:t>
      </w:r>
      <w:r>
        <w:rPr>
          <w:sz w:val="20"/>
        </w:rPr>
        <w:t>establishing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Recovery and Resilience</w:t>
      </w:r>
      <w:r>
        <w:rPr>
          <w:spacing w:val="-1"/>
          <w:sz w:val="20"/>
        </w:rPr>
        <w:t xml:space="preserve"> </w:t>
      </w:r>
      <w:r>
        <w:rPr>
          <w:sz w:val="20"/>
        </w:rPr>
        <w:t>Facility, OJ</w:t>
      </w:r>
      <w:r>
        <w:rPr>
          <w:spacing w:val="-2"/>
          <w:sz w:val="20"/>
        </w:rPr>
        <w:t xml:space="preserve"> </w:t>
      </w:r>
      <w:r>
        <w:rPr>
          <w:sz w:val="20"/>
        </w:rPr>
        <w:t>L 57, 18.2.2021,</w:t>
      </w:r>
      <w:r>
        <w:rPr>
          <w:spacing w:val="-1"/>
          <w:sz w:val="20"/>
        </w:rPr>
        <w:t xml:space="preserve"> </w:t>
      </w:r>
      <w:r>
        <w:rPr>
          <w:sz w:val="20"/>
        </w:rPr>
        <w:t>p. 41.</w:t>
      </w:r>
    </w:p>
    <w:p w:rsidR="0065381E" w:rsidRDefault="0065381E">
      <w:pPr>
        <w:rPr>
          <w:sz w:val="20"/>
        </w:rPr>
        <w:sectPr w:rsidR="0065381E">
          <w:headerReference w:type="default" r:id="rId15"/>
          <w:pgSz w:w="11910" w:h="16840"/>
          <w:pgMar w:top="1720" w:right="860" w:bottom="280" w:left="860" w:header="1488" w:footer="0" w:gutter="0"/>
          <w:cols w:space="720"/>
        </w:sectPr>
      </w:pPr>
    </w:p>
    <w:p w:rsidR="0065381E" w:rsidRDefault="0065381E">
      <w:pPr>
        <w:pStyle w:val="BodyText"/>
        <w:spacing w:before="1"/>
        <w:rPr>
          <w:sz w:val="19"/>
        </w:rPr>
      </w:pPr>
    </w:p>
    <w:p w:rsidR="00CF5F9C" w:rsidRDefault="0079748B" w:rsidP="00CF5F9C">
      <w:pPr>
        <w:pStyle w:val="BodyText"/>
        <w:ind w:left="180"/>
        <w:jc w:val="both"/>
        <w:rPr>
          <w:lang w:val="bg-BG"/>
        </w:rPr>
      </w:pPr>
      <w:r>
        <w:rPr>
          <w:lang w:val="bg-BG"/>
        </w:rPr>
        <w:t>ОЛАФ</w:t>
      </w:r>
      <w:r w:rsidR="00CF5F9C">
        <w:t xml:space="preserve"> започна разследване на възможни нередности и измами при предоставянето на лицензи за ИТ софтуер в два проекта, изпълнявани от консорциум бенефициер (правителствени органи/публични субекти) в дадена държава членка. Проектите бяха 100% финансирани от Европейския фонд за регионално и развитие.</w:t>
      </w:r>
    </w:p>
    <w:p w:rsidR="00CF5F9C" w:rsidRDefault="00CF5F9C" w:rsidP="00CF5F9C">
      <w:pPr>
        <w:pStyle w:val="BodyText"/>
        <w:ind w:left="180"/>
        <w:jc w:val="both"/>
        <w:rPr>
          <w:lang w:val="bg-BG"/>
        </w:rPr>
      </w:pPr>
    </w:p>
    <w:p w:rsidR="0065381E" w:rsidRDefault="00CF5F9C" w:rsidP="00CF5F9C">
      <w:pPr>
        <w:pStyle w:val="BodyText"/>
        <w:ind w:left="180"/>
        <w:jc w:val="both"/>
        <w:rPr>
          <w:lang w:val="bg-BG"/>
        </w:rPr>
      </w:pPr>
      <w:r>
        <w:t>Първоначалният обхват на проектите беше разработването на комплексна интелигентна система за управление на пътя. Въпреки това Управляващият орган (УО) и консорциумът бенефициент подписаха изменения в договорите за безвъзмездна финансова помощ по проектите, за да добавят закупуването на лицензи за ИТ софтуер към обхвата на проектите и да увеличат сумата на проектите в съответствие с прогнозната стойност на обществената поръчка .</w:t>
      </w:r>
    </w:p>
    <w:p w:rsidR="00CF5F9C" w:rsidRPr="00CF5F9C" w:rsidRDefault="00F56F6D" w:rsidP="00CF5F9C">
      <w:pPr>
        <w:pStyle w:val="BodyText"/>
        <w:ind w:left="180"/>
        <w:rPr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>
                <wp:simplePos x="0" y="0"/>
                <wp:positionH relativeFrom="page">
                  <wp:posOffset>4247515</wp:posOffset>
                </wp:positionH>
                <wp:positionV relativeFrom="paragraph">
                  <wp:posOffset>150495</wp:posOffset>
                </wp:positionV>
                <wp:extent cx="2578735" cy="1543050"/>
                <wp:effectExtent l="0" t="0" r="0" b="0"/>
                <wp:wrapNone/>
                <wp:docPr id="1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735" cy="15430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B9BD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5381E" w:rsidRDefault="0079748B" w:rsidP="0079748B">
                            <w:pPr>
                              <w:spacing w:before="72" w:line="259" w:lineRule="auto"/>
                              <w:ind w:left="146" w:right="150"/>
                              <w:jc w:val="both"/>
                              <w:rPr>
                                <w:i/>
                                <w:sz w:val="24"/>
                              </w:rPr>
                            </w:pPr>
                            <w:r w:rsidRPr="0079748B">
                              <w:rPr>
                                <w:i/>
                                <w:sz w:val="24"/>
                              </w:rPr>
                              <w:t>Заинтересованите публични субекти трябва да се уверят, че притежават или придобиват необходимата техническа експертиза, за да гарантират валидността на обосновките и приблизителните цени.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left:0;text-align:left;margin-left:334.45pt;margin-top:11.85pt;width:203.05pt;height:121.5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" filled="f" strokecolor="#5b9bd4" strokeweight="3pt">
                <v:textbox inset="0,0,0,0">
                  <w:txbxContent>
                    <w:p w:rsidR="0065381E" w:rsidRDefault="0079748B" w:rsidP="0079748B">
                      <w:pPr>
                        <w:spacing w:before="72" w:line="259" w:lineRule="auto"/>
                        <w:ind w:left="146" w:right="150"/>
                        <w:jc w:val="both"/>
                        <w:rPr>
                          <w:i/>
                          <w:sz w:val="24"/>
                        </w:rPr>
                      </w:pPr>
                      <w:r w:rsidRPr="0079748B">
                        <w:rPr>
                          <w:i/>
                          <w:sz w:val="24"/>
                        </w:rPr>
                        <w:t>Заинтересованите публични субекти трябва да се уверят, че притежават или придобиват необходимата техническа експертиза, за да гарантират валидността на обосновките и приблизителните цени.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65381E" w:rsidRDefault="0079748B">
      <w:pPr>
        <w:pStyle w:val="BodyText"/>
        <w:ind w:left="220" w:right="4560"/>
        <w:jc w:val="both"/>
      </w:pPr>
      <w:r w:rsidRPr="0079748B">
        <w:t>Преди подписването на измененията УО (респективно междинното звено) е поискало от консорциума бенефициент да обоснове защо възнамерява да закупи конкретен ИТ софтуер от определен производител, а не софтуер, разработен от други компании или адаптиран софтуер с отворен код. Междинното звено също беше попитало как е направено изчисляването на цената</w:t>
      </w:r>
      <w:r w:rsidR="002217EF">
        <w:t>.</w:t>
      </w:r>
    </w:p>
    <w:p w:rsidR="0065381E" w:rsidRDefault="00F56F6D">
      <w:pPr>
        <w:pStyle w:val="BodyText"/>
        <w:spacing w:before="11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4244340</wp:posOffset>
                </wp:positionH>
                <wp:positionV relativeFrom="paragraph">
                  <wp:posOffset>153035</wp:posOffset>
                </wp:positionV>
                <wp:extent cx="2606040" cy="1270000"/>
                <wp:effectExtent l="0" t="0" r="0" b="0"/>
                <wp:wrapNone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040" cy="12700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B9BD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5381E" w:rsidRDefault="0079748B" w:rsidP="0079748B">
                            <w:pPr>
                              <w:spacing w:before="73" w:line="259" w:lineRule="auto"/>
                              <w:ind w:left="144" w:right="141"/>
                              <w:jc w:val="both"/>
                              <w:rPr>
                                <w:i/>
                                <w:sz w:val="24"/>
                              </w:rPr>
                            </w:pPr>
                            <w:r w:rsidRPr="0079748B">
                              <w:rPr>
                                <w:i/>
                                <w:sz w:val="24"/>
                              </w:rPr>
                              <w:t>Възможно е да има основен конфликт на интереси в отношенията доставчик – бенефициент. Предварителното участие на участник в дейността на възложителя е нередовно.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margin-left:334.2pt;margin-top:12.05pt;width:205.2pt;height:100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" filled="f" strokecolor="#5b9bd4" strokeweight="3pt">
                <v:textbox inset="0,0,0,0">
                  <w:txbxContent>
                    <w:p w:rsidR="0065381E" w:rsidRDefault="0079748B" w:rsidP="0079748B">
                      <w:pPr>
                        <w:spacing w:before="73" w:line="259" w:lineRule="auto"/>
                        <w:ind w:left="144" w:right="141"/>
                        <w:jc w:val="both"/>
                        <w:rPr>
                          <w:i/>
                          <w:sz w:val="24"/>
                        </w:rPr>
                      </w:pPr>
                      <w:r w:rsidRPr="0079748B">
                        <w:rPr>
                          <w:i/>
                          <w:sz w:val="24"/>
                        </w:rPr>
                        <w:t>Възможно е да има основен конфликт на интереси в отношенията доставчик – бенефициент. Предварителното участие на участник в дейността на възложителя е нередовно.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65381E" w:rsidRDefault="0079748B">
      <w:pPr>
        <w:pStyle w:val="BodyText"/>
        <w:ind w:left="220" w:right="4568"/>
        <w:jc w:val="both"/>
      </w:pPr>
      <w:r w:rsidRPr="0079748B">
        <w:t>Местното дъщерно дружество и бъдещият печеливш доставчик ALPHA</w:t>
      </w:r>
      <w:r>
        <w:rPr>
          <w:lang w:val="bg-BG"/>
        </w:rPr>
        <w:t xml:space="preserve"> </w:t>
      </w:r>
      <w:r w:rsidRPr="0079748B">
        <w:t>помогнаха на консорциума бенефициент при изготвянето на обосновките за разширяване на обхвата на проекта и при определянето и подготовката на ценова о</w:t>
      </w:r>
      <w:r>
        <w:t>ферта за измененията на проекта</w:t>
      </w:r>
      <w:r w:rsidR="002217EF">
        <w:t>.</w:t>
      </w:r>
    </w:p>
    <w:p w:rsidR="0065381E" w:rsidRDefault="0065381E">
      <w:pPr>
        <w:pStyle w:val="BodyText"/>
        <w:rPr>
          <w:sz w:val="23"/>
        </w:rPr>
      </w:pPr>
    </w:p>
    <w:p w:rsidR="0065381E" w:rsidRDefault="0079748B" w:rsidP="0079748B">
      <w:pPr>
        <w:pStyle w:val="BodyText"/>
        <w:spacing w:before="11"/>
        <w:ind w:left="270"/>
        <w:jc w:val="both"/>
        <w:rPr>
          <w:b/>
          <w:sz w:val="22"/>
        </w:rPr>
      </w:pPr>
      <w:r w:rsidRPr="0079748B">
        <w:t>Лицензите за ИТ софтуер, предмет на измененията на проектите, се продават чрез структура на две нива, включваща регионалното/местното дъщерно дружество на производителя и националните оторизирани местни дистрибутори. Закупуването на държавни услуги във въпросната държава членка може да се възползва от специална програма за обемно лицензиране, включваща различни отстъпки.</w:t>
      </w:r>
    </w:p>
    <w:p w:rsidR="0079748B" w:rsidRDefault="00F56F6D">
      <w:pPr>
        <w:pStyle w:val="BodyText"/>
        <w:ind w:left="220" w:right="4478"/>
        <w:jc w:val="both"/>
        <w:rPr>
          <w:lang w:val="bg-B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>
                <wp:simplePos x="0" y="0"/>
                <wp:positionH relativeFrom="page">
                  <wp:posOffset>4323715</wp:posOffset>
                </wp:positionH>
                <wp:positionV relativeFrom="paragraph">
                  <wp:posOffset>61595</wp:posOffset>
                </wp:positionV>
                <wp:extent cx="2858135" cy="1365885"/>
                <wp:effectExtent l="0" t="0" r="0" b="0"/>
                <wp:wrapNone/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8135" cy="136588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B9BD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5381E" w:rsidRDefault="0079748B">
                            <w:pPr>
                              <w:spacing w:before="74" w:line="259" w:lineRule="auto"/>
                              <w:ind w:left="146" w:right="272"/>
                              <w:rPr>
                                <w:i/>
                                <w:sz w:val="24"/>
                              </w:rPr>
                            </w:pPr>
                            <w:r w:rsidRPr="0079748B">
                              <w:rPr>
                                <w:i/>
                                <w:sz w:val="24"/>
                              </w:rPr>
                              <w:t>(Задължителното) използване на рамкови споразумения може да не е подходящо: липса на прозрачност на цените/ценовите отстъпки; рискове от „лоши сделки”; намалена конкуренция.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5" type="#_x0000_t202" style="position:absolute;left:0;text-align:left;margin-left:340.45pt;margin-top:4.85pt;width:225.05pt;height:107.55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" filled="f" strokecolor="#5b9bd4" strokeweight="3pt">
                <v:textbox inset="0,0,0,0">
                  <w:txbxContent>
                    <w:p w:rsidR="0065381E" w:rsidRDefault="0079748B">
                      <w:pPr>
                        <w:spacing w:before="74" w:line="259" w:lineRule="auto"/>
                        <w:ind w:left="146" w:right="272"/>
                        <w:rPr>
                          <w:i/>
                          <w:sz w:val="24"/>
                        </w:rPr>
                      </w:pPr>
                      <w:r w:rsidRPr="0079748B">
                        <w:rPr>
                          <w:i/>
                          <w:sz w:val="24"/>
                        </w:rPr>
                        <w:t>(Задължителното) използване на рамкови споразумения може да не е подходящо: липса на прозрачност на цените/ценовите отстъпки; рискове от „лоши сделки”; намалена конкуренция.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79748B" w:rsidRDefault="0079748B" w:rsidP="0079748B">
      <w:pPr>
        <w:pStyle w:val="BodyText"/>
        <w:ind w:left="220" w:right="4478"/>
        <w:jc w:val="both"/>
        <w:rPr>
          <w:lang w:val="bg-BG"/>
        </w:rPr>
      </w:pPr>
      <w:r w:rsidRPr="0079748B">
        <w:t xml:space="preserve">Консорциумът бенефициент стартира централизирана процедура за възлагане на обществена поръчка на базата на рамково споразумение с повторно откриване на конкурс (чието използване </w:t>
      </w:r>
      <w:r>
        <w:rPr>
          <w:lang w:val="bg-BG"/>
        </w:rPr>
        <w:t>е</w:t>
      </w:r>
      <w:r w:rsidRPr="0079748B">
        <w:t xml:space="preserve"> задължително). Всичките пет дружества-консорциуми, подписали рамковото споразумение, </w:t>
      </w:r>
      <w:r>
        <w:rPr>
          <w:lang w:val="bg-BG"/>
        </w:rPr>
        <w:t>са</w:t>
      </w:r>
      <w:r w:rsidRPr="0079748B">
        <w:t xml:space="preserve"> поканени да наддават. </w:t>
      </w:r>
    </w:p>
    <w:p w:rsidR="0065381E" w:rsidRDefault="0079748B" w:rsidP="0079748B">
      <w:pPr>
        <w:pStyle w:val="BodyText"/>
        <w:ind w:left="220" w:right="20"/>
        <w:jc w:val="both"/>
        <w:rPr>
          <w:sz w:val="20"/>
        </w:rPr>
      </w:pPr>
      <w:r w:rsidRPr="0079748B">
        <w:t xml:space="preserve">Победител </w:t>
      </w:r>
      <w:r>
        <w:rPr>
          <w:lang w:val="bg-BG"/>
        </w:rPr>
        <w:t>е</w:t>
      </w:r>
      <w:r w:rsidRPr="0079748B">
        <w:t xml:space="preserve"> фирма АЛФА (един от местните дистрибутори), която </w:t>
      </w:r>
      <w:r>
        <w:rPr>
          <w:lang w:val="bg-BG"/>
        </w:rPr>
        <w:t>е</w:t>
      </w:r>
      <w:r w:rsidRPr="0079748B">
        <w:t xml:space="preserve"> предоставила единствената оферта по време на втория кръг. Цената, предложена от ALPHA, включва сравнително малка ценова отстъпка в сравнение със списъка с цени на рамковото споразумение, но не взема предвид голямата ценова отстъпка за „еднократна сделка“, която компанията е получила от производителя благодарение на участието на различни поддоставчици.</w:t>
      </w:r>
    </w:p>
    <w:p w:rsidR="0065381E" w:rsidRDefault="0065381E">
      <w:pPr>
        <w:pStyle w:val="BodyText"/>
        <w:rPr>
          <w:sz w:val="20"/>
          <w:lang w:val="bg-BG"/>
        </w:rPr>
      </w:pPr>
    </w:p>
    <w:p w:rsidR="0079748B" w:rsidRPr="0079748B" w:rsidRDefault="0079748B">
      <w:pPr>
        <w:pStyle w:val="BodyText"/>
        <w:rPr>
          <w:sz w:val="20"/>
          <w:lang w:val="bg-BG"/>
        </w:rPr>
      </w:pPr>
    </w:p>
    <w:p w:rsidR="0065381E" w:rsidRDefault="0065381E">
      <w:pPr>
        <w:pStyle w:val="BodyText"/>
        <w:rPr>
          <w:sz w:val="20"/>
        </w:rPr>
      </w:pPr>
    </w:p>
    <w:p w:rsidR="0065381E" w:rsidRDefault="00F56F6D">
      <w:pPr>
        <w:pStyle w:val="BodyText"/>
        <w:spacing w:before="3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104775</wp:posOffset>
                </wp:positionV>
                <wp:extent cx="1829435" cy="8890"/>
                <wp:effectExtent l="0" t="0" r="0" b="0"/>
                <wp:wrapTopAndBottom/>
                <wp:docPr id="1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9C0ADC" id="Rectangle 4" o:spid="_x0000_s1026" style="position:absolute;margin-left:54pt;margin-top:8.25pt;width:144.05pt;height:.7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eLddgIAAPo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65381E" w:rsidRDefault="002217EF">
      <w:pPr>
        <w:spacing w:before="73"/>
        <w:ind w:left="220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company</w:t>
      </w:r>
      <w:r>
        <w:rPr>
          <w:spacing w:val="-1"/>
          <w:sz w:val="20"/>
        </w:rPr>
        <w:t xml:space="preserve"> </w:t>
      </w:r>
      <w:r>
        <w:rPr>
          <w:sz w:val="20"/>
        </w:rPr>
        <w:t>names</w:t>
      </w:r>
      <w:r>
        <w:rPr>
          <w:spacing w:val="-4"/>
          <w:sz w:val="20"/>
        </w:rPr>
        <w:t xml:space="preserve"> </w:t>
      </w:r>
      <w:r>
        <w:rPr>
          <w:sz w:val="20"/>
        </w:rPr>
        <w:t>used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this</w:t>
      </w:r>
      <w:r>
        <w:rPr>
          <w:spacing w:val="-3"/>
          <w:sz w:val="20"/>
        </w:rPr>
        <w:t xml:space="preserve"> </w:t>
      </w:r>
      <w:r>
        <w:rPr>
          <w:sz w:val="20"/>
        </w:rPr>
        <w:t>case</w:t>
      </w:r>
      <w:r>
        <w:rPr>
          <w:spacing w:val="-1"/>
          <w:sz w:val="20"/>
        </w:rPr>
        <w:t xml:space="preserve"> </w:t>
      </w:r>
      <w:r>
        <w:rPr>
          <w:sz w:val="20"/>
        </w:rPr>
        <w:t>study</w:t>
      </w:r>
      <w:r>
        <w:rPr>
          <w:spacing w:val="-2"/>
          <w:sz w:val="20"/>
        </w:rPr>
        <w:t xml:space="preserve"> </w:t>
      </w:r>
      <w:r>
        <w:rPr>
          <w:sz w:val="20"/>
        </w:rPr>
        <w:t>are fictitious.</w:t>
      </w:r>
    </w:p>
    <w:p w:rsidR="0065381E" w:rsidRDefault="0065381E">
      <w:pPr>
        <w:rPr>
          <w:sz w:val="20"/>
        </w:rPr>
        <w:sectPr w:rsidR="0065381E">
          <w:headerReference w:type="default" r:id="rId16"/>
          <w:pgSz w:w="11910" w:h="16840"/>
          <w:pgMar w:top="1720" w:right="860" w:bottom="280" w:left="860" w:header="1488" w:footer="0" w:gutter="0"/>
          <w:cols w:space="720"/>
        </w:sectPr>
      </w:pPr>
    </w:p>
    <w:p w:rsidR="0065381E" w:rsidRDefault="00F56F6D">
      <w:pPr>
        <w:pStyle w:val="BodyText"/>
        <w:spacing w:before="41"/>
        <w:ind w:left="220" w:right="4467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5296" behindDoc="0" locked="0" layoutInCell="1" allowOverlap="1">
                <wp:simplePos x="0" y="0"/>
                <wp:positionH relativeFrom="page">
                  <wp:posOffset>4306570</wp:posOffset>
                </wp:positionH>
                <wp:positionV relativeFrom="paragraph">
                  <wp:posOffset>114935</wp:posOffset>
                </wp:positionV>
                <wp:extent cx="2520950" cy="520065"/>
                <wp:effectExtent l="0" t="0" r="0" b="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950" cy="52006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B9BD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5381E" w:rsidRDefault="0079748B">
                            <w:pPr>
                              <w:spacing w:before="70"/>
                              <w:ind w:left="144"/>
                              <w:rPr>
                                <w:i/>
                                <w:sz w:val="24"/>
                              </w:rPr>
                            </w:pPr>
                            <w:r w:rsidRPr="0079748B">
                              <w:rPr>
                                <w:i/>
                                <w:sz w:val="24"/>
                              </w:rPr>
                              <w:t>Тази ситуация може да означава манипулиране на търга.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6" type="#_x0000_t202" style="position:absolute;left:0;text-align:left;margin-left:339.1pt;margin-top:9.05pt;width:198.5pt;height:40.95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" filled="f" strokecolor="#5b9bd4" strokeweight="3pt">
                <v:textbox inset="0,0,0,0">
                  <w:txbxContent>
                    <w:p w:rsidR="0065381E" w:rsidRDefault="0079748B">
                      <w:pPr>
                        <w:spacing w:before="70"/>
                        <w:ind w:left="144"/>
                        <w:rPr>
                          <w:i/>
                          <w:sz w:val="24"/>
                        </w:rPr>
                      </w:pPr>
                      <w:r w:rsidRPr="0079748B">
                        <w:rPr>
                          <w:i/>
                          <w:sz w:val="24"/>
                        </w:rPr>
                        <w:t>Тази ситуация може да означава манипулиране на търга.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9748B" w:rsidRPr="0079748B">
        <w:t xml:space="preserve">След като обществената поръчка </w:t>
      </w:r>
      <w:r w:rsidR="0079748B">
        <w:rPr>
          <w:lang w:val="bg-BG"/>
        </w:rPr>
        <w:t>е</w:t>
      </w:r>
      <w:r w:rsidR="0079748B" w:rsidRPr="0079748B">
        <w:t xml:space="preserve"> финализирана, компанията BETA (друг местен дистрибутор), която също </w:t>
      </w:r>
      <w:r w:rsidR="0079748B">
        <w:rPr>
          <w:lang w:val="bg-BG"/>
        </w:rPr>
        <w:t>е</w:t>
      </w:r>
      <w:r w:rsidR="0079748B" w:rsidRPr="0079748B">
        <w:t xml:space="preserve"> поканена да наддава и не </w:t>
      </w:r>
      <w:r w:rsidR="0079748B">
        <w:rPr>
          <w:lang w:val="bg-BG"/>
        </w:rPr>
        <w:t>е</w:t>
      </w:r>
      <w:r w:rsidR="0079748B" w:rsidRPr="0079748B">
        <w:t xml:space="preserve"> подала оферта, прода</w:t>
      </w:r>
      <w:r w:rsidR="0079748B">
        <w:rPr>
          <w:lang w:val="bg-BG"/>
        </w:rPr>
        <w:t>ва</w:t>
      </w:r>
      <w:r w:rsidR="0079748B" w:rsidRPr="0079748B">
        <w:t xml:space="preserve"> софтуерните лицензи, които притежава, на своя „конкурент“ ALPHA</w:t>
      </w:r>
      <w:r w:rsidR="002217EF">
        <w:t>.</w:t>
      </w:r>
    </w:p>
    <w:p w:rsidR="0065381E" w:rsidRDefault="0065381E">
      <w:pPr>
        <w:pStyle w:val="BodyText"/>
        <w:spacing w:before="12"/>
        <w:rPr>
          <w:sz w:val="22"/>
        </w:rPr>
      </w:pPr>
    </w:p>
    <w:p w:rsidR="0079748B" w:rsidRDefault="0079748B">
      <w:pPr>
        <w:pStyle w:val="BodyText"/>
        <w:ind w:left="220" w:right="216"/>
        <w:jc w:val="both"/>
        <w:rPr>
          <w:lang w:val="bg-BG"/>
        </w:rPr>
      </w:pPr>
      <w:r w:rsidRPr="0079748B">
        <w:t xml:space="preserve">Разследването на </w:t>
      </w:r>
      <w:r>
        <w:rPr>
          <w:lang w:val="bg-BG"/>
        </w:rPr>
        <w:t>ОЛАФ</w:t>
      </w:r>
      <w:r w:rsidRPr="0079748B">
        <w:t xml:space="preserve"> разкри</w:t>
      </w:r>
      <w:r>
        <w:rPr>
          <w:lang w:val="bg-BG"/>
        </w:rPr>
        <w:t>ва</w:t>
      </w:r>
      <w:r w:rsidRPr="0079748B">
        <w:t xml:space="preserve"> следния сценарий за участие на компании във връзка с процедурата за възлагане на обществена поръчка.</w:t>
      </w:r>
    </w:p>
    <w:p w:rsidR="0065381E" w:rsidRDefault="002217EF">
      <w:pPr>
        <w:pStyle w:val="BodyText"/>
        <w:spacing w:before="5"/>
        <w:rPr>
          <w:sz w:val="28"/>
        </w:rPr>
      </w:pPr>
      <w:r>
        <w:rPr>
          <w:noProof/>
        </w:rPr>
        <w:drawing>
          <wp:anchor distT="0" distB="0" distL="0" distR="0" simplePos="0" relativeHeight="11" behindDoc="0" locked="0" layoutInCell="1" allowOverlap="1">
            <wp:simplePos x="0" y="0"/>
            <wp:positionH relativeFrom="page">
              <wp:posOffset>722360</wp:posOffset>
            </wp:positionH>
            <wp:positionV relativeFrom="paragraph">
              <wp:posOffset>245270</wp:posOffset>
            </wp:positionV>
            <wp:extent cx="6122778" cy="1188720"/>
            <wp:effectExtent l="0" t="0" r="0" b="0"/>
            <wp:wrapTopAndBottom/>
            <wp:docPr id="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2778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5381E" w:rsidRDefault="0065381E">
      <w:pPr>
        <w:pStyle w:val="BodyText"/>
        <w:spacing w:before="1"/>
        <w:rPr>
          <w:sz w:val="28"/>
        </w:rPr>
      </w:pPr>
    </w:p>
    <w:p w:rsidR="0079748B" w:rsidRDefault="00F56F6D" w:rsidP="0079748B">
      <w:pPr>
        <w:pStyle w:val="BodyText"/>
        <w:ind w:left="220" w:right="447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>
                <wp:simplePos x="0" y="0"/>
                <wp:positionH relativeFrom="page">
                  <wp:posOffset>4299585</wp:posOffset>
                </wp:positionH>
                <wp:positionV relativeFrom="paragraph">
                  <wp:posOffset>90170</wp:posOffset>
                </wp:positionV>
                <wp:extent cx="2600960" cy="180657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960" cy="18065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5B9BD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5381E" w:rsidRDefault="0079748B">
                            <w:pPr>
                              <w:spacing w:before="73" w:line="259" w:lineRule="auto"/>
                              <w:ind w:left="146" w:right="163"/>
                              <w:rPr>
                                <w:i/>
                                <w:sz w:val="24"/>
                              </w:rPr>
                            </w:pPr>
                            <w:r w:rsidRPr="0079748B">
                              <w:rPr>
                                <w:i/>
                                <w:sz w:val="24"/>
                              </w:rPr>
                              <w:t>Дългите/сложни вериги на подизпълнители увеличават риска от възникване на неправомерни действия. Прозрачността може да предотврати ситуация, при която допълнителни отстъпки не се прехвърлят на крайния потребител.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7" type="#_x0000_t202" style="position:absolute;left:0;text-align:left;margin-left:338.55pt;margin-top:7.1pt;width:204.8pt;height:142.25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" filled="f" strokecolor="#5b9bd4" strokeweight="3pt">
                <v:textbox inset="0,0,0,0">
                  <w:txbxContent>
                    <w:p w:rsidR="0065381E" w:rsidRDefault="0079748B">
                      <w:pPr>
                        <w:spacing w:before="73" w:line="259" w:lineRule="auto"/>
                        <w:ind w:left="146" w:right="163"/>
                        <w:rPr>
                          <w:i/>
                          <w:sz w:val="24"/>
                        </w:rPr>
                      </w:pPr>
                      <w:r w:rsidRPr="0079748B">
                        <w:rPr>
                          <w:i/>
                          <w:sz w:val="24"/>
                        </w:rPr>
                        <w:t>Дългите/сложни вериги на подизпълнители увеличават риска от възникване на неправомерни действия. Прозрачността може да предотврати ситуация, при която допълнителни отстъпки не се прехвърлят на крайния потребител.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9748B" w:rsidRPr="0079748B">
        <w:t xml:space="preserve"> </w:t>
      </w:r>
      <w:r w:rsidR="0079748B">
        <w:t>Местното дъщерно дружество получ</w:t>
      </w:r>
      <w:r w:rsidR="0079748B">
        <w:rPr>
          <w:lang w:val="bg-BG"/>
        </w:rPr>
        <w:t>ава</w:t>
      </w:r>
      <w:r w:rsidR="0079748B">
        <w:t xml:space="preserve"> висока допълнителна отстъпка за „еднократна сделка“ от производителя (чрез регионалното дъщерно дружество) за бъдещата обществена поръчка. Регионалното дъщерно дружество обаче прода</w:t>
      </w:r>
      <w:r w:rsidR="0079748B">
        <w:rPr>
          <w:lang w:val="bg-BG"/>
        </w:rPr>
        <w:t>ва</w:t>
      </w:r>
      <w:r w:rsidR="0079748B">
        <w:t xml:space="preserve"> лицензите не на спечелилия доставчик, а на GAMMA, под-поддоставчик, разположен в друга държава-членка, който го продаде на под-доставчик BETA. </w:t>
      </w:r>
      <w:r w:rsidR="0079748B">
        <w:rPr>
          <w:lang w:val="bg-BG"/>
        </w:rPr>
        <w:t>С</w:t>
      </w:r>
      <w:r w:rsidR="0079748B">
        <w:t xml:space="preserve">ъздадени </w:t>
      </w:r>
      <w:r w:rsidR="0079748B">
        <w:rPr>
          <w:lang w:val="bg-BG"/>
        </w:rPr>
        <w:t xml:space="preserve">са </w:t>
      </w:r>
      <w:r w:rsidR="0079748B">
        <w:t>високи маржове на печалба при различните нива и допълнителната отстъпка</w:t>
      </w:r>
      <w:r w:rsidR="0079748B">
        <w:rPr>
          <w:lang w:val="bg-BG"/>
        </w:rPr>
        <w:t xml:space="preserve"> </w:t>
      </w:r>
      <w:r w:rsidR="0079748B">
        <w:t>така и не достигна до бенефициента. Бенефициентът не е знаел за сложната верига от подизпълнители и допълнителната отстъпка, одобрена от производителя.</w:t>
      </w:r>
    </w:p>
    <w:p w:rsidR="0065381E" w:rsidRDefault="0065381E">
      <w:pPr>
        <w:pStyle w:val="BodyText"/>
        <w:spacing w:line="242" w:lineRule="auto"/>
        <w:ind w:left="220" w:right="215"/>
        <w:jc w:val="both"/>
      </w:pPr>
    </w:p>
    <w:sectPr w:rsidR="0065381E">
      <w:headerReference w:type="default" r:id="rId18"/>
      <w:pgSz w:w="11910" w:h="16840"/>
      <w:pgMar w:top="1380" w:right="860" w:bottom="280" w:left="8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89A" w:rsidRDefault="00E6089A">
      <w:r>
        <w:separator/>
      </w:r>
    </w:p>
  </w:endnote>
  <w:endnote w:type="continuationSeparator" w:id="0">
    <w:p w:rsidR="00E6089A" w:rsidRDefault="00E60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89A" w:rsidRDefault="00E6089A">
      <w:r>
        <w:separator/>
      </w:r>
    </w:p>
  </w:footnote>
  <w:footnote w:type="continuationSeparator" w:id="0">
    <w:p w:rsidR="00E6089A" w:rsidRDefault="00E60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81E" w:rsidRDefault="00F56F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30144" behindDoc="1" locked="0" layoutInCell="1" allowOverlap="1">
              <wp:simplePos x="0" y="0"/>
              <wp:positionH relativeFrom="page">
                <wp:posOffset>673100</wp:posOffset>
              </wp:positionH>
              <wp:positionV relativeFrom="page">
                <wp:posOffset>932180</wp:posOffset>
              </wp:positionV>
              <wp:extent cx="1027430" cy="177800"/>
              <wp:effectExtent l="0" t="0" r="0" b="0"/>
              <wp:wrapNone/>
              <wp:docPr id="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743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381E" w:rsidRDefault="006471DA">
                          <w:pPr>
                            <w:spacing w:line="264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 w:rsidRPr="006471DA">
                            <w:rPr>
                              <w:b/>
                              <w:sz w:val="24"/>
                            </w:rPr>
                            <w:t>ВЪВЕДЕНИЕ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53pt;margin-top:73.4pt;width:80.9pt;height:14pt;z-index:-1588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" filled="f" stroked="f">
              <v:textbox inset="0,0,0,0">
                <w:txbxContent>
                  <w:p w:rsidR="0065381E" w:rsidRDefault="006471DA">
                    <w:pPr>
                      <w:spacing w:line="264" w:lineRule="exact"/>
                      <w:ind w:left="20"/>
                      <w:rPr>
                        <w:b/>
                        <w:sz w:val="24"/>
                      </w:rPr>
                    </w:pPr>
                    <w:r w:rsidRPr="006471DA">
                      <w:rPr>
                        <w:b/>
                        <w:sz w:val="24"/>
                      </w:rPr>
                      <w:t>ВЪВЕДЕНИЕ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81E" w:rsidRDefault="00F56F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30656" behindDoc="1" locked="0" layoutInCell="1" allowOverlap="1">
              <wp:simplePos x="0" y="0"/>
              <wp:positionH relativeFrom="page">
                <wp:posOffset>673100</wp:posOffset>
              </wp:positionH>
              <wp:positionV relativeFrom="page">
                <wp:posOffset>952500</wp:posOffset>
              </wp:positionV>
              <wp:extent cx="6216015" cy="177800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1601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381E" w:rsidRDefault="0065381E">
                          <w:pPr>
                            <w:spacing w:line="264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9" type="#_x0000_t202" style="position:absolute;margin-left:53pt;margin-top:75pt;width:489.45pt;height:14pt;z-index:-1588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" filled="f" stroked="f">
              <v:textbox inset="0,0,0,0">
                <w:txbxContent>
                  <w:p w:rsidR="0065381E" w:rsidRDefault="0065381E">
                    <w:pPr>
                      <w:spacing w:line="264" w:lineRule="exact"/>
                      <w:ind w:left="20"/>
                      <w:rPr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81E" w:rsidRDefault="00F56F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31168" behindDoc="1" locked="0" layoutInCell="1" allowOverlap="1">
              <wp:simplePos x="0" y="0"/>
              <wp:positionH relativeFrom="page">
                <wp:posOffset>673100</wp:posOffset>
              </wp:positionH>
              <wp:positionV relativeFrom="page">
                <wp:posOffset>952500</wp:posOffset>
              </wp:positionV>
              <wp:extent cx="4616450" cy="17780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645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381E" w:rsidRDefault="00881F5E">
                          <w:pPr>
                            <w:spacing w:line="264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 w:rsidRPr="00881F5E">
                            <w:rPr>
                              <w:b/>
                              <w:sz w:val="24"/>
                            </w:rPr>
                            <w:t>Проблемна област 2: Липса на прозрачност на цените и веригата на подизпълнителите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margin-left:53pt;margin-top:75pt;width:363.5pt;height:14pt;z-index:-1588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2quswIAALA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" filled="f" stroked="f">
              <v:textbox inset="0,0,0,0">
                <w:txbxContent>
                  <w:p w:rsidR="0065381E" w:rsidRDefault="00881F5E">
                    <w:pPr>
                      <w:spacing w:line="264" w:lineRule="exact"/>
                      <w:ind w:left="20"/>
                      <w:rPr>
                        <w:b/>
                        <w:sz w:val="24"/>
                      </w:rPr>
                    </w:pPr>
                    <w:r w:rsidRPr="00881F5E">
                      <w:rPr>
                        <w:b/>
                        <w:sz w:val="24"/>
                      </w:rPr>
                      <w:t>Проблемна област 2: Липса на прозрачност на цените и веригата на подизпълнителите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81E" w:rsidRDefault="00F56F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31680" behindDoc="1" locked="0" layoutInCell="1" allowOverlap="1">
              <wp:simplePos x="0" y="0"/>
              <wp:positionH relativeFrom="page">
                <wp:posOffset>673100</wp:posOffset>
              </wp:positionH>
              <wp:positionV relativeFrom="page">
                <wp:posOffset>932180</wp:posOffset>
              </wp:positionV>
              <wp:extent cx="1670050" cy="1778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005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381E" w:rsidRDefault="00881F5E">
                          <w:pPr>
                            <w:spacing w:line="264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  <w:lang w:val="bg-BG"/>
                            </w:rPr>
                            <w:t>Червени флагов</w:t>
                          </w:r>
                          <w:r w:rsidR="002217EF">
                            <w:rPr>
                              <w:b/>
                              <w:sz w:val="24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margin-left:53pt;margin-top:73.4pt;width:131.5pt;height:14pt;z-index:-1588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" filled="f" stroked="f">
              <v:textbox inset="0,0,0,0">
                <w:txbxContent>
                  <w:p w:rsidR="0065381E" w:rsidRDefault="00881F5E">
                    <w:pPr>
                      <w:spacing w:line="264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lang w:val="bg-BG"/>
                      </w:rPr>
                      <w:t>Червени флагов</w:t>
                    </w:r>
                    <w:r w:rsidR="002217EF">
                      <w:rPr>
                        <w:b/>
                        <w:sz w:val="24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81E" w:rsidRDefault="00F56F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32192" behindDoc="1" locked="0" layoutInCell="1" allowOverlap="1">
              <wp:simplePos x="0" y="0"/>
              <wp:positionH relativeFrom="page">
                <wp:posOffset>673100</wp:posOffset>
              </wp:positionH>
              <wp:positionV relativeFrom="page">
                <wp:posOffset>932180</wp:posOffset>
              </wp:positionV>
              <wp:extent cx="803275" cy="1778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327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381E" w:rsidRPr="001F5F86" w:rsidRDefault="001F5F86">
                          <w:pPr>
                            <w:spacing w:line="264" w:lineRule="exact"/>
                            <w:ind w:left="20"/>
                            <w:rPr>
                              <w:b/>
                              <w:sz w:val="24"/>
                              <w:lang w:val="bg-BG"/>
                            </w:rPr>
                          </w:pPr>
                          <w:r>
                            <w:rPr>
                              <w:b/>
                              <w:sz w:val="24"/>
                              <w:lang w:val="bg-BG"/>
                            </w:rPr>
                            <w:t>КАЗУС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2" type="#_x0000_t202" style="position:absolute;margin-left:53pt;margin-top:73.4pt;width:63.25pt;height:14pt;z-index:-1588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" filled="f" stroked="f">
              <v:textbox inset="0,0,0,0">
                <w:txbxContent>
                  <w:p w:rsidR="0065381E" w:rsidRPr="001F5F86" w:rsidRDefault="001F5F86">
                    <w:pPr>
                      <w:spacing w:line="264" w:lineRule="exact"/>
                      <w:ind w:left="20"/>
                      <w:rPr>
                        <w:b/>
                        <w:sz w:val="24"/>
                        <w:lang w:val="bg-BG"/>
                      </w:rPr>
                    </w:pPr>
                    <w:r>
                      <w:rPr>
                        <w:b/>
                        <w:sz w:val="24"/>
                        <w:lang w:val="bg-BG"/>
                      </w:rPr>
                      <w:t>КАЗУС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81E" w:rsidRDefault="0065381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821B9"/>
    <w:multiLevelType w:val="hybridMultilevel"/>
    <w:tmpl w:val="C97C4090"/>
    <w:lvl w:ilvl="0" w:tplc="FF4C92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B3B24"/>
    <w:multiLevelType w:val="hybridMultilevel"/>
    <w:tmpl w:val="072806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431F7E"/>
    <w:multiLevelType w:val="hybridMultilevel"/>
    <w:tmpl w:val="B4EE9F72"/>
    <w:lvl w:ilvl="0" w:tplc="FF4C92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D914A9"/>
    <w:multiLevelType w:val="hybridMultilevel"/>
    <w:tmpl w:val="B90C9190"/>
    <w:lvl w:ilvl="0" w:tplc="FF4C92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52B38"/>
    <w:multiLevelType w:val="hybridMultilevel"/>
    <w:tmpl w:val="8D4400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A170B"/>
    <w:multiLevelType w:val="hybridMultilevel"/>
    <w:tmpl w:val="851E6CB0"/>
    <w:lvl w:ilvl="0" w:tplc="FF4C920A">
      <w:numFmt w:val="bullet"/>
      <w:lvlText w:val="-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EFDE975A">
      <w:numFmt w:val="bullet"/>
      <w:lvlText w:val="•"/>
      <w:lvlJc w:val="left"/>
      <w:pPr>
        <w:ind w:left="1864" w:hanging="360"/>
      </w:pPr>
      <w:rPr>
        <w:rFonts w:hint="default"/>
        <w:lang w:val="en-US" w:eastAsia="en-US" w:bidi="ar-SA"/>
      </w:rPr>
    </w:lvl>
    <w:lvl w:ilvl="2" w:tplc="F55A2B32">
      <w:numFmt w:val="bullet"/>
      <w:lvlText w:val="•"/>
      <w:lvlJc w:val="left"/>
      <w:pPr>
        <w:ind w:left="2789" w:hanging="360"/>
      </w:pPr>
      <w:rPr>
        <w:rFonts w:hint="default"/>
        <w:lang w:val="en-US" w:eastAsia="en-US" w:bidi="ar-SA"/>
      </w:rPr>
    </w:lvl>
    <w:lvl w:ilvl="3" w:tplc="9528BEB4">
      <w:numFmt w:val="bullet"/>
      <w:lvlText w:val="•"/>
      <w:lvlJc w:val="left"/>
      <w:pPr>
        <w:ind w:left="3713" w:hanging="360"/>
      </w:pPr>
      <w:rPr>
        <w:rFonts w:hint="default"/>
        <w:lang w:val="en-US" w:eastAsia="en-US" w:bidi="ar-SA"/>
      </w:rPr>
    </w:lvl>
    <w:lvl w:ilvl="4" w:tplc="B84482B2">
      <w:numFmt w:val="bullet"/>
      <w:lvlText w:val="•"/>
      <w:lvlJc w:val="left"/>
      <w:pPr>
        <w:ind w:left="4638" w:hanging="360"/>
      </w:pPr>
      <w:rPr>
        <w:rFonts w:hint="default"/>
        <w:lang w:val="en-US" w:eastAsia="en-US" w:bidi="ar-SA"/>
      </w:rPr>
    </w:lvl>
    <w:lvl w:ilvl="5" w:tplc="61CEA15E">
      <w:numFmt w:val="bullet"/>
      <w:lvlText w:val="•"/>
      <w:lvlJc w:val="left"/>
      <w:pPr>
        <w:ind w:left="5563" w:hanging="360"/>
      </w:pPr>
      <w:rPr>
        <w:rFonts w:hint="default"/>
        <w:lang w:val="en-US" w:eastAsia="en-US" w:bidi="ar-SA"/>
      </w:rPr>
    </w:lvl>
    <w:lvl w:ilvl="6" w:tplc="25B883D8">
      <w:numFmt w:val="bullet"/>
      <w:lvlText w:val="•"/>
      <w:lvlJc w:val="left"/>
      <w:pPr>
        <w:ind w:left="6487" w:hanging="360"/>
      </w:pPr>
      <w:rPr>
        <w:rFonts w:hint="default"/>
        <w:lang w:val="en-US" w:eastAsia="en-US" w:bidi="ar-SA"/>
      </w:rPr>
    </w:lvl>
    <w:lvl w:ilvl="7" w:tplc="6A76D116">
      <w:numFmt w:val="bullet"/>
      <w:lvlText w:val="•"/>
      <w:lvlJc w:val="left"/>
      <w:pPr>
        <w:ind w:left="7412" w:hanging="360"/>
      </w:pPr>
      <w:rPr>
        <w:rFonts w:hint="default"/>
        <w:lang w:val="en-US" w:eastAsia="en-US" w:bidi="ar-SA"/>
      </w:rPr>
    </w:lvl>
    <w:lvl w:ilvl="8" w:tplc="DF5A03E8">
      <w:numFmt w:val="bullet"/>
      <w:lvlText w:val="•"/>
      <w:lvlJc w:val="left"/>
      <w:pPr>
        <w:ind w:left="8337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41993FDC"/>
    <w:multiLevelType w:val="hybridMultilevel"/>
    <w:tmpl w:val="1986ACE0"/>
    <w:lvl w:ilvl="0" w:tplc="FF4C92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C5012A"/>
    <w:multiLevelType w:val="hybridMultilevel"/>
    <w:tmpl w:val="9CA86EB2"/>
    <w:lvl w:ilvl="0" w:tplc="FF4C92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11CE85B2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D637B8"/>
    <w:multiLevelType w:val="hybridMultilevel"/>
    <w:tmpl w:val="9F3082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E77478"/>
    <w:multiLevelType w:val="hybridMultilevel"/>
    <w:tmpl w:val="F18AD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0F54F2"/>
    <w:multiLevelType w:val="hybridMultilevel"/>
    <w:tmpl w:val="3A04014E"/>
    <w:lvl w:ilvl="0" w:tplc="836E8A86">
      <w:numFmt w:val="bullet"/>
      <w:lvlText w:val=""/>
      <w:lvlJc w:val="left"/>
      <w:pPr>
        <w:ind w:left="580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A748FFC8">
      <w:numFmt w:val="bullet"/>
      <w:lvlText w:val="o"/>
      <w:lvlJc w:val="left"/>
      <w:pPr>
        <w:ind w:left="130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2" w:tplc="380EE21E">
      <w:numFmt w:val="bullet"/>
      <w:lvlText w:val="•"/>
      <w:lvlJc w:val="left"/>
      <w:pPr>
        <w:ind w:left="2287" w:hanging="360"/>
      </w:pPr>
      <w:rPr>
        <w:rFonts w:hint="default"/>
        <w:lang w:val="en-US" w:eastAsia="en-US" w:bidi="ar-SA"/>
      </w:rPr>
    </w:lvl>
    <w:lvl w:ilvl="3" w:tplc="53B83868">
      <w:numFmt w:val="bullet"/>
      <w:lvlText w:val="•"/>
      <w:lvlJc w:val="left"/>
      <w:pPr>
        <w:ind w:left="3274" w:hanging="360"/>
      </w:pPr>
      <w:rPr>
        <w:rFonts w:hint="default"/>
        <w:lang w:val="en-US" w:eastAsia="en-US" w:bidi="ar-SA"/>
      </w:rPr>
    </w:lvl>
    <w:lvl w:ilvl="4" w:tplc="68EC7E9A">
      <w:numFmt w:val="bullet"/>
      <w:lvlText w:val="•"/>
      <w:lvlJc w:val="left"/>
      <w:pPr>
        <w:ind w:left="4262" w:hanging="360"/>
      </w:pPr>
      <w:rPr>
        <w:rFonts w:hint="default"/>
        <w:lang w:val="en-US" w:eastAsia="en-US" w:bidi="ar-SA"/>
      </w:rPr>
    </w:lvl>
    <w:lvl w:ilvl="5" w:tplc="501CD796">
      <w:numFmt w:val="bullet"/>
      <w:lvlText w:val="•"/>
      <w:lvlJc w:val="left"/>
      <w:pPr>
        <w:ind w:left="5249" w:hanging="360"/>
      </w:pPr>
      <w:rPr>
        <w:rFonts w:hint="default"/>
        <w:lang w:val="en-US" w:eastAsia="en-US" w:bidi="ar-SA"/>
      </w:rPr>
    </w:lvl>
    <w:lvl w:ilvl="6" w:tplc="4CA26AD2">
      <w:numFmt w:val="bullet"/>
      <w:lvlText w:val="•"/>
      <w:lvlJc w:val="left"/>
      <w:pPr>
        <w:ind w:left="6236" w:hanging="360"/>
      </w:pPr>
      <w:rPr>
        <w:rFonts w:hint="default"/>
        <w:lang w:val="en-US" w:eastAsia="en-US" w:bidi="ar-SA"/>
      </w:rPr>
    </w:lvl>
    <w:lvl w:ilvl="7" w:tplc="60E232E2">
      <w:numFmt w:val="bullet"/>
      <w:lvlText w:val="•"/>
      <w:lvlJc w:val="left"/>
      <w:pPr>
        <w:ind w:left="7224" w:hanging="360"/>
      </w:pPr>
      <w:rPr>
        <w:rFonts w:hint="default"/>
        <w:lang w:val="en-US" w:eastAsia="en-US" w:bidi="ar-SA"/>
      </w:rPr>
    </w:lvl>
    <w:lvl w:ilvl="8" w:tplc="6A4E9EEC">
      <w:numFmt w:val="bullet"/>
      <w:lvlText w:val="•"/>
      <w:lvlJc w:val="left"/>
      <w:pPr>
        <w:ind w:left="8211" w:hanging="360"/>
      </w:pPr>
      <w:rPr>
        <w:rFonts w:hint="default"/>
        <w:lang w:val="en-US" w:eastAsia="en-US" w:bidi="ar-SA"/>
      </w:r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8"/>
  </w:num>
  <w:num w:numId="9">
    <w:abstractNumId w:val="6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81E"/>
    <w:rsid w:val="001F5F86"/>
    <w:rsid w:val="002217EF"/>
    <w:rsid w:val="006471DA"/>
    <w:rsid w:val="0065381E"/>
    <w:rsid w:val="0079748B"/>
    <w:rsid w:val="00881F5E"/>
    <w:rsid w:val="009356FF"/>
    <w:rsid w:val="00CF5F9C"/>
    <w:rsid w:val="00E6089A"/>
    <w:rsid w:val="00F5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B9E6A9B-C350-457E-B9B5-7ED7DB194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2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64"/>
      <w:ind w:left="352" w:right="344"/>
      <w:jc w:val="center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left="58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6471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1DA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71D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71DA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6471D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71DA"/>
    <w:rPr>
      <w:rFonts w:ascii="Calibri" w:eastAsia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1"/>
    <w:rsid w:val="00CF5F9C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2035</Words>
  <Characters>11605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Petya D. Mihaylova</dc:creator>
  <cp:lastModifiedBy>Petya D. Mihaylova</cp:lastModifiedBy>
  <cp:revision>2</cp:revision>
  <dcterms:created xsi:type="dcterms:W3CDTF">2023-07-13T11:45:00Z</dcterms:created>
  <dcterms:modified xsi:type="dcterms:W3CDTF">2023-07-13T11:45:00Z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2022-07-18T00:00:00Z</vt:filetime>
  </property>
  <property fmtid="{D5CDD505-2E9C-101B-9397-08002B2CF9AE}" pid="3" name="Creator">
    <vt:lpwstr>PDF CoDe 5.2109.568.0 (c) 2002-2021 European Commission</vt:lpwstr>
  </property>
  <property fmtid="{D5CDD505-2E9C-101B-9397-08002B2CF9AE}" pid="4" name="LastSaved">
    <vt:filetime>2023-06-28T00:00:00Z</vt:filetime>
  </property>
</Properties>
</file>