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351" w:rsidRDefault="00646351" w:rsidP="00646351">
      <w:pPr>
        <w:tabs>
          <w:tab w:val="left" w:pos="2082"/>
          <w:tab w:val="center" w:pos="4535"/>
        </w:tabs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646351">
        <w:rPr>
          <w:rFonts w:ascii="Times New Roman" w:hAnsi="Times New Roman" w:cs="Times New Roman"/>
          <w:b/>
          <w:sz w:val="32"/>
          <w:szCs w:val="32"/>
        </w:rPr>
        <w:t>ПРОГРАМА ЗА МОРСКО ДЕЛО, РИБАРСТВО И АКВАКУЛТУРИ 2021-2027</w:t>
      </w:r>
      <w:r w:rsidR="002C5D39">
        <w:rPr>
          <w:rFonts w:ascii="Times New Roman" w:hAnsi="Times New Roman" w:cs="Times New Roman"/>
          <w:b/>
          <w:sz w:val="32"/>
          <w:szCs w:val="32"/>
        </w:rPr>
        <w:t xml:space="preserve"> г.</w:t>
      </w:r>
    </w:p>
    <w:p w:rsidR="00646351" w:rsidRDefault="00646351" w:rsidP="00646351">
      <w:pPr>
        <w:tabs>
          <w:tab w:val="left" w:pos="2082"/>
          <w:tab w:val="center" w:pos="4535"/>
        </w:tabs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</w:p>
    <w:p w:rsidR="000F0160" w:rsidRPr="00646351" w:rsidRDefault="000F0160" w:rsidP="000F01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6351">
        <w:rPr>
          <w:rFonts w:ascii="Times New Roman" w:hAnsi="Times New Roman" w:cs="Times New Roman"/>
          <w:b/>
          <w:sz w:val="28"/>
          <w:szCs w:val="28"/>
        </w:rPr>
        <w:t>КРИТЕРИИ И МЕТОДОЛОГИЯ ЗА ОЦЕНКА НА ПРОЕКТНИ ПРЕДЛОЖЕНИЯ</w:t>
      </w:r>
    </w:p>
    <w:p w:rsidR="000F0160" w:rsidRPr="00646351" w:rsidRDefault="000F0160" w:rsidP="000F0160">
      <w:pPr>
        <w:jc w:val="center"/>
        <w:rPr>
          <w:rFonts w:ascii="Times New Roman" w:hAnsi="Times New Roman" w:cs="Times New Roman"/>
          <w:b/>
        </w:rPr>
      </w:pPr>
    </w:p>
    <w:p w:rsidR="00646351" w:rsidRPr="009816B5" w:rsidRDefault="00646351" w:rsidP="00646351">
      <w:pPr>
        <w:tabs>
          <w:tab w:val="left" w:pos="2082"/>
          <w:tab w:val="center" w:pos="4535"/>
        </w:tabs>
        <w:jc w:val="both"/>
        <w:outlineLvl w:val="0"/>
        <w:rPr>
          <w:rFonts w:ascii="Times New Roman" w:hAnsi="Times New Roman" w:cs="Times New Roman"/>
          <w:b/>
          <w:sz w:val="24"/>
          <w:szCs w:val="32"/>
        </w:rPr>
      </w:pPr>
      <w:r w:rsidRPr="009816B5">
        <w:rPr>
          <w:rFonts w:ascii="Times New Roman" w:hAnsi="Times New Roman" w:cs="Times New Roman"/>
          <w:b/>
          <w:sz w:val="24"/>
          <w:szCs w:val="32"/>
        </w:rPr>
        <w:t>Приоритет: 1 - Насърчаване на устойчивото рибарство, възстановяването и опазването на водните биологични ресурси</w:t>
      </w:r>
    </w:p>
    <w:p w:rsidR="00646351" w:rsidRPr="009816B5" w:rsidRDefault="00646351" w:rsidP="00445B54">
      <w:pPr>
        <w:tabs>
          <w:tab w:val="left" w:pos="2082"/>
          <w:tab w:val="center" w:pos="4535"/>
        </w:tabs>
        <w:jc w:val="both"/>
        <w:outlineLvl w:val="0"/>
        <w:rPr>
          <w:rFonts w:ascii="Times New Roman" w:hAnsi="Times New Roman" w:cs="Times New Roman"/>
          <w:b/>
          <w:sz w:val="24"/>
          <w:szCs w:val="32"/>
        </w:rPr>
      </w:pPr>
      <w:r w:rsidRPr="009816B5">
        <w:rPr>
          <w:rFonts w:ascii="Times New Roman" w:hAnsi="Times New Roman" w:cs="Times New Roman"/>
          <w:b/>
          <w:sz w:val="24"/>
          <w:szCs w:val="32"/>
        </w:rPr>
        <w:t>Специфична цел: 1.</w:t>
      </w:r>
      <w:r w:rsidR="00EF61AF">
        <w:rPr>
          <w:rFonts w:ascii="Times New Roman" w:hAnsi="Times New Roman" w:cs="Times New Roman"/>
          <w:b/>
          <w:sz w:val="24"/>
          <w:szCs w:val="32"/>
        </w:rPr>
        <w:t>4</w:t>
      </w:r>
      <w:r w:rsidRPr="009816B5">
        <w:rPr>
          <w:rFonts w:ascii="Times New Roman" w:hAnsi="Times New Roman" w:cs="Times New Roman"/>
          <w:b/>
          <w:sz w:val="24"/>
          <w:szCs w:val="32"/>
        </w:rPr>
        <w:t xml:space="preserve"> - </w:t>
      </w:r>
      <w:r w:rsidR="00445B54" w:rsidRPr="00445B54">
        <w:rPr>
          <w:rFonts w:ascii="Times New Roman" w:hAnsi="Times New Roman" w:cs="Times New Roman"/>
          <w:b/>
          <w:sz w:val="24"/>
          <w:szCs w:val="32"/>
        </w:rPr>
        <w:t>Насърчаване на ефективен контрол и правоприлагане в</w:t>
      </w:r>
      <w:r w:rsidR="00A102DA">
        <w:rPr>
          <w:rFonts w:ascii="Times New Roman" w:hAnsi="Times New Roman" w:cs="Times New Roman"/>
          <w:b/>
          <w:sz w:val="24"/>
          <w:szCs w:val="32"/>
          <w:lang w:val="en-US"/>
        </w:rPr>
        <w:t xml:space="preserve"> </w:t>
      </w:r>
      <w:r w:rsidR="00445B54" w:rsidRPr="00445B54">
        <w:rPr>
          <w:rFonts w:ascii="Times New Roman" w:hAnsi="Times New Roman" w:cs="Times New Roman"/>
          <w:b/>
          <w:sz w:val="24"/>
          <w:szCs w:val="32"/>
        </w:rPr>
        <w:t>областта на рибарството, включително борба с ННН риболова, както и на надеждни данни</w:t>
      </w:r>
      <w:r w:rsidR="00A102DA">
        <w:rPr>
          <w:rFonts w:ascii="Times New Roman" w:hAnsi="Times New Roman" w:cs="Times New Roman"/>
          <w:b/>
          <w:sz w:val="24"/>
          <w:szCs w:val="32"/>
          <w:lang w:val="en-US"/>
        </w:rPr>
        <w:t xml:space="preserve"> </w:t>
      </w:r>
      <w:r w:rsidR="00445B54" w:rsidRPr="00445B54">
        <w:rPr>
          <w:rFonts w:ascii="Times New Roman" w:hAnsi="Times New Roman" w:cs="Times New Roman"/>
          <w:b/>
          <w:sz w:val="24"/>
          <w:szCs w:val="32"/>
        </w:rPr>
        <w:t>за вземането на решения, основани на знанието</w:t>
      </w:r>
    </w:p>
    <w:p w:rsidR="00646351" w:rsidRPr="009816B5" w:rsidRDefault="00646351" w:rsidP="00646351">
      <w:pPr>
        <w:tabs>
          <w:tab w:val="left" w:pos="2082"/>
          <w:tab w:val="center" w:pos="4535"/>
        </w:tabs>
        <w:jc w:val="both"/>
        <w:outlineLvl w:val="0"/>
        <w:rPr>
          <w:rFonts w:ascii="Times New Roman" w:hAnsi="Times New Roman" w:cs="Times New Roman"/>
          <w:b/>
          <w:sz w:val="24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8"/>
        <w:gridCol w:w="7351"/>
      </w:tblGrid>
      <w:tr w:rsidR="00C27322" w:rsidRPr="00145871" w:rsidTr="00D0722E"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322" w:rsidRPr="00145871" w:rsidRDefault="009816B5" w:rsidP="00E965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дейност</w:t>
            </w:r>
          </w:p>
        </w:tc>
        <w:tc>
          <w:tcPr>
            <w:tcW w:w="7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322" w:rsidRPr="00F038E7" w:rsidRDefault="00A102DA" w:rsidP="00F038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2D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 и правоприлагане</w:t>
            </w:r>
            <w:r w:rsidR="00F038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изпълнение за</w:t>
            </w:r>
            <w:r w:rsidR="003B6797">
              <w:rPr>
                <w:rFonts w:ascii="Times New Roman" w:hAnsi="Times New Roman" w:cs="Times New Roman"/>
                <w:b/>
                <w:sz w:val="24"/>
                <w:szCs w:val="24"/>
              </w:rPr>
              <w:t>дъ</w:t>
            </w:r>
            <w:r w:rsidR="00F038E7">
              <w:rPr>
                <w:rFonts w:ascii="Times New Roman" w:hAnsi="Times New Roman" w:cs="Times New Roman"/>
                <w:b/>
                <w:sz w:val="24"/>
                <w:szCs w:val="24"/>
              </w:rPr>
              <w:t>лженията на ИАРА по ОПОР</w:t>
            </w:r>
          </w:p>
        </w:tc>
      </w:tr>
      <w:tr w:rsidR="00C27322" w:rsidRPr="00145871" w:rsidTr="00D0722E"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60E" w:rsidRPr="004E1592" w:rsidRDefault="00D74CAB" w:rsidP="0086660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Правно основание</w:t>
            </w:r>
            <w:r w:rsidR="007428E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8EA" w:rsidRPr="00A102DA" w:rsidRDefault="007428EA" w:rsidP="00A102D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чл. </w:t>
            </w:r>
            <w:r w:rsidR="00A102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Pr="00145871">
              <w:rPr>
                <w:rFonts w:ascii="Times New Roman" w:hAnsi="Times New Roman" w:cs="Times New Roman"/>
                <w:sz w:val="24"/>
                <w:szCs w:val="24"/>
              </w:rPr>
              <w:t>Регламент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(ЕС)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2021/1139</w:t>
            </w:r>
            <w:bookmarkStart w:id="0" w:name="_GoBack"/>
            <w:bookmarkEnd w:id="0"/>
          </w:p>
        </w:tc>
      </w:tr>
      <w:tr w:rsidR="00C27322" w:rsidRPr="00145871" w:rsidTr="00D0722E"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322" w:rsidRPr="00145871" w:rsidRDefault="00C27322" w:rsidP="00E96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871">
              <w:rPr>
                <w:rFonts w:ascii="Times New Roman" w:hAnsi="Times New Roman" w:cs="Times New Roman"/>
                <w:sz w:val="24"/>
                <w:szCs w:val="24"/>
              </w:rPr>
              <w:t>Максимален интензитет на БФП</w:t>
            </w:r>
          </w:p>
        </w:tc>
        <w:tc>
          <w:tcPr>
            <w:tcW w:w="7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322" w:rsidRPr="00145871" w:rsidRDefault="00C27322" w:rsidP="00A10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871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A102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</w:t>
            </w:r>
            <w:r w:rsidRPr="00145871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C27322" w:rsidRPr="00145871" w:rsidTr="00C02CD6">
        <w:trPr>
          <w:trHeight w:val="1255"/>
        </w:trPr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322" w:rsidRPr="0086660E" w:rsidRDefault="00C27322" w:rsidP="00E965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5871">
              <w:rPr>
                <w:rFonts w:ascii="Times New Roman" w:hAnsi="Times New Roman" w:cs="Times New Roman"/>
                <w:sz w:val="24"/>
                <w:szCs w:val="24"/>
              </w:rPr>
              <w:t>Критерии за подбор</w:t>
            </w:r>
          </w:p>
        </w:tc>
        <w:tc>
          <w:tcPr>
            <w:tcW w:w="7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54" w:rsidRPr="008D4158" w:rsidRDefault="00445B54" w:rsidP="00A102DA">
            <w:pPr>
              <w:pStyle w:val="ListParagraph"/>
              <w:spacing w:before="120" w:after="120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445B54">
              <w:rPr>
                <w:rFonts w:ascii="Times New Roman" w:hAnsi="Times New Roman" w:cs="Times New Roman"/>
                <w:sz w:val="24"/>
                <w:szCs w:val="24"/>
              </w:rPr>
              <w:t xml:space="preserve">На одобрение за изпълнение по </w:t>
            </w:r>
            <w:r w:rsidR="00A102DA">
              <w:rPr>
                <w:rFonts w:ascii="Times New Roman" w:hAnsi="Times New Roman" w:cs="Times New Roman"/>
                <w:sz w:val="24"/>
                <w:szCs w:val="24"/>
              </w:rPr>
              <w:t>посочения вид дейност</w:t>
            </w:r>
            <w:r w:rsidR="007A3A8A">
              <w:rPr>
                <w:rFonts w:ascii="Times New Roman" w:hAnsi="Times New Roman" w:cs="Times New Roman"/>
                <w:sz w:val="24"/>
                <w:szCs w:val="24"/>
              </w:rPr>
              <w:t xml:space="preserve"> подлежат проекти, допринасящи за постигането на н</w:t>
            </w:r>
            <w:r w:rsidR="007A3A8A" w:rsidRPr="007A3A8A">
              <w:rPr>
                <w:rFonts w:ascii="Times New Roman" w:hAnsi="Times New Roman" w:cs="Times New Roman"/>
                <w:sz w:val="24"/>
                <w:szCs w:val="24"/>
              </w:rPr>
              <w:t>еутрален п</w:t>
            </w:r>
            <w:r w:rsidR="007A3A8A">
              <w:rPr>
                <w:rFonts w:ascii="Times New Roman" w:hAnsi="Times New Roman" w:cs="Times New Roman"/>
                <w:sz w:val="24"/>
                <w:szCs w:val="24"/>
              </w:rPr>
              <w:t>о отношение на климата сектор „Р</w:t>
            </w:r>
            <w:r w:rsidR="007A3A8A" w:rsidRPr="007A3A8A">
              <w:rPr>
                <w:rFonts w:ascii="Times New Roman" w:hAnsi="Times New Roman" w:cs="Times New Roman"/>
                <w:sz w:val="24"/>
                <w:szCs w:val="24"/>
              </w:rPr>
              <w:t>ибарство</w:t>
            </w:r>
            <w:r w:rsidR="007A3A8A">
              <w:rPr>
                <w:rFonts w:ascii="Times New Roman" w:hAnsi="Times New Roman" w:cs="Times New Roman"/>
                <w:sz w:val="24"/>
                <w:szCs w:val="24"/>
              </w:rPr>
              <w:t xml:space="preserve">“ </w:t>
            </w:r>
            <w:r w:rsidRPr="00445B54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8D4158">
              <w:rPr>
                <w:rFonts w:ascii="Times New Roman" w:hAnsi="Times New Roman" w:cs="Times New Roman"/>
                <w:sz w:val="24"/>
                <w:szCs w:val="24"/>
              </w:rPr>
              <w:t>следните направления:</w:t>
            </w:r>
          </w:p>
          <w:p w:rsidR="004E1592" w:rsidRPr="00C766AB" w:rsidRDefault="004E1592" w:rsidP="004E1592">
            <w:pPr>
              <w:pStyle w:val="ListParagraph"/>
              <w:numPr>
                <w:ilvl w:val="0"/>
                <w:numId w:val="5"/>
              </w:num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D4158">
              <w:rPr>
                <w:rFonts w:ascii="Times New Roman" w:hAnsi="Times New Roman" w:cs="Times New Roman"/>
                <w:sz w:val="24"/>
                <w:szCs w:val="24"/>
              </w:rPr>
              <w:t>Спазване на задължението за разтоварване</w:t>
            </w:r>
            <w:r w:rsidR="001438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143800">
              <w:rPr>
                <w:rFonts w:ascii="Times New Roman" w:hAnsi="Times New Roman" w:cs="Times New Roman"/>
                <w:sz w:val="24"/>
                <w:szCs w:val="24"/>
              </w:rPr>
              <w:t>съгласно принципите на Общата политика в областта на рибарството</w:t>
            </w:r>
            <w:r w:rsidRPr="008D415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E1592" w:rsidRPr="00D54EAB" w:rsidRDefault="00D54EAB" w:rsidP="00D54EAB">
            <w:pPr>
              <w:pStyle w:val="ListParagraph"/>
              <w:numPr>
                <w:ilvl w:val="0"/>
                <w:numId w:val="5"/>
              </w:num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E1592" w:rsidRPr="008D4158">
              <w:rPr>
                <w:rFonts w:ascii="Times New Roman" w:hAnsi="Times New Roman" w:cs="Times New Roman"/>
                <w:sz w:val="24"/>
                <w:szCs w:val="24"/>
              </w:rPr>
              <w:t xml:space="preserve">ониторинг и контрол на дребномащабния </w:t>
            </w:r>
            <w:r w:rsidR="00143800" w:rsidRPr="008D4158">
              <w:rPr>
                <w:rFonts w:ascii="Times New Roman" w:hAnsi="Times New Roman" w:cs="Times New Roman"/>
                <w:sz w:val="24"/>
                <w:szCs w:val="24"/>
              </w:rPr>
              <w:t>риболовен</w:t>
            </w:r>
            <w:r w:rsidR="004E1592" w:rsidRPr="008D4158">
              <w:rPr>
                <w:rFonts w:ascii="Times New Roman" w:hAnsi="Times New Roman" w:cs="Times New Roman"/>
                <w:sz w:val="24"/>
                <w:szCs w:val="24"/>
              </w:rPr>
              <w:t xml:space="preserve"> флот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на </w:t>
            </w:r>
            <w:r w:rsidR="004E1592" w:rsidRPr="00D54EAB">
              <w:rPr>
                <w:rFonts w:ascii="Times New Roman" w:hAnsi="Times New Roman" w:cs="Times New Roman"/>
                <w:sz w:val="24"/>
                <w:szCs w:val="24"/>
              </w:rPr>
              <w:t>любителския риболов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контекста на дигиталния преход</w:t>
            </w:r>
            <w:r w:rsidR="004E1592" w:rsidRPr="00D54EA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E1592" w:rsidRPr="008D4158" w:rsidRDefault="004E1592" w:rsidP="004E1592">
            <w:pPr>
              <w:pStyle w:val="ListParagraph"/>
              <w:numPr>
                <w:ilvl w:val="0"/>
                <w:numId w:val="5"/>
              </w:num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D4158">
              <w:rPr>
                <w:rFonts w:ascii="Times New Roman" w:hAnsi="Times New Roman" w:cs="Times New Roman"/>
                <w:sz w:val="24"/>
                <w:szCs w:val="24"/>
              </w:rPr>
              <w:t>Етикетиране и проследимост;</w:t>
            </w:r>
          </w:p>
          <w:p w:rsidR="004E1592" w:rsidRPr="008D4158" w:rsidRDefault="004E1592" w:rsidP="004E1592">
            <w:pPr>
              <w:pStyle w:val="ListParagraph"/>
              <w:numPr>
                <w:ilvl w:val="0"/>
                <w:numId w:val="5"/>
              </w:num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D4158">
              <w:rPr>
                <w:rFonts w:ascii="Times New Roman" w:hAnsi="Times New Roman" w:cs="Times New Roman"/>
                <w:sz w:val="24"/>
                <w:szCs w:val="24"/>
              </w:rPr>
              <w:t>Контрол на мощността на двигателите</w:t>
            </w:r>
            <w:r w:rsidR="00B10146">
              <w:rPr>
                <w:rFonts w:ascii="Times New Roman" w:hAnsi="Times New Roman" w:cs="Times New Roman"/>
                <w:sz w:val="24"/>
                <w:szCs w:val="24"/>
              </w:rPr>
              <w:t xml:space="preserve"> в унисон с целите на правото на ЕС за контрол в рибарството</w:t>
            </w:r>
            <w:r w:rsidRPr="008D415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E1592" w:rsidRPr="008D4158" w:rsidRDefault="004E1592" w:rsidP="004E1592">
            <w:pPr>
              <w:pStyle w:val="ListParagraph"/>
              <w:numPr>
                <w:ilvl w:val="0"/>
                <w:numId w:val="5"/>
              </w:num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D4158">
              <w:rPr>
                <w:rFonts w:ascii="Times New Roman" w:hAnsi="Times New Roman" w:cs="Times New Roman"/>
                <w:sz w:val="24"/>
                <w:szCs w:val="24"/>
              </w:rPr>
              <w:t>Обучения и сертификация на служителите;</w:t>
            </w:r>
          </w:p>
          <w:p w:rsidR="004E1592" w:rsidRPr="008D4158" w:rsidRDefault="004E1592" w:rsidP="004E1592">
            <w:pPr>
              <w:pStyle w:val="ListParagraph"/>
              <w:numPr>
                <w:ilvl w:val="0"/>
                <w:numId w:val="5"/>
              </w:num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D4158">
              <w:rPr>
                <w:rFonts w:ascii="Times New Roman" w:hAnsi="Times New Roman" w:cs="Times New Roman"/>
                <w:sz w:val="24"/>
                <w:szCs w:val="24"/>
              </w:rPr>
              <w:t xml:space="preserve">Изпълнение на Специални програми за контрол и инспекции (SCIP) и заложените цели в Съвместния план за разполагане </w:t>
            </w:r>
            <w:r w:rsidRPr="008D41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r w:rsidRPr="008D41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Joint Deployment Plan</w:t>
            </w:r>
            <w:r w:rsidRPr="008D4158">
              <w:rPr>
                <w:rFonts w:ascii="Times New Roman" w:hAnsi="Times New Roman" w:cs="Times New Roman"/>
                <w:sz w:val="24"/>
                <w:szCs w:val="24"/>
              </w:rPr>
              <w:t xml:space="preserve"> - JDP)</w:t>
            </w:r>
          </w:p>
          <w:p w:rsidR="00C27322" w:rsidRPr="00145871" w:rsidRDefault="00445B54" w:rsidP="00A102DA">
            <w:pPr>
              <w:spacing w:before="120" w:after="120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445B54">
              <w:rPr>
                <w:rFonts w:ascii="Times New Roman" w:hAnsi="Times New Roman" w:cs="Times New Roman"/>
                <w:sz w:val="24"/>
                <w:szCs w:val="24"/>
              </w:rPr>
              <w:t>Забележка: Тежест при критериите не е установена, тъй като това са дейностите, които трябва да се изпълняват от органите отговорни за прилагането на системата за  контрол на Република България.</w:t>
            </w:r>
            <w:r w:rsidR="00B10146">
              <w:rPr>
                <w:rFonts w:ascii="Times New Roman" w:hAnsi="Times New Roman" w:cs="Times New Roman"/>
                <w:sz w:val="24"/>
                <w:szCs w:val="24"/>
              </w:rPr>
              <w:t xml:space="preserve"> Управляващият орган на ПМДРА ще отвори прием на проектни предложения с конкретен бенефициент – Изпълнителна агенция по рибарство и аквакултури. </w:t>
            </w:r>
          </w:p>
        </w:tc>
      </w:tr>
    </w:tbl>
    <w:p w:rsidR="009642BB" w:rsidRDefault="009642BB" w:rsidP="009642BB">
      <w:pPr>
        <w:pStyle w:val="ListParagraph"/>
        <w:spacing w:before="120" w:after="120"/>
        <w:ind w:left="812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9642BB" w:rsidSect="000F0160">
      <w:pgSz w:w="11906" w:h="16838"/>
      <w:pgMar w:top="1993" w:right="1286" w:bottom="1417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39F7" w:rsidRDefault="005C39F7" w:rsidP="001F5C4C">
      <w:pPr>
        <w:spacing w:after="0" w:line="240" w:lineRule="auto"/>
      </w:pPr>
      <w:r>
        <w:separator/>
      </w:r>
    </w:p>
  </w:endnote>
  <w:endnote w:type="continuationSeparator" w:id="0">
    <w:p w:rsidR="005C39F7" w:rsidRDefault="005C39F7" w:rsidP="001F5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39F7" w:rsidRDefault="005C39F7" w:rsidP="001F5C4C">
      <w:pPr>
        <w:spacing w:after="0" w:line="240" w:lineRule="auto"/>
      </w:pPr>
      <w:r>
        <w:separator/>
      </w:r>
    </w:p>
  </w:footnote>
  <w:footnote w:type="continuationSeparator" w:id="0">
    <w:p w:rsidR="005C39F7" w:rsidRDefault="005C39F7" w:rsidP="001F5C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41841"/>
    <w:multiLevelType w:val="hybridMultilevel"/>
    <w:tmpl w:val="FF560D50"/>
    <w:lvl w:ilvl="0" w:tplc="A0CACEE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 w15:restartNumberingAfterBreak="0">
    <w:nsid w:val="16D64968"/>
    <w:multiLevelType w:val="hybridMultilevel"/>
    <w:tmpl w:val="9A0C3C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F81C1D"/>
    <w:multiLevelType w:val="hybridMultilevel"/>
    <w:tmpl w:val="A26C8228"/>
    <w:lvl w:ilvl="0" w:tplc="EC0E58CA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 w15:restartNumberingAfterBreak="0">
    <w:nsid w:val="62DC65F8"/>
    <w:multiLevelType w:val="hybridMultilevel"/>
    <w:tmpl w:val="70107B26"/>
    <w:lvl w:ilvl="0" w:tplc="0409000F">
      <w:start w:val="1"/>
      <w:numFmt w:val="decimal"/>
      <w:lvlText w:val="%1."/>
      <w:lvlJc w:val="left"/>
      <w:pPr>
        <w:ind w:left="960" w:hanging="360"/>
      </w:p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 w15:restartNumberingAfterBreak="0">
    <w:nsid w:val="7AF85E2D"/>
    <w:multiLevelType w:val="hybridMultilevel"/>
    <w:tmpl w:val="8304AAD2"/>
    <w:lvl w:ilvl="0" w:tplc="04090001">
      <w:start w:val="1"/>
      <w:numFmt w:val="bullet"/>
      <w:lvlText w:val=""/>
      <w:lvlJc w:val="left"/>
      <w:pPr>
        <w:ind w:left="8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trackRevisions/>
  <w:defaultTabStop w:val="708"/>
  <w:hyphenationZone w:val="425"/>
  <w:doNotHyphenateCaps/>
  <w:evenAndOddHeaders/>
  <w:characterSpacingControl w:val="doNotCompress"/>
  <w:doNotValidateAgainstSchema/>
  <w:doNotDemarcateInvalidXml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C4C"/>
    <w:rsid w:val="00003657"/>
    <w:rsid w:val="00007950"/>
    <w:rsid w:val="000079F1"/>
    <w:rsid w:val="000119BA"/>
    <w:rsid w:val="00020D57"/>
    <w:rsid w:val="0003633A"/>
    <w:rsid w:val="000450FE"/>
    <w:rsid w:val="000542A1"/>
    <w:rsid w:val="000B26FB"/>
    <w:rsid w:val="000E0EA9"/>
    <w:rsid w:val="000F0160"/>
    <w:rsid w:val="00100689"/>
    <w:rsid w:val="00103FB5"/>
    <w:rsid w:val="00117388"/>
    <w:rsid w:val="00143800"/>
    <w:rsid w:val="00145871"/>
    <w:rsid w:val="001514FF"/>
    <w:rsid w:val="00194285"/>
    <w:rsid w:val="001C1140"/>
    <w:rsid w:val="001C1824"/>
    <w:rsid w:val="001C1CCF"/>
    <w:rsid w:val="001F2AD5"/>
    <w:rsid w:val="001F5C4C"/>
    <w:rsid w:val="001F5E4D"/>
    <w:rsid w:val="00202B46"/>
    <w:rsid w:val="002116F2"/>
    <w:rsid w:val="0022672D"/>
    <w:rsid w:val="00243DDD"/>
    <w:rsid w:val="002910FF"/>
    <w:rsid w:val="00292657"/>
    <w:rsid w:val="00293B44"/>
    <w:rsid w:val="002A4A49"/>
    <w:rsid w:val="002A6066"/>
    <w:rsid w:val="002C5D39"/>
    <w:rsid w:val="00345CFD"/>
    <w:rsid w:val="00350F84"/>
    <w:rsid w:val="0035444C"/>
    <w:rsid w:val="003866ED"/>
    <w:rsid w:val="003B6797"/>
    <w:rsid w:val="003B7F74"/>
    <w:rsid w:val="003E6940"/>
    <w:rsid w:val="00445B54"/>
    <w:rsid w:val="004676E4"/>
    <w:rsid w:val="004704F8"/>
    <w:rsid w:val="00486580"/>
    <w:rsid w:val="004A5FD9"/>
    <w:rsid w:val="004B3A44"/>
    <w:rsid w:val="004E1592"/>
    <w:rsid w:val="00502AE4"/>
    <w:rsid w:val="005275A2"/>
    <w:rsid w:val="0053280C"/>
    <w:rsid w:val="00540CA5"/>
    <w:rsid w:val="00543B25"/>
    <w:rsid w:val="005461E3"/>
    <w:rsid w:val="00575057"/>
    <w:rsid w:val="00584600"/>
    <w:rsid w:val="005C39F7"/>
    <w:rsid w:val="0061207F"/>
    <w:rsid w:val="00612597"/>
    <w:rsid w:val="00646351"/>
    <w:rsid w:val="00674C5B"/>
    <w:rsid w:val="006771DE"/>
    <w:rsid w:val="00702D67"/>
    <w:rsid w:val="00733AE1"/>
    <w:rsid w:val="0074170B"/>
    <w:rsid w:val="007428EA"/>
    <w:rsid w:val="00747D2B"/>
    <w:rsid w:val="00757ECA"/>
    <w:rsid w:val="007606D1"/>
    <w:rsid w:val="007608EA"/>
    <w:rsid w:val="00773D5E"/>
    <w:rsid w:val="00796712"/>
    <w:rsid w:val="007A3A8A"/>
    <w:rsid w:val="007D7738"/>
    <w:rsid w:val="007E6E8C"/>
    <w:rsid w:val="007F031E"/>
    <w:rsid w:val="008214E4"/>
    <w:rsid w:val="008462D1"/>
    <w:rsid w:val="00852A0D"/>
    <w:rsid w:val="0085513D"/>
    <w:rsid w:val="0086660E"/>
    <w:rsid w:val="00892E45"/>
    <w:rsid w:val="00893340"/>
    <w:rsid w:val="008D192E"/>
    <w:rsid w:val="008D4158"/>
    <w:rsid w:val="008E3F6F"/>
    <w:rsid w:val="00913EDF"/>
    <w:rsid w:val="009451EC"/>
    <w:rsid w:val="009642BB"/>
    <w:rsid w:val="00971436"/>
    <w:rsid w:val="009766A6"/>
    <w:rsid w:val="009816B5"/>
    <w:rsid w:val="00985B8B"/>
    <w:rsid w:val="009866DF"/>
    <w:rsid w:val="009E23D1"/>
    <w:rsid w:val="00A102DA"/>
    <w:rsid w:val="00A12364"/>
    <w:rsid w:val="00A24B26"/>
    <w:rsid w:val="00A25632"/>
    <w:rsid w:val="00A343EB"/>
    <w:rsid w:val="00A84F9E"/>
    <w:rsid w:val="00AB6D68"/>
    <w:rsid w:val="00AF15B9"/>
    <w:rsid w:val="00B10146"/>
    <w:rsid w:val="00B4039C"/>
    <w:rsid w:val="00BC4F65"/>
    <w:rsid w:val="00BD4B7D"/>
    <w:rsid w:val="00C016FA"/>
    <w:rsid w:val="00C02CD6"/>
    <w:rsid w:val="00C02D03"/>
    <w:rsid w:val="00C05D38"/>
    <w:rsid w:val="00C061CD"/>
    <w:rsid w:val="00C17885"/>
    <w:rsid w:val="00C22C18"/>
    <w:rsid w:val="00C27322"/>
    <w:rsid w:val="00C3583F"/>
    <w:rsid w:val="00C373F7"/>
    <w:rsid w:val="00C766AB"/>
    <w:rsid w:val="00C830BA"/>
    <w:rsid w:val="00C87467"/>
    <w:rsid w:val="00CC17E4"/>
    <w:rsid w:val="00CC2E5E"/>
    <w:rsid w:val="00D023F7"/>
    <w:rsid w:val="00D0722E"/>
    <w:rsid w:val="00D2101A"/>
    <w:rsid w:val="00D27A72"/>
    <w:rsid w:val="00D54EAB"/>
    <w:rsid w:val="00D555BC"/>
    <w:rsid w:val="00D65349"/>
    <w:rsid w:val="00D74CAB"/>
    <w:rsid w:val="00D80B24"/>
    <w:rsid w:val="00D8407A"/>
    <w:rsid w:val="00DD349E"/>
    <w:rsid w:val="00DD7698"/>
    <w:rsid w:val="00DE788E"/>
    <w:rsid w:val="00E27707"/>
    <w:rsid w:val="00E77314"/>
    <w:rsid w:val="00E92B29"/>
    <w:rsid w:val="00EB1C51"/>
    <w:rsid w:val="00EB465C"/>
    <w:rsid w:val="00ED0C22"/>
    <w:rsid w:val="00EE1D17"/>
    <w:rsid w:val="00EE5045"/>
    <w:rsid w:val="00EE7DB2"/>
    <w:rsid w:val="00EF61AF"/>
    <w:rsid w:val="00F038E7"/>
    <w:rsid w:val="00F06AE8"/>
    <w:rsid w:val="00F2146C"/>
    <w:rsid w:val="00F273C3"/>
    <w:rsid w:val="00F66680"/>
    <w:rsid w:val="00F6673C"/>
    <w:rsid w:val="00FA40BD"/>
    <w:rsid w:val="00FB6ED3"/>
    <w:rsid w:val="00FD7D81"/>
    <w:rsid w:val="00FF6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39863B28"/>
  <w15:docId w15:val="{FD8C08E7-B625-4903-8235-3F817D181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6AE8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F5C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F5C4C"/>
  </w:style>
  <w:style w:type="paragraph" w:styleId="Footer">
    <w:name w:val="footer"/>
    <w:basedOn w:val="Normal"/>
    <w:link w:val="FooterChar"/>
    <w:uiPriority w:val="99"/>
    <w:rsid w:val="001F5C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F5C4C"/>
  </w:style>
  <w:style w:type="paragraph" w:styleId="NormalWeb">
    <w:name w:val="Normal (Web)"/>
    <w:basedOn w:val="Normal"/>
    <w:uiPriority w:val="99"/>
    <w:semiHidden/>
    <w:rsid w:val="001F5C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rsid w:val="001F5C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F5C4C"/>
    <w:rPr>
      <w:rFonts w:ascii="Tahoma" w:hAnsi="Tahoma" w:cs="Tahoma"/>
      <w:sz w:val="16"/>
      <w:szCs w:val="16"/>
    </w:rPr>
  </w:style>
  <w:style w:type="paragraph" w:styleId="ListParagraph">
    <w:name w:val="List Paragraph"/>
    <w:aliases w:val="List Paragraph1,List1,Списък на абзаци,List Paragraph11"/>
    <w:basedOn w:val="Normal"/>
    <w:link w:val="ListParagraphChar"/>
    <w:uiPriority w:val="34"/>
    <w:qFormat/>
    <w:rsid w:val="00292657"/>
    <w:pPr>
      <w:ind w:left="720"/>
      <w:contextualSpacing/>
    </w:pPr>
  </w:style>
  <w:style w:type="character" w:styleId="Strong">
    <w:name w:val="Strong"/>
    <w:basedOn w:val="DefaultParagraphFont"/>
    <w:uiPriority w:val="22"/>
    <w:qFormat/>
    <w:locked/>
    <w:rsid w:val="00C27322"/>
    <w:rPr>
      <w:b/>
      <w:bCs/>
    </w:rPr>
  </w:style>
  <w:style w:type="character" w:customStyle="1" w:styleId="ListParagraphChar">
    <w:name w:val="List Paragraph Char"/>
    <w:aliases w:val="List Paragraph1 Char,List1 Char,Списък на абзаци Char,List Paragraph11 Char"/>
    <w:link w:val="ListParagraph"/>
    <w:uiPriority w:val="34"/>
    <w:locked/>
    <w:rsid w:val="00C27322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1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0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0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1E1BB-07C7-438B-939B-5A71743E4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ПЪРВО ЗАСЕДАНИЕ НА КОМИТЕТА ЗА НАБЛЮДЕНИЕ НА</vt:lpstr>
    </vt:vector>
  </TitlesOfParts>
  <Company>mzh</Company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ПЪРВО ЗАСЕДАНИЕ НА КОМИТЕТА ЗА НАБЛЮДЕНИЕ НА</dc:title>
  <dc:creator>Nikolay Tsankoff</dc:creator>
  <cp:lastModifiedBy>Krasimira Dankova</cp:lastModifiedBy>
  <cp:revision>15</cp:revision>
  <cp:lastPrinted>2023-02-28T08:19:00Z</cp:lastPrinted>
  <dcterms:created xsi:type="dcterms:W3CDTF">2023-02-23T13:20:00Z</dcterms:created>
  <dcterms:modified xsi:type="dcterms:W3CDTF">2023-06-01T11:57:00Z</dcterms:modified>
</cp:coreProperties>
</file>