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E25" w:rsidRPr="000A3392" w:rsidRDefault="008C7E25" w:rsidP="009908E8">
      <w:pPr>
        <w:pStyle w:val="NoSpacing"/>
        <w:spacing w:line="276" w:lineRule="auto"/>
        <w:jc w:val="center"/>
        <w:rPr>
          <w:sz w:val="24"/>
        </w:rPr>
      </w:pPr>
      <w:r w:rsidRPr="000A3392">
        <w:rPr>
          <w:sz w:val="24"/>
        </w:rPr>
        <w:t>МОТИВИРАНО ПРЕДЛОЖЕНИЕ ЗА ВКЛЮЧВАНЕ НА ТОЧКА В</w:t>
      </w:r>
    </w:p>
    <w:p w:rsidR="00991179" w:rsidRDefault="008C7E25" w:rsidP="009908E8">
      <w:pPr>
        <w:pStyle w:val="NoSpacing"/>
        <w:spacing w:line="276" w:lineRule="auto"/>
        <w:jc w:val="center"/>
        <w:rPr>
          <w:sz w:val="24"/>
        </w:rPr>
      </w:pPr>
      <w:r w:rsidRPr="000A3392">
        <w:rPr>
          <w:sz w:val="24"/>
        </w:rPr>
        <w:t xml:space="preserve">ДНЕВЕН РЕД НА </w:t>
      </w:r>
      <w:r w:rsidR="00991179">
        <w:rPr>
          <w:sz w:val="24"/>
          <w:lang w:val="bg-BG"/>
        </w:rPr>
        <w:t>ТРЕТО</w:t>
      </w:r>
      <w:r w:rsidRPr="000A3392">
        <w:rPr>
          <w:sz w:val="24"/>
        </w:rPr>
        <w:t xml:space="preserve"> ЗАСЕДАНИЕ НА КОМИТЕТА ЗА НАБЛЮДЕНИЕ </w:t>
      </w:r>
    </w:p>
    <w:p w:rsidR="00991179" w:rsidRPr="00991179" w:rsidRDefault="008C7E25" w:rsidP="009908E8">
      <w:pPr>
        <w:pStyle w:val="NoSpacing"/>
        <w:spacing w:line="276" w:lineRule="auto"/>
        <w:jc w:val="center"/>
        <w:rPr>
          <w:sz w:val="24"/>
          <w:lang w:val="bg-BG"/>
        </w:rPr>
      </w:pPr>
      <w:r w:rsidRPr="000A3392">
        <w:rPr>
          <w:sz w:val="24"/>
        </w:rPr>
        <w:t xml:space="preserve">НА </w:t>
      </w:r>
      <w:r w:rsidR="00991179" w:rsidRPr="00991179">
        <w:rPr>
          <w:sz w:val="24"/>
        </w:rPr>
        <w:t>ПРОГРАМАТА ЗА МОРСКО ДЕЛО, РИБАРСТВО И АКВАКУЛТУРИ 2021-2027</w:t>
      </w:r>
      <w:r w:rsidR="00991179">
        <w:rPr>
          <w:sz w:val="24"/>
          <w:lang w:val="bg-BG"/>
        </w:rPr>
        <w:t xml:space="preserve"> г.</w:t>
      </w:r>
    </w:p>
    <w:p w:rsidR="008C7E25" w:rsidRPr="000A3392" w:rsidRDefault="00991179" w:rsidP="00991179">
      <w:pPr>
        <w:pStyle w:val="NoSpacing"/>
        <w:spacing w:line="276" w:lineRule="auto"/>
        <w:jc w:val="center"/>
        <w:rPr>
          <w:sz w:val="24"/>
        </w:rPr>
      </w:pPr>
      <w:r w:rsidRPr="00991179">
        <w:rPr>
          <w:sz w:val="24"/>
        </w:rPr>
        <w:t xml:space="preserve">12-13 </w:t>
      </w:r>
      <w:proofErr w:type="spellStart"/>
      <w:r w:rsidRPr="00991179">
        <w:rPr>
          <w:sz w:val="24"/>
        </w:rPr>
        <w:t>март</w:t>
      </w:r>
      <w:proofErr w:type="spellEnd"/>
      <w:r w:rsidRPr="00991179">
        <w:rPr>
          <w:sz w:val="24"/>
        </w:rPr>
        <w:t xml:space="preserve"> 2025 г.</w:t>
      </w:r>
    </w:p>
    <w:p w:rsidR="008C7E25" w:rsidRPr="000A3392" w:rsidRDefault="008C7E25" w:rsidP="009908E8">
      <w:pPr>
        <w:pStyle w:val="NoSpacing"/>
        <w:spacing w:line="276" w:lineRule="auto"/>
        <w:jc w:val="both"/>
        <w:rPr>
          <w:sz w:val="24"/>
          <w:lang w:val="bg-BG"/>
        </w:rPr>
      </w:pPr>
    </w:p>
    <w:p w:rsidR="008C7E25" w:rsidRPr="000A3392" w:rsidRDefault="008C7E25" w:rsidP="009908E8">
      <w:pPr>
        <w:pStyle w:val="NoSpacing"/>
        <w:spacing w:line="276" w:lineRule="auto"/>
        <w:jc w:val="both"/>
        <w:rPr>
          <w:sz w:val="24"/>
          <w:lang w:val="bg-BG"/>
        </w:rPr>
      </w:pPr>
      <w:r w:rsidRPr="000A3392">
        <w:rPr>
          <w:b/>
          <w:sz w:val="24"/>
          <w:lang w:val="bg-BG"/>
        </w:rPr>
        <w:t xml:space="preserve">Уважаем секретариат на КН на </w:t>
      </w:r>
      <w:r w:rsidR="00B66637" w:rsidRPr="00B66637">
        <w:rPr>
          <w:b/>
          <w:sz w:val="24"/>
          <w:lang w:val="bg-BG"/>
        </w:rPr>
        <w:t>ПМДРА</w:t>
      </w:r>
      <w:r w:rsidRPr="000A3392">
        <w:rPr>
          <w:sz w:val="24"/>
          <w:lang w:val="bg-BG"/>
        </w:rPr>
        <w:t>,</w:t>
      </w:r>
    </w:p>
    <w:p w:rsidR="008C7E25" w:rsidRPr="000A3392" w:rsidRDefault="008C7E25" w:rsidP="009908E8">
      <w:pPr>
        <w:pStyle w:val="NoSpacing"/>
        <w:spacing w:line="276" w:lineRule="auto"/>
        <w:jc w:val="both"/>
        <w:rPr>
          <w:sz w:val="24"/>
          <w:lang w:val="bg-BG"/>
        </w:rPr>
      </w:pPr>
    </w:p>
    <w:p w:rsidR="008C7E25" w:rsidRPr="000A3392" w:rsidRDefault="008C7E25" w:rsidP="009908E8">
      <w:pPr>
        <w:pStyle w:val="NoSpacing"/>
        <w:spacing w:line="276" w:lineRule="auto"/>
        <w:ind w:firstLine="720"/>
        <w:jc w:val="both"/>
        <w:rPr>
          <w:sz w:val="24"/>
        </w:rPr>
      </w:pPr>
      <w:r w:rsidRPr="000A3392">
        <w:rPr>
          <w:sz w:val="24"/>
          <w:lang w:val="bg-BG"/>
        </w:rPr>
        <w:t xml:space="preserve">Предоставяме на Вашето внимание предложение за включване </w:t>
      </w:r>
      <w:r w:rsidR="00824AB7" w:rsidRPr="000A3392">
        <w:rPr>
          <w:sz w:val="24"/>
          <w:lang w:val="bg-BG"/>
        </w:rPr>
        <w:t>в</w:t>
      </w:r>
      <w:r w:rsidRPr="000A3392">
        <w:rPr>
          <w:sz w:val="24"/>
          <w:lang w:val="bg-BG"/>
        </w:rPr>
        <w:t xml:space="preserve"> дневния ред на точка „Хартата на основните права на ЕС (ХОПЕС / Хартата) и Конвенцията на ООН за правата на хората с увреждания (КХПУ)</w:t>
      </w:r>
      <w:r w:rsidR="007B5CE9" w:rsidRPr="000A3392">
        <w:rPr>
          <w:sz w:val="24"/>
          <w:lang w:val="bg-BG"/>
        </w:rPr>
        <w:t>“</w:t>
      </w:r>
      <w:r w:rsidR="00435777" w:rsidRPr="000A3392">
        <w:rPr>
          <w:sz w:val="24"/>
        </w:rPr>
        <w:t>.</w:t>
      </w:r>
    </w:p>
    <w:p w:rsidR="007B5CE9" w:rsidRPr="000A3392" w:rsidRDefault="007B5CE9" w:rsidP="009908E8">
      <w:pPr>
        <w:pStyle w:val="NoSpacing"/>
        <w:spacing w:line="276" w:lineRule="auto"/>
        <w:jc w:val="both"/>
        <w:rPr>
          <w:sz w:val="24"/>
          <w:lang w:val="bg-BG"/>
        </w:rPr>
      </w:pPr>
    </w:p>
    <w:p w:rsidR="007B5CE9" w:rsidRPr="000A3392" w:rsidRDefault="00405199" w:rsidP="009908E8">
      <w:pPr>
        <w:pStyle w:val="NoSpacing"/>
        <w:spacing w:line="276" w:lineRule="auto"/>
        <w:jc w:val="both"/>
        <w:rPr>
          <w:b/>
          <w:sz w:val="24"/>
          <w:lang w:val="bg-BG"/>
        </w:rPr>
      </w:pPr>
      <w:r w:rsidRPr="000A3392">
        <w:rPr>
          <w:b/>
          <w:sz w:val="24"/>
          <w:lang w:val="bg-BG"/>
        </w:rPr>
        <w:t>Мотиви</w:t>
      </w:r>
    </w:p>
    <w:p w:rsidR="006A5C3A" w:rsidRPr="000A3392" w:rsidRDefault="006A5C3A" w:rsidP="009908E8">
      <w:pPr>
        <w:pStyle w:val="NoSpacing"/>
        <w:spacing w:line="276" w:lineRule="auto"/>
        <w:ind w:firstLine="720"/>
        <w:jc w:val="both"/>
        <w:rPr>
          <w:sz w:val="24"/>
          <w:lang w:val="bg-BG"/>
        </w:rPr>
      </w:pPr>
      <w:bookmarkStart w:id="0" w:name="_MailAutoSig"/>
    </w:p>
    <w:p w:rsidR="006A5C3A" w:rsidRPr="000A3392" w:rsidRDefault="006A5C3A" w:rsidP="009908E8">
      <w:pPr>
        <w:pStyle w:val="NoSpacing"/>
        <w:spacing w:line="276" w:lineRule="auto"/>
        <w:ind w:firstLine="720"/>
        <w:jc w:val="both"/>
        <w:rPr>
          <w:sz w:val="24"/>
          <w:lang w:val="bg-BG"/>
        </w:rPr>
      </w:pPr>
      <w:r w:rsidRPr="000A3392">
        <w:rPr>
          <w:sz w:val="24"/>
          <w:lang w:val="bg-BG"/>
        </w:rPr>
        <w:t xml:space="preserve">Хартата и </w:t>
      </w:r>
      <w:r w:rsidR="000A3392" w:rsidRPr="000A3392">
        <w:rPr>
          <w:sz w:val="24"/>
          <w:lang w:val="bg-BG"/>
        </w:rPr>
        <w:t xml:space="preserve">КХПУ </w:t>
      </w:r>
      <w:r w:rsidRPr="000A3392">
        <w:rPr>
          <w:sz w:val="24"/>
          <w:lang w:val="bg-BG"/>
        </w:rPr>
        <w:t>неизменно обвързва</w:t>
      </w:r>
      <w:r w:rsidR="000A3392" w:rsidRPr="000A3392">
        <w:rPr>
          <w:sz w:val="24"/>
          <w:lang w:val="bg-BG"/>
        </w:rPr>
        <w:t>т</w:t>
      </w:r>
      <w:r w:rsidRPr="000A3392">
        <w:rPr>
          <w:sz w:val="24"/>
          <w:lang w:val="bg-BG"/>
        </w:rPr>
        <w:t xml:space="preserve"> институциите на ЕС и държавите членки, когато действат в обхвата на правото на Съюза. Гарантиране</w:t>
      </w:r>
      <w:r w:rsidR="000A3392">
        <w:rPr>
          <w:sz w:val="24"/>
          <w:lang w:val="bg-BG"/>
        </w:rPr>
        <w:t>то</w:t>
      </w:r>
      <w:r w:rsidRPr="000A3392">
        <w:rPr>
          <w:sz w:val="24"/>
          <w:lang w:val="bg-BG"/>
        </w:rPr>
        <w:t xml:space="preserve"> на основните права при използване на фондове на ЕС</w:t>
      </w:r>
      <w:bookmarkEnd w:id="0"/>
      <w:r w:rsidRPr="000A3392">
        <w:rPr>
          <w:sz w:val="24"/>
          <w:lang w:val="bg-BG"/>
        </w:rPr>
        <w:t xml:space="preserve"> е задължително за всички фондове на ЕС. </w:t>
      </w:r>
      <w:r w:rsidR="00B66637">
        <w:rPr>
          <w:sz w:val="24"/>
          <w:lang w:val="bg-BG"/>
        </w:rPr>
        <w:t>Има рискове за нарушаване на основните права във всяка програма, колкото и квалифицирани да са бенефициентите ѝ.</w:t>
      </w:r>
    </w:p>
    <w:p w:rsidR="006A5C3A" w:rsidRPr="000A3392" w:rsidRDefault="006A5C3A" w:rsidP="009908E8">
      <w:pPr>
        <w:pStyle w:val="NoSpacing"/>
        <w:spacing w:line="276" w:lineRule="auto"/>
        <w:jc w:val="both"/>
        <w:rPr>
          <w:sz w:val="24"/>
          <w:lang w:val="bg-BG"/>
        </w:rPr>
      </w:pPr>
    </w:p>
    <w:p w:rsidR="006A5C3A" w:rsidRPr="000A3392" w:rsidRDefault="006A5C3A" w:rsidP="009908E8">
      <w:pPr>
        <w:pStyle w:val="NoSpacing"/>
        <w:spacing w:line="276" w:lineRule="auto"/>
        <w:ind w:firstLine="720"/>
        <w:jc w:val="both"/>
        <w:rPr>
          <w:sz w:val="24"/>
          <w:lang w:val="bg-BG"/>
        </w:rPr>
      </w:pPr>
      <w:r w:rsidRPr="000A3392">
        <w:rPr>
          <w:sz w:val="24"/>
          <w:lang w:val="bg-BG"/>
        </w:rPr>
        <w:t xml:space="preserve">С въвеждането на </w:t>
      </w:r>
      <w:hyperlink r:id="rId8" w:history="1">
        <w:r w:rsidRPr="000A3392">
          <w:rPr>
            <w:rStyle w:val="Hyperlink"/>
            <w:sz w:val="24"/>
            <w:lang w:val="bg-BG"/>
          </w:rPr>
          <w:t>Регламент (ЕС) 2021/1060</w:t>
        </w:r>
      </w:hyperlink>
      <w:r w:rsidRPr="000A3392">
        <w:rPr>
          <w:sz w:val="24"/>
          <w:lang w:val="bg-BG"/>
        </w:rPr>
        <w:t xml:space="preserve"> е определен механизъм за спазване на ХОПЕС и КХПУ конкретно при фондове на ЕС, които са предмет на споделено управление по Регламент (ЕС) 2021/1060</w:t>
      </w:r>
      <w:r w:rsidRPr="000A3392">
        <w:rPr>
          <w:sz w:val="24"/>
          <w:vertAlign w:val="superscript"/>
          <w:lang w:val="bg-BG"/>
        </w:rPr>
        <w:footnoteReference w:id="1"/>
      </w:r>
      <w:r w:rsidRPr="000A3392">
        <w:rPr>
          <w:sz w:val="24"/>
          <w:lang w:val="bg-BG"/>
        </w:rPr>
        <w:t xml:space="preserve">  – от 2021 г. насам такива са:</w:t>
      </w:r>
    </w:p>
    <w:p w:rsidR="006A5C3A" w:rsidRPr="000A3392" w:rsidRDefault="006A5C3A" w:rsidP="009908E8">
      <w:pPr>
        <w:pStyle w:val="NoSpacing"/>
        <w:numPr>
          <w:ilvl w:val="0"/>
          <w:numId w:val="4"/>
        </w:numPr>
        <w:spacing w:line="276" w:lineRule="auto"/>
        <w:jc w:val="both"/>
        <w:rPr>
          <w:sz w:val="24"/>
          <w:lang w:val="bg-BG"/>
        </w:rPr>
      </w:pPr>
      <w:r w:rsidRPr="000A3392">
        <w:rPr>
          <w:sz w:val="24"/>
          <w:lang w:val="bg-BG"/>
        </w:rPr>
        <w:t>Европейския фонд за регионално развитие (ЕФРР) (*);</w:t>
      </w:r>
    </w:p>
    <w:p w:rsidR="006A5C3A" w:rsidRPr="000A3392" w:rsidRDefault="006A5C3A" w:rsidP="009908E8">
      <w:pPr>
        <w:pStyle w:val="NoSpacing"/>
        <w:numPr>
          <w:ilvl w:val="0"/>
          <w:numId w:val="4"/>
        </w:numPr>
        <w:spacing w:line="276" w:lineRule="auto"/>
        <w:jc w:val="both"/>
        <w:rPr>
          <w:sz w:val="24"/>
          <w:lang w:val="bg-BG"/>
        </w:rPr>
      </w:pPr>
      <w:r w:rsidRPr="000A3392">
        <w:rPr>
          <w:sz w:val="24"/>
          <w:lang w:val="bg-BG"/>
        </w:rPr>
        <w:t>Европейския социален фонд плюс (ЕСФ+) (*);</w:t>
      </w:r>
    </w:p>
    <w:p w:rsidR="006A5C3A" w:rsidRPr="000A3392" w:rsidRDefault="006A5C3A" w:rsidP="009908E8">
      <w:pPr>
        <w:pStyle w:val="NoSpacing"/>
        <w:numPr>
          <w:ilvl w:val="0"/>
          <w:numId w:val="4"/>
        </w:numPr>
        <w:spacing w:line="276" w:lineRule="auto"/>
        <w:jc w:val="both"/>
        <w:rPr>
          <w:sz w:val="24"/>
          <w:lang w:val="bg-BG"/>
        </w:rPr>
      </w:pPr>
      <w:r w:rsidRPr="000A3392">
        <w:rPr>
          <w:sz w:val="24"/>
          <w:lang w:val="bg-BG"/>
        </w:rPr>
        <w:t>Кохезионния фонд (*);</w:t>
      </w:r>
    </w:p>
    <w:p w:rsidR="006A5C3A" w:rsidRPr="000A3392" w:rsidRDefault="006A5C3A" w:rsidP="009908E8">
      <w:pPr>
        <w:pStyle w:val="NoSpacing"/>
        <w:numPr>
          <w:ilvl w:val="0"/>
          <w:numId w:val="4"/>
        </w:numPr>
        <w:spacing w:line="276" w:lineRule="auto"/>
        <w:jc w:val="both"/>
        <w:rPr>
          <w:sz w:val="24"/>
          <w:lang w:val="bg-BG"/>
        </w:rPr>
      </w:pPr>
      <w:r w:rsidRPr="000A3392">
        <w:rPr>
          <w:sz w:val="24"/>
          <w:lang w:val="bg-BG"/>
        </w:rPr>
        <w:t>Фонда за справедлив преход (ФСП) (*);</w:t>
      </w:r>
    </w:p>
    <w:p w:rsidR="006A5C3A" w:rsidRPr="00B66637" w:rsidRDefault="006A5C3A" w:rsidP="009908E8">
      <w:pPr>
        <w:pStyle w:val="NoSpacing"/>
        <w:numPr>
          <w:ilvl w:val="0"/>
          <w:numId w:val="4"/>
        </w:numPr>
        <w:spacing w:line="276" w:lineRule="auto"/>
        <w:jc w:val="both"/>
        <w:rPr>
          <w:b/>
          <w:sz w:val="24"/>
          <w:lang w:val="bg-BG"/>
        </w:rPr>
      </w:pPr>
      <w:r w:rsidRPr="00B66637">
        <w:rPr>
          <w:b/>
          <w:sz w:val="24"/>
          <w:lang w:val="bg-BG"/>
        </w:rPr>
        <w:t xml:space="preserve">Европейския фонд за морско дело, рибарство и </w:t>
      </w:r>
      <w:proofErr w:type="spellStart"/>
      <w:r w:rsidRPr="00B66637">
        <w:rPr>
          <w:b/>
          <w:sz w:val="24"/>
          <w:lang w:val="bg-BG"/>
        </w:rPr>
        <w:t>аквакултури</w:t>
      </w:r>
      <w:proofErr w:type="spellEnd"/>
      <w:r w:rsidRPr="00B66637">
        <w:rPr>
          <w:b/>
          <w:sz w:val="24"/>
          <w:lang w:val="bg-BG"/>
        </w:rPr>
        <w:t xml:space="preserve"> (ЕФМДР) (*);</w:t>
      </w:r>
    </w:p>
    <w:p w:rsidR="006A5C3A" w:rsidRPr="000A3392" w:rsidRDefault="006A5C3A" w:rsidP="009908E8">
      <w:pPr>
        <w:pStyle w:val="NoSpacing"/>
        <w:numPr>
          <w:ilvl w:val="0"/>
          <w:numId w:val="4"/>
        </w:numPr>
        <w:spacing w:line="276" w:lineRule="auto"/>
        <w:jc w:val="both"/>
        <w:rPr>
          <w:sz w:val="24"/>
          <w:lang w:val="bg-BG"/>
        </w:rPr>
      </w:pPr>
      <w:r w:rsidRPr="000A3392">
        <w:rPr>
          <w:sz w:val="24"/>
          <w:lang w:val="bg-BG"/>
        </w:rPr>
        <w:t>Фонд „Убежище, миграция и интеграция“;</w:t>
      </w:r>
    </w:p>
    <w:p w:rsidR="006A5C3A" w:rsidRPr="000A3392" w:rsidRDefault="006A5C3A" w:rsidP="009908E8">
      <w:pPr>
        <w:pStyle w:val="NoSpacing"/>
        <w:numPr>
          <w:ilvl w:val="0"/>
          <w:numId w:val="4"/>
        </w:numPr>
        <w:spacing w:line="276" w:lineRule="auto"/>
        <w:jc w:val="both"/>
        <w:rPr>
          <w:sz w:val="24"/>
          <w:lang w:val="bg-BG"/>
        </w:rPr>
      </w:pPr>
      <w:r w:rsidRPr="000A3392">
        <w:rPr>
          <w:sz w:val="24"/>
          <w:lang w:val="bg-BG"/>
        </w:rPr>
        <w:t>фонд „Вътрешна сигурност“; и</w:t>
      </w:r>
    </w:p>
    <w:p w:rsidR="006A5C3A" w:rsidRPr="000A3392" w:rsidRDefault="006A5C3A" w:rsidP="009908E8">
      <w:pPr>
        <w:pStyle w:val="NoSpacing"/>
        <w:numPr>
          <w:ilvl w:val="0"/>
          <w:numId w:val="4"/>
        </w:numPr>
        <w:spacing w:line="276" w:lineRule="auto"/>
        <w:jc w:val="both"/>
        <w:rPr>
          <w:sz w:val="24"/>
          <w:lang w:val="bg-BG"/>
        </w:rPr>
      </w:pPr>
      <w:r w:rsidRPr="000A3392">
        <w:rPr>
          <w:sz w:val="24"/>
          <w:lang w:val="bg-BG"/>
        </w:rPr>
        <w:t>Инструмента за финансова подкрепа на управлението на границите и визовата политика.</w:t>
      </w:r>
    </w:p>
    <w:p w:rsidR="006A5C3A" w:rsidRPr="000A3392" w:rsidRDefault="006A5C3A" w:rsidP="009908E8">
      <w:pPr>
        <w:pStyle w:val="NoSpacing"/>
        <w:spacing w:line="276" w:lineRule="auto"/>
        <w:jc w:val="both"/>
        <w:rPr>
          <w:sz w:val="24"/>
          <w:u w:val="single"/>
          <w:lang w:val="bg-BG"/>
        </w:rPr>
      </w:pPr>
    </w:p>
    <w:p w:rsidR="006A5C3A" w:rsidRPr="000A3392" w:rsidRDefault="006A5C3A" w:rsidP="009908E8">
      <w:pPr>
        <w:pStyle w:val="NoSpacing"/>
        <w:spacing w:line="276" w:lineRule="auto"/>
        <w:ind w:firstLine="720"/>
        <w:jc w:val="both"/>
        <w:rPr>
          <w:sz w:val="24"/>
          <w:lang w:val="bg-BG"/>
        </w:rPr>
      </w:pPr>
      <w:r w:rsidRPr="000A3392">
        <w:rPr>
          <w:sz w:val="24"/>
          <w:u w:val="single"/>
          <w:lang w:val="bg-BG"/>
        </w:rPr>
        <w:t xml:space="preserve">С текущия програмен цикъл 2021 г. -2027 г. </w:t>
      </w:r>
      <w:r w:rsidR="00B66637" w:rsidRPr="00B66637">
        <w:rPr>
          <w:b/>
          <w:sz w:val="24"/>
          <w:u w:val="single"/>
          <w:lang w:val="bg-BG"/>
        </w:rPr>
        <w:t xml:space="preserve">за ПМДРА </w:t>
      </w:r>
      <w:r w:rsidRPr="00B66637">
        <w:rPr>
          <w:b/>
          <w:sz w:val="24"/>
          <w:u w:val="single"/>
          <w:lang w:val="bg-BG"/>
        </w:rPr>
        <w:t>вече е задължително</w:t>
      </w:r>
      <w:r w:rsidRPr="00B66637">
        <w:rPr>
          <w:b/>
          <w:sz w:val="24"/>
          <w:lang w:val="bg-BG"/>
        </w:rPr>
        <w:t xml:space="preserve"> прилагането на ХОПЕС и КХПУ във всички етапи на програмния период и всички дейности</w:t>
      </w:r>
      <w:r w:rsidRPr="000A3392">
        <w:rPr>
          <w:sz w:val="24"/>
          <w:lang w:val="bg-BG"/>
        </w:rPr>
        <w:t xml:space="preserve">, както и въвеждане на </w:t>
      </w:r>
      <w:r w:rsidRPr="00B66637">
        <w:rPr>
          <w:b/>
          <w:sz w:val="24"/>
          <w:u w:val="single"/>
          <w:lang w:val="bg-BG"/>
        </w:rPr>
        <w:t>„</w:t>
      </w:r>
      <w:r w:rsidRPr="00B66637">
        <w:rPr>
          <w:b/>
          <w:i/>
          <w:sz w:val="24"/>
          <w:u w:val="single"/>
          <w:lang w:val="bg-BG"/>
        </w:rPr>
        <w:t>мерки за докладване на мониторинговия комитет за случаите на незачитане на Хартата [и КХПУ]</w:t>
      </w:r>
      <w:r w:rsidRPr="000A3392">
        <w:rPr>
          <w:i/>
          <w:sz w:val="24"/>
          <w:lang w:val="bg-BG"/>
        </w:rPr>
        <w:t xml:space="preserve"> при подкрепяните от фондовете операции </w:t>
      </w:r>
      <w:r w:rsidRPr="00B66637">
        <w:rPr>
          <w:b/>
          <w:i/>
          <w:sz w:val="24"/>
          <w:lang w:val="bg-BG"/>
        </w:rPr>
        <w:t>и жалби във връзка с Хартата [и КХПУ]</w:t>
      </w:r>
      <w:r w:rsidRPr="000A3392">
        <w:rPr>
          <w:i/>
          <w:sz w:val="24"/>
          <w:lang w:val="bg-BG"/>
        </w:rPr>
        <w:t xml:space="preserve">, подавани в съответствие с </w:t>
      </w:r>
      <w:r w:rsidRPr="000A3392">
        <w:rPr>
          <w:i/>
          <w:sz w:val="24"/>
          <w:lang w:val="bg-BG"/>
        </w:rPr>
        <w:lastRenderedPageBreak/>
        <w:t>механизмите, установени съгласно член 69, параграф 7“</w:t>
      </w:r>
      <w:r w:rsidRPr="000A3392">
        <w:rPr>
          <w:sz w:val="24"/>
          <w:lang w:val="bg-BG"/>
        </w:rPr>
        <w:t xml:space="preserve"> /ПРИЛОЖЕНИЕ III към Регламент (ЕС) 2021/1060/.</w:t>
      </w:r>
    </w:p>
    <w:p w:rsidR="006A5C3A" w:rsidRPr="000A3392" w:rsidRDefault="006A5C3A" w:rsidP="009908E8">
      <w:pPr>
        <w:pStyle w:val="NoSpacing"/>
        <w:spacing w:line="276" w:lineRule="auto"/>
        <w:jc w:val="both"/>
        <w:rPr>
          <w:sz w:val="24"/>
        </w:rPr>
      </w:pPr>
    </w:p>
    <w:p w:rsidR="006A5C3A" w:rsidRPr="000A3392" w:rsidRDefault="006A5C3A" w:rsidP="009908E8">
      <w:pPr>
        <w:pStyle w:val="NoSpacing"/>
        <w:spacing w:line="276" w:lineRule="auto"/>
        <w:ind w:firstLine="720"/>
        <w:jc w:val="both"/>
        <w:rPr>
          <w:sz w:val="24"/>
          <w:lang w:val="bg-BG"/>
        </w:rPr>
      </w:pPr>
      <w:r w:rsidRPr="000A3392">
        <w:rPr>
          <w:sz w:val="24"/>
          <w:lang w:val="bg-BG"/>
        </w:rPr>
        <w:t xml:space="preserve">През февруари 2024 г., по проект с Агенцията на ЕС за основните права (FRA), финансиран от Фонда за регионално сътрудничество на ЕИП и Норвегия, институцията на омбудсмана проведе няколко събития, вкл. национален диагностичен семинар за публичната администрация </w:t>
      </w:r>
      <w:r w:rsidR="003931E5">
        <w:rPr>
          <w:sz w:val="24"/>
          <w:lang w:val="bg-BG"/>
        </w:rPr>
        <w:t>относно</w:t>
      </w:r>
      <w:r w:rsidRPr="000A3392">
        <w:rPr>
          <w:sz w:val="24"/>
          <w:lang w:val="bg-BG"/>
        </w:rPr>
        <w:t xml:space="preserve"> готовността ѝ за прилагане Хартата на основните права на ЕС (ХОПЕС) и Конвенцията на ООН за правата на хората с увреждания (КПХУ на ООН) като </w:t>
      </w:r>
      <w:r w:rsidRPr="00B66637">
        <w:rPr>
          <w:b/>
          <w:i/>
          <w:sz w:val="24"/>
          <w:lang w:val="bg-BG"/>
        </w:rPr>
        <w:t>„хоризонтални отключващи условия“</w:t>
      </w:r>
      <w:r w:rsidRPr="000A3392">
        <w:rPr>
          <w:i/>
          <w:sz w:val="24"/>
          <w:lang w:val="bg-BG"/>
        </w:rPr>
        <w:t xml:space="preserve"> </w:t>
      </w:r>
      <w:r w:rsidRPr="000A3392">
        <w:rPr>
          <w:sz w:val="24"/>
          <w:lang w:val="bg-BG"/>
        </w:rPr>
        <w:t>по Регламент (ЕС) 2021/1060.</w:t>
      </w:r>
    </w:p>
    <w:p w:rsidR="006A5C3A" w:rsidRPr="000A3392" w:rsidRDefault="006A5C3A" w:rsidP="009908E8">
      <w:pPr>
        <w:pStyle w:val="NoSpacing"/>
        <w:spacing w:line="276" w:lineRule="auto"/>
        <w:jc w:val="both"/>
        <w:rPr>
          <w:sz w:val="24"/>
          <w:lang w:val="bg-BG"/>
        </w:rPr>
      </w:pPr>
    </w:p>
    <w:p w:rsidR="006A5C3A" w:rsidRPr="000A3392" w:rsidRDefault="006A5C3A" w:rsidP="009908E8">
      <w:pPr>
        <w:pStyle w:val="NoSpacing"/>
        <w:spacing w:line="276" w:lineRule="auto"/>
        <w:ind w:firstLine="720"/>
        <w:jc w:val="both"/>
        <w:rPr>
          <w:sz w:val="24"/>
          <w:lang w:val="bg-BG"/>
        </w:rPr>
      </w:pPr>
      <w:r w:rsidRPr="000A3392">
        <w:rPr>
          <w:sz w:val="24"/>
          <w:lang w:val="bg-BG"/>
        </w:rPr>
        <w:t>От националния диагностичен семинар се потвърди становището на Агенцията на ЕС за основните права:</w:t>
      </w:r>
    </w:p>
    <w:p w:rsidR="006A5C3A" w:rsidRPr="000A3392" w:rsidRDefault="006A5C3A" w:rsidP="009908E8">
      <w:pPr>
        <w:pStyle w:val="NoSpacing"/>
        <w:spacing w:line="276" w:lineRule="auto"/>
        <w:ind w:left="720"/>
        <w:jc w:val="both"/>
        <w:rPr>
          <w:i/>
          <w:sz w:val="24"/>
          <w:lang w:val="bg-BG"/>
        </w:rPr>
      </w:pPr>
      <w:r w:rsidRPr="000A3392">
        <w:rPr>
          <w:i/>
          <w:sz w:val="24"/>
          <w:lang w:val="bg-BG"/>
        </w:rPr>
        <w:t>„</w:t>
      </w:r>
      <w:r w:rsidRPr="00B66637">
        <w:rPr>
          <w:b/>
          <w:i/>
          <w:sz w:val="24"/>
          <w:lang w:val="bg-BG"/>
        </w:rPr>
        <w:t>В действителност специалистите често не са сигурни дали Хартата е приложима към дадена ситуация и дали добавя някаква значимост</w:t>
      </w:r>
      <w:r w:rsidRPr="000A3392">
        <w:rPr>
          <w:i/>
          <w:sz w:val="24"/>
          <w:lang w:val="bg-BG"/>
        </w:rPr>
        <w:t>. Дори и в експертните кръгове невинаги се разбира ясно какво попада и какво не в приложното поле на Хартата.</w:t>
      </w:r>
    </w:p>
    <w:p w:rsidR="006A5C3A" w:rsidRPr="000A3392" w:rsidRDefault="006A5C3A" w:rsidP="009908E8">
      <w:pPr>
        <w:pStyle w:val="NoSpacing"/>
        <w:spacing w:line="276" w:lineRule="auto"/>
        <w:ind w:left="720"/>
        <w:jc w:val="both"/>
        <w:rPr>
          <w:i/>
          <w:sz w:val="24"/>
          <w:lang w:val="bg-BG"/>
        </w:rPr>
      </w:pPr>
    </w:p>
    <w:p w:rsidR="006A5C3A" w:rsidRPr="000A3392" w:rsidRDefault="006A5C3A" w:rsidP="009908E8">
      <w:pPr>
        <w:pStyle w:val="NoSpacing"/>
        <w:spacing w:line="276" w:lineRule="auto"/>
        <w:ind w:left="720"/>
        <w:jc w:val="both"/>
        <w:rPr>
          <w:i/>
          <w:sz w:val="24"/>
          <w:lang w:val="bg-BG"/>
        </w:rPr>
      </w:pPr>
      <w:r w:rsidRPr="000A3392">
        <w:rPr>
          <w:i/>
          <w:sz w:val="24"/>
          <w:lang w:val="bg-BG"/>
        </w:rPr>
        <w:t>Затова и не е изненадващо, че едно десетилетие след нейното влизане в сила прегледът на нейното изпълнение показва нееднозначни резултати. Практикуващите юристи — били те съдии, държавни служители, законотворците или създателите на политики — рядко се позовават на Хартата. Когато го правят, позоваванията са повърхностни и отразяват известно колебание. В резултат на това Съветът на Европейския съюз насърчи държавите членки да обменят и определят най-добри практики за повишаване на осведомеността относно Хартата и да разработят инструменти за това. Той отбеляза също, че Агенцията за основните права би могла да спомогне за обучението на националните държавни служители и по-специално поиска от Агенцията да изготви наръчник относно националното прилагане на Хартата за специалисти и неспециалисти.</w:t>
      </w:r>
    </w:p>
    <w:p w:rsidR="006A5C3A" w:rsidRPr="000A3392" w:rsidRDefault="006A5C3A" w:rsidP="009908E8">
      <w:pPr>
        <w:pStyle w:val="NoSpacing"/>
        <w:spacing w:line="276" w:lineRule="auto"/>
        <w:ind w:left="720"/>
        <w:jc w:val="both"/>
        <w:rPr>
          <w:i/>
          <w:sz w:val="24"/>
          <w:lang w:val="bg-BG"/>
        </w:rPr>
      </w:pPr>
    </w:p>
    <w:p w:rsidR="006A5C3A" w:rsidRPr="000A3392" w:rsidRDefault="006A5C3A" w:rsidP="009908E8">
      <w:pPr>
        <w:pStyle w:val="NoSpacing"/>
        <w:spacing w:line="276" w:lineRule="auto"/>
        <w:ind w:left="720"/>
        <w:jc w:val="both"/>
        <w:rPr>
          <w:i/>
          <w:sz w:val="24"/>
          <w:lang w:val="bg-BG"/>
        </w:rPr>
      </w:pPr>
      <w:r w:rsidRPr="00A26F75">
        <w:rPr>
          <w:b/>
          <w:i/>
          <w:sz w:val="24"/>
          <w:lang w:val="bg-BG"/>
        </w:rPr>
        <w:t>Ето защо е необходимо на практикуващите юристи да се осигурят обучение и учебни материали, за да могат да разберат приложното поле на Хартата, както е установено в член 51 от нея</w:t>
      </w:r>
      <w:r w:rsidRPr="000A3392">
        <w:rPr>
          <w:i/>
          <w:sz w:val="24"/>
          <w:lang w:val="bg-BG"/>
        </w:rPr>
        <w:t>.“</w:t>
      </w:r>
    </w:p>
    <w:p w:rsidR="006A5C3A" w:rsidRPr="000A3392" w:rsidRDefault="006A5C3A" w:rsidP="009908E8">
      <w:pPr>
        <w:pStyle w:val="NoSpacing"/>
        <w:spacing w:line="276" w:lineRule="auto"/>
        <w:ind w:left="720"/>
        <w:jc w:val="both"/>
        <w:rPr>
          <w:sz w:val="24"/>
          <w:lang w:val="bg-BG"/>
        </w:rPr>
      </w:pPr>
    </w:p>
    <w:p w:rsidR="00405199" w:rsidRPr="000A3392" w:rsidRDefault="006A5C3A" w:rsidP="009908E8">
      <w:pPr>
        <w:pStyle w:val="NoSpacing"/>
        <w:spacing w:line="276" w:lineRule="auto"/>
        <w:ind w:left="720"/>
        <w:jc w:val="both"/>
        <w:rPr>
          <w:i/>
          <w:sz w:val="24"/>
          <w:lang w:val="bg-BG"/>
        </w:rPr>
      </w:pPr>
      <w:r w:rsidRPr="000A3392">
        <w:rPr>
          <w:i/>
          <w:sz w:val="24"/>
          <w:lang w:val="bg-BG"/>
        </w:rPr>
        <w:t>Становище 8 на FRA:</w:t>
      </w:r>
      <w:r w:rsidR="00405199" w:rsidRPr="000A3392">
        <w:rPr>
          <w:rStyle w:val="FootnoteReference"/>
          <w:i/>
          <w:sz w:val="24"/>
          <w:lang w:val="bg-BG"/>
        </w:rPr>
        <w:footnoteReference w:id="2"/>
      </w:r>
      <w:r w:rsidRPr="000A3392">
        <w:rPr>
          <w:i/>
          <w:sz w:val="24"/>
          <w:lang w:val="bg-BG"/>
        </w:rPr>
        <w:t xml:space="preserve"> „</w:t>
      </w:r>
      <w:r w:rsidRPr="000A3392">
        <w:rPr>
          <w:b/>
          <w:i/>
          <w:sz w:val="24"/>
          <w:lang w:val="bg-BG"/>
        </w:rPr>
        <w:t xml:space="preserve">Държавите членки и техните управляващи органи трябва да използват пълноценно потенциала, който дават членове 36 и 37 от </w:t>
      </w:r>
      <w:r w:rsidR="00E27EE5" w:rsidRPr="00E27EE5">
        <w:rPr>
          <w:b/>
          <w:i/>
          <w:sz w:val="24"/>
          <w:lang w:val="bg-BG"/>
        </w:rPr>
        <w:t xml:space="preserve">Регламента за </w:t>
      </w:r>
      <w:proofErr w:type="spellStart"/>
      <w:r w:rsidR="00E27EE5" w:rsidRPr="00E27EE5">
        <w:rPr>
          <w:b/>
          <w:i/>
          <w:sz w:val="24"/>
          <w:lang w:val="bg-BG"/>
        </w:rPr>
        <w:t>общоприложимите</w:t>
      </w:r>
      <w:proofErr w:type="spellEnd"/>
      <w:r w:rsidR="00E27EE5" w:rsidRPr="00E27EE5">
        <w:rPr>
          <w:b/>
          <w:i/>
          <w:sz w:val="24"/>
          <w:lang w:val="bg-BG"/>
        </w:rPr>
        <w:t xml:space="preserve"> разпоредби </w:t>
      </w:r>
      <w:r w:rsidRPr="000A3392">
        <w:rPr>
          <w:b/>
          <w:i/>
          <w:sz w:val="24"/>
          <w:lang w:val="bg-BG"/>
        </w:rPr>
        <w:t>21–27</w:t>
      </w:r>
      <w:r w:rsidRPr="000A3392">
        <w:rPr>
          <w:i/>
          <w:sz w:val="24"/>
          <w:lang w:val="bg-BG"/>
        </w:rPr>
        <w:t xml:space="preserve">, за да финансират </w:t>
      </w:r>
      <w:r w:rsidRPr="00991179">
        <w:rPr>
          <w:b/>
          <w:i/>
          <w:sz w:val="24"/>
          <w:lang w:val="bg-BG"/>
        </w:rPr>
        <w:t>дейности за изграждане на капацитет и допълнителна техническа помощ за независимите органи за основните права</w:t>
      </w:r>
      <w:r w:rsidRPr="000A3392">
        <w:rPr>
          <w:i/>
          <w:sz w:val="24"/>
          <w:lang w:val="bg-BG"/>
        </w:rPr>
        <w:t xml:space="preserve">, които са включени в </w:t>
      </w:r>
      <w:r w:rsidRPr="000A3392">
        <w:rPr>
          <w:i/>
          <w:sz w:val="24"/>
          <w:lang w:val="bg-BG"/>
        </w:rPr>
        <w:lastRenderedPageBreak/>
        <w:t xml:space="preserve">партньорства по смисъла на член 8 от РОР 21–27. Държавите членки трябва по същия начин </w:t>
      </w:r>
      <w:r w:rsidRPr="000A3392">
        <w:rPr>
          <w:b/>
          <w:i/>
          <w:sz w:val="24"/>
          <w:lang w:val="bg-BG"/>
        </w:rPr>
        <w:t>да използват пълноценно подобна техническа помощ, специфична за конкретен фонд, като помощта за изпълнение на политиките в областта на заетостта, образованието и социалното приобщаване, предвидена в член 9 от Регламент ЕСФ+</w:t>
      </w:r>
      <w:r w:rsidRPr="000A3392">
        <w:rPr>
          <w:i/>
          <w:sz w:val="24"/>
          <w:lang w:val="bg-BG"/>
        </w:rPr>
        <w:t xml:space="preserve">. </w:t>
      </w:r>
      <w:r w:rsidRPr="000A3392">
        <w:rPr>
          <w:b/>
          <w:i/>
          <w:sz w:val="24"/>
          <w:lang w:val="bg-BG"/>
        </w:rPr>
        <w:t>Това изграждане на капацитет трябва да включва и обучение относно функционирането на фондовете на ЕС и свързаните с тях процедури</w:t>
      </w:r>
      <w:r w:rsidRPr="000A3392">
        <w:rPr>
          <w:i/>
          <w:sz w:val="24"/>
          <w:lang w:val="bg-BG"/>
        </w:rPr>
        <w:t>.</w:t>
      </w:r>
    </w:p>
    <w:p w:rsidR="00405199" w:rsidRPr="000A3392" w:rsidRDefault="00405199" w:rsidP="009908E8">
      <w:pPr>
        <w:pStyle w:val="NoSpacing"/>
        <w:spacing w:line="276" w:lineRule="auto"/>
        <w:ind w:left="720"/>
        <w:jc w:val="both"/>
        <w:rPr>
          <w:i/>
          <w:sz w:val="24"/>
          <w:lang w:val="bg-BG"/>
        </w:rPr>
      </w:pPr>
    </w:p>
    <w:p w:rsidR="006A5C3A" w:rsidRPr="000A3392" w:rsidRDefault="00405199" w:rsidP="009908E8">
      <w:pPr>
        <w:pStyle w:val="NoSpacing"/>
        <w:spacing w:line="276" w:lineRule="auto"/>
        <w:ind w:left="720"/>
        <w:jc w:val="both"/>
        <w:rPr>
          <w:i/>
          <w:sz w:val="24"/>
          <w:lang w:val="bg-BG"/>
        </w:rPr>
      </w:pPr>
      <w:r w:rsidRPr="000A3392">
        <w:rPr>
          <w:i/>
          <w:sz w:val="24"/>
          <w:lang w:val="bg-BG"/>
        </w:rPr>
        <w:t xml:space="preserve">В член 69, параграф 7 от Регламента за </w:t>
      </w:r>
      <w:proofErr w:type="spellStart"/>
      <w:r w:rsidRPr="000A3392">
        <w:rPr>
          <w:i/>
          <w:sz w:val="24"/>
          <w:lang w:val="bg-BG"/>
        </w:rPr>
        <w:t>общоприложимите</w:t>
      </w:r>
      <w:proofErr w:type="spellEnd"/>
      <w:r w:rsidRPr="000A3392">
        <w:rPr>
          <w:i/>
          <w:sz w:val="24"/>
          <w:lang w:val="bg-BG"/>
        </w:rPr>
        <w:t xml:space="preserve"> разпоредби 21-27 се </w:t>
      </w:r>
      <w:r w:rsidRPr="000A3392">
        <w:rPr>
          <w:b/>
          <w:i/>
          <w:sz w:val="24"/>
          <w:lang w:val="bg-BG"/>
        </w:rPr>
        <w:t>изисква от държавите членки да предприемат мерки за осигуряване на ефективно разглеждане на жалби относно фондовете, включително жалби, свързани с основните права</w:t>
      </w:r>
      <w:r w:rsidRPr="000A3392">
        <w:rPr>
          <w:i/>
          <w:sz w:val="24"/>
          <w:lang w:val="bg-BG"/>
        </w:rPr>
        <w:t xml:space="preserve">. Жалбите могат да обхващат всички спорове между потенциални и избрани бенефициенти относно предложената или избраната операция и всички спорове с трети страни относно изпълнението на програмата или операциите. Третите страни могат да включват например организации на гражданското общество, занимаващи се с основните права, които възразяват срещу финансирането на операции, които според тях нарушават Хартата и/или КХПУ. Това изисква прозрачен процес на подаване и последващи действия между определените национални органи и потенциалните бенефициенти. </w:t>
      </w:r>
      <w:r w:rsidRPr="000A3392">
        <w:rPr>
          <w:b/>
          <w:i/>
          <w:sz w:val="24"/>
          <w:lang w:val="bg-BG"/>
        </w:rPr>
        <w:t xml:space="preserve">В член 69, параграф 7 от </w:t>
      </w:r>
      <w:r w:rsidR="00E27EE5" w:rsidRPr="00E27EE5">
        <w:rPr>
          <w:b/>
          <w:i/>
          <w:sz w:val="24"/>
          <w:lang w:val="bg-BG"/>
        </w:rPr>
        <w:t xml:space="preserve">РОР </w:t>
      </w:r>
      <w:r w:rsidRPr="000A3392">
        <w:rPr>
          <w:b/>
          <w:i/>
          <w:sz w:val="24"/>
          <w:lang w:val="bg-BG"/>
        </w:rPr>
        <w:t>21-27 се изисква държавите членки да разполагат с ефективен механизъм за подаване на жалби във връзка с Хартата и КХПУ</w:t>
      </w:r>
      <w:r w:rsidRPr="000A3392">
        <w:rPr>
          <w:i/>
          <w:sz w:val="24"/>
          <w:lang w:val="bg-BG"/>
        </w:rPr>
        <w:t>.</w:t>
      </w:r>
      <w:r w:rsidR="006A5C3A" w:rsidRPr="000A3392">
        <w:rPr>
          <w:i/>
          <w:sz w:val="24"/>
          <w:lang w:val="bg-BG"/>
        </w:rPr>
        <w:t>“</w:t>
      </w:r>
    </w:p>
    <w:p w:rsidR="006A5C3A" w:rsidRPr="000A3392" w:rsidRDefault="006A5C3A" w:rsidP="009908E8">
      <w:pPr>
        <w:pStyle w:val="NoSpacing"/>
        <w:spacing w:line="276" w:lineRule="auto"/>
        <w:ind w:left="720"/>
        <w:jc w:val="both"/>
        <w:rPr>
          <w:sz w:val="24"/>
        </w:rPr>
      </w:pPr>
    </w:p>
    <w:p w:rsidR="006A5C3A" w:rsidRPr="000A3392" w:rsidRDefault="006A5C3A" w:rsidP="009908E8">
      <w:pPr>
        <w:pStyle w:val="NoSpacing"/>
        <w:spacing w:line="276" w:lineRule="auto"/>
        <w:ind w:left="720"/>
        <w:jc w:val="both"/>
        <w:rPr>
          <w:sz w:val="24"/>
        </w:rPr>
      </w:pPr>
      <w:r w:rsidRPr="000A3392">
        <w:rPr>
          <w:sz w:val="24"/>
        </w:rPr>
        <w:t>„</w:t>
      </w:r>
      <w:proofErr w:type="spellStart"/>
      <w:r w:rsidRPr="000A3392">
        <w:rPr>
          <w:b/>
          <w:sz w:val="24"/>
        </w:rPr>
        <w:t>Държавите</w:t>
      </w:r>
      <w:proofErr w:type="spellEnd"/>
      <w:r w:rsidRPr="000A3392">
        <w:rPr>
          <w:b/>
          <w:sz w:val="24"/>
        </w:rPr>
        <w:t xml:space="preserve"> </w:t>
      </w:r>
      <w:proofErr w:type="spellStart"/>
      <w:r w:rsidRPr="000A3392">
        <w:rPr>
          <w:b/>
          <w:sz w:val="24"/>
        </w:rPr>
        <w:t>членки</w:t>
      </w:r>
      <w:proofErr w:type="spellEnd"/>
      <w:r w:rsidRPr="000A3392">
        <w:rPr>
          <w:b/>
          <w:sz w:val="24"/>
        </w:rPr>
        <w:t xml:space="preserve"> трябва да </w:t>
      </w:r>
      <w:proofErr w:type="spellStart"/>
      <w:r w:rsidRPr="000A3392">
        <w:rPr>
          <w:b/>
          <w:sz w:val="24"/>
        </w:rPr>
        <w:t>гарантират</w:t>
      </w:r>
      <w:proofErr w:type="spellEnd"/>
      <w:r w:rsidRPr="000A3392">
        <w:rPr>
          <w:b/>
          <w:sz w:val="24"/>
        </w:rPr>
        <w:t xml:space="preserve">, че </w:t>
      </w:r>
      <w:proofErr w:type="spellStart"/>
      <w:r w:rsidRPr="000A3392">
        <w:rPr>
          <w:b/>
          <w:sz w:val="24"/>
        </w:rPr>
        <w:t>лицата</w:t>
      </w:r>
      <w:proofErr w:type="spellEnd"/>
      <w:r w:rsidRPr="000A3392">
        <w:rPr>
          <w:b/>
          <w:sz w:val="24"/>
        </w:rPr>
        <w:t xml:space="preserve">, </w:t>
      </w:r>
      <w:proofErr w:type="spellStart"/>
      <w:r w:rsidRPr="000A3392">
        <w:rPr>
          <w:b/>
          <w:sz w:val="24"/>
        </w:rPr>
        <w:t>подаващи</w:t>
      </w:r>
      <w:proofErr w:type="spellEnd"/>
      <w:r w:rsidRPr="000A3392">
        <w:rPr>
          <w:b/>
          <w:sz w:val="24"/>
        </w:rPr>
        <w:t xml:space="preserve"> </w:t>
      </w:r>
      <w:proofErr w:type="spellStart"/>
      <w:r w:rsidRPr="000A3392">
        <w:rPr>
          <w:b/>
          <w:sz w:val="24"/>
        </w:rPr>
        <w:t>жалби</w:t>
      </w:r>
      <w:proofErr w:type="spellEnd"/>
      <w:r w:rsidRPr="000A3392">
        <w:rPr>
          <w:b/>
          <w:sz w:val="24"/>
        </w:rPr>
        <w:t xml:space="preserve">, се </w:t>
      </w:r>
      <w:proofErr w:type="spellStart"/>
      <w:r w:rsidRPr="000A3392">
        <w:rPr>
          <w:b/>
          <w:sz w:val="24"/>
        </w:rPr>
        <w:t>насочват</w:t>
      </w:r>
      <w:proofErr w:type="spellEnd"/>
      <w:r w:rsidRPr="000A3392">
        <w:rPr>
          <w:b/>
          <w:sz w:val="24"/>
        </w:rPr>
        <w:t xml:space="preserve"> към </w:t>
      </w:r>
      <w:proofErr w:type="spellStart"/>
      <w:r w:rsidRPr="000A3392">
        <w:rPr>
          <w:b/>
          <w:sz w:val="24"/>
        </w:rPr>
        <w:t>правилния</w:t>
      </w:r>
      <w:proofErr w:type="spellEnd"/>
      <w:r w:rsidRPr="000A3392">
        <w:rPr>
          <w:b/>
          <w:sz w:val="24"/>
        </w:rPr>
        <w:t xml:space="preserve"> </w:t>
      </w:r>
      <w:proofErr w:type="spellStart"/>
      <w:r w:rsidRPr="000A3392">
        <w:rPr>
          <w:b/>
          <w:sz w:val="24"/>
        </w:rPr>
        <w:t>орган</w:t>
      </w:r>
      <w:proofErr w:type="spellEnd"/>
      <w:r w:rsidRPr="000A3392">
        <w:rPr>
          <w:b/>
          <w:sz w:val="24"/>
        </w:rPr>
        <w:t xml:space="preserve"> или </w:t>
      </w:r>
      <w:proofErr w:type="spellStart"/>
      <w:r w:rsidRPr="000A3392">
        <w:rPr>
          <w:b/>
          <w:sz w:val="24"/>
        </w:rPr>
        <w:t>органи</w:t>
      </w:r>
      <w:proofErr w:type="spellEnd"/>
      <w:r w:rsidRPr="000A3392">
        <w:rPr>
          <w:b/>
          <w:sz w:val="24"/>
        </w:rPr>
        <w:t xml:space="preserve"> за </w:t>
      </w:r>
      <w:proofErr w:type="spellStart"/>
      <w:r w:rsidRPr="000A3392">
        <w:rPr>
          <w:b/>
          <w:sz w:val="24"/>
        </w:rPr>
        <w:t>подаване</w:t>
      </w:r>
      <w:proofErr w:type="spellEnd"/>
      <w:r w:rsidRPr="000A3392">
        <w:rPr>
          <w:b/>
          <w:sz w:val="24"/>
        </w:rPr>
        <w:t xml:space="preserve"> на </w:t>
      </w:r>
      <w:proofErr w:type="spellStart"/>
      <w:r w:rsidRPr="000A3392">
        <w:rPr>
          <w:b/>
          <w:sz w:val="24"/>
        </w:rPr>
        <w:t>жалби</w:t>
      </w:r>
      <w:proofErr w:type="spellEnd"/>
      <w:r w:rsidRPr="000A3392">
        <w:rPr>
          <w:b/>
          <w:sz w:val="24"/>
        </w:rPr>
        <w:t xml:space="preserve">, включително като </w:t>
      </w:r>
      <w:proofErr w:type="spellStart"/>
      <w:r w:rsidRPr="000A3392">
        <w:rPr>
          <w:b/>
          <w:sz w:val="24"/>
        </w:rPr>
        <w:t>публикуват</w:t>
      </w:r>
      <w:proofErr w:type="spellEnd"/>
      <w:r w:rsidRPr="000A3392">
        <w:rPr>
          <w:b/>
          <w:sz w:val="24"/>
        </w:rPr>
        <w:t xml:space="preserve"> </w:t>
      </w:r>
      <w:proofErr w:type="spellStart"/>
      <w:r w:rsidRPr="000A3392">
        <w:rPr>
          <w:b/>
          <w:sz w:val="24"/>
        </w:rPr>
        <w:t>съответната</w:t>
      </w:r>
      <w:proofErr w:type="spellEnd"/>
      <w:r w:rsidRPr="000A3392">
        <w:rPr>
          <w:b/>
          <w:sz w:val="24"/>
        </w:rPr>
        <w:t xml:space="preserve"> </w:t>
      </w:r>
      <w:proofErr w:type="spellStart"/>
      <w:r w:rsidRPr="000A3392">
        <w:rPr>
          <w:b/>
          <w:sz w:val="24"/>
        </w:rPr>
        <w:t>информация</w:t>
      </w:r>
      <w:proofErr w:type="spellEnd"/>
      <w:r w:rsidRPr="000A3392">
        <w:rPr>
          <w:b/>
          <w:sz w:val="24"/>
        </w:rPr>
        <w:t xml:space="preserve"> за </w:t>
      </w:r>
      <w:proofErr w:type="spellStart"/>
      <w:r w:rsidRPr="000A3392">
        <w:rPr>
          <w:b/>
          <w:sz w:val="24"/>
        </w:rPr>
        <w:t>органите</w:t>
      </w:r>
      <w:proofErr w:type="spellEnd"/>
      <w:r w:rsidRPr="000A3392">
        <w:rPr>
          <w:b/>
          <w:sz w:val="24"/>
        </w:rPr>
        <w:t xml:space="preserve"> за </w:t>
      </w:r>
      <w:proofErr w:type="spellStart"/>
      <w:r w:rsidRPr="000A3392">
        <w:rPr>
          <w:b/>
          <w:sz w:val="24"/>
        </w:rPr>
        <w:t>разглеждане</w:t>
      </w:r>
      <w:proofErr w:type="spellEnd"/>
      <w:r w:rsidRPr="000A3392">
        <w:rPr>
          <w:b/>
          <w:sz w:val="24"/>
        </w:rPr>
        <w:t xml:space="preserve"> на </w:t>
      </w:r>
      <w:proofErr w:type="spellStart"/>
      <w:r w:rsidRPr="000A3392">
        <w:rPr>
          <w:b/>
          <w:sz w:val="24"/>
        </w:rPr>
        <w:t>жалби</w:t>
      </w:r>
      <w:proofErr w:type="spellEnd"/>
      <w:r w:rsidRPr="000A3392">
        <w:rPr>
          <w:b/>
          <w:sz w:val="24"/>
        </w:rPr>
        <w:t xml:space="preserve"> и </w:t>
      </w:r>
      <w:proofErr w:type="spellStart"/>
      <w:r w:rsidRPr="000A3392">
        <w:rPr>
          <w:b/>
          <w:sz w:val="24"/>
        </w:rPr>
        <w:t>Хартата</w:t>
      </w:r>
      <w:proofErr w:type="spellEnd"/>
      <w:r w:rsidRPr="000A3392">
        <w:rPr>
          <w:b/>
          <w:sz w:val="24"/>
        </w:rPr>
        <w:t xml:space="preserve"> на </w:t>
      </w:r>
      <w:proofErr w:type="spellStart"/>
      <w:r w:rsidRPr="000A3392">
        <w:rPr>
          <w:b/>
          <w:sz w:val="24"/>
        </w:rPr>
        <w:t>уебсайтовете</w:t>
      </w:r>
      <w:proofErr w:type="spellEnd"/>
      <w:r w:rsidRPr="000A3392">
        <w:rPr>
          <w:b/>
          <w:sz w:val="24"/>
        </w:rPr>
        <w:t xml:space="preserve"> на </w:t>
      </w:r>
      <w:proofErr w:type="spellStart"/>
      <w:r w:rsidRPr="000A3392">
        <w:rPr>
          <w:b/>
          <w:sz w:val="24"/>
        </w:rPr>
        <w:t>фонда</w:t>
      </w:r>
      <w:proofErr w:type="spellEnd"/>
      <w:r w:rsidRPr="000A3392">
        <w:rPr>
          <w:b/>
          <w:sz w:val="24"/>
        </w:rPr>
        <w:t xml:space="preserve"> и </w:t>
      </w:r>
      <w:proofErr w:type="spellStart"/>
      <w:r w:rsidRPr="000A3392">
        <w:rPr>
          <w:b/>
          <w:sz w:val="24"/>
        </w:rPr>
        <w:t>ясно</w:t>
      </w:r>
      <w:proofErr w:type="spellEnd"/>
      <w:r w:rsidRPr="000A3392">
        <w:rPr>
          <w:b/>
          <w:sz w:val="24"/>
        </w:rPr>
        <w:t xml:space="preserve"> </w:t>
      </w:r>
      <w:proofErr w:type="spellStart"/>
      <w:r w:rsidRPr="000A3392">
        <w:rPr>
          <w:b/>
          <w:sz w:val="24"/>
        </w:rPr>
        <w:t>указват</w:t>
      </w:r>
      <w:proofErr w:type="spellEnd"/>
      <w:r w:rsidRPr="000A3392">
        <w:rPr>
          <w:b/>
          <w:sz w:val="24"/>
        </w:rPr>
        <w:t xml:space="preserve"> </w:t>
      </w:r>
      <w:proofErr w:type="spellStart"/>
      <w:r w:rsidRPr="000A3392">
        <w:rPr>
          <w:b/>
          <w:sz w:val="24"/>
        </w:rPr>
        <w:t>процедурата</w:t>
      </w:r>
      <w:proofErr w:type="spellEnd"/>
      <w:r w:rsidRPr="000A3392">
        <w:rPr>
          <w:b/>
          <w:sz w:val="24"/>
        </w:rPr>
        <w:t xml:space="preserve"> за </w:t>
      </w:r>
      <w:proofErr w:type="spellStart"/>
      <w:r w:rsidRPr="000A3392">
        <w:rPr>
          <w:b/>
          <w:sz w:val="24"/>
        </w:rPr>
        <w:t>подаване</w:t>
      </w:r>
      <w:proofErr w:type="spellEnd"/>
      <w:r w:rsidRPr="000A3392">
        <w:rPr>
          <w:b/>
          <w:sz w:val="24"/>
        </w:rPr>
        <w:t xml:space="preserve"> на </w:t>
      </w:r>
      <w:proofErr w:type="spellStart"/>
      <w:r w:rsidRPr="000A3392">
        <w:rPr>
          <w:b/>
          <w:sz w:val="24"/>
        </w:rPr>
        <w:t>жалби</w:t>
      </w:r>
      <w:proofErr w:type="spellEnd"/>
      <w:r w:rsidRPr="000A3392">
        <w:rPr>
          <w:b/>
          <w:sz w:val="24"/>
        </w:rPr>
        <w:t>.</w:t>
      </w:r>
      <w:r w:rsidRPr="000A3392">
        <w:rPr>
          <w:sz w:val="24"/>
        </w:rPr>
        <w:t xml:space="preserve"> </w:t>
      </w:r>
      <w:proofErr w:type="spellStart"/>
      <w:r w:rsidRPr="000A3392">
        <w:rPr>
          <w:sz w:val="24"/>
        </w:rPr>
        <w:t>Държавите</w:t>
      </w:r>
      <w:proofErr w:type="spellEnd"/>
      <w:r w:rsidRPr="000A3392">
        <w:rPr>
          <w:sz w:val="24"/>
        </w:rPr>
        <w:t xml:space="preserve"> </w:t>
      </w:r>
      <w:proofErr w:type="spellStart"/>
      <w:r w:rsidRPr="000A3392">
        <w:rPr>
          <w:sz w:val="24"/>
        </w:rPr>
        <w:t>членки</w:t>
      </w:r>
      <w:proofErr w:type="spellEnd"/>
      <w:r w:rsidRPr="000A3392">
        <w:rPr>
          <w:sz w:val="24"/>
        </w:rPr>
        <w:t xml:space="preserve"> трябва да се </w:t>
      </w:r>
      <w:proofErr w:type="spellStart"/>
      <w:r w:rsidRPr="000A3392">
        <w:rPr>
          <w:sz w:val="24"/>
        </w:rPr>
        <w:t>консултират</w:t>
      </w:r>
      <w:proofErr w:type="spellEnd"/>
      <w:r w:rsidRPr="000A3392">
        <w:rPr>
          <w:sz w:val="24"/>
        </w:rPr>
        <w:t xml:space="preserve"> с </w:t>
      </w:r>
      <w:proofErr w:type="spellStart"/>
      <w:r w:rsidRPr="000A3392">
        <w:rPr>
          <w:sz w:val="24"/>
        </w:rPr>
        <w:t>независими</w:t>
      </w:r>
      <w:proofErr w:type="spellEnd"/>
      <w:r w:rsidRPr="000A3392">
        <w:rPr>
          <w:sz w:val="24"/>
        </w:rPr>
        <w:t xml:space="preserve"> </w:t>
      </w:r>
      <w:proofErr w:type="spellStart"/>
      <w:r w:rsidRPr="000A3392">
        <w:rPr>
          <w:sz w:val="24"/>
        </w:rPr>
        <w:t>органи</w:t>
      </w:r>
      <w:proofErr w:type="spellEnd"/>
      <w:r w:rsidRPr="000A3392">
        <w:rPr>
          <w:sz w:val="24"/>
        </w:rPr>
        <w:t xml:space="preserve"> за </w:t>
      </w:r>
      <w:proofErr w:type="spellStart"/>
      <w:r w:rsidRPr="000A3392">
        <w:rPr>
          <w:sz w:val="24"/>
        </w:rPr>
        <w:t>основните</w:t>
      </w:r>
      <w:proofErr w:type="spellEnd"/>
      <w:r w:rsidRPr="000A3392">
        <w:rPr>
          <w:sz w:val="24"/>
        </w:rPr>
        <w:t xml:space="preserve"> </w:t>
      </w:r>
      <w:proofErr w:type="spellStart"/>
      <w:r w:rsidRPr="000A3392">
        <w:rPr>
          <w:sz w:val="24"/>
        </w:rPr>
        <w:t>права</w:t>
      </w:r>
      <w:proofErr w:type="spellEnd"/>
      <w:r w:rsidRPr="000A3392">
        <w:rPr>
          <w:sz w:val="24"/>
        </w:rPr>
        <w:t xml:space="preserve"> </w:t>
      </w:r>
      <w:proofErr w:type="spellStart"/>
      <w:r w:rsidRPr="000A3392">
        <w:rPr>
          <w:sz w:val="24"/>
        </w:rPr>
        <w:t>при</w:t>
      </w:r>
      <w:proofErr w:type="spellEnd"/>
      <w:r w:rsidRPr="000A3392">
        <w:rPr>
          <w:sz w:val="24"/>
        </w:rPr>
        <w:t xml:space="preserve"> </w:t>
      </w:r>
      <w:proofErr w:type="spellStart"/>
      <w:r w:rsidRPr="000A3392">
        <w:rPr>
          <w:sz w:val="24"/>
        </w:rPr>
        <w:t>създаването</w:t>
      </w:r>
      <w:proofErr w:type="spellEnd"/>
      <w:r w:rsidRPr="000A3392">
        <w:rPr>
          <w:sz w:val="24"/>
        </w:rPr>
        <w:t xml:space="preserve"> на </w:t>
      </w:r>
      <w:proofErr w:type="spellStart"/>
      <w:r w:rsidRPr="000A3392">
        <w:rPr>
          <w:sz w:val="24"/>
        </w:rPr>
        <w:t>механизми</w:t>
      </w:r>
      <w:proofErr w:type="spellEnd"/>
      <w:r w:rsidRPr="000A3392">
        <w:rPr>
          <w:sz w:val="24"/>
        </w:rPr>
        <w:t xml:space="preserve"> за </w:t>
      </w:r>
      <w:proofErr w:type="spellStart"/>
      <w:r w:rsidRPr="000A3392">
        <w:rPr>
          <w:sz w:val="24"/>
        </w:rPr>
        <w:t>разглеждане</w:t>
      </w:r>
      <w:proofErr w:type="spellEnd"/>
      <w:r w:rsidRPr="000A3392">
        <w:rPr>
          <w:sz w:val="24"/>
        </w:rPr>
        <w:t xml:space="preserve"> на </w:t>
      </w:r>
      <w:proofErr w:type="spellStart"/>
      <w:r w:rsidRPr="000A3392">
        <w:rPr>
          <w:sz w:val="24"/>
        </w:rPr>
        <w:t>жалби</w:t>
      </w:r>
      <w:proofErr w:type="spellEnd"/>
      <w:r w:rsidRPr="000A3392">
        <w:rPr>
          <w:sz w:val="24"/>
        </w:rPr>
        <w:t xml:space="preserve">. </w:t>
      </w:r>
      <w:proofErr w:type="spellStart"/>
      <w:r w:rsidRPr="000A3392">
        <w:rPr>
          <w:sz w:val="24"/>
        </w:rPr>
        <w:t>Когато</w:t>
      </w:r>
      <w:proofErr w:type="spellEnd"/>
      <w:r w:rsidRPr="000A3392">
        <w:rPr>
          <w:sz w:val="24"/>
        </w:rPr>
        <w:t xml:space="preserve"> </w:t>
      </w:r>
      <w:proofErr w:type="spellStart"/>
      <w:r w:rsidRPr="000A3392">
        <w:rPr>
          <w:sz w:val="24"/>
        </w:rPr>
        <w:t>Комисията</w:t>
      </w:r>
      <w:proofErr w:type="spellEnd"/>
      <w:r w:rsidRPr="000A3392">
        <w:rPr>
          <w:sz w:val="24"/>
        </w:rPr>
        <w:t xml:space="preserve"> </w:t>
      </w:r>
      <w:proofErr w:type="spellStart"/>
      <w:r w:rsidRPr="000A3392">
        <w:rPr>
          <w:sz w:val="24"/>
        </w:rPr>
        <w:t>получи</w:t>
      </w:r>
      <w:proofErr w:type="spellEnd"/>
      <w:r w:rsidRPr="000A3392">
        <w:rPr>
          <w:sz w:val="24"/>
        </w:rPr>
        <w:t xml:space="preserve"> </w:t>
      </w:r>
      <w:proofErr w:type="spellStart"/>
      <w:r w:rsidRPr="000A3392">
        <w:rPr>
          <w:sz w:val="24"/>
        </w:rPr>
        <w:t>сигнал</w:t>
      </w:r>
      <w:proofErr w:type="spellEnd"/>
      <w:r w:rsidRPr="000A3392">
        <w:rPr>
          <w:sz w:val="24"/>
        </w:rPr>
        <w:t xml:space="preserve"> за </w:t>
      </w:r>
      <w:proofErr w:type="spellStart"/>
      <w:r w:rsidRPr="000A3392">
        <w:rPr>
          <w:sz w:val="24"/>
        </w:rPr>
        <w:t>проблеми</w:t>
      </w:r>
      <w:proofErr w:type="spellEnd"/>
      <w:r w:rsidRPr="000A3392">
        <w:rPr>
          <w:sz w:val="24"/>
        </w:rPr>
        <w:t xml:space="preserve"> във </w:t>
      </w:r>
      <w:proofErr w:type="spellStart"/>
      <w:r w:rsidRPr="000A3392">
        <w:rPr>
          <w:sz w:val="24"/>
        </w:rPr>
        <w:t>връзка</w:t>
      </w:r>
      <w:proofErr w:type="spellEnd"/>
      <w:r w:rsidRPr="000A3392">
        <w:rPr>
          <w:sz w:val="24"/>
        </w:rPr>
        <w:t xml:space="preserve"> с </w:t>
      </w:r>
      <w:proofErr w:type="spellStart"/>
      <w:r w:rsidRPr="000A3392">
        <w:rPr>
          <w:sz w:val="24"/>
        </w:rPr>
        <w:t>основни</w:t>
      </w:r>
      <w:proofErr w:type="spellEnd"/>
      <w:r w:rsidRPr="000A3392">
        <w:rPr>
          <w:sz w:val="24"/>
        </w:rPr>
        <w:t xml:space="preserve"> </w:t>
      </w:r>
      <w:proofErr w:type="spellStart"/>
      <w:r w:rsidRPr="000A3392">
        <w:rPr>
          <w:sz w:val="24"/>
        </w:rPr>
        <w:t>права</w:t>
      </w:r>
      <w:proofErr w:type="spellEnd"/>
      <w:r w:rsidRPr="000A3392">
        <w:rPr>
          <w:sz w:val="24"/>
        </w:rPr>
        <w:t xml:space="preserve"> </w:t>
      </w:r>
      <w:proofErr w:type="spellStart"/>
      <w:r w:rsidRPr="000A3392">
        <w:rPr>
          <w:sz w:val="24"/>
        </w:rPr>
        <w:t>при</w:t>
      </w:r>
      <w:proofErr w:type="spellEnd"/>
      <w:r w:rsidRPr="000A3392">
        <w:rPr>
          <w:sz w:val="24"/>
        </w:rPr>
        <w:t xml:space="preserve"> </w:t>
      </w:r>
      <w:proofErr w:type="spellStart"/>
      <w:r w:rsidRPr="000A3392">
        <w:rPr>
          <w:sz w:val="24"/>
        </w:rPr>
        <w:t>усвояването</w:t>
      </w:r>
      <w:proofErr w:type="spellEnd"/>
      <w:r w:rsidRPr="000A3392">
        <w:rPr>
          <w:sz w:val="24"/>
        </w:rPr>
        <w:t xml:space="preserve"> на </w:t>
      </w:r>
      <w:proofErr w:type="spellStart"/>
      <w:r w:rsidRPr="000A3392">
        <w:rPr>
          <w:sz w:val="24"/>
        </w:rPr>
        <w:t>фондовете</w:t>
      </w:r>
      <w:proofErr w:type="spellEnd"/>
      <w:r w:rsidRPr="000A3392">
        <w:rPr>
          <w:sz w:val="24"/>
        </w:rPr>
        <w:t xml:space="preserve">, </w:t>
      </w:r>
      <w:proofErr w:type="spellStart"/>
      <w:r w:rsidRPr="000A3392">
        <w:rPr>
          <w:sz w:val="24"/>
        </w:rPr>
        <w:t>тя</w:t>
      </w:r>
      <w:proofErr w:type="spellEnd"/>
      <w:r w:rsidRPr="000A3392">
        <w:rPr>
          <w:sz w:val="24"/>
        </w:rPr>
        <w:t xml:space="preserve"> трябва да </w:t>
      </w:r>
      <w:proofErr w:type="spellStart"/>
      <w:r w:rsidRPr="000A3392">
        <w:rPr>
          <w:sz w:val="24"/>
        </w:rPr>
        <w:t>разгледа</w:t>
      </w:r>
      <w:proofErr w:type="spellEnd"/>
      <w:r w:rsidRPr="000A3392">
        <w:rPr>
          <w:sz w:val="24"/>
        </w:rPr>
        <w:t xml:space="preserve"> дали </w:t>
      </w:r>
      <w:proofErr w:type="spellStart"/>
      <w:r w:rsidRPr="000A3392">
        <w:rPr>
          <w:sz w:val="24"/>
        </w:rPr>
        <w:t>проблемите</w:t>
      </w:r>
      <w:proofErr w:type="spellEnd"/>
      <w:r w:rsidRPr="000A3392">
        <w:rPr>
          <w:sz w:val="24"/>
        </w:rPr>
        <w:t xml:space="preserve"> са </w:t>
      </w:r>
      <w:proofErr w:type="spellStart"/>
      <w:r w:rsidRPr="000A3392">
        <w:rPr>
          <w:sz w:val="24"/>
        </w:rPr>
        <w:t>правилно</w:t>
      </w:r>
      <w:proofErr w:type="spellEnd"/>
      <w:r w:rsidRPr="000A3392">
        <w:rPr>
          <w:sz w:val="24"/>
        </w:rPr>
        <w:t xml:space="preserve"> </w:t>
      </w:r>
      <w:proofErr w:type="spellStart"/>
      <w:r w:rsidRPr="000A3392">
        <w:rPr>
          <w:sz w:val="24"/>
        </w:rPr>
        <w:t>разрешени</w:t>
      </w:r>
      <w:proofErr w:type="spellEnd"/>
      <w:r w:rsidRPr="000A3392">
        <w:rPr>
          <w:sz w:val="24"/>
        </w:rPr>
        <w:t xml:space="preserve"> на </w:t>
      </w:r>
      <w:proofErr w:type="spellStart"/>
      <w:r w:rsidRPr="000A3392">
        <w:rPr>
          <w:sz w:val="24"/>
        </w:rPr>
        <w:t>национално</w:t>
      </w:r>
      <w:proofErr w:type="spellEnd"/>
      <w:r w:rsidRPr="000A3392">
        <w:rPr>
          <w:sz w:val="24"/>
        </w:rPr>
        <w:t xml:space="preserve"> </w:t>
      </w:r>
      <w:proofErr w:type="spellStart"/>
      <w:r w:rsidRPr="000A3392">
        <w:rPr>
          <w:sz w:val="24"/>
        </w:rPr>
        <w:t>ниво</w:t>
      </w:r>
      <w:proofErr w:type="spellEnd"/>
      <w:r w:rsidRPr="000A3392">
        <w:rPr>
          <w:sz w:val="24"/>
        </w:rPr>
        <w:t xml:space="preserve">. В </w:t>
      </w:r>
      <w:proofErr w:type="spellStart"/>
      <w:r w:rsidRPr="000A3392">
        <w:rPr>
          <w:sz w:val="24"/>
        </w:rPr>
        <w:t>противен</w:t>
      </w:r>
      <w:proofErr w:type="spellEnd"/>
      <w:r w:rsidRPr="000A3392">
        <w:rPr>
          <w:sz w:val="24"/>
        </w:rPr>
        <w:t xml:space="preserve"> </w:t>
      </w:r>
      <w:proofErr w:type="spellStart"/>
      <w:r w:rsidRPr="000A3392">
        <w:rPr>
          <w:sz w:val="24"/>
        </w:rPr>
        <w:t>случай</w:t>
      </w:r>
      <w:proofErr w:type="spellEnd"/>
      <w:r w:rsidRPr="000A3392">
        <w:rPr>
          <w:sz w:val="24"/>
        </w:rPr>
        <w:t xml:space="preserve"> или </w:t>
      </w:r>
      <w:proofErr w:type="spellStart"/>
      <w:r w:rsidRPr="000A3392">
        <w:rPr>
          <w:sz w:val="24"/>
        </w:rPr>
        <w:t>при</w:t>
      </w:r>
      <w:proofErr w:type="spellEnd"/>
      <w:r w:rsidRPr="000A3392">
        <w:rPr>
          <w:sz w:val="24"/>
        </w:rPr>
        <w:t xml:space="preserve"> </w:t>
      </w:r>
      <w:proofErr w:type="spellStart"/>
      <w:r w:rsidRPr="000A3392">
        <w:rPr>
          <w:sz w:val="24"/>
        </w:rPr>
        <w:t>възникването</w:t>
      </w:r>
      <w:proofErr w:type="spellEnd"/>
      <w:r w:rsidRPr="000A3392">
        <w:rPr>
          <w:sz w:val="24"/>
        </w:rPr>
        <w:t xml:space="preserve"> на </w:t>
      </w:r>
      <w:proofErr w:type="spellStart"/>
      <w:r w:rsidRPr="000A3392">
        <w:rPr>
          <w:sz w:val="24"/>
        </w:rPr>
        <w:t>повторни</w:t>
      </w:r>
      <w:proofErr w:type="spellEnd"/>
      <w:r w:rsidRPr="000A3392">
        <w:rPr>
          <w:sz w:val="24"/>
        </w:rPr>
        <w:t xml:space="preserve"> </w:t>
      </w:r>
      <w:proofErr w:type="spellStart"/>
      <w:r w:rsidRPr="000A3392">
        <w:rPr>
          <w:sz w:val="24"/>
        </w:rPr>
        <w:t>нарушения</w:t>
      </w:r>
      <w:proofErr w:type="spellEnd"/>
      <w:r w:rsidRPr="000A3392">
        <w:rPr>
          <w:sz w:val="24"/>
        </w:rPr>
        <w:t xml:space="preserve">, </w:t>
      </w:r>
      <w:proofErr w:type="spellStart"/>
      <w:r w:rsidRPr="000A3392">
        <w:rPr>
          <w:sz w:val="24"/>
        </w:rPr>
        <w:t>Комисията</w:t>
      </w:r>
      <w:proofErr w:type="spellEnd"/>
      <w:r w:rsidRPr="000A3392">
        <w:rPr>
          <w:sz w:val="24"/>
        </w:rPr>
        <w:t xml:space="preserve"> трябва да </w:t>
      </w:r>
      <w:proofErr w:type="spellStart"/>
      <w:r w:rsidRPr="000A3392">
        <w:rPr>
          <w:sz w:val="24"/>
        </w:rPr>
        <w:t>окаже</w:t>
      </w:r>
      <w:proofErr w:type="spellEnd"/>
      <w:r w:rsidRPr="000A3392">
        <w:rPr>
          <w:sz w:val="24"/>
        </w:rPr>
        <w:t xml:space="preserve"> </w:t>
      </w:r>
      <w:proofErr w:type="spellStart"/>
      <w:r w:rsidRPr="000A3392">
        <w:rPr>
          <w:sz w:val="24"/>
        </w:rPr>
        <w:t>възстановяване</w:t>
      </w:r>
      <w:proofErr w:type="spellEnd"/>
      <w:r w:rsidRPr="000A3392">
        <w:rPr>
          <w:sz w:val="24"/>
        </w:rPr>
        <w:t xml:space="preserve"> на </w:t>
      </w:r>
      <w:proofErr w:type="spellStart"/>
      <w:r w:rsidRPr="000A3392">
        <w:rPr>
          <w:sz w:val="24"/>
        </w:rPr>
        <w:t>средствата</w:t>
      </w:r>
      <w:proofErr w:type="spellEnd"/>
      <w:r w:rsidRPr="000A3392">
        <w:rPr>
          <w:sz w:val="24"/>
        </w:rPr>
        <w:t xml:space="preserve">, в </w:t>
      </w:r>
      <w:proofErr w:type="spellStart"/>
      <w:r w:rsidRPr="000A3392">
        <w:rPr>
          <w:sz w:val="24"/>
        </w:rPr>
        <w:t>съответствие</w:t>
      </w:r>
      <w:proofErr w:type="spellEnd"/>
      <w:r w:rsidRPr="000A3392">
        <w:rPr>
          <w:sz w:val="24"/>
        </w:rPr>
        <w:t xml:space="preserve"> с </w:t>
      </w:r>
      <w:proofErr w:type="spellStart"/>
      <w:r w:rsidRPr="000A3392">
        <w:rPr>
          <w:sz w:val="24"/>
        </w:rPr>
        <w:t>член</w:t>
      </w:r>
      <w:proofErr w:type="spellEnd"/>
      <w:r w:rsidRPr="000A3392">
        <w:rPr>
          <w:sz w:val="24"/>
        </w:rPr>
        <w:t xml:space="preserve"> 15 от </w:t>
      </w:r>
      <w:proofErr w:type="spellStart"/>
      <w:r w:rsidRPr="000A3392">
        <w:rPr>
          <w:sz w:val="24"/>
        </w:rPr>
        <w:t>Регламента</w:t>
      </w:r>
      <w:proofErr w:type="spellEnd"/>
      <w:r w:rsidRPr="000A3392">
        <w:rPr>
          <w:sz w:val="24"/>
        </w:rPr>
        <w:t xml:space="preserve"> за </w:t>
      </w:r>
      <w:proofErr w:type="spellStart"/>
      <w:r w:rsidRPr="000A3392">
        <w:rPr>
          <w:sz w:val="24"/>
        </w:rPr>
        <w:t>общоприложимите</w:t>
      </w:r>
      <w:proofErr w:type="spellEnd"/>
      <w:r w:rsidRPr="000A3392">
        <w:rPr>
          <w:sz w:val="24"/>
        </w:rPr>
        <w:t xml:space="preserve"> </w:t>
      </w:r>
      <w:proofErr w:type="spellStart"/>
      <w:r w:rsidRPr="000A3392">
        <w:rPr>
          <w:sz w:val="24"/>
        </w:rPr>
        <w:t>разпоредби</w:t>
      </w:r>
      <w:proofErr w:type="spellEnd"/>
      <w:proofErr w:type="gramStart"/>
      <w:r w:rsidRPr="000A3392">
        <w:rPr>
          <w:sz w:val="24"/>
        </w:rPr>
        <w:t>.“</w:t>
      </w:r>
      <w:proofErr w:type="gramEnd"/>
    </w:p>
    <w:p w:rsidR="006A5C3A" w:rsidRPr="000A3392" w:rsidRDefault="006A5C3A" w:rsidP="009908E8">
      <w:pPr>
        <w:pStyle w:val="NoSpacing"/>
        <w:spacing w:line="276" w:lineRule="auto"/>
        <w:jc w:val="both"/>
        <w:rPr>
          <w:sz w:val="24"/>
        </w:rPr>
      </w:pPr>
    </w:p>
    <w:p w:rsidR="006A5C3A" w:rsidRPr="000A3392" w:rsidRDefault="006A5C3A" w:rsidP="009908E8">
      <w:pPr>
        <w:pStyle w:val="NoSpacing"/>
        <w:spacing w:line="276" w:lineRule="auto"/>
        <w:ind w:firstLine="720"/>
        <w:jc w:val="both"/>
        <w:rPr>
          <w:i/>
          <w:sz w:val="24"/>
          <w:lang w:val="bg-BG"/>
        </w:rPr>
      </w:pPr>
      <w:r w:rsidRPr="000A3392">
        <w:rPr>
          <w:sz w:val="24"/>
          <w:lang w:val="bg-BG"/>
        </w:rPr>
        <w:t xml:space="preserve">Следователно, въведеното от ЕС задължително прилагане на Хартата и КХПУ </w:t>
      </w:r>
      <w:r w:rsidRPr="000A3392">
        <w:rPr>
          <w:b/>
          <w:i/>
          <w:sz w:val="24"/>
          <w:lang w:val="bg-BG"/>
        </w:rPr>
        <w:t xml:space="preserve">налага допълнителни обучения </w:t>
      </w:r>
      <w:r w:rsidR="00B66637">
        <w:rPr>
          <w:b/>
          <w:i/>
          <w:sz w:val="24"/>
          <w:lang w:val="bg-BG"/>
        </w:rPr>
        <w:t xml:space="preserve">в </w:t>
      </w:r>
      <w:r w:rsidR="00B66637" w:rsidRPr="00B66637">
        <w:rPr>
          <w:b/>
          <w:i/>
          <w:sz w:val="24"/>
          <w:lang w:val="bg-BG"/>
        </w:rPr>
        <w:t xml:space="preserve">ПМДРА </w:t>
      </w:r>
      <w:r w:rsidRPr="000A3392">
        <w:rPr>
          <w:b/>
          <w:i/>
          <w:sz w:val="24"/>
          <w:lang w:val="bg-BG"/>
        </w:rPr>
        <w:t>по прилагане на Хартата и КХПУ в контекста на функционирането на фондовете на ЕС и свързаните с тях процедури</w:t>
      </w:r>
      <w:r w:rsidRPr="000A3392">
        <w:rPr>
          <w:i/>
          <w:sz w:val="24"/>
          <w:lang w:val="bg-BG"/>
        </w:rPr>
        <w:t>.</w:t>
      </w:r>
      <w:r w:rsidR="00824AB7" w:rsidRPr="000A3392">
        <w:rPr>
          <w:sz w:val="24"/>
        </w:rPr>
        <w:t xml:space="preserve"> </w:t>
      </w:r>
      <w:r w:rsidR="00824AB7" w:rsidRPr="000A3392">
        <w:rPr>
          <w:i/>
          <w:sz w:val="24"/>
          <w:lang w:val="bg-BG"/>
        </w:rPr>
        <w:t>Такива регулярни обучения отдавна са практика в други държави-членки на ЕС.</w:t>
      </w:r>
    </w:p>
    <w:p w:rsidR="00824AB7" w:rsidRPr="000A3392" w:rsidRDefault="00824AB7" w:rsidP="009908E8">
      <w:pPr>
        <w:pStyle w:val="NoSpacing"/>
        <w:spacing w:line="276" w:lineRule="auto"/>
        <w:ind w:firstLine="720"/>
        <w:jc w:val="both"/>
        <w:rPr>
          <w:i/>
          <w:sz w:val="24"/>
          <w:lang w:val="bg-BG"/>
        </w:rPr>
      </w:pPr>
    </w:p>
    <w:p w:rsidR="00824AB7" w:rsidRPr="000A3392" w:rsidRDefault="00824AB7" w:rsidP="009908E8">
      <w:pPr>
        <w:pStyle w:val="NoSpacing"/>
        <w:spacing w:line="276" w:lineRule="auto"/>
        <w:jc w:val="both"/>
        <w:rPr>
          <w:b/>
          <w:sz w:val="24"/>
          <w:lang w:val="bg-BG"/>
        </w:rPr>
      </w:pPr>
      <w:r w:rsidRPr="000A3392">
        <w:rPr>
          <w:b/>
          <w:sz w:val="24"/>
          <w:lang w:val="bg-BG"/>
        </w:rPr>
        <w:lastRenderedPageBreak/>
        <w:t>Предложение</w:t>
      </w:r>
    </w:p>
    <w:p w:rsidR="00824AB7" w:rsidRPr="000A3392" w:rsidRDefault="00824AB7" w:rsidP="009908E8">
      <w:pPr>
        <w:pStyle w:val="NoSpacing"/>
        <w:spacing w:line="276" w:lineRule="auto"/>
        <w:jc w:val="both"/>
        <w:rPr>
          <w:b/>
          <w:sz w:val="24"/>
          <w:lang w:val="bg-BG"/>
        </w:rPr>
      </w:pPr>
    </w:p>
    <w:p w:rsidR="00A26F75" w:rsidRDefault="00824AB7" w:rsidP="00A26F75">
      <w:pPr>
        <w:pStyle w:val="NoSpacing"/>
        <w:spacing w:line="276" w:lineRule="auto"/>
        <w:jc w:val="both"/>
        <w:rPr>
          <w:b/>
          <w:sz w:val="24"/>
          <w:lang w:val="bg-BG"/>
        </w:rPr>
      </w:pPr>
      <w:r w:rsidRPr="000A3392">
        <w:rPr>
          <w:b/>
          <w:sz w:val="24"/>
          <w:lang w:val="bg-BG"/>
        </w:rPr>
        <w:t xml:space="preserve">Да се включи в дневния ред точка </w:t>
      </w:r>
      <w:r w:rsidRPr="000A3392">
        <w:rPr>
          <w:b/>
          <w:i/>
          <w:sz w:val="24"/>
          <w:lang w:val="bg-BG"/>
        </w:rPr>
        <w:t>„Хартата на основните права на ЕС (ХОПЕС / Хартата) и Конвенцията на ООН за правата на хората с увреждания (КХПУ)“</w:t>
      </w:r>
      <w:r w:rsidR="00BD375E" w:rsidRPr="000A3392">
        <w:rPr>
          <w:b/>
          <w:i/>
          <w:sz w:val="24"/>
          <w:lang w:val="bg-BG"/>
        </w:rPr>
        <w:t xml:space="preserve"> </w:t>
      </w:r>
      <w:r w:rsidR="00A26F75">
        <w:rPr>
          <w:b/>
          <w:sz w:val="24"/>
          <w:lang w:val="bg-BG"/>
        </w:rPr>
        <w:t>, като:</w:t>
      </w:r>
    </w:p>
    <w:p w:rsidR="00A26F75" w:rsidRDefault="00A26F75" w:rsidP="00A26F75">
      <w:pPr>
        <w:pStyle w:val="NoSpacing"/>
        <w:spacing w:line="276" w:lineRule="auto"/>
        <w:jc w:val="both"/>
        <w:rPr>
          <w:b/>
          <w:sz w:val="24"/>
          <w:lang w:val="bg-BG"/>
        </w:rPr>
      </w:pPr>
    </w:p>
    <w:p w:rsidR="00C438FF" w:rsidRPr="00C438FF" w:rsidRDefault="00A26F75" w:rsidP="00A26F75">
      <w:pPr>
        <w:pStyle w:val="NoSpacing"/>
        <w:numPr>
          <w:ilvl w:val="0"/>
          <w:numId w:val="7"/>
        </w:numPr>
        <w:spacing w:line="276" w:lineRule="auto"/>
        <w:jc w:val="both"/>
        <w:rPr>
          <w:b/>
          <w:sz w:val="25"/>
          <w:szCs w:val="25"/>
          <w:lang w:val="bg-BG"/>
        </w:rPr>
      </w:pPr>
      <w:r w:rsidRPr="00C438FF">
        <w:rPr>
          <w:sz w:val="25"/>
          <w:szCs w:val="25"/>
          <w:lang w:val="bg-BG"/>
        </w:rPr>
        <w:t>В</w:t>
      </w:r>
      <w:r w:rsidR="006A5C3A" w:rsidRPr="00C438FF">
        <w:rPr>
          <w:sz w:val="25"/>
          <w:szCs w:val="25"/>
          <w:lang w:val="bg-BG"/>
        </w:rPr>
        <w:t xml:space="preserve">ъв връзка с препоръката на FRA се </w:t>
      </w:r>
      <w:r w:rsidRPr="00C438FF">
        <w:rPr>
          <w:sz w:val="25"/>
          <w:szCs w:val="25"/>
          <w:lang w:val="bg-BG"/>
        </w:rPr>
        <w:t xml:space="preserve">обмисли </w:t>
      </w:r>
      <w:r w:rsidR="006A5C3A" w:rsidRPr="00C438FF">
        <w:rPr>
          <w:sz w:val="25"/>
          <w:szCs w:val="25"/>
          <w:lang w:val="bg-BG"/>
        </w:rPr>
        <w:t>използва</w:t>
      </w:r>
      <w:r w:rsidRPr="00C438FF">
        <w:rPr>
          <w:sz w:val="25"/>
          <w:szCs w:val="25"/>
          <w:lang w:val="bg-BG"/>
        </w:rPr>
        <w:t>не на</w:t>
      </w:r>
      <w:r w:rsidR="006A5C3A" w:rsidRPr="00C438FF">
        <w:rPr>
          <w:sz w:val="25"/>
          <w:szCs w:val="25"/>
          <w:lang w:val="bg-BG"/>
        </w:rPr>
        <w:t xml:space="preserve"> </w:t>
      </w:r>
      <w:r w:rsidR="00824AB7" w:rsidRPr="00C438FF">
        <w:rPr>
          <w:sz w:val="25"/>
          <w:szCs w:val="25"/>
          <w:lang w:val="bg-BG"/>
        </w:rPr>
        <w:t>възможността</w:t>
      </w:r>
      <w:r w:rsidR="006A5C3A" w:rsidRPr="00C438FF">
        <w:rPr>
          <w:sz w:val="25"/>
          <w:szCs w:val="25"/>
          <w:lang w:val="bg-BG"/>
        </w:rPr>
        <w:t xml:space="preserve"> </w:t>
      </w:r>
      <w:r w:rsidR="006A5C3A" w:rsidRPr="00C438FF">
        <w:rPr>
          <w:b/>
          <w:sz w:val="25"/>
          <w:szCs w:val="25"/>
          <w:lang w:val="bg-BG"/>
        </w:rPr>
        <w:t xml:space="preserve">да се провеждат </w:t>
      </w:r>
      <w:r w:rsidR="00824AB7" w:rsidRPr="00C438FF">
        <w:rPr>
          <w:b/>
          <w:sz w:val="25"/>
          <w:szCs w:val="25"/>
          <w:lang w:val="bg-BG"/>
        </w:rPr>
        <w:t xml:space="preserve">регулярни </w:t>
      </w:r>
      <w:r w:rsidR="006A5C3A" w:rsidRPr="00C438FF">
        <w:rPr>
          <w:b/>
          <w:sz w:val="25"/>
          <w:szCs w:val="25"/>
          <w:lang w:val="bg-BG"/>
        </w:rPr>
        <w:t xml:space="preserve">обучения по функционирането на </w:t>
      </w:r>
      <w:r w:rsidR="0082562D" w:rsidRPr="00C438FF">
        <w:rPr>
          <w:b/>
          <w:sz w:val="25"/>
          <w:szCs w:val="25"/>
          <w:lang w:val="bg-BG"/>
        </w:rPr>
        <w:t xml:space="preserve">програмния цикъл </w:t>
      </w:r>
      <w:r w:rsidR="00DC20D1" w:rsidRPr="00C438FF">
        <w:rPr>
          <w:b/>
          <w:sz w:val="25"/>
          <w:szCs w:val="25"/>
          <w:lang w:val="bg-BG"/>
        </w:rPr>
        <w:t>на</w:t>
      </w:r>
      <w:r w:rsidR="00DC20D1" w:rsidRPr="00C438FF">
        <w:rPr>
          <w:b/>
          <w:sz w:val="25"/>
          <w:szCs w:val="25"/>
        </w:rPr>
        <w:t xml:space="preserve"> </w:t>
      </w:r>
      <w:r w:rsidR="00DC20D1" w:rsidRPr="00C438FF">
        <w:rPr>
          <w:b/>
          <w:sz w:val="25"/>
          <w:szCs w:val="25"/>
          <w:lang w:val="bg-BG"/>
        </w:rPr>
        <w:t xml:space="preserve">ПМДРА </w:t>
      </w:r>
      <w:r w:rsidR="006A5C3A" w:rsidRPr="00C438FF">
        <w:rPr>
          <w:b/>
          <w:sz w:val="25"/>
          <w:szCs w:val="25"/>
          <w:lang w:val="bg-BG"/>
        </w:rPr>
        <w:t>и приложението на Хартата и КПХУ</w:t>
      </w:r>
      <w:r w:rsidR="006A5C3A" w:rsidRPr="00C438FF">
        <w:rPr>
          <w:sz w:val="25"/>
          <w:szCs w:val="25"/>
          <w:lang w:val="bg-BG"/>
        </w:rPr>
        <w:t xml:space="preserve"> </w:t>
      </w:r>
      <w:r w:rsidR="00DC20D1" w:rsidRPr="00C438FF">
        <w:rPr>
          <w:sz w:val="25"/>
          <w:szCs w:val="25"/>
          <w:lang w:val="bg-BG"/>
        </w:rPr>
        <w:t xml:space="preserve">в него. </w:t>
      </w:r>
    </w:p>
    <w:p w:rsidR="00C438FF" w:rsidRPr="00C438FF" w:rsidRDefault="00C438FF" w:rsidP="00C438FF">
      <w:pPr>
        <w:pStyle w:val="NoSpacing"/>
        <w:spacing w:line="276" w:lineRule="auto"/>
        <w:ind w:left="720"/>
        <w:jc w:val="both"/>
        <w:rPr>
          <w:b/>
          <w:sz w:val="25"/>
          <w:szCs w:val="25"/>
          <w:lang w:val="bg-BG"/>
        </w:rPr>
      </w:pPr>
    </w:p>
    <w:p w:rsidR="00BD375E" w:rsidRPr="007D4A19" w:rsidRDefault="00DC20D1" w:rsidP="00C438FF">
      <w:pPr>
        <w:pStyle w:val="NoSpacing"/>
        <w:spacing w:line="276" w:lineRule="auto"/>
        <w:ind w:left="720"/>
        <w:jc w:val="both"/>
        <w:rPr>
          <w:b/>
          <w:sz w:val="24"/>
          <w:lang w:val="bg-BG"/>
        </w:rPr>
      </w:pPr>
      <w:r>
        <w:rPr>
          <w:sz w:val="24"/>
          <w:lang w:val="bg-BG"/>
        </w:rPr>
        <w:t>За цялостен обхват на заинтересованите страни, вкл. тези с компетенция п</w:t>
      </w:r>
      <w:r w:rsidR="00C438FF">
        <w:rPr>
          <w:sz w:val="24"/>
          <w:lang w:val="bg-BG"/>
        </w:rPr>
        <w:t>о правата на човека, е добра практика обученията</w:t>
      </w:r>
      <w:r>
        <w:rPr>
          <w:sz w:val="24"/>
          <w:lang w:val="bg-BG"/>
        </w:rPr>
        <w:t xml:space="preserve"> да обхванат</w:t>
      </w:r>
      <w:r w:rsidR="00C438FF">
        <w:rPr>
          <w:sz w:val="24"/>
          <w:lang w:val="bg-BG"/>
        </w:rPr>
        <w:t xml:space="preserve"> не само</w:t>
      </w:r>
      <w:r>
        <w:rPr>
          <w:sz w:val="24"/>
          <w:lang w:val="bg-BG"/>
        </w:rPr>
        <w:t xml:space="preserve"> </w:t>
      </w:r>
      <w:r w:rsidR="00B66637">
        <w:rPr>
          <w:sz w:val="24"/>
          <w:lang w:val="bg-BG"/>
        </w:rPr>
        <w:t>държавната администрация</w:t>
      </w:r>
      <w:r w:rsidR="006A5C3A" w:rsidRPr="007D4A19">
        <w:rPr>
          <w:sz w:val="24"/>
          <w:lang w:val="bg-BG"/>
        </w:rPr>
        <w:t>,</w:t>
      </w:r>
      <w:r w:rsidR="00BD375E" w:rsidRPr="007D4A19">
        <w:rPr>
          <w:sz w:val="24"/>
          <w:lang w:val="bg-BG"/>
        </w:rPr>
        <w:t xml:space="preserve"> </w:t>
      </w:r>
      <w:r w:rsidR="00C438FF">
        <w:rPr>
          <w:sz w:val="24"/>
          <w:lang w:val="bg-BG"/>
        </w:rPr>
        <w:t xml:space="preserve">но и </w:t>
      </w:r>
      <w:r w:rsidRPr="007D4A19">
        <w:rPr>
          <w:sz w:val="24"/>
          <w:lang w:val="bg-BG"/>
        </w:rPr>
        <w:t>неправителствени организации</w:t>
      </w:r>
      <w:r>
        <w:rPr>
          <w:sz w:val="24"/>
          <w:lang w:val="bg-BG"/>
        </w:rPr>
        <w:t xml:space="preserve">, </w:t>
      </w:r>
      <w:r w:rsidR="00BD375E" w:rsidRPr="007D4A19">
        <w:rPr>
          <w:sz w:val="24"/>
          <w:lang w:val="bg-BG"/>
        </w:rPr>
        <w:t>национални институции по правата на човека</w:t>
      </w:r>
      <w:r w:rsidR="00D73849">
        <w:rPr>
          <w:sz w:val="24"/>
          <w:lang w:val="bg-BG"/>
        </w:rPr>
        <w:t xml:space="preserve"> </w:t>
      </w:r>
      <w:r w:rsidR="00D73849" w:rsidRPr="00D73849">
        <w:rPr>
          <w:sz w:val="24"/>
          <w:lang w:val="bg-BG"/>
        </w:rPr>
        <w:t>(</w:t>
      </w:r>
      <w:proofErr w:type="spellStart"/>
      <w:r>
        <w:rPr>
          <w:sz w:val="24"/>
          <w:lang w:val="bg-BG"/>
        </w:rPr>
        <w:t>NHRIs</w:t>
      </w:r>
      <w:proofErr w:type="spellEnd"/>
      <w:r>
        <w:rPr>
          <w:sz w:val="24"/>
          <w:lang w:val="bg-BG"/>
        </w:rPr>
        <w:t xml:space="preserve"> / </w:t>
      </w:r>
      <w:r w:rsidR="00D73849" w:rsidRPr="00D73849">
        <w:rPr>
          <w:sz w:val="24"/>
          <w:lang w:val="bg-BG"/>
        </w:rPr>
        <w:t>НИПЧ</w:t>
      </w:r>
      <w:r w:rsidR="00B66637">
        <w:rPr>
          <w:sz w:val="24"/>
          <w:lang w:val="bg-BG"/>
        </w:rPr>
        <w:t xml:space="preserve"> – т.е. омбудсмана</w:t>
      </w:r>
      <w:r w:rsidR="00D73849" w:rsidRPr="00D73849">
        <w:rPr>
          <w:sz w:val="24"/>
          <w:lang w:val="bg-BG"/>
        </w:rPr>
        <w:t>)</w:t>
      </w:r>
      <w:r>
        <w:rPr>
          <w:sz w:val="24"/>
          <w:lang w:val="bg-BG"/>
        </w:rPr>
        <w:t xml:space="preserve"> и</w:t>
      </w:r>
      <w:r w:rsidR="00BD375E" w:rsidRPr="007D4A19">
        <w:rPr>
          <w:sz w:val="24"/>
          <w:lang w:val="bg-BG"/>
        </w:rPr>
        <w:t xml:space="preserve"> </w:t>
      </w:r>
      <w:r w:rsidR="00B66637">
        <w:rPr>
          <w:sz w:val="24"/>
          <w:lang w:val="bg-BG"/>
        </w:rPr>
        <w:t xml:space="preserve">органите по въпросите за равенството </w:t>
      </w:r>
      <w:r w:rsidR="0082562D">
        <w:rPr>
          <w:sz w:val="24"/>
          <w:lang w:val="bg-BG"/>
        </w:rPr>
        <w:t>(</w:t>
      </w:r>
      <w:proofErr w:type="spellStart"/>
      <w:r>
        <w:rPr>
          <w:sz w:val="24"/>
          <w:lang w:val="bg-BG"/>
        </w:rPr>
        <w:t>equality</w:t>
      </w:r>
      <w:proofErr w:type="spellEnd"/>
      <w:r>
        <w:rPr>
          <w:sz w:val="24"/>
          <w:lang w:val="bg-BG"/>
        </w:rPr>
        <w:t xml:space="preserve"> </w:t>
      </w:r>
      <w:proofErr w:type="spellStart"/>
      <w:r>
        <w:rPr>
          <w:sz w:val="24"/>
          <w:lang w:val="bg-BG"/>
        </w:rPr>
        <w:t>bodies</w:t>
      </w:r>
      <w:proofErr w:type="spellEnd"/>
      <w:r>
        <w:rPr>
          <w:sz w:val="24"/>
          <w:lang w:val="bg-BG"/>
        </w:rPr>
        <w:t xml:space="preserve"> - </w:t>
      </w:r>
      <w:r w:rsidR="00B66637">
        <w:rPr>
          <w:sz w:val="24"/>
          <w:lang w:val="bg-BG"/>
        </w:rPr>
        <w:t>т.е. КЗД</w:t>
      </w:r>
      <w:r w:rsidR="0082562D">
        <w:rPr>
          <w:sz w:val="24"/>
          <w:lang w:val="bg-BG"/>
        </w:rPr>
        <w:t>)</w:t>
      </w:r>
      <w:r w:rsidR="00BD375E" w:rsidRPr="007D4A19">
        <w:rPr>
          <w:sz w:val="24"/>
          <w:lang w:val="bg-BG"/>
        </w:rPr>
        <w:t xml:space="preserve">. </w:t>
      </w:r>
    </w:p>
    <w:p w:rsidR="00BD375E" w:rsidRPr="000A3392" w:rsidRDefault="00B66637" w:rsidP="009908E8">
      <w:pPr>
        <w:pStyle w:val="NoSpacing"/>
        <w:spacing w:line="276" w:lineRule="auto"/>
        <w:ind w:left="720"/>
        <w:jc w:val="both"/>
        <w:rPr>
          <w:b/>
          <w:sz w:val="24"/>
          <w:lang w:val="bg-BG"/>
        </w:rPr>
      </w:pPr>
      <w:r>
        <w:rPr>
          <w:b/>
          <w:sz w:val="24"/>
          <w:lang w:val="bg-BG"/>
        </w:rPr>
        <w:t xml:space="preserve"> </w:t>
      </w:r>
    </w:p>
    <w:p w:rsidR="006A5C3A" w:rsidRPr="000A3392" w:rsidRDefault="00BD375E" w:rsidP="009908E8">
      <w:pPr>
        <w:pStyle w:val="NoSpacing"/>
        <w:spacing w:line="276" w:lineRule="auto"/>
        <w:ind w:left="720"/>
        <w:jc w:val="both"/>
        <w:rPr>
          <w:b/>
          <w:sz w:val="24"/>
          <w:lang w:val="bg-BG"/>
        </w:rPr>
      </w:pPr>
      <w:r w:rsidRPr="000A3392">
        <w:rPr>
          <w:sz w:val="24"/>
          <w:lang w:val="bg-BG"/>
        </w:rPr>
        <w:t xml:space="preserve">Относно </w:t>
      </w:r>
      <w:r w:rsidRPr="00DC20D1">
        <w:rPr>
          <w:sz w:val="24"/>
          <w:lang w:val="bg-BG"/>
        </w:rPr>
        <w:t>обученията</w:t>
      </w:r>
      <w:r w:rsidR="006A5C3A" w:rsidRPr="00DC20D1">
        <w:rPr>
          <w:sz w:val="24"/>
          <w:lang w:val="bg-BG"/>
        </w:rPr>
        <w:t xml:space="preserve"> </w:t>
      </w:r>
      <w:r w:rsidRPr="00DC20D1">
        <w:rPr>
          <w:b/>
          <w:sz w:val="24"/>
        </w:rPr>
        <w:t xml:space="preserve">по </w:t>
      </w:r>
      <w:r w:rsidR="00B66637" w:rsidRPr="00DC20D1">
        <w:rPr>
          <w:b/>
          <w:sz w:val="24"/>
          <w:lang w:val="bg-BG"/>
        </w:rPr>
        <w:t xml:space="preserve">ПМДРА </w:t>
      </w:r>
      <w:r w:rsidR="006A5C3A" w:rsidRPr="00DC20D1">
        <w:rPr>
          <w:sz w:val="24"/>
          <w:lang w:val="bg-BG"/>
        </w:rPr>
        <w:t xml:space="preserve">може да </w:t>
      </w:r>
      <w:r w:rsidR="006A5C3A" w:rsidRPr="000A3392">
        <w:rPr>
          <w:sz w:val="24"/>
          <w:lang w:val="bg-BG"/>
        </w:rPr>
        <w:t xml:space="preserve">се въведат </w:t>
      </w:r>
      <w:r w:rsidR="006A5C3A" w:rsidRPr="000A3392">
        <w:rPr>
          <w:b/>
          <w:sz w:val="24"/>
          <w:lang w:val="bg-BG"/>
        </w:rPr>
        <w:t>следните</w:t>
      </w:r>
      <w:r w:rsidRPr="000A3392">
        <w:rPr>
          <w:b/>
          <w:sz w:val="24"/>
          <w:lang w:val="bg-BG"/>
        </w:rPr>
        <w:t xml:space="preserve"> примерни</w:t>
      </w:r>
      <w:r w:rsidR="006A5C3A" w:rsidRPr="000A3392">
        <w:rPr>
          <w:b/>
          <w:sz w:val="24"/>
          <w:lang w:val="bg-BG"/>
        </w:rPr>
        <w:t xml:space="preserve"> количествени и качествени индикатори</w:t>
      </w:r>
      <w:r w:rsidR="006A5C3A" w:rsidRPr="000A3392">
        <w:rPr>
          <w:sz w:val="24"/>
          <w:lang w:val="bg-BG"/>
        </w:rPr>
        <w:t>:</w:t>
      </w:r>
    </w:p>
    <w:p w:rsidR="006A5C3A" w:rsidRPr="000A3392" w:rsidRDefault="006A5C3A" w:rsidP="009908E8">
      <w:pPr>
        <w:pStyle w:val="NoSpacing"/>
        <w:spacing w:line="276" w:lineRule="auto"/>
        <w:jc w:val="both"/>
        <w:rPr>
          <w:sz w:val="24"/>
          <w:lang w:val="bg-BG"/>
        </w:rPr>
      </w:pPr>
    </w:p>
    <w:p w:rsidR="0078528B" w:rsidRPr="000A3392" w:rsidRDefault="0060573E" w:rsidP="009908E8">
      <w:pPr>
        <w:pStyle w:val="NoSpacing"/>
        <w:numPr>
          <w:ilvl w:val="0"/>
          <w:numId w:val="1"/>
        </w:numPr>
        <w:spacing w:line="276" w:lineRule="auto"/>
        <w:jc w:val="both"/>
        <w:rPr>
          <w:sz w:val="24"/>
        </w:rPr>
      </w:pPr>
      <w:proofErr w:type="spellStart"/>
      <w:r w:rsidRPr="00B66637">
        <w:rPr>
          <w:b/>
          <w:sz w:val="24"/>
        </w:rPr>
        <w:t>Брой</w:t>
      </w:r>
      <w:proofErr w:type="spellEnd"/>
      <w:r w:rsidRPr="00B66637">
        <w:rPr>
          <w:b/>
          <w:sz w:val="24"/>
        </w:rPr>
        <w:t xml:space="preserve"> </w:t>
      </w:r>
      <w:r w:rsidR="00BD375E" w:rsidRPr="00B66637">
        <w:rPr>
          <w:b/>
          <w:sz w:val="24"/>
          <w:lang w:val="bg-BG"/>
        </w:rPr>
        <w:t xml:space="preserve">регулярни </w:t>
      </w:r>
      <w:r w:rsidR="00B66637" w:rsidRPr="00B66637">
        <w:rPr>
          <w:b/>
          <w:sz w:val="24"/>
          <w:lang w:val="bg-BG"/>
        </w:rPr>
        <w:t xml:space="preserve">практически </w:t>
      </w:r>
      <w:proofErr w:type="spellStart"/>
      <w:r w:rsidRPr="00B66637">
        <w:rPr>
          <w:b/>
          <w:sz w:val="24"/>
        </w:rPr>
        <w:t>обучения</w:t>
      </w:r>
      <w:proofErr w:type="spellEnd"/>
      <w:r w:rsidRPr="000A3392">
        <w:rPr>
          <w:sz w:val="24"/>
        </w:rPr>
        <w:t xml:space="preserve"> по </w:t>
      </w:r>
      <w:proofErr w:type="spellStart"/>
      <w:r w:rsidRPr="000A3392">
        <w:rPr>
          <w:sz w:val="24"/>
        </w:rPr>
        <w:t>приложението</w:t>
      </w:r>
      <w:proofErr w:type="spellEnd"/>
      <w:r w:rsidRPr="000A3392">
        <w:rPr>
          <w:sz w:val="24"/>
        </w:rPr>
        <w:t xml:space="preserve"> на ХОПЕС и КПХУ</w:t>
      </w:r>
      <w:r w:rsidR="00BD375E" w:rsidRPr="000A3392">
        <w:rPr>
          <w:sz w:val="24"/>
          <w:lang w:val="bg-BG"/>
        </w:rPr>
        <w:t xml:space="preserve"> при фондовете на ЕС</w:t>
      </w:r>
      <w:r w:rsidRPr="000A3392">
        <w:rPr>
          <w:sz w:val="24"/>
        </w:rPr>
        <w:t xml:space="preserve">, </w:t>
      </w:r>
      <w:proofErr w:type="spellStart"/>
      <w:r w:rsidRPr="000A3392">
        <w:rPr>
          <w:sz w:val="24"/>
        </w:rPr>
        <w:t>проведени</w:t>
      </w:r>
      <w:proofErr w:type="spellEnd"/>
      <w:r w:rsidRPr="000A3392">
        <w:rPr>
          <w:sz w:val="24"/>
        </w:rPr>
        <w:t xml:space="preserve"> по </w:t>
      </w:r>
      <w:r w:rsidR="00B66637" w:rsidRPr="00B66637">
        <w:rPr>
          <w:b/>
          <w:sz w:val="24"/>
          <w:lang w:val="bg-BG"/>
        </w:rPr>
        <w:t xml:space="preserve">ПМДРА </w:t>
      </w:r>
      <w:r w:rsidRPr="000A3392">
        <w:rPr>
          <w:sz w:val="24"/>
        </w:rPr>
        <w:t xml:space="preserve">за представители на </w:t>
      </w:r>
      <w:proofErr w:type="spellStart"/>
      <w:r w:rsidRPr="000A3392">
        <w:rPr>
          <w:sz w:val="24"/>
        </w:rPr>
        <w:t>публичните</w:t>
      </w:r>
      <w:proofErr w:type="spellEnd"/>
      <w:r w:rsidRPr="000A3392">
        <w:rPr>
          <w:sz w:val="24"/>
        </w:rPr>
        <w:t xml:space="preserve"> </w:t>
      </w:r>
      <w:proofErr w:type="spellStart"/>
      <w:r w:rsidRPr="000A3392">
        <w:rPr>
          <w:sz w:val="24"/>
        </w:rPr>
        <w:t>власти</w:t>
      </w:r>
      <w:proofErr w:type="spellEnd"/>
      <w:r w:rsidR="006A5C3A" w:rsidRPr="000A3392">
        <w:rPr>
          <w:sz w:val="24"/>
          <w:lang w:val="bg-BG"/>
        </w:rPr>
        <w:t xml:space="preserve"> (експертите в звена, координиращи фондовете на ЕС в България, вкл. ЦКЗ, КН, както и всички дирекции в министерства, които изпълняват ролята на УО)</w:t>
      </w:r>
      <w:r w:rsidRPr="000A3392">
        <w:rPr>
          <w:sz w:val="24"/>
        </w:rPr>
        <w:t>, НИПЧ и НПО</w:t>
      </w:r>
      <w:r w:rsidR="006A5C3A" w:rsidRPr="000A3392">
        <w:rPr>
          <w:sz w:val="24"/>
          <w:lang w:val="bg-BG"/>
        </w:rPr>
        <w:t>.</w:t>
      </w:r>
    </w:p>
    <w:p w:rsidR="006A5C3A" w:rsidRPr="00B66637" w:rsidRDefault="0060573E" w:rsidP="009908E8">
      <w:pPr>
        <w:pStyle w:val="NoSpacing"/>
        <w:numPr>
          <w:ilvl w:val="0"/>
          <w:numId w:val="1"/>
        </w:numPr>
        <w:spacing w:line="276" w:lineRule="auto"/>
        <w:jc w:val="both"/>
        <w:rPr>
          <w:b/>
          <w:sz w:val="24"/>
        </w:rPr>
      </w:pPr>
      <w:proofErr w:type="spellStart"/>
      <w:r w:rsidRPr="00B66637">
        <w:rPr>
          <w:b/>
          <w:sz w:val="24"/>
        </w:rPr>
        <w:t>Процент</w:t>
      </w:r>
      <w:proofErr w:type="spellEnd"/>
      <w:r w:rsidRPr="00B66637">
        <w:rPr>
          <w:b/>
          <w:sz w:val="24"/>
        </w:rPr>
        <w:t xml:space="preserve"> от </w:t>
      </w:r>
      <w:proofErr w:type="spellStart"/>
      <w:r w:rsidRPr="00B66637">
        <w:rPr>
          <w:b/>
          <w:sz w:val="24"/>
        </w:rPr>
        <w:t>обучени</w:t>
      </w:r>
      <w:proofErr w:type="spellEnd"/>
      <w:r w:rsidR="006A5C3A" w:rsidRPr="00B66637">
        <w:rPr>
          <w:b/>
          <w:sz w:val="24"/>
          <w:lang w:val="bg-BG"/>
        </w:rPr>
        <w:t>те</w:t>
      </w:r>
      <w:r w:rsidRPr="000A3392">
        <w:rPr>
          <w:sz w:val="24"/>
        </w:rPr>
        <w:t xml:space="preserve"> </w:t>
      </w:r>
      <w:r w:rsidR="00B66637">
        <w:rPr>
          <w:sz w:val="24"/>
          <w:lang w:val="bg-BG"/>
        </w:rPr>
        <w:t>чрез</w:t>
      </w:r>
      <w:r w:rsidRPr="000A3392">
        <w:rPr>
          <w:sz w:val="24"/>
        </w:rPr>
        <w:t xml:space="preserve"> </w:t>
      </w:r>
      <w:r w:rsidR="00B66637" w:rsidRPr="00B66637">
        <w:rPr>
          <w:b/>
          <w:sz w:val="24"/>
          <w:lang w:val="bg-BG"/>
        </w:rPr>
        <w:t xml:space="preserve">ПМДРА </w:t>
      </w:r>
      <w:r w:rsidRPr="000A3392">
        <w:rPr>
          <w:sz w:val="24"/>
        </w:rPr>
        <w:t xml:space="preserve">по </w:t>
      </w:r>
      <w:proofErr w:type="spellStart"/>
      <w:r w:rsidRPr="000A3392">
        <w:rPr>
          <w:sz w:val="24"/>
        </w:rPr>
        <w:t>приложението</w:t>
      </w:r>
      <w:proofErr w:type="spellEnd"/>
      <w:r w:rsidRPr="000A3392">
        <w:rPr>
          <w:sz w:val="24"/>
        </w:rPr>
        <w:t xml:space="preserve"> на </w:t>
      </w:r>
      <w:proofErr w:type="spellStart"/>
      <w:r w:rsidRPr="000A3392">
        <w:rPr>
          <w:sz w:val="24"/>
        </w:rPr>
        <w:t>Хартата</w:t>
      </w:r>
      <w:proofErr w:type="spellEnd"/>
      <w:r w:rsidRPr="000A3392">
        <w:rPr>
          <w:sz w:val="24"/>
        </w:rPr>
        <w:t xml:space="preserve"> и КПХУ, </w:t>
      </w:r>
      <w:proofErr w:type="spellStart"/>
      <w:r w:rsidRPr="00B66637">
        <w:rPr>
          <w:b/>
          <w:sz w:val="24"/>
        </w:rPr>
        <w:t>оценяващи</w:t>
      </w:r>
      <w:proofErr w:type="spellEnd"/>
      <w:r w:rsidRPr="00B66637">
        <w:rPr>
          <w:b/>
          <w:sz w:val="24"/>
        </w:rPr>
        <w:t xml:space="preserve"> </w:t>
      </w:r>
      <w:proofErr w:type="spellStart"/>
      <w:r w:rsidRPr="00B66637">
        <w:rPr>
          <w:b/>
          <w:sz w:val="24"/>
        </w:rPr>
        <w:t>умението</w:t>
      </w:r>
      <w:proofErr w:type="spellEnd"/>
      <w:r w:rsidRPr="00B66637">
        <w:rPr>
          <w:b/>
          <w:sz w:val="24"/>
        </w:rPr>
        <w:t xml:space="preserve"> </w:t>
      </w:r>
      <w:proofErr w:type="spellStart"/>
      <w:r w:rsidRPr="00B66637">
        <w:rPr>
          <w:b/>
          <w:sz w:val="24"/>
        </w:rPr>
        <w:t>си</w:t>
      </w:r>
      <w:proofErr w:type="spellEnd"/>
      <w:r w:rsidRPr="000A3392">
        <w:rPr>
          <w:sz w:val="24"/>
        </w:rPr>
        <w:t xml:space="preserve"> да </w:t>
      </w:r>
      <w:proofErr w:type="spellStart"/>
      <w:r w:rsidRPr="000A3392">
        <w:rPr>
          <w:sz w:val="24"/>
        </w:rPr>
        <w:t>прилагат</w:t>
      </w:r>
      <w:proofErr w:type="spellEnd"/>
      <w:r w:rsidRPr="000A3392">
        <w:rPr>
          <w:sz w:val="24"/>
        </w:rPr>
        <w:t xml:space="preserve"> </w:t>
      </w:r>
      <w:proofErr w:type="spellStart"/>
      <w:r w:rsidRPr="000A3392">
        <w:rPr>
          <w:sz w:val="24"/>
        </w:rPr>
        <w:t>Хартата</w:t>
      </w:r>
      <w:proofErr w:type="spellEnd"/>
      <w:r w:rsidRPr="000A3392">
        <w:rPr>
          <w:sz w:val="24"/>
        </w:rPr>
        <w:t xml:space="preserve"> и КПХУ във всички </w:t>
      </w:r>
      <w:proofErr w:type="spellStart"/>
      <w:r w:rsidRPr="000A3392">
        <w:rPr>
          <w:sz w:val="24"/>
        </w:rPr>
        <w:t>етапи</w:t>
      </w:r>
      <w:proofErr w:type="spellEnd"/>
      <w:r w:rsidRPr="000A3392">
        <w:rPr>
          <w:sz w:val="24"/>
        </w:rPr>
        <w:t xml:space="preserve"> на </w:t>
      </w:r>
      <w:proofErr w:type="spellStart"/>
      <w:r w:rsidRPr="000A3392">
        <w:rPr>
          <w:sz w:val="24"/>
        </w:rPr>
        <w:t>изпълнението</w:t>
      </w:r>
      <w:proofErr w:type="spellEnd"/>
      <w:r w:rsidRPr="000A3392">
        <w:rPr>
          <w:sz w:val="24"/>
        </w:rPr>
        <w:t xml:space="preserve"> на </w:t>
      </w:r>
      <w:proofErr w:type="spellStart"/>
      <w:r w:rsidRPr="000A3392">
        <w:rPr>
          <w:sz w:val="24"/>
        </w:rPr>
        <w:t>програми</w:t>
      </w:r>
      <w:proofErr w:type="spellEnd"/>
      <w:r w:rsidR="00D34D81">
        <w:rPr>
          <w:sz w:val="24"/>
        </w:rPr>
        <w:t>/</w:t>
      </w:r>
      <w:r w:rsidR="00D34D81">
        <w:rPr>
          <w:sz w:val="24"/>
          <w:lang w:val="bg-BG"/>
        </w:rPr>
        <w:t xml:space="preserve">проекти </w:t>
      </w:r>
      <w:r w:rsidRPr="00B66637">
        <w:rPr>
          <w:b/>
          <w:sz w:val="24"/>
        </w:rPr>
        <w:t>като „</w:t>
      </w:r>
      <w:proofErr w:type="spellStart"/>
      <w:r w:rsidRPr="00B66637">
        <w:rPr>
          <w:b/>
          <w:i/>
          <w:sz w:val="24"/>
        </w:rPr>
        <w:t>задоволително</w:t>
      </w:r>
      <w:proofErr w:type="spellEnd"/>
      <w:r w:rsidRPr="00B66637">
        <w:rPr>
          <w:b/>
          <w:sz w:val="24"/>
        </w:rPr>
        <w:t>“</w:t>
      </w:r>
      <w:r w:rsidR="006A5C3A" w:rsidRPr="00B66637">
        <w:rPr>
          <w:b/>
          <w:sz w:val="24"/>
          <w:lang w:val="bg-BG"/>
        </w:rPr>
        <w:t>.</w:t>
      </w:r>
    </w:p>
    <w:p w:rsidR="006A5C3A" w:rsidRPr="000A3392" w:rsidRDefault="006A5C3A" w:rsidP="009908E8">
      <w:pPr>
        <w:pStyle w:val="NoSpacing"/>
        <w:spacing w:line="276" w:lineRule="auto"/>
        <w:jc w:val="both"/>
        <w:rPr>
          <w:sz w:val="24"/>
        </w:rPr>
      </w:pPr>
    </w:p>
    <w:p w:rsidR="008C7E25" w:rsidRDefault="00824AB7" w:rsidP="009908E8">
      <w:pPr>
        <w:pStyle w:val="NoSpacing"/>
        <w:spacing w:line="276" w:lineRule="auto"/>
        <w:jc w:val="both"/>
        <w:rPr>
          <w:sz w:val="24"/>
          <w:lang w:val="bg-BG"/>
        </w:rPr>
      </w:pPr>
      <w:r w:rsidRPr="000A3392">
        <w:rPr>
          <w:sz w:val="24"/>
          <w:lang w:val="bg-BG"/>
        </w:rPr>
        <w:t xml:space="preserve">Следва да се има предвид, че съществува материал на FRA за тази цел: </w:t>
      </w:r>
      <w:r w:rsidRPr="00DC20D1">
        <w:rPr>
          <w:b/>
          <w:i/>
          <w:sz w:val="24"/>
          <w:lang w:val="bg-BG"/>
        </w:rPr>
        <w:t xml:space="preserve">Ръководство за </w:t>
      </w:r>
      <w:proofErr w:type="spellStart"/>
      <w:r w:rsidRPr="00DC20D1">
        <w:rPr>
          <w:b/>
          <w:i/>
          <w:sz w:val="24"/>
          <w:lang w:val="bg-BG"/>
        </w:rPr>
        <w:t>обучители</w:t>
      </w:r>
      <w:proofErr w:type="spellEnd"/>
      <w:r w:rsidRPr="00DC20D1">
        <w:rPr>
          <w:b/>
          <w:i/>
          <w:sz w:val="24"/>
          <w:lang w:val="bg-BG"/>
        </w:rPr>
        <w:t xml:space="preserve"> по Хартата</w:t>
      </w:r>
      <w:r w:rsidRPr="000A3392">
        <w:rPr>
          <w:sz w:val="24"/>
          <w:lang w:val="bg-BG"/>
        </w:rPr>
        <w:t xml:space="preserve">, налично на български език </w:t>
      </w:r>
      <w:hyperlink r:id="rId9" w:history="1">
        <w:r w:rsidRPr="000A3392">
          <w:rPr>
            <w:rStyle w:val="Hyperlink"/>
            <w:sz w:val="24"/>
            <w:lang w:val="bg-BG"/>
          </w:rPr>
          <w:t>тук</w:t>
        </w:r>
      </w:hyperlink>
      <w:r w:rsidRPr="000A3392">
        <w:rPr>
          <w:sz w:val="24"/>
          <w:lang w:val="bg-BG"/>
        </w:rPr>
        <w:t xml:space="preserve"> и </w:t>
      </w:r>
      <w:hyperlink r:id="rId10" w:history="1">
        <w:r w:rsidRPr="000A3392">
          <w:rPr>
            <w:rStyle w:val="Hyperlink"/>
            <w:sz w:val="24"/>
            <w:lang w:val="bg-BG"/>
          </w:rPr>
          <w:t>тук</w:t>
        </w:r>
      </w:hyperlink>
      <w:r w:rsidRPr="000A3392">
        <w:rPr>
          <w:sz w:val="24"/>
          <w:lang w:val="bg-BG"/>
        </w:rPr>
        <w:t>.</w:t>
      </w:r>
    </w:p>
    <w:p w:rsidR="00C438FF" w:rsidRDefault="00C438FF" w:rsidP="009908E8">
      <w:pPr>
        <w:pStyle w:val="NoSpacing"/>
        <w:spacing w:line="276" w:lineRule="auto"/>
        <w:jc w:val="both"/>
        <w:rPr>
          <w:sz w:val="24"/>
          <w:lang w:val="bg-BG"/>
        </w:rPr>
      </w:pPr>
    </w:p>
    <w:p w:rsidR="00C438FF" w:rsidRDefault="00C438FF" w:rsidP="009908E8">
      <w:pPr>
        <w:pStyle w:val="NoSpacing"/>
        <w:spacing w:line="276" w:lineRule="auto"/>
        <w:jc w:val="both"/>
        <w:rPr>
          <w:sz w:val="24"/>
          <w:lang w:val="bg-BG"/>
        </w:rPr>
      </w:pPr>
    </w:p>
    <w:p w:rsidR="00A26F75" w:rsidRDefault="00A26F75" w:rsidP="009908E8">
      <w:pPr>
        <w:pStyle w:val="NoSpacing"/>
        <w:spacing w:line="276" w:lineRule="auto"/>
        <w:jc w:val="both"/>
        <w:rPr>
          <w:sz w:val="24"/>
          <w:lang w:val="bg-BG"/>
        </w:rPr>
      </w:pPr>
    </w:p>
    <w:p w:rsidR="00A26F75" w:rsidRPr="00C438FF" w:rsidRDefault="00BC61F4" w:rsidP="00C438FF">
      <w:pPr>
        <w:pStyle w:val="NoSpacing"/>
        <w:numPr>
          <w:ilvl w:val="0"/>
          <w:numId w:val="7"/>
        </w:numPr>
        <w:spacing w:line="276" w:lineRule="auto"/>
        <w:jc w:val="both"/>
        <w:rPr>
          <w:sz w:val="25"/>
          <w:szCs w:val="25"/>
        </w:rPr>
      </w:pPr>
      <w:r>
        <w:rPr>
          <w:sz w:val="25"/>
          <w:szCs w:val="25"/>
          <w:lang w:val="bg-BG"/>
        </w:rPr>
        <w:t>Какъв е механизмът</w:t>
      </w:r>
      <w:bookmarkStart w:id="1" w:name="_GoBack"/>
      <w:bookmarkEnd w:id="1"/>
      <w:r w:rsidR="00A26F75" w:rsidRPr="00C438FF">
        <w:rPr>
          <w:sz w:val="25"/>
          <w:szCs w:val="25"/>
          <w:lang w:val="bg-BG"/>
        </w:rPr>
        <w:t xml:space="preserve"> за подаване на жалби </w:t>
      </w:r>
      <w:r w:rsidR="00C438FF">
        <w:rPr>
          <w:sz w:val="25"/>
          <w:szCs w:val="25"/>
          <w:lang w:val="bg-BG"/>
        </w:rPr>
        <w:t xml:space="preserve">към УО </w:t>
      </w:r>
      <w:r w:rsidR="00A26F75" w:rsidRPr="00C438FF">
        <w:rPr>
          <w:sz w:val="25"/>
          <w:szCs w:val="25"/>
          <w:lang w:val="bg-BG"/>
        </w:rPr>
        <w:t>във връзка с Хартата и КХПУ, съгласно</w:t>
      </w:r>
      <w:r w:rsidR="00C438FF">
        <w:rPr>
          <w:sz w:val="25"/>
          <w:szCs w:val="25"/>
          <w:lang w:val="bg-BG"/>
        </w:rPr>
        <w:t xml:space="preserve"> изискванията на</w:t>
      </w:r>
      <w:r w:rsidR="00A26F75" w:rsidRPr="00C438FF">
        <w:rPr>
          <w:sz w:val="25"/>
          <w:szCs w:val="25"/>
          <w:lang w:val="bg-BG"/>
        </w:rPr>
        <w:t xml:space="preserve"> </w:t>
      </w:r>
      <w:hyperlink r:id="rId11" w:history="1">
        <w:r w:rsidR="00A26F75" w:rsidRPr="00C438FF">
          <w:rPr>
            <w:rStyle w:val="Hyperlink"/>
            <w:sz w:val="25"/>
            <w:szCs w:val="25"/>
            <w:lang w:val="bg-BG"/>
          </w:rPr>
          <w:t>Регламент (ЕС) 2021/1060</w:t>
        </w:r>
      </w:hyperlink>
      <w:r w:rsidR="00A26F75" w:rsidRPr="00C438FF">
        <w:rPr>
          <w:sz w:val="25"/>
          <w:szCs w:val="25"/>
          <w:lang w:val="bg-BG"/>
        </w:rPr>
        <w:t>? Как работи той?</w:t>
      </w:r>
    </w:p>
    <w:sectPr w:rsidR="00A26F75" w:rsidRPr="00C438FF" w:rsidSect="00C6246A">
      <w:footerReference w:type="default" r:id="rId12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1C4" w:rsidRDefault="006451C4" w:rsidP="006A5C3A">
      <w:pPr>
        <w:spacing w:after="0" w:line="240" w:lineRule="auto"/>
      </w:pPr>
      <w:r>
        <w:separator/>
      </w:r>
    </w:p>
  </w:endnote>
  <w:endnote w:type="continuationSeparator" w:id="0">
    <w:p w:rsidR="006451C4" w:rsidRDefault="006451C4" w:rsidP="006A5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25875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20D1" w:rsidRDefault="00DC20D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61F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C20D1" w:rsidRDefault="00DC20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1C4" w:rsidRDefault="006451C4" w:rsidP="006A5C3A">
      <w:pPr>
        <w:spacing w:after="0" w:line="240" w:lineRule="auto"/>
      </w:pPr>
      <w:r>
        <w:separator/>
      </w:r>
    </w:p>
  </w:footnote>
  <w:footnote w:type="continuationSeparator" w:id="0">
    <w:p w:rsidR="006451C4" w:rsidRDefault="006451C4" w:rsidP="006A5C3A">
      <w:pPr>
        <w:spacing w:after="0" w:line="240" w:lineRule="auto"/>
      </w:pPr>
      <w:r>
        <w:continuationSeparator/>
      </w:r>
    </w:p>
  </w:footnote>
  <w:footnote w:id="1">
    <w:p w:rsidR="006A5C3A" w:rsidRPr="003931E5" w:rsidRDefault="006A5C3A" w:rsidP="006A5C3A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3931E5">
        <w:rPr>
          <w:lang w:val="bg-BG"/>
        </w:rPr>
        <w:t>И</w:t>
      </w:r>
      <w:proofErr w:type="spellStart"/>
      <w:r w:rsidRPr="00405199">
        <w:rPr>
          <w:sz w:val="18"/>
        </w:rPr>
        <w:t>звестен</w:t>
      </w:r>
      <w:proofErr w:type="spellEnd"/>
      <w:r w:rsidRPr="00405199">
        <w:rPr>
          <w:sz w:val="18"/>
        </w:rPr>
        <w:t xml:space="preserve"> като </w:t>
      </w:r>
      <w:r w:rsidRPr="00405199">
        <w:rPr>
          <w:sz w:val="18"/>
          <w:lang w:val="bg-BG"/>
        </w:rPr>
        <w:t>Р</w:t>
      </w:r>
      <w:proofErr w:type="spellStart"/>
      <w:r w:rsidRPr="00405199">
        <w:rPr>
          <w:sz w:val="18"/>
        </w:rPr>
        <w:t>егламент</w:t>
      </w:r>
      <w:proofErr w:type="spellEnd"/>
      <w:r w:rsidRPr="00405199">
        <w:rPr>
          <w:sz w:val="18"/>
        </w:rPr>
        <w:t xml:space="preserve"> за </w:t>
      </w:r>
      <w:proofErr w:type="spellStart"/>
      <w:r w:rsidRPr="00405199">
        <w:rPr>
          <w:sz w:val="18"/>
        </w:rPr>
        <w:t>общите</w:t>
      </w:r>
      <w:proofErr w:type="spellEnd"/>
      <w:r w:rsidRPr="00405199">
        <w:rPr>
          <w:sz w:val="18"/>
        </w:rPr>
        <w:t xml:space="preserve"> </w:t>
      </w:r>
      <w:proofErr w:type="spellStart"/>
      <w:r w:rsidRPr="00405199">
        <w:rPr>
          <w:sz w:val="18"/>
        </w:rPr>
        <w:t>разпоредби</w:t>
      </w:r>
      <w:proofErr w:type="spellEnd"/>
      <w:r w:rsidRPr="00405199">
        <w:rPr>
          <w:sz w:val="18"/>
        </w:rPr>
        <w:t xml:space="preserve">, се </w:t>
      </w:r>
      <w:proofErr w:type="spellStart"/>
      <w:r w:rsidRPr="00405199">
        <w:rPr>
          <w:sz w:val="18"/>
        </w:rPr>
        <w:t>определят</w:t>
      </w:r>
      <w:proofErr w:type="spellEnd"/>
      <w:r w:rsidRPr="00405199">
        <w:rPr>
          <w:sz w:val="18"/>
        </w:rPr>
        <w:t xml:space="preserve"> </w:t>
      </w:r>
      <w:proofErr w:type="spellStart"/>
      <w:r w:rsidRPr="00405199">
        <w:rPr>
          <w:sz w:val="18"/>
        </w:rPr>
        <w:t>общите</w:t>
      </w:r>
      <w:proofErr w:type="spellEnd"/>
      <w:r w:rsidRPr="00405199">
        <w:rPr>
          <w:sz w:val="18"/>
        </w:rPr>
        <w:t xml:space="preserve"> </w:t>
      </w:r>
      <w:proofErr w:type="spellStart"/>
      <w:r w:rsidRPr="00405199">
        <w:rPr>
          <w:sz w:val="18"/>
        </w:rPr>
        <w:t>финансови</w:t>
      </w:r>
      <w:proofErr w:type="spellEnd"/>
      <w:r w:rsidRPr="00405199">
        <w:rPr>
          <w:sz w:val="18"/>
        </w:rPr>
        <w:t xml:space="preserve"> </w:t>
      </w:r>
      <w:proofErr w:type="spellStart"/>
      <w:r w:rsidRPr="00405199">
        <w:rPr>
          <w:sz w:val="18"/>
        </w:rPr>
        <w:t>правила</w:t>
      </w:r>
      <w:proofErr w:type="spellEnd"/>
      <w:r w:rsidRPr="00405199">
        <w:rPr>
          <w:sz w:val="18"/>
        </w:rPr>
        <w:t xml:space="preserve">, </w:t>
      </w:r>
      <w:proofErr w:type="spellStart"/>
      <w:r w:rsidRPr="00405199">
        <w:rPr>
          <w:sz w:val="18"/>
        </w:rPr>
        <w:t>приложими</w:t>
      </w:r>
      <w:proofErr w:type="spellEnd"/>
      <w:r w:rsidRPr="00405199">
        <w:rPr>
          <w:sz w:val="18"/>
        </w:rPr>
        <w:t xml:space="preserve"> към </w:t>
      </w:r>
      <w:proofErr w:type="spellStart"/>
      <w:r w:rsidRPr="00405199">
        <w:rPr>
          <w:sz w:val="18"/>
        </w:rPr>
        <w:t>следните</w:t>
      </w:r>
      <w:proofErr w:type="spellEnd"/>
      <w:r w:rsidRPr="00405199">
        <w:rPr>
          <w:sz w:val="18"/>
        </w:rPr>
        <w:t xml:space="preserve"> </w:t>
      </w:r>
      <w:proofErr w:type="spellStart"/>
      <w:r w:rsidRPr="00405199">
        <w:rPr>
          <w:sz w:val="18"/>
        </w:rPr>
        <w:t>източници</w:t>
      </w:r>
      <w:proofErr w:type="spellEnd"/>
      <w:r w:rsidRPr="00405199">
        <w:rPr>
          <w:sz w:val="18"/>
        </w:rPr>
        <w:t xml:space="preserve"> на </w:t>
      </w:r>
      <w:proofErr w:type="spellStart"/>
      <w:r w:rsidRPr="00405199">
        <w:rPr>
          <w:sz w:val="18"/>
        </w:rPr>
        <w:t>финансиране</w:t>
      </w:r>
      <w:proofErr w:type="spellEnd"/>
      <w:r w:rsidRPr="00405199">
        <w:rPr>
          <w:sz w:val="18"/>
        </w:rPr>
        <w:t xml:space="preserve"> от </w:t>
      </w:r>
      <w:proofErr w:type="spellStart"/>
      <w:r w:rsidRPr="00405199">
        <w:rPr>
          <w:sz w:val="18"/>
        </w:rPr>
        <w:t>Европейския</w:t>
      </w:r>
      <w:proofErr w:type="spellEnd"/>
      <w:r w:rsidRPr="00405199">
        <w:rPr>
          <w:sz w:val="18"/>
        </w:rPr>
        <w:t xml:space="preserve"> </w:t>
      </w:r>
      <w:proofErr w:type="spellStart"/>
      <w:r w:rsidRPr="00405199">
        <w:rPr>
          <w:sz w:val="18"/>
        </w:rPr>
        <w:t>съюз</w:t>
      </w:r>
      <w:proofErr w:type="spellEnd"/>
      <w:r w:rsidRPr="00405199">
        <w:rPr>
          <w:sz w:val="18"/>
        </w:rPr>
        <w:t xml:space="preserve"> (ЕС), както и </w:t>
      </w:r>
      <w:proofErr w:type="spellStart"/>
      <w:r w:rsidRPr="00405199">
        <w:rPr>
          <w:sz w:val="18"/>
        </w:rPr>
        <w:t>допълнителни</w:t>
      </w:r>
      <w:proofErr w:type="spellEnd"/>
      <w:r w:rsidRPr="00405199">
        <w:rPr>
          <w:sz w:val="18"/>
        </w:rPr>
        <w:t xml:space="preserve"> </w:t>
      </w:r>
      <w:proofErr w:type="spellStart"/>
      <w:r w:rsidRPr="00405199">
        <w:rPr>
          <w:sz w:val="18"/>
        </w:rPr>
        <w:t>общи</w:t>
      </w:r>
      <w:proofErr w:type="spellEnd"/>
      <w:r w:rsidRPr="00405199">
        <w:rPr>
          <w:sz w:val="18"/>
        </w:rPr>
        <w:t xml:space="preserve"> </w:t>
      </w:r>
      <w:proofErr w:type="spellStart"/>
      <w:r w:rsidRPr="00405199">
        <w:rPr>
          <w:sz w:val="18"/>
        </w:rPr>
        <w:t>разпоредби</w:t>
      </w:r>
      <w:proofErr w:type="spellEnd"/>
      <w:r w:rsidRPr="00405199">
        <w:rPr>
          <w:sz w:val="18"/>
        </w:rPr>
        <w:t xml:space="preserve"> за </w:t>
      </w:r>
      <w:proofErr w:type="spellStart"/>
      <w:r w:rsidRPr="00405199">
        <w:rPr>
          <w:sz w:val="18"/>
        </w:rPr>
        <w:t>фондовете</w:t>
      </w:r>
      <w:proofErr w:type="spellEnd"/>
      <w:r w:rsidRPr="00405199">
        <w:rPr>
          <w:sz w:val="18"/>
        </w:rPr>
        <w:t xml:space="preserve">, </w:t>
      </w:r>
      <w:proofErr w:type="spellStart"/>
      <w:r w:rsidRPr="00405199">
        <w:rPr>
          <w:sz w:val="18"/>
        </w:rPr>
        <w:t>отбелязани</w:t>
      </w:r>
      <w:proofErr w:type="spellEnd"/>
      <w:r w:rsidRPr="00405199">
        <w:rPr>
          <w:sz w:val="18"/>
        </w:rPr>
        <w:t xml:space="preserve"> със </w:t>
      </w:r>
      <w:proofErr w:type="spellStart"/>
      <w:r w:rsidRPr="00405199">
        <w:rPr>
          <w:sz w:val="18"/>
        </w:rPr>
        <w:t>звездичка</w:t>
      </w:r>
      <w:proofErr w:type="spellEnd"/>
      <w:r w:rsidRPr="00405199">
        <w:rPr>
          <w:sz w:val="18"/>
        </w:rPr>
        <w:t xml:space="preserve"> (*)</w:t>
      </w:r>
      <w:r w:rsidR="003931E5">
        <w:rPr>
          <w:sz w:val="18"/>
          <w:lang w:val="bg-BG"/>
        </w:rPr>
        <w:t>.</w:t>
      </w:r>
    </w:p>
  </w:footnote>
  <w:footnote w:id="2">
    <w:p w:rsidR="00405199" w:rsidRPr="00405199" w:rsidRDefault="00405199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4B6793">
          <w:rPr>
            <w:rStyle w:val="Hyperlink"/>
          </w:rPr>
          <w:t>https://fra.europa.eu/en/publication/2023/eu-funds</w:t>
        </w:r>
      </w:hyperlink>
      <w:r>
        <w:rPr>
          <w:lang w:val="bg-BG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F5D22"/>
    <w:multiLevelType w:val="hybridMultilevel"/>
    <w:tmpl w:val="8F9A8048"/>
    <w:lvl w:ilvl="0" w:tplc="A8707972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464A23"/>
    <w:multiLevelType w:val="hybridMultilevel"/>
    <w:tmpl w:val="7474F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699A"/>
    <w:multiLevelType w:val="hybridMultilevel"/>
    <w:tmpl w:val="1030655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5C4229"/>
    <w:multiLevelType w:val="hybridMultilevel"/>
    <w:tmpl w:val="ABCC4DB0"/>
    <w:lvl w:ilvl="0" w:tplc="CF86E0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923C4E"/>
    <w:multiLevelType w:val="hybridMultilevel"/>
    <w:tmpl w:val="82821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1B236C"/>
    <w:multiLevelType w:val="hybridMultilevel"/>
    <w:tmpl w:val="52FCE73C"/>
    <w:lvl w:ilvl="0" w:tplc="A8707972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0827556"/>
    <w:multiLevelType w:val="hybridMultilevel"/>
    <w:tmpl w:val="84D0C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E25"/>
    <w:rsid w:val="000A3392"/>
    <w:rsid w:val="00120918"/>
    <w:rsid w:val="00200F63"/>
    <w:rsid w:val="003931E5"/>
    <w:rsid w:val="003F63F4"/>
    <w:rsid w:val="00405199"/>
    <w:rsid w:val="00435777"/>
    <w:rsid w:val="004D1922"/>
    <w:rsid w:val="005B12DA"/>
    <w:rsid w:val="0060573E"/>
    <w:rsid w:val="00614EA4"/>
    <w:rsid w:val="006451C4"/>
    <w:rsid w:val="006A5C3A"/>
    <w:rsid w:val="006D7DB1"/>
    <w:rsid w:val="007B5CE9"/>
    <w:rsid w:val="007D4A19"/>
    <w:rsid w:val="00824AB7"/>
    <w:rsid w:val="0082562D"/>
    <w:rsid w:val="008367AE"/>
    <w:rsid w:val="00872D5D"/>
    <w:rsid w:val="008858E8"/>
    <w:rsid w:val="0088596F"/>
    <w:rsid w:val="008C7E25"/>
    <w:rsid w:val="009908E8"/>
    <w:rsid w:val="00991179"/>
    <w:rsid w:val="00A26F75"/>
    <w:rsid w:val="00A94B46"/>
    <w:rsid w:val="00B66637"/>
    <w:rsid w:val="00B71375"/>
    <w:rsid w:val="00BC61F4"/>
    <w:rsid w:val="00BD375E"/>
    <w:rsid w:val="00C438FF"/>
    <w:rsid w:val="00C6246A"/>
    <w:rsid w:val="00C866CA"/>
    <w:rsid w:val="00C878BE"/>
    <w:rsid w:val="00C97B1F"/>
    <w:rsid w:val="00D34D81"/>
    <w:rsid w:val="00D73849"/>
    <w:rsid w:val="00DC20D1"/>
    <w:rsid w:val="00E0642C"/>
    <w:rsid w:val="00E27EE5"/>
    <w:rsid w:val="00F9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E0FE9"/>
  <w15:chartTrackingRefBased/>
  <w15:docId w15:val="{50701EE1-7AA0-454D-925F-67E135C1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C7E25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A5C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A5C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A5C3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A5C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75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A33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3392"/>
  </w:style>
  <w:style w:type="paragraph" w:styleId="Footer">
    <w:name w:val="footer"/>
    <w:basedOn w:val="Normal"/>
    <w:link w:val="FooterChar"/>
    <w:uiPriority w:val="99"/>
    <w:unhideWhenUsed/>
    <w:rsid w:val="000A33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3392"/>
  </w:style>
  <w:style w:type="character" w:styleId="FollowedHyperlink">
    <w:name w:val="FollowedHyperlink"/>
    <w:basedOn w:val="DefaultParagraphFont"/>
    <w:uiPriority w:val="99"/>
    <w:semiHidden/>
    <w:unhideWhenUsed/>
    <w:rsid w:val="006D7D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32021R106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BG/TXT/?uri=CELEX%3A32021R106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ra.europa.eu/bg/publication/2023/prouchvane-na-kazusi-svrzani-s-khartata-rkovodstvo-za-obuchitel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mbudsman.bg/bg/p/biblioteka-na-osnovnite-prava-579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fra.europa.eu/en/publication/2023/eu-fun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8250C-2DE2-47D3-9B46-B64B2D1E0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Elitsa Todorova</dc:creator>
  <cp:keywords/>
  <dc:description/>
  <cp:lastModifiedBy>Elitsa Todorova</cp:lastModifiedBy>
  <cp:revision>10</cp:revision>
  <cp:lastPrinted>2025-03-05T07:17:00Z</cp:lastPrinted>
  <dcterms:created xsi:type="dcterms:W3CDTF">2025-03-05T11:31:00Z</dcterms:created>
  <dcterms:modified xsi:type="dcterms:W3CDTF">2025-03-05T15:32:00Z</dcterms:modified>
</cp:coreProperties>
</file>