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DAE30B" w14:textId="77777777" w:rsidR="00D82183" w:rsidRPr="00DE27ED" w:rsidRDefault="00D82183"/>
    <w:tbl>
      <w:tblPr>
        <w:tblW w:w="12192" w:type="dxa"/>
        <w:tblInd w:w="-34" w:type="dxa"/>
        <w:tblLook w:val="00A0" w:firstRow="1" w:lastRow="0" w:firstColumn="1" w:lastColumn="0" w:noHBand="0" w:noVBand="0"/>
      </w:tblPr>
      <w:tblGrid>
        <w:gridCol w:w="516"/>
        <w:gridCol w:w="8415"/>
        <w:gridCol w:w="3261"/>
      </w:tblGrid>
      <w:tr w:rsidR="00D82183" w:rsidRPr="00F2207E" w14:paraId="0FCACA2A" w14:textId="77777777" w:rsidTr="000A4B9C">
        <w:trPr>
          <w:trHeight w:val="615"/>
        </w:trPr>
        <w:tc>
          <w:tcPr>
            <w:tcW w:w="12192" w:type="dxa"/>
            <w:gridSpan w:val="3"/>
            <w:tcBorders>
              <w:top w:val="nil"/>
              <w:left w:val="nil"/>
              <w:bottom w:val="single" w:sz="8" w:space="0" w:color="auto"/>
              <w:right w:val="nil"/>
            </w:tcBorders>
            <w:vAlign w:val="center"/>
          </w:tcPr>
          <w:p w14:paraId="3544EDFF" w14:textId="77777777" w:rsidR="00D82183" w:rsidRPr="00F2207E" w:rsidRDefault="00D82183" w:rsidP="00201FBF">
            <w:pPr>
              <w:spacing w:after="0" w:line="240" w:lineRule="auto"/>
              <w:rPr>
                <w:rFonts w:ascii="Times New Roman" w:hAnsi="Times New Roman" w:cs="Times New Roman"/>
                <w:b/>
                <w:bCs/>
                <w:i/>
                <w:iCs/>
                <w:color w:val="000000"/>
                <w:sz w:val="24"/>
                <w:szCs w:val="24"/>
                <w:lang w:val="bg-BG"/>
              </w:rPr>
            </w:pPr>
          </w:p>
          <w:p w14:paraId="306B10AD" w14:textId="77777777" w:rsidR="00D82183" w:rsidRPr="00F2207E" w:rsidRDefault="00D82183" w:rsidP="00386AE3">
            <w:pPr>
              <w:spacing w:after="0" w:line="240" w:lineRule="auto"/>
              <w:jc w:val="right"/>
              <w:rPr>
                <w:rFonts w:ascii="Times New Roman" w:hAnsi="Times New Roman" w:cs="Times New Roman"/>
                <w:b/>
                <w:bCs/>
                <w:i/>
                <w:iCs/>
                <w:color w:val="000000"/>
                <w:sz w:val="24"/>
                <w:szCs w:val="24"/>
                <w:lang w:val="bg-BG"/>
              </w:rPr>
            </w:pPr>
          </w:p>
          <w:p w14:paraId="166B89CD" w14:textId="77777777" w:rsidR="00D82183" w:rsidRPr="00F2207E" w:rsidRDefault="00D82183" w:rsidP="00386AE3">
            <w:pPr>
              <w:spacing w:after="0" w:line="240" w:lineRule="auto"/>
              <w:jc w:val="right"/>
              <w:rPr>
                <w:rFonts w:ascii="Times New Roman" w:hAnsi="Times New Roman" w:cs="Times New Roman"/>
                <w:b/>
                <w:bCs/>
                <w:i/>
                <w:iCs/>
                <w:color w:val="000000"/>
                <w:sz w:val="24"/>
                <w:szCs w:val="24"/>
                <w:lang w:val="bg-BG"/>
              </w:rPr>
            </w:pPr>
          </w:p>
          <w:p w14:paraId="369245DB" w14:textId="77777777" w:rsidR="00D82183" w:rsidRDefault="00D82183" w:rsidP="00F97DB4">
            <w:pPr>
              <w:spacing w:after="0" w:line="240" w:lineRule="auto"/>
              <w:jc w:val="right"/>
              <w:rPr>
                <w:rFonts w:ascii="Times New Roman" w:hAnsi="Times New Roman" w:cs="Times New Roman"/>
                <w:b/>
                <w:sz w:val="24"/>
                <w:szCs w:val="24"/>
              </w:rPr>
            </w:pPr>
            <w:r w:rsidRPr="00107127">
              <w:rPr>
                <w:rFonts w:ascii="Times New Roman" w:hAnsi="Times New Roman" w:cs="Times New Roman"/>
                <w:b/>
                <w:color w:val="000000"/>
                <w:sz w:val="24"/>
                <w:szCs w:val="24"/>
                <w:lang w:val="bg-BG"/>
              </w:rPr>
              <w:t xml:space="preserve">Приложение </w:t>
            </w:r>
            <w:r w:rsidRPr="00107127">
              <w:rPr>
                <w:rFonts w:ascii="Times New Roman" w:hAnsi="Times New Roman" w:cs="Times New Roman"/>
                <w:b/>
                <w:sz w:val="24"/>
                <w:szCs w:val="24"/>
                <w:lang w:val="bg-BG"/>
              </w:rPr>
              <w:t xml:space="preserve">№ </w:t>
            </w:r>
            <w:r w:rsidR="00B661AB">
              <w:rPr>
                <w:rFonts w:ascii="Times New Roman" w:hAnsi="Times New Roman" w:cs="Times New Roman"/>
                <w:b/>
                <w:sz w:val="24"/>
                <w:szCs w:val="24"/>
                <w:lang w:val="bg-BG"/>
              </w:rPr>
              <w:t>3</w:t>
            </w:r>
          </w:p>
          <w:p w14:paraId="248EA7DF" w14:textId="77777777" w:rsidR="00107127" w:rsidRPr="00107127" w:rsidRDefault="00107127" w:rsidP="00F97DB4">
            <w:pPr>
              <w:spacing w:after="0" w:line="240" w:lineRule="auto"/>
              <w:jc w:val="right"/>
              <w:rPr>
                <w:rFonts w:ascii="Times New Roman" w:hAnsi="Times New Roman" w:cs="Times New Roman"/>
                <w:b/>
                <w:color w:val="000000"/>
                <w:sz w:val="24"/>
                <w:szCs w:val="24"/>
              </w:rPr>
            </w:pPr>
          </w:p>
        </w:tc>
      </w:tr>
      <w:tr w:rsidR="00D82183" w:rsidRPr="00DE1B4A" w14:paraId="1E42A505" w14:textId="77777777" w:rsidTr="000A4B9C">
        <w:trPr>
          <w:trHeight w:val="1290"/>
        </w:trPr>
        <w:tc>
          <w:tcPr>
            <w:tcW w:w="12192" w:type="dxa"/>
            <w:gridSpan w:val="3"/>
            <w:tcBorders>
              <w:top w:val="single" w:sz="8" w:space="0" w:color="auto"/>
              <w:left w:val="single" w:sz="8" w:space="0" w:color="auto"/>
              <w:bottom w:val="nil"/>
              <w:right w:val="single" w:sz="8" w:space="0" w:color="000000"/>
            </w:tcBorders>
            <w:vAlign w:val="bottom"/>
          </w:tcPr>
          <w:p w14:paraId="71BA70EA" w14:textId="77777777" w:rsidR="00201FBF" w:rsidRDefault="00D82183" w:rsidP="00201FBF">
            <w:pPr>
              <w:spacing w:after="0" w:line="360" w:lineRule="auto"/>
              <w:jc w:val="center"/>
              <w:outlineLvl w:val="0"/>
              <w:rPr>
                <w:rFonts w:ascii="Times New Roman" w:hAnsi="Times New Roman" w:cs="Times New Roman"/>
                <w:b/>
                <w:color w:val="000000"/>
                <w:sz w:val="24"/>
                <w:szCs w:val="24"/>
                <w:lang w:val="bg-BG"/>
              </w:rPr>
            </w:pPr>
            <w:r w:rsidRPr="00DE27ED">
              <w:rPr>
                <w:rFonts w:ascii="Times New Roman" w:hAnsi="Times New Roman" w:cs="Times New Roman"/>
                <w:b/>
                <w:color w:val="000000"/>
                <w:sz w:val="24"/>
                <w:szCs w:val="24"/>
                <w:lang w:val="bg-BG"/>
              </w:rPr>
              <w:t xml:space="preserve">Критерии и методология за оценка на проектни предложения по </w:t>
            </w:r>
            <w:r w:rsidR="00201FBF">
              <w:rPr>
                <w:rFonts w:ascii="Times New Roman" w:hAnsi="Times New Roman" w:cs="Times New Roman"/>
                <w:b/>
                <w:color w:val="000000"/>
                <w:sz w:val="24"/>
                <w:szCs w:val="24"/>
                <w:lang w:val="bg-BG"/>
              </w:rPr>
              <w:t>п</w:t>
            </w:r>
            <w:r w:rsidRPr="00DE27ED">
              <w:rPr>
                <w:rFonts w:ascii="Times New Roman" w:hAnsi="Times New Roman" w:cs="Times New Roman"/>
                <w:b/>
                <w:color w:val="000000"/>
                <w:sz w:val="24"/>
                <w:szCs w:val="24"/>
                <w:lang w:val="bg-BG"/>
              </w:rPr>
              <w:t>роцедура</w:t>
            </w:r>
            <w:r w:rsidR="00201FBF">
              <w:rPr>
                <w:rFonts w:ascii="Times New Roman" w:hAnsi="Times New Roman" w:cs="Times New Roman"/>
                <w:b/>
                <w:color w:val="000000"/>
                <w:sz w:val="24"/>
                <w:szCs w:val="24"/>
                <w:lang w:val="bg-BG"/>
              </w:rPr>
              <w:t xml:space="preserve"> </w:t>
            </w:r>
            <w:r w:rsidR="001A76B6" w:rsidRPr="00DE27ED">
              <w:rPr>
                <w:rFonts w:ascii="Times New Roman" w:hAnsi="Times New Roman" w:cs="Times New Roman"/>
                <w:b/>
                <w:color w:val="000000"/>
                <w:sz w:val="24"/>
                <w:szCs w:val="24"/>
                <w:lang w:val="bg-BG"/>
              </w:rPr>
              <w:t>чрез</w:t>
            </w:r>
            <w:r w:rsidR="00201FBF">
              <w:rPr>
                <w:rFonts w:ascii="Times New Roman" w:hAnsi="Times New Roman" w:cs="Times New Roman"/>
                <w:b/>
                <w:color w:val="000000"/>
                <w:sz w:val="24"/>
                <w:szCs w:val="24"/>
                <w:lang w:val="bg-BG"/>
              </w:rPr>
              <w:t xml:space="preserve"> подбор на проекти </w:t>
            </w:r>
          </w:p>
          <w:p w14:paraId="188AC209" w14:textId="77777777" w:rsidR="00D82183" w:rsidRPr="00C217C0" w:rsidRDefault="00201FBF" w:rsidP="00B661AB">
            <w:pPr>
              <w:spacing w:after="0" w:line="360" w:lineRule="auto"/>
              <w:jc w:val="center"/>
              <w:outlineLvl w:val="0"/>
              <w:rPr>
                <w:rFonts w:ascii="Times New Roman" w:hAnsi="Times New Roman" w:cs="Times New Roman"/>
                <w:b/>
                <w:sz w:val="24"/>
                <w:szCs w:val="24"/>
                <w:lang w:val="bg-BG"/>
              </w:rPr>
            </w:pPr>
            <w:r>
              <w:rPr>
                <w:rFonts w:ascii="Times New Roman" w:hAnsi="Times New Roman" w:cs="Times New Roman"/>
                <w:b/>
                <w:color w:val="000000"/>
                <w:sz w:val="24"/>
                <w:szCs w:val="24"/>
                <w:lang w:val="bg-BG"/>
              </w:rPr>
              <w:t xml:space="preserve">№ </w:t>
            </w:r>
            <w:r w:rsidR="00B661AB" w:rsidRPr="00B661AB">
              <w:rPr>
                <w:rFonts w:ascii="Times New Roman" w:hAnsi="Times New Roman" w:cs="Times New Roman"/>
                <w:b/>
                <w:bCs/>
                <w:color w:val="000000"/>
                <w:sz w:val="24"/>
                <w:szCs w:val="24"/>
                <w:lang w:val="bg-BG"/>
              </w:rPr>
              <w:t>BG14MFPR001-3.002 „Из</w:t>
            </w:r>
            <w:r w:rsidR="00B661AB">
              <w:rPr>
                <w:rFonts w:ascii="Times New Roman" w:hAnsi="Times New Roman" w:cs="Times New Roman"/>
                <w:b/>
                <w:bCs/>
                <w:color w:val="000000"/>
                <w:sz w:val="24"/>
                <w:szCs w:val="24"/>
                <w:lang w:val="bg-BG"/>
              </w:rPr>
              <w:t>пълнение на стратегии за ВОМР“</w:t>
            </w:r>
          </w:p>
        </w:tc>
      </w:tr>
      <w:tr w:rsidR="00D82183" w:rsidRPr="00DE1B4A" w14:paraId="002B77AC" w14:textId="77777777" w:rsidTr="000A4B9C">
        <w:trPr>
          <w:trHeight w:val="315"/>
        </w:trPr>
        <w:tc>
          <w:tcPr>
            <w:tcW w:w="12192" w:type="dxa"/>
            <w:gridSpan w:val="3"/>
            <w:tcBorders>
              <w:top w:val="single" w:sz="8" w:space="0" w:color="auto"/>
              <w:left w:val="single" w:sz="8" w:space="0" w:color="auto"/>
              <w:bottom w:val="single" w:sz="4" w:space="0" w:color="auto"/>
              <w:right w:val="single" w:sz="8" w:space="0" w:color="000000"/>
            </w:tcBorders>
            <w:vAlign w:val="bottom"/>
          </w:tcPr>
          <w:p w14:paraId="7DC16ACF" w14:textId="77777777" w:rsidR="00D82183" w:rsidRPr="002066F7" w:rsidRDefault="00D82183" w:rsidP="00DA3E79">
            <w:pPr>
              <w:spacing w:after="0" w:line="240" w:lineRule="auto"/>
              <w:jc w:val="both"/>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I. Методология за оценка на проектни предложения:</w:t>
            </w:r>
          </w:p>
        </w:tc>
      </w:tr>
      <w:tr w:rsidR="00D82183" w:rsidRPr="00DE1B4A" w14:paraId="6FFB66F9" w14:textId="77777777" w:rsidTr="000A4B9C">
        <w:trPr>
          <w:trHeight w:val="615"/>
        </w:trPr>
        <w:tc>
          <w:tcPr>
            <w:tcW w:w="12192" w:type="dxa"/>
            <w:gridSpan w:val="3"/>
            <w:tcBorders>
              <w:top w:val="single" w:sz="4" w:space="0" w:color="auto"/>
              <w:left w:val="single" w:sz="4" w:space="0" w:color="auto"/>
              <w:bottom w:val="single" w:sz="8" w:space="0" w:color="auto"/>
              <w:right w:val="single" w:sz="4" w:space="0" w:color="auto"/>
            </w:tcBorders>
          </w:tcPr>
          <w:p w14:paraId="1E9AA753" w14:textId="77777777" w:rsidR="00D82183" w:rsidRPr="002066F7" w:rsidRDefault="00D82183" w:rsidP="00956C9D">
            <w:pPr>
              <w:spacing w:after="0"/>
              <w:jc w:val="both"/>
              <w:rPr>
                <w:rFonts w:ascii="Times New Roman" w:hAnsi="Times New Roman" w:cs="Times New Roman"/>
                <w:color w:val="000000"/>
                <w:sz w:val="24"/>
                <w:szCs w:val="24"/>
                <w:lang w:val="bg-BG"/>
              </w:rPr>
            </w:pPr>
          </w:p>
          <w:p w14:paraId="2E11EA94" w14:textId="77777777" w:rsidR="00D82183" w:rsidRPr="002066F7"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Оценяват се само проектни предложени</w:t>
            </w:r>
            <w:r w:rsidR="00387CFF" w:rsidRPr="002066F7">
              <w:rPr>
                <w:rFonts w:ascii="Times New Roman" w:hAnsi="Times New Roman" w:cs="Times New Roman"/>
                <w:color w:val="000000"/>
                <w:sz w:val="24"/>
                <w:szCs w:val="24"/>
                <w:lang w:val="bg-BG"/>
              </w:rPr>
              <w:t>я, получени чрез системата ИСУН</w:t>
            </w:r>
            <w:r w:rsidR="00056B64" w:rsidRPr="00DE1B4A">
              <w:rPr>
                <w:rFonts w:ascii="Times New Roman" w:hAnsi="Times New Roman" w:cs="Times New Roman"/>
                <w:color w:val="000000"/>
                <w:sz w:val="24"/>
                <w:szCs w:val="24"/>
                <w:lang w:val="bg-BG"/>
              </w:rPr>
              <w:t xml:space="preserve"> 2020</w:t>
            </w:r>
            <w:r w:rsidRPr="002066F7">
              <w:rPr>
                <w:rFonts w:ascii="Times New Roman" w:hAnsi="Times New Roman" w:cs="Times New Roman"/>
                <w:color w:val="000000"/>
                <w:sz w:val="24"/>
                <w:szCs w:val="24"/>
                <w:lang w:val="bg-BG"/>
              </w:rPr>
              <w:t xml:space="preserve">. </w:t>
            </w:r>
          </w:p>
          <w:p w14:paraId="00610650" w14:textId="77777777" w:rsidR="00D82183" w:rsidRPr="00DE1B4A"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Оценката се извършва на база критерии, съдържащи се в Условията за кандидатстване, утвърдени от ръководителя на Управляващия орган </w:t>
            </w:r>
            <w:r w:rsidR="00056B64" w:rsidRPr="00DE1B4A">
              <w:rPr>
                <w:rFonts w:ascii="Times New Roman" w:hAnsi="Times New Roman" w:cs="Times New Roman"/>
                <w:color w:val="000000"/>
                <w:sz w:val="24"/>
                <w:szCs w:val="24"/>
                <w:lang w:val="bg-BG"/>
              </w:rPr>
              <w:t>(</w:t>
            </w:r>
            <w:r w:rsidRPr="002066F7">
              <w:rPr>
                <w:rFonts w:ascii="Times New Roman" w:hAnsi="Times New Roman" w:cs="Times New Roman"/>
                <w:color w:val="000000"/>
                <w:sz w:val="24"/>
                <w:szCs w:val="24"/>
                <w:lang w:val="bg-BG"/>
              </w:rPr>
              <w:t>УО</w:t>
            </w:r>
            <w:r w:rsidR="00056B64" w:rsidRPr="00DE1B4A">
              <w:rPr>
                <w:rFonts w:ascii="Times New Roman" w:hAnsi="Times New Roman" w:cs="Times New Roman"/>
                <w:color w:val="000000"/>
                <w:sz w:val="24"/>
                <w:szCs w:val="24"/>
                <w:lang w:val="bg-BG"/>
              </w:rPr>
              <w:t>)</w:t>
            </w:r>
            <w:r w:rsidRPr="002066F7">
              <w:rPr>
                <w:rFonts w:ascii="Times New Roman" w:hAnsi="Times New Roman" w:cs="Times New Roman"/>
                <w:color w:val="000000"/>
                <w:sz w:val="24"/>
                <w:szCs w:val="24"/>
                <w:lang w:val="bg-BG"/>
              </w:rPr>
              <w:t xml:space="preserve"> на </w:t>
            </w:r>
            <w:r w:rsidR="00056B64">
              <w:rPr>
                <w:rFonts w:ascii="Times New Roman" w:hAnsi="Times New Roman" w:cs="Times New Roman"/>
                <w:color w:val="000000"/>
                <w:sz w:val="24"/>
                <w:szCs w:val="24"/>
                <w:lang w:val="bg-BG"/>
              </w:rPr>
              <w:t xml:space="preserve">Програмата за морско дело, рибарство и аквакултури </w:t>
            </w:r>
            <w:r w:rsidR="0088782A" w:rsidRPr="002066F7">
              <w:rPr>
                <w:rFonts w:ascii="Times New Roman" w:hAnsi="Times New Roman" w:cs="Times New Roman"/>
                <w:color w:val="000000"/>
                <w:sz w:val="24"/>
                <w:szCs w:val="24"/>
                <w:lang w:val="bg-BG"/>
              </w:rPr>
              <w:t>2021 - 2027</w:t>
            </w:r>
            <w:r w:rsidR="00056B64">
              <w:rPr>
                <w:rFonts w:ascii="Times New Roman" w:hAnsi="Times New Roman" w:cs="Times New Roman"/>
                <w:color w:val="000000"/>
                <w:sz w:val="24"/>
                <w:szCs w:val="24"/>
                <w:lang w:val="bg-BG"/>
              </w:rPr>
              <w:t xml:space="preserve"> </w:t>
            </w:r>
            <w:r w:rsidR="00056B64" w:rsidRPr="00DE1B4A">
              <w:rPr>
                <w:rFonts w:ascii="Times New Roman" w:hAnsi="Times New Roman" w:cs="Times New Roman"/>
                <w:color w:val="000000"/>
                <w:sz w:val="24"/>
                <w:szCs w:val="24"/>
                <w:lang w:val="bg-BG"/>
              </w:rPr>
              <w:t>(</w:t>
            </w:r>
            <w:r w:rsidR="00056B64" w:rsidRPr="002066F7">
              <w:rPr>
                <w:rFonts w:ascii="Times New Roman" w:hAnsi="Times New Roman" w:cs="Times New Roman"/>
                <w:color w:val="000000"/>
                <w:sz w:val="24"/>
                <w:szCs w:val="24"/>
                <w:lang w:val="bg-BG"/>
              </w:rPr>
              <w:t>ПМДРА</w:t>
            </w:r>
            <w:r w:rsidR="005C42C2" w:rsidRPr="00DE1B4A">
              <w:rPr>
                <w:rFonts w:ascii="Times New Roman" w:hAnsi="Times New Roman" w:cs="Times New Roman"/>
                <w:color w:val="000000"/>
                <w:sz w:val="24"/>
                <w:szCs w:val="24"/>
                <w:lang w:val="bg-BG"/>
              </w:rPr>
              <w:t>).</w:t>
            </w:r>
          </w:p>
          <w:p w14:paraId="253BD6AC" w14:textId="77777777" w:rsidR="00D82183" w:rsidRPr="002066F7"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Методологията и критериите не подлежат на изменение по вре</w:t>
            </w:r>
            <w:r w:rsidR="00956C9D">
              <w:rPr>
                <w:rFonts w:ascii="Times New Roman" w:hAnsi="Times New Roman" w:cs="Times New Roman"/>
                <w:color w:val="000000"/>
                <w:sz w:val="24"/>
                <w:szCs w:val="24"/>
                <w:lang w:val="bg-BG"/>
              </w:rPr>
              <w:t>ме на провеждането на оценката.</w:t>
            </w:r>
            <w:r w:rsidRPr="002066F7">
              <w:rPr>
                <w:rFonts w:ascii="Times New Roman" w:hAnsi="Times New Roman" w:cs="Times New Roman"/>
                <w:color w:val="000000"/>
                <w:sz w:val="24"/>
                <w:szCs w:val="24"/>
                <w:lang w:val="bg-BG"/>
              </w:rPr>
              <w:br/>
              <w:t>Оценката на проектните предложения се извършва от комисия, назначена със заповед на Ръководителя на УО на ПМДР</w:t>
            </w:r>
            <w:r w:rsidR="0088782A" w:rsidRPr="002066F7">
              <w:rPr>
                <w:rFonts w:ascii="Times New Roman" w:hAnsi="Times New Roman" w:cs="Times New Roman"/>
                <w:color w:val="000000"/>
                <w:sz w:val="24"/>
                <w:szCs w:val="24"/>
                <w:lang w:val="bg-BG"/>
              </w:rPr>
              <w:t>А</w:t>
            </w:r>
            <w:r w:rsidRPr="002066F7">
              <w:rPr>
                <w:rFonts w:ascii="Times New Roman" w:hAnsi="Times New Roman" w:cs="Times New Roman"/>
                <w:color w:val="000000"/>
                <w:sz w:val="24"/>
                <w:szCs w:val="24"/>
                <w:lang w:val="bg-BG"/>
              </w:rPr>
              <w:t>, в двуседмичен срок от крайния срок за подаването им.</w:t>
            </w:r>
            <w:r w:rsidRPr="002066F7">
              <w:rPr>
                <w:rFonts w:ascii="Times New Roman" w:hAnsi="Times New Roman" w:cs="Times New Roman"/>
                <w:color w:val="000000"/>
                <w:sz w:val="24"/>
                <w:szCs w:val="24"/>
                <w:lang w:val="bg-BG"/>
              </w:rPr>
              <w:br/>
              <w:t xml:space="preserve">Комисията оценява и класира проектните предложения до 3 месеца от нейното назначаване, а когато процедурата чрез подбор е открита с два или повече срока за подаване на проектни предложения – до 3 месеца за всяко отделно производство.  </w:t>
            </w:r>
            <w:r w:rsidRPr="002066F7">
              <w:rPr>
                <w:rFonts w:ascii="Times New Roman" w:hAnsi="Times New Roman" w:cs="Times New Roman"/>
                <w:color w:val="000000"/>
                <w:sz w:val="24"/>
                <w:szCs w:val="24"/>
                <w:lang w:val="bg-BG"/>
              </w:rPr>
              <w:br/>
            </w:r>
            <w:r w:rsidRPr="002066F7">
              <w:rPr>
                <w:rFonts w:ascii="Times New Roman" w:hAnsi="Times New Roman" w:cs="Times New Roman"/>
                <w:color w:val="000000"/>
                <w:sz w:val="24"/>
                <w:szCs w:val="24"/>
                <w:lang w:val="bg-BG"/>
              </w:rPr>
              <w:br/>
            </w:r>
            <w:r w:rsidRPr="002066F7">
              <w:rPr>
                <w:rFonts w:ascii="Times New Roman" w:hAnsi="Times New Roman" w:cs="Times New Roman"/>
                <w:b/>
                <w:bCs/>
                <w:color w:val="000000"/>
                <w:sz w:val="24"/>
                <w:szCs w:val="24"/>
                <w:lang w:val="bg-BG"/>
              </w:rPr>
              <w:t>Оценката включва:</w:t>
            </w:r>
          </w:p>
          <w:p w14:paraId="03A75364" w14:textId="77777777" w:rsidR="00D82183" w:rsidRPr="002066F7"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1. Административно съответствие и допустимост;</w:t>
            </w:r>
          </w:p>
          <w:p w14:paraId="4536C918" w14:textId="77777777" w:rsidR="00D82183" w:rsidRPr="002066F7"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2. Техническа и финансова оценка.</w:t>
            </w:r>
          </w:p>
          <w:p w14:paraId="61CD662C" w14:textId="77777777" w:rsidR="00D82183" w:rsidRPr="002066F7" w:rsidRDefault="00D82183" w:rsidP="00956C9D">
            <w:pPr>
              <w:spacing w:after="0"/>
              <w:jc w:val="both"/>
              <w:rPr>
                <w:rFonts w:ascii="Times New Roman" w:hAnsi="Times New Roman" w:cs="Times New Roman"/>
                <w:color w:val="000000"/>
                <w:sz w:val="24"/>
                <w:szCs w:val="24"/>
                <w:lang w:val="bg-BG"/>
              </w:rPr>
            </w:pPr>
          </w:p>
          <w:p w14:paraId="1FD598A0" w14:textId="77777777" w:rsidR="00956C9D" w:rsidRDefault="00956C9D" w:rsidP="00956C9D">
            <w:pPr>
              <w:spacing w:after="0"/>
              <w:rPr>
                <w:rFonts w:ascii="Times New Roman" w:hAnsi="Times New Roman" w:cs="Times New Roman"/>
                <w:color w:val="000000"/>
                <w:sz w:val="24"/>
                <w:szCs w:val="24"/>
                <w:lang w:val="bg-BG"/>
              </w:rPr>
            </w:pPr>
          </w:p>
          <w:p w14:paraId="604D0884" w14:textId="77777777" w:rsidR="00956C9D"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lastRenderedPageBreak/>
              <w:t xml:space="preserve">Проверява се, дали проектното предложение отговаря на всички критерии, като за всеки критерий се поставя оценка </w:t>
            </w:r>
            <w:r w:rsidR="0062578E">
              <w:rPr>
                <w:rFonts w:ascii="Times New Roman" w:hAnsi="Times New Roman" w:cs="Times New Roman"/>
                <w:color w:val="000000"/>
                <w:sz w:val="24"/>
                <w:szCs w:val="24"/>
                <w:lang w:val="bg-BG"/>
              </w:rPr>
              <w:t>„</w:t>
            </w:r>
            <w:r w:rsidRPr="002066F7">
              <w:rPr>
                <w:rFonts w:ascii="Times New Roman" w:hAnsi="Times New Roman" w:cs="Times New Roman"/>
                <w:color w:val="000000"/>
                <w:sz w:val="24"/>
                <w:szCs w:val="24"/>
                <w:lang w:val="bg-BG"/>
              </w:rPr>
              <w:t>Да</w:t>
            </w:r>
            <w:r w:rsidR="0062578E">
              <w:rPr>
                <w:rFonts w:ascii="Times New Roman" w:hAnsi="Times New Roman" w:cs="Times New Roman"/>
                <w:color w:val="000000"/>
                <w:sz w:val="24"/>
                <w:szCs w:val="24"/>
                <w:lang w:val="bg-BG"/>
              </w:rPr>
              <w:t>“</w:t>
            </w:r>
            <w:r w:rsidRPr="002066F7">
              <w:rPr>
                <w:rFonts w:ascii="Times New Roman" w:hAnsi="Times New Roman" w:cs="Times New Roman"/>
                <w:color w:val="000000"/>
                <w:sz w:val="24"/>
                <w:szCs w:val="24"/>
                <w:lang w:val="bg-BG"/>
              </w:rPr>
              <w:t xml:space="preserve">, </w:t>
            </w:r>
            <w:r w:rsidR="0062578E">
              <w:rPr>
                <w:rFonts w:ascii="Times New Roman" w:hAnsi="Times New Roman" w:cs="Times New Roman"/>
                <w:color w:val="000000"/>
                <w:sz w:val="24"/>
                <w:szCs w:val="24"/>
                <w:lang w:val="bg-BG"/>
              </w:rPr>
              <w:t>„</w:t>
            </w:r>
            <w:r w:rsidRPr="002066F7">
              <w:rPr>
                <w:rFonts w:ascii="Times New Roman" w:hAnsi="Times New Roman" w:cs="Times New Roman"/>
                <w:color w:val="000000"/>
                <w:sz w:val="24"/>
                <w:szCs w:val="24"/>
                <w:lang w:val="bg-BG"/>
              </w:rPr>
              <w:t>Не</w:t>
            </w:r>
            <w:r w:rsidR="0062578E">
              <w:rPr>
                <w:rFonts w:ascii="Times New Roman" w:hAnsi="Times New Roman" w:cs="Times New Roman"/>
                <w:color w:val="000000"/>
                <w:sz w:val="24"/>
                <w:szCs w:val="24"/>
                <w:lang w:val="bg-BG"/>
              </w:rPr>
              <w:t>“ или „</w:t>
            </w:r>
            <w:r w:rsidRPr="002066F7">
              <w:rPr>
                <w:rFonts w:ascii="Times New Roman" w:hAnsi="Times New Roman" w:cs="Times New Roman"/>
                <w:color w:val="000000"/>
                <w:sz w:val="24"/>
                <w:szCs w:val="24"/>
                <w:lang w:val="bg-BG"/>
              </w:rPr>
              <w:t>Неприложимо</w:t>
            </w:r>
            <w:r w:rsidR="0062578E">
              <w:rPr>
                <w:rFonts w:ascii="Times New Roman" w:hAnsi="Times New Roman" w:cs="Times New Roman"/>
                <w:color w:val="000000"/>
                <w:sz w:val="24"/>
                <w:szCs w:val="24"/>
                <w:lang w:val="bg-BG"/>
              </w:rPr>
              <w:t>“</w:t>
            </w:r>
            <w:r w:rsidR="00956C9D">
              <w:rPr>
                <w:rFonts w:ascii="Times New Roman" w:hAnsi="Times New Roman" w:cs="Times New Roman"/>
                <w:color w:val="000000"/>
                <w:sz w:val="24"/>
                <w:szCs w:val="24"/>
                <w:lang w:val="bg-BG"/>
              </w:rPr>
              <w:t xml:space="preserve">. </w:t>
            </w:r>
          </w:p>
          <w:p w14:paraId="064C9A5B" w14:textId="77777777" w:rsidR="00107127" w:rsidRPr="00E57D8F" w:rsidRDefault="00D82183" w:rsidP="00956C9D">
            <w:pPr>
              <w:spacing w:after="0"/>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br/>
              <w:t>В случай на установена в процеса на оценка липса на документи и/или други нередовности, на проектното предложение, УО на ПМДР</w:t>
            </w:r>
            <w:r w:rsidR="0088782A" w:rsidRPr="002066F7">
              <w:rPr>
                <w:rFonts w:ascii="Times New Roman" w:hAnsi="Times New Roman" w:cs="Times New Roman"/>
                <w:color w:val="000000"/>
                <w:sz w:val="24"/>
                <w:szCs w:val="24"/>
                <w:lang w:val="bg-BG"/>
              </w:rPr>
              <w:t>А</w:t>
            </w:r>
            <w:r w:rsidRPr="002066F7">
              <w:rPr>
                <w:rFonts w:ascii="Times New Roman" w:hAnsi="Times New Roman" w:cs="Times New Roman"/>
                <w:color w:val="000000"/>
                <w:sz w:val="24"/>
                <w:szCs w:val="24"/>
                <w:lang w:val="bg-BG"/>
              </w:rPr>
              <w:t xml:space="preserve"> уведомява бенефициента за тях, като определя срок за отстраняването им, който не </w:t>
            </w:r>
            <w:r w:rsidRPr="00E57D8F">
              <w:rPr>
                <w:rFonts w:ascii="Times New Roman" w:hAnsi="Times New Roman" w:cs="Times New Roman"/>
                <w:color w:val="000000"/>
                <w:sz w:val="24"/>
                <w:szCs w:val="24"/>
                <w:lang w:val="bg-BG"/>
              </w:rPr>
              <w:t xml:space="preserve">може да бъде по-кратък от една седмица. </w:t>
            </w:r>
          </w:p>
          <w:p w14:paraId="43CA45D6" w14:textId="77777777" w:rsidR="00107127" w:rsidRPr="00E57D8F" w:rsidRDefault="00107127" w:rsidP="00956C9D">
            <w:pPr>
              <w:spacing w:after="0"/>
              <w:rPr>
                <w:rFonts w:ascii="Times New Roman" w:hAnsi="Times New Roman" w:cs="Times New Roman"/>
                <w:color w:val="000000"/>
                <w:sz w:val="24"/>
                <w:szCs w:val="24"/>
                <w:lang w:val="bg-BG"/>
              </w:rPr>
            </w:pPr>
            <w:r w:rsidRPr="00E57D8F">
              <w:rPr>
                <w:rFonts w:ascii="Times New Roman" w:hAnsi="Times New Roman" w:cs="Times New Roman"/>
                <w:color w:val="000000"/>
                <w:sz w:val="24"/>
                <w:szCs w:val="24"/>
                <w:lang w:val="bg-BG"/>
              </w:rPr>
              <w:t>По време на оценката на проектното предложение, комуникацията с кандидата и редакцията на установени неточности по подаденото проектно предложение, ще се извършват електронно ч</w:t>
            </w:r>
            <w:r w:rsidR="00387CFF" w:rsidRPr="00E57D8F">
              <w:rPr>
                <w:rFonts w:ascii="Times New Roman" w:hAnsi="Times New Roman" w:cs="Times New Roman"/>
                <w:color w:val="000000"/>
                <w:sz w:val="24"/>
                <w:szCs w:val="24"/>
                <w:lang w:val="bg-BG"/>
              </w:rPr>
              <w:t>рез профила на кандидата в ИСУН</w:t>
            </w:r>
            <w:r w:rsidRPr="00E57D8F">
              <w:rPr>
                <w:rFonts w:ascii="Times New Roman" w:hAnsi="Times New Roman" w:cs="Times New Roman"/>
                <w:color w:val="000000"/>
                <w:sz w:val="24"/>
                <w:szCs w:val="24"/>
                <w:lang w:val="bg-BG"/>
              </w:rPr>
              <w:t xml:space="preserve">, от който е подаден съответният проект. </w:t>
            </w:r>
          </w:p>
          <w:p w14:paraId="41E60619" w14:textId="77777777" w:rsidR="00107127" w:rsidRPr="000775AB" w:rsidRDefault="00107127" w:rsidP="00956C9D">
            <w:pPr>
              <w:spacing w:after="0"/>
              <w:rPr>
                <w:rFonts w:ascii="Times New Roman" w:hAnsi="Times New Roman" w:cs="Times New Roman"/>
                <w:color w:val="000000"/>
                <w:sz w:val="24"/>
                <w:szCs w:val="24"/>
                <w:lang w:val="bg-BG"/>
              </w:rPr>
            </w:pPr>
            <w:r w:rsidRPr="00E57D8F">
              <w:rPr>
                <w:rFonts w:ascii="Times New Roman" w:hAnsi="Times New Roman" w:cs="Times New Roman"/>
                <w:color w:val="000000"/>
                <w:sz w:val="24"/>
                <w:szCs w:val="24"/>
                <w:lang w:val="bg-BG"/>
              </w:rPr>
              <w:t xml:space="preserve">Въз основа на резултатите от оценката, комисията изготвя оценителен доклад съгласно чл. 35 от </w:t>
            </w:r>
            <w:r w:rsidR="000775AB">
              <w:rPr>
                <w:rFonts w:ascii="Times New Roman" w:hAnsi="Times New Roman" w:cs="Times New Roman"/>
                <w:color w:val="000000"/>
                <w:sz w:val="24"/>
                <w:szCs w:val="24"/>
                <w:lang w:val="bg-BG"/>
              </w:rPr>
              <w:t xml:space="preserve">Закона за управление на средствата от Европейските фондове при споделено управление </w:t>
            </w:r>
            <w:r w:rsidR="000775AB" w:rsidRPr="00DE1B4A">
              <w:rPr>
                <w:rFonts w:ascii="Times New Roman" w:hAnsi="Times New Roman" w:cs="Times New Roman"/>
                <w:color w:val="000000"/>
                <w:sz w:val="24"/>
                <w:szCs w:val="24"/>
                <w:lang w:val="bg-BG"/>
              </w:rPr>
              <w:t>(</w:t>
            </w:r>
            <w:r w:rsidR="0088782A" w:rsidRPr="00E57D8F">
              <w:rPr>
                <w:rFonts w:ascii="Times New Roman" w:hAnsi="Times New Roman" w:cs="Times New Roman"/>
                <w:sz w:val="24"/>
                <w:szCs w:val="24"/>
                <w:lang w:val="bg-BG"/>
              </w:rPr>
              <w:t>ЗУСЕФСУ</w:t>
            </w:r>
            <w:r w:rsidR="000775AB" w:rsidRPr="00DE1B4A">
              <w:rPr>
                <w:rFonts w:ascii="Times New Roman" w:hAnsi="Times New Roman" w:cs="Times New Roman"/>
                <w:color w:val="000000"/>
                <w:sz w:val="24"/>
                <w:szCs w:val="24"/>
                <w:lang w:val="bg-BG"/>
              </w:rPr>
              <w:t>)</w:t>
            </w:r>
            <w:r w:rsidR="000775AB">
              <w:rPr>
                <w:rFonts w:ascii="Times New Roman" w:hAnsi="Times New Roman" w:cs="Times New Roman"/>
                <w:color w:val="000000"/>
                <w:sz w:val="24"/>
                <w:szCs w:val="24"/>
                <w:lang w:val="bg-BG"/>
              </w:rPr>
              <w:t>.</w:t>
            </w:r>
          </w:p>
          <w:p w14:paraId="3084C161" w14:textId="77777777" w:rsidR="00107127" w:rsidRPr="00DE1B4A" w:rsidRDefault="00107127" w:rsidP="00956C9D">
            <w:pPr>
              <w:spacing w:after="0"/>
              <w:rPr>
                <w:rFonts w:ascii="Times New Roman" w:hAnsi="Times New Roman" w:cs="Times New Roman"/>
                <w:color w:val="000000"/>
                <w:sz w:val="24"/>
                <w:szCs w:val="24"/>
                <w:lang w:val="bg-BG"/>
              </w:rPr>
            </w:pPr>
          </w:p>
        </w:tc>
      </w:tr>
      <w:tr w:rsidR="00D82183" w:rsidRPr="002066F7" w14:paraId="14A24F48" w14:textId="77777777" w:rsidTr="000A4B9C">
        <w:trPr>
          <w:trHeight w:val="795"/>
        </w:trPr>
        <w:tc>
          <w:tcPr>
            <w:tcW w:w="12192" w:type="dxa"/>
            <w:gridSpan w:val="3"/>
            <w:tcBorders>
              <w:top w:val="single" w:sz="4" w:space="0" w:color="auto"/>
              <w:left w:val="single" w:sz="8" w:space="0" w:color="auto"/>
              <w:bottom w:val="single" w:sz="8" w:space="0" w:color="auto"/>
              <w:right w:val="single" w:sz="8" w:space="0" w:color="000000"/>
            </w:tcBorders>
            <w:noWrap/>
            <w:vAlign w:val="center"/>
          </w:tcPr>
          <w:p w14:paraId="1AAA5C44" w14:textId="77777777" w:rsidR="00D82183" w:rsidRPr="002066F7" w:rsidRDefault="00D82183" w:rsidP="00DA3E79">
            <w:pPr>
              <w:spacing w:after="0" w:line="240" w:lineRule="auto"/>
              <w:jc w:val="both"/>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lastRenderedPageBreak/>
              <w:t>II. Критерии за оценка</w:t>
            </w:r>
          </w:p>
        </w:tc>
      </w:tr>
      <w:tr w:rsidR="00D82183" w:rsidRPr="002066F7" w14:paraId="6B7C804D" w14:textId="77777777" w:rsidTr="000A4B9C">
        <w:trPr>
          <w:trHeight w:val="690"/>
        </w:trPr>
        <w:tc>
          <w:tcPr>
            <w:tcW w:w="12192" w:type="dxa"/>
            <w:gridSpan w:val="3"/>
            <w:tcBorders>
              <w:top w:val="single" w:sz="8" w:space="0" w:color="auto"/>
              <w:left w:val="single" w:sz="8" w:space="0" w:color="auto"/>
              <w:bottom w:val="single" w:sz="8" w:space="0" w:color="auto"/>
              <w:right w:val="single" w:sz="8" w:space="0" w:color="000000"/>
            </w:tcBorders>
            <w:noWrap/>
            <w:vAlign w:val="center"/>
          </w:tcPr>
          <w:p w14:paraId="31C847F0" w14:textId="77777777" w:rsidR="00D82183" w:rsidRPr="002066F7" w:rsidRDefault="00D82183" w:rsidP="00DA3E79">
            <w:pPr>
              <w:spacing w:after="0" w:line="240" w:lineRule="auto"/>
              <w:jc w:val="both"/>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 xml:space="preserve">1. Административно съответствие и допустимост: </w:t>
            </w:r>
          </w:p>
        </w:tc>
      </w:tr>
      <w:tr w:rsidR="00D82183" w:rsidRPr="002066F7" w14:paraId="72FAD4B6" w14:textId="77777777" w:rsidTr="000A4B9C">
        <w:trPr>
          <w:trHeight w:val="495"/>
        </w:trPr>
        <w:tc>
          <w:tcPr>
            <w:tcW w:w="8931" w:type="dxa"/>
            <w:gridSpan w:val="2"/>
            <w:tcBorders>
              <w:top w:val="single" w:sz="8" w:space="0" w:color="auto"/>
              <w:left w:val="single" w:sz="8" w:space="0" w:color="auto"/>
              <w:bottom w:val="single" w:sz="8" w:space="0" w:color="auto"/>
              <w:right w:val="nil"/>
            </w:tcBorders>
            <w:noWrap/>
            <w:vAlign w:val="bottom"/>
          </w:tcPr>
          <w:p w14:paraId="2252FA11" w14:textId="77777777"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w:t>
            </w:r>
          </w:p>
        </w:tc>
        <w:tc>
          <w:tcPr>
            <w:tcW w:w="3261" w:type="dxa"/>
            <w:tcBorders>
              <w:top w:val="single" w:sz="8" w:space="0" w:color="auto"/>
              <w:left w:val="single" w:sz="8" w:space="0" w:color="auto"/>
              <w:bottom w:val="single" w:sz="8" w:space="0" w:color="auto"/>
              <w:right w:val="single" w:sz="8" w:space="0" w:color="000000"/>
            </w:tcBorders>
            <w:vAlign w:val="bottom"/>
          </w:tcPr>
          <w:p w14:paraId="64502DD3" w14:textId="77777777" w:rsidR="00D82183" w:rsidRPr="002066F7" w:rsidRDefault="00D82183" w:rsidP="00CE03F0">
            <w:pPr>
              <w:spacing w:after="0" w:line="240" w:lineRule="auto"/>
              <w:jc w:val="center"/>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ДА / НЕ / НЕПР</w:t>
            </w:r>
          </w:p>
        </w:tc>
      </w:tr>
      <w:tr w:rsidR="00316BB6" w:rsidRPr="002066F7" w14:paraId="336D9F53" w14:textId="77777777" w:rsidTr="000A4B9C">
        <w:trPr>
          <w:trHeight w:val="889"/>
        </w:trPr>
        <w:tc>
          <w:tcPr>
            <w:tcW w:w="516" w:type="dxa"/>
            <w:tcBorders>
              <w:top w:val="nil"/>
              <w:left w:val="single" w:sz="8" w:space="0" w:color="auto"/>
              <w:bottom w:val="single" w:sz="4" w:space="0" w:color="auto"/>
              <w:right w:val="single" w:sz="4" w:space="0" w:color="auto"/>
            </w:tcBorders>
            <w:noWrap/>
          </w:tcPr>
          <w:p w14:paraId="1BBF3AE3" w14:textId="77777777"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1.</w:t>
            </w:r>
          </w:p>
        </w:tc>
        <w:tc>
          <w:tcPr>
            <w:tcW w:w="8415" w:type="dxa"/>
            <w:tcBorders>
              <w:top w:val="single" w:sz="8" w:space="0" w:color="auto"/>
              <w:left w:val="nil"/>
              <w:bottom w:val="single" w:sz="4" w:space="0" w:color="auto"/>
              <w:right w:val="single" w:sz="4" w:space="0" w:color="000000"/>
            </w:tcBorders>
          </w:tcPr>
          <w:p w14:paraId="1242D82E" w14:textId="77777777"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Проектното предложение е подадено по реда, определен от УО в т. 23 от Условия за кандидатстване по настоящата процедура.</w:t>
            </w:r>
          </w:p>
        </w:tc>
        <w:tc>
          <w:tcPr>
            <w:tcW w:w="3261" w:type="dxa"/>
            <w:tcBorders>
              <w:top w:val="single" w:sz="8" w:space="0" w:color="auto"/>
              <w:left w:val="single" w:sz="8" w:space="0" w:color="auto"/>
              <w:bottom w:val="single" w:sz="8" w:space="0" w:color="auto"/>
              <w:right w:val="single" w:sz="8" w:space="0" w:color="000000"/>
            </w:tcBorders>
            <w:vAlign w:val="bottom"/>
          </w:tcPr>
          <w:p w14:paraId="296C1BA7" w14:textId="77777777"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 xml:space="preserve"> да              не       </w:t>
            </w:r>
          </w:p>
        </w:tc>
      </w:tr>
      <w:tr w:rsidR="00316BB6" w:rsidRPr="002066F7" w14:paraId="08082E22" w14:textId="77777777" w:rsidTr="000A4B9C">
        <w:trPr>
          <w:trHeight w:val="1050"/>
        </w:trPr>
        <w:tc>
          <w:tcPr>
            <w:tcW w:w="516" w:type="dxa"/>
            <w:tcBorders>
              <w:top w:val="nil"/>
              <w:left w:val="single" w:sz="8" w:space="0" w:color="auto"/>
              <w:bottom w:val="single" w:sz="4" w:space="0" w:color="auto"/>
              <w:right w:val="single" w:sz="4" w:space="0" w:color="auto"/>
            </w:tcBorders>
            <w:noWrap/>
          </w:tcPr>
          <w:p w14:paraId="0F85FBD6" w14:textId="77777777" w:rsidR="00316BB6" w:rsidRPr="00F2207E" w:rsidRDefault="00316BB6" w:rsidP="00316BB6">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rPr>
              <w:t>2</w:t>
            </w:r>
            <w:r w:rsidRPr="00F2207E">
              <w:rPr>
                <w:rFonts w:ascii="Times New Roman" w:hAnsi="Times New Roman" w:cs="Times New Roman"/>
                <w:color w:val="000000"/>
                <w:sz w:val="24"/>
                <w:szCs w:val="24"/>
                <w:lang w:val="bg-BG"/>
              </w:rPr>
              <w:t>.</w:t>
            </w:r>
          </w:p>
        </w:tc>
        <w:tc>
          <w:tcPr>
            <w:tcW w:w="8415" w:type="dxa"/>
            <w:tcBorders>
              <w:top w:val="single" w:sz="4" w:space="0" w:color="auto"/>
              <w:left w:val="nil"/>
              <w:bottom w:val="single" w:sz="4" w:space="0" w:color="auto"/>
              <w:right w:val="single" w:sz="4" w:space="0" w:color="000000"/>
            </w:tcBorders>
          </w:tcPr>
          <w:p w14:paraId="221AFB90" w14:textId="77777777"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36374">
              <w:rPr>
                <w:rFonts w:ascii="Times New Roman" w:hAnsi="Times New Roman" w:cs="Times New Roman"/>
                <w:color w:val="000000"/>
                <w:sz w:val="24"/>
                <w:szCs w:val="24"/>
                <w:lang w:val="bg-BG"/>
              </w:rPr>
              <w:t>Налице са всички изискуеми документи и са попълнени съгласно изискванията, посочени в т. 24 от Условията за кандидатстване по настоящата процедура.</w:t>
            </w:r>
          </w:p>
        </w:tc>
        <w:tc>
          <w:tcPr>
            <w:tcW w:w="3261" w:type="dxa"/>
            <w:tcBorders>
              <w:top w:val="single" w:sz="8" w:space="0" w:color="auto"/>
              <w:left w:val="single" w:sz="8" w:space="0" w:color="auto"/>
              <w:bottom w:val="single" w:sz="8" w:space="0" w:color="auto"/>
              <w:right w:val="single" w:sz="8" w:space="0" w:color="000000"/>
            </w:tcBorders>
            <w:vAlign w:val="bottom"/>
          </w:tcPr>
          <w:p w14:paraId="00318D59" w14:textId="77777777"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 xml:space="preserve"> да              не       </w:t>
            </w:r>
          </w:p>
        </w:tc>
      </w:tr>
      <w:tr w:rsidR="00316BB6" w:rsidRPr="002066F7" w14:paraId="2CF17AAC" w14:textId="77777777" w:rsidTr="000A4B9C">
        <w:trPr>
          <w:trHeight w:val="688"/>
        </w:trPr>
        <w:tc>
          <w:tcPr>
            <w:tcW w:w="516" w:type="dxa"/>
            <w:tcBorders>
              <w:top w:val="single" w:sz="4" w:space="0" w:color="auto"/>
              <w:left w:val="single" w:sz="4" w:space="0" w:color="auto"/>
              <w:bottom w:val="single" w:sz="4" w:space="0" w:color="auto"/>
              <w:right w:val="single" w:sz="4" w:space="0" w:color="auto"/>
            </w:tcBorders>
            <w:noWrap/>
          </w:tcPr>
          <w:p w14:paraId="3CDE7491" w14:textId="77777777" w:rsidR="00316BB6" w:rsidRPr="00436035" w:rsidRDefault="00316BB6" w:rsidP="00316BB6">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3</w:t>
            </w:r>
            <w:r w:rsidRPr="00436035">
              <w:rPr>
                <w:rFonts w:ascii="Times New Roman" w:hAnsi="Times New Roman" w:cs="Times New Roman"/>
                <w:color w:val="000000"/>
                <w:sz w:val="24"/>
                <w:szCs w:val="24"/>
                <w:lang w:val="bg-BG"/>
              </w:rPr>
              <w:t>.</w:t>
            </w:r>
          </w:p>
        </w:tc>
        <w:tc>
          <w:tcPr>
            <w:tcW w:w="8415" w:type="dxa"/>
            <w:tcBorders>
              <w:top w:val="single" w:sz="4" w:space="0" w:color="auto"/>
              <w:left w:val="single" w:sz="4" w:space="0" w:color="auto"/>
              <w:bottom w:val="single" w:sz="4" w:space="0" w:color="auto"/>
              <w:right w:val="single" w:sz="4" w:space="0" w:color="auto"/>
            </w:tcBorders>
            <w:shd w:val="clear" w:color="000000" w:fill="FFFFFF"/>
          </w:tcPr>
          <w:p w14:paraId="3D2AB8F5" w14:textId="77777777" w:rsidR="00316BB6" w:rsidRPr="00EC4FAD" w:rsidRDefault="00316BB6" w:rsidP="00316BB6">
            <w:pPr>
              <w:spacing w:after="0" w:line="240" w:lineRule="auto"/>
              <w:jc w:val="both"/>
              <w:rPr>
                <w:rFonts w:ascii="Times New Roman" w:hAnsi="Times New Roman" w:cs="Times New Roman"/>
                <w:color w:val="000000"/>
                <w:sz w:val="24"/>
                <w:szCs w:val="24"/>
                <w:highlight w:val="yellow"/>
                <w:lang w:val="bg-BG"/>
              </w:rPr>
            </w:pPr>
            <w:r w:rsidRPr="00436035">
              <w:rPr>
                <w:rFonts w:ascii="Times New Roman" w:hAnsi="Times New Roman" w:cs="Times New Roman"/>
                <w:color w:val="000000"/>
                <w:sz w:val="24"/>
                <w:szCs w:val="24"/>
                <w:lang w:val="bg-BG"/>
              </w:rPr>
              <w:t>Кандидатът е допустим съгласно изискванията в т. 11 от Условия за кандидатстване по настоящата процедура.</w:t>
            </w:r>
          </w:p>
        </w:tc>
        <w:tc>
          <w:tcPr>
            <w:tcW w:w="3261" w:type="dxa"/>
            <w:tcBorders>
              <w:top w:val="single" w:sz="4" w:space="0" w:color="auto"/>
              <w:left w:val="single" w:sz="4" w:space="0" w:color="auto"/>
              <w:bottom w:val="single" w:sz="4" w:space="0" w:color="auto"/>
              <w:right w:val="single" w:sz="4" w:space="0" w:color="auto"/>
            </w:tcBorders>
            <w:vAlign w:val="bottom"/>
          </w:tcPr>
          <w:p w14:paraId="2B0654D7" w14:textId="77777777" w:rsidR="00316BB6" w:rsidRPr="000B7560" w:rsidRDefault="00316BB6" w:rsidP="00316BB6">
            <w:pPr>
              <w:spacing w:after="0" w:line="240" w:lineRule="auto"/>
              <w:jc w:val="both"/>
              <w:rPr>
                <w:rFonts w:ascii="Times New Roman" w:hAnsi="Times New Roman" w:cs="Times New Roman"/>
                <w:color w:val="000000"/>
                <w:sz w:val="24"/>
                <w:szCs w:val="24"/>
                <w:lang w:val="bg-BG"/>
              </w:rPr>
            </w:pPr>
            <w:r w:rsidRPr="000B7560">
              <w:rPr>
                <w:rFonts w:ascii="Times New Roman" w:hAnsi="Times New Roman" w:cs="Times New Roman"/>
                <w:color w:val="000000"/>
                <w:sz w:val="24"/>
                <w:szCs w:val="24"/>
                <w:lang w:val="bg-BG"/>
              </w:rPr>
              <w:t xml:space="preserve"> да              не       </w:t>
            </w:r>
          </w:p>
        </w:tc>
      </w:tr>
      <w:tr w:rsidR="00054A7B" w:rsidRPr="002066F7" w14:paraId="7F71DCF3" w14:textId="77777777" w:rsidTr="000A4B9C">
        <w:trPr>
          <w:trHeight w:val="688"/>
        </w:trPr>
        <w:tc>
          <w:tcPr>
            <w:tcW w:w="516" w:type="dxa"/>
            <w:tcBorders>
              <w:top w:val="single" w:sz="4" w:space="0" w:color="auto"/>
              <w:left w:val="single" w:sz="4" w:space="0" w:color="auto"/>
              <w:bottom w:val="single" w:sz="4" w:space="0" w:color="auto"/>
              <w:right w:val="single" w:sz="4" w:space="0" w:color="auto"/>
            </w:tcBorders>
            <w:noWrap/>
          </w:tcPr>
          <w:p w14:paraId="46FBE5A9" w14:textId="77777777" w:rsidR="00054A7B" w:rsidRDefault="00054A7B" w:rsidP="00316BB6">
            <w:pPr>
              <w:spacing w:after="0" w:line="240" w:lineRule="auto"/>
              <w:jc w:val="both"/>
              <w:rPr>
                <w:rFonts w:ascii="Times New Roman" w:hAnsi="Times New Roman" w:cs="Times New Roman"/>
                <w:color w:val="000000"/>
                <w:sz w:val="24"/>
                <w:szCs w:val="24"/>
                <w:lang w:val="bg-BG"/>
              </w:rPr>
            </w:pPr>
          </w:p>
        </w:tc>
        <w:tc>
          <w:tcPr>
            <w:tcW w:w="8415" w:type="dxa"/>
            <w:tcBorders>
              <w:top w:val="single" w:sz="4" w:space="0" w:color="auto"/>
              <w:left w:val="single" w:sz="4" w:space="0" w:color="auto"/>
              <w:bottom w:val="single" w:sz="4" w:space="0" w:color="auto"/>
              <w:right w:val="single" w:sz="4" w:space="0" w:color="auto"/>
            </w:tcBorders>
            <w:shd w:val="clear" w:color="000000" w:fill="FFFFFF"/>
          </w:tcPr>
          <w:p w14:paraId="48A661AE" w14:textId="77777777" w:rsidR="00054A7B" w:rsidRPr="00436035" w:rsidRDefault="00054A7B" w:rsidP="00054A7B">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Стратегията за ВОМР е изготвена в съответствие с образеца -  Приложение № 2 към Условията за кандидатстване.</w:t>
            </w:r>
          </w:p>
        </w:tc>
        <w:tc>
          <w:tcPr>
            <w:tcW w:w="3261" w:type="dxa"/>
            <w:tcBorders>
              <w:top w:val="single" w:sz="4" w:space="0" w:color="auto"/>
              <w:left w:val="single" w:sz="4" w:space="0" w:color="auto"/>
              <w:bottom w:val="single" w:sz="4" w:space="0" w:color="auto"/>
              <w:right w:val="single" w:sz="4" w:space="0" w:color="auto"/>
            </w:tcBorders>
            <w:vAlign w:val="bottom"/>
          </w:tcPr>
          <w:p w14:paraId="31FE2F85" w14:textId="77777777" w:rsidR="00054A7B" w:rsidRPr="000B7560" w:rsidRDefault="00054A7B" w:rsidP="00316BB6">
            <w:pPr>
              <w:spacing w:after="0" w:line="240" w:lineRule="auto"/>
              <w:jc w:val="both"/>
              <w:rPr>
                <w:rFonts w:ascii="Times New Roman" w:hAnsi="Times New Roman" w:cs="Times New Roman"/>
                <w:color w:val="000000"/>
                <w:sz w:val="24"/>
                <w:szCs w:val="24"/>
                <w:lang w:val="bg-BG"/>
              </w:rPr>
            </w:pPr>
            <w:r w:rsidRPr="001515C5">
              <w:rPr>
                <w:rFonts w:ascii="Times New Roman" w:hAnsi="Times New Roman" w:cs="Times New Roman"/>
                <w:color w:val="000000"/>
                <w:sz w:val="24"/>
                <w:szCs w:val="24"/>
                <w:lang w:val="bg-BG"/>
              </w:rPr>
              <w:t xml:space="preserve"> да              не       </w:t>
            </w:r>
          </w:p>
        </w:tc>
      </w:tr>
      <w:tr w:rsidR="00316BB6" w:rsidRPr="002066F7" w14:paraId="301656FE" w14:textId="77777777" w:rsidTr="000A4B9C">
        <w:trPr>
          <w:trHeight w:val="975"/>
        </w:trPr>
        <w:tc>
          <w:tcPr>
            <w:tcW w:w="516" w:type="dxa"/>
            <w:tcBorders>
              <w:top w:val="single" w:sz="4" w:space="0" w:color="auto"/>
              <w:left w:val="single" w:sz="4" w:space="0" w:color="auto"/>
              <w:bottom w:val="single" w:sz="4" w:space="0" w:color="auto"/>
              <w:right w:val="single" w:sz="4" w:space="0" w:color="auto"/>
            </w:tcBorders>
            <w:noWrap/>
          </w:tcPr>
          <w:p w14:paraId="4E365C19" w14:textId="77777777" w:rsidR="00316BB6" w:rsidRPr="00530C47" w:rsidRDefault="00316BB6" w:rsidP="00316BB6">
            <w:pPr>
              <w:spacing w:after="0" w:line="240" w:lineRule="auto"/>
              <w:jc w:val="both"/>
              <w:rPr>
                <w:rFonts w:ascii="Times New Roman" w:hAnsi="Times New Roman" w:cs="Times New Roman"/>
                <w:color w:val="000000"/>
                <w:sz w:val="24"/>
                <w:szCs w:val="24"/>
                <w:lang w:val="bg-BG"/>
              </w:rPr>
            </w:pPr>
            <w:r w:rsidRPr="00530C47">
              <w:rPr>
                <w:rFonts w:ascii="Times New Roman" w:hAnsi="Times New Roman" w:cs="Times New Roman"/>
                <w:color w:val="000000"/>
                <w:sz w:val="24"/>
                <w:szCs w:val="24"/>
                <w:lang w:val="bg-BG"/>
              </w:rPr>
              <w:t>4.</w:t>
            </w:r>
          </w:p>
        </w:tc>
        <w:tc>
          <w:tcPr>
            <w:tcW w:w="8415" w:type="dxa"/>
            <w:tcBorders>
              <w:top w:val="single" w:sz="4" w:space="0" w:color="auto"/>
              <w:left w:val="single" w:sz="4" w:space="0" w:color="auto"/>
              <w:bottom w:val="single" w:sz="4" w:space="0" w:color="auto"/>
              <w:right w:val="single" w:sz="4" w:space="0" w:color="auto"/>
            </w:tcBorders>
            <w:shd w:val="clear" w:color="000000" w:fill="FFFFFF"/>
          </w:tcPr>
          <w:p w14:paraId="167814CF" w14:textId="77777777" w:rsidR="00316BB6" w:rsidRPr="00530C47" w:rsidRDefault="00054A7B" w:rsidP="00054A7B">
            <w:pPr>
              <w:spacing w:after="0" w:line="240" w:lineRule="auto"/>
              <w:jc w:val="both"/>
              <w:rPr>
                <w:rFonts w:ascii="Times New Roman" w:hAnsi="Times New Roman" w:cs="Times New Roman"/>
                <w:color w:val="000000"/>
                <w:sz w:val="24"/>
                <w:szCs w:val="24"/>
                <w:lang w:val="bg-BG"/>
              </w:rPr>
            </w:pPr>
            <w:r w:rsidRPr="00054A7B">
              <w:rPr>
                <w:rFonts w:ascii="Times New Roman" w:hAnsi="Times New Roman" w:cs="Times New Roman"/>
                <w:color w:val="000000"/>
                <w:sz w:val="24"/>
                <w:szCs w:val="24"/>
                <w:lang w:val="bg-BG"/>
              </w:rPr>
              <w:t xml:space="preserve">Включените в </w:t>
            </w:r>
            <w:r>
              <w:rPr>
                <w:rFonts w:ascii="Times New Roman" w:hAnsi="Times New Roman" w:cs="Times New Roman"/>
                <w:color w:val="000000"/>
                <w:sz w:val="24"/>
                <w:szCs w:val="24"/>
                <w:lang w:val="bg-BG"/>
              </w:rPr>
              <w:t>стратегията за ВОМР</w:t>
            </w:r>
            <w:r w:rsidRPr="00054A7B">
              <w:rPr>
                <w:rFonts w:ascii="Times New Roman" w:hAnsi="Times New Roman" w:cs="Times New Roman"/>
                <w:color w:val="000000"/>
                <w:sz w:val="24"/>
                <w:szCs w:val="24"/>
                <w:lang w:val="bg-BG"/>
              </w:rPr>
              <w:t xml:space="preserve"> дейности са допустими за финансиране съгласно изискванията в т. 13 от Условия за кандидатстване по настоящата процедура.</w:t>
            </w:r>
          </w:p>
        </w:tc>
        <w:tc>
          <w:tcPr>
            <w:tcW w:w="3261" w:type="dxa"/>
            <w:tcBorders>
              <w:top w:val="single" w:sz="4" w:space="0" w:color="auto"/>
              <w:left w:val="single" w:sz="4" w:space="0" w:color="auto"/>
              <w:bottom w:val="single" w:sz="4" w:space="0" w:color="auto"/>
              <w:right w:val="single" w:sz="4" w:space="0" w:color="auto"/>
            </w:tcBorders>
            <w:vAlign w:val="bottom"/>
          </w:tcPr>
          <w:p w14:paraId="17C307FE" w14:textId="77777777" w:rsidR="00316BB6" w:rsidRPr="000B7560" w:rsidRDefault="00316BB6" w:rsidP="00316BB6">
            <w:pPr>
              <w:spacing w:after="0" w:line="240" w:lineRule="auto"/>
              <w:jc w:val="both"/>
              <w:rPr>
                <w:rFonts w:ascii="Times New Roman" w:hAnsi="Times New Roman" w:cs="Times New Roman"/>
                <w:color w:val="000000"/>
                <w:sz w:val="24"/>
                <w:szCs w:val="24"/>
                <w:lang w:val="bg-BG"/>
              </w:rPr>
            </w:pPr>
            <w:r w:rsidRPr="001515C5">
              <w:rPr>
                <w:rFonts w:ascii="Times New Roman" w:hAnsi="Times New Roman" w:cs="Times New Roman"/>
                <w:color w:val="000000"/>
                <w:sz w:val="24"/>
                <w:szCs w:val="24"/>
                <w:lang w:val="bg-BG"/>
              </w:rPr>
              <w:t xml:space="preserve"> да              не       </w:t>
            </w:r>
          </w:p>
        </w:tc>
      </w:tr>
      <w:tr w:rsidR="00316BB6" w:rsidRPr="002066F7" w14:paraId="6D56642F" w14:textId="77777777" w:rsidTr="000A4B9C">
        <w:trPr>
          <w:trHeight w:val="1050"/>
        </w:trPr>
        <w:tc>
          <w:tcPr>
            <w:tcW w:w="516" w:type="dxa"/>
            <w:tcBorders>
              <w:top w:val="single" w:sz="4" w:space="0" w:color="auto"/>
              <w:left w:val="single" w:sz="4" w:space="0" w:color="auto"/>
              <w:bottom w:val="single" w:sz="4" w:space="0" w:color="auto"/>
              <w:right w:val="single" w:sz="4" w:space="0" w:color="auto"/>
            </w:tcBorders>
            <w:noWrap/>
          </w:tcPr>
          <w:p w14:paraId="64141F32" w14:textId="77777777" w:rsidR="00316BB6" w:rsidRPr="00436035" w:rsidRDefault="00316BB6" w:rsidP="00316BB6">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5.</w:t>
            </w:r>
          </w:p>
        </w:tc>
        <w:tc>
          <w:tcPr>
            <w:tcW w:w="8415" w:type="dxa"/>
            <w:tcBorders>
              <w:top w:val="single" w:sz="4" w:space="0" w:color="auto"/>
              <w:left w:val="single" w:sz="4" w:space="0" w:color="auto"/>
              <w:bottom w:val="single" w:sz="4" w:space="0" w:color="auto"/>
              <w:right w:val="single" w:sz="4" w:space="0" w:color="auto"/>
            </w:tcBorders>
            <w:shd w:val="clear" w:color="000000" w:fill="FFFFFF"/>
            <w:vAlign w:val="center"/>
          </w:tcPr>
          <w:p w14:paraId="72FDA198" w14:textId="77777777" w:rsidR="00316BB6" w:rsidRPr="00DE1B4A" w:rsidRDefault="00054A7B" w:rsidP="00054A7B">
            <w:pPr>
              <w:rPr>
                <w:lang w:val="bg-BG"/>
              </w:rPr>
            </w:pPr>
            <w:r w:rsidRPr="00054A7B">
              <w:rPr>
                <w:rFonts w:ascii="Times New Roman" w:hAnsi="Times New Roman" w:cs="Times New Roman"/>
                <w:color w:val="000000"/>
                <w:sz w:val="24"/>
                <w:szCs w:val="24"/>
                <w:lang w:val="bg-BG"/>
              </w:rPr>
              <w:t xml:space="preserve">Териториалният обхват за изпълнение на </w:t>
            </w:r>
            <w:r>
              <w:rPr>
                <w:rFonts w:ascii="Times New Roman" w:hAnsi="Times New Roman" w:cs="Times New Roman"/>
                <w:color w:val="000000"/>
                <w:sz w:val="24"/>
                <w:szCs w:val="24"/>
                <w:lang w:val="bg-BG"/>
              </w:rPr>
              <w:t>с</w:t>
            </w:r>
            <w:r w:rsidRPr="00054A7B">
              <w:rPr>
                <w:rFonts w:ascii="Times New Roman" w:hAnsi="Times New Roman" w:cs="Times New Roman"/>
                <w:color w:val="000000"/>
                <w:sz w:val="24"/>
                <w:szCs w:val="24"/>
                <w:lang w:val="bg-BG"/>
              </w:rPr>
              <w:t>тратегията за ВОМР съответства на посочения в т. 5 от Условията за кандидатстване по настоящата процедура.</w:t>
            </w:r>
          </w:p>
        </w:tc>
        <w:tc>
          <w:tcPr>
            <w:tcW w:w="3261" w:type="dxa"/>
            <w:tcBorders>
              <w:top w:val="single" w:sz="4" w:space="0" w:color="auto"/>
              <w:left w:val="single" w:sz="4" w:space="0" w:color="auto"/>
              <w:bottom w:val="single" w:sz="4" w:space="0" w:color="auto"/>
              <w:right w:val="single" w:sz="4" w:space="0" w:color="auto"/>
            </w:tcBorders>
            <w:vAlign w:val="bottom"/>
          </w:tcPr>
          <w:p w14:paraId="072D3BA9" w14:textId="77777777" w:rsidR="00316BB6" w:rsidRPr="000B7560" w:rsidRDefault="00316BB6" w:rsidP="00316BB6">
            <w:pPr>
              <w:spacing w:after="0" w:line="240" w:lineRule="auto"/>
              <w:jc w:val="both"/>
              <w:rPr>
                <w:rFonts w:ascii="Times New Roman" w:hAnsi="Times New Roman" w:cs="Times New Roman"/>
                <w:color w:val="000000"/>
                <w:sz w:val="24"/>
                <w:szCs w:val="24"/>
                <w:lang w:val="bg-BG"/>
              </w:rPr>
            </w:pPr>
            <w:r w:rsidRPr="001515C5">
              <w:rPr>
                <w:rFonts w:ascii="Times New Roman" w:hAnsi="Times New Roman" w:cs="Times New Roman"/>
                <w:color w:val="000000"/>
                <w:sz w:val="24"/>
                <w:szCs w:val="24"/>
                <w:lang w:val="bg-BG"/>
              </w:rPr>
              <w:t xml:space="preserve"> да              не       </w:t>
            </w:r>
          </w:p>
        </w:tc>
      </w:tr>
      <w:tr w:rsidR="00316BB6" w:rsidRPr="002066F7" w14:paraId="00FD8B75" w14:textId="77777777" w:rsidTr="000A4B9C">
        <w:trPr>
          <w:trHeight w:val="1050"/>
        </w:trPr>
        <w:tc>
          <w:tcPr>
            <w:tcW w:w="516" w:type="dxa"/>
            <w:tcBorders>
              <w:top w:val="single" w:sz="4" w:space="0" w:color="auto"/>
              <w:left w:val="single" w:sz="4" w:space="0" w:color="auto"/>
              <w:bottom w:val="single" w:sz="4" w:space="0" w:color="auto"/>
              <w:right w:val="single" w:sz="4" w:space="0" w:color="auto"/>
            </w:tcBorders>
            <w:noWrap/>
          </w:tcPr>
          <w:p w14:paraId="264E5C35" w14:textId="77777777" w:rsidR="00316BB6" w:rsidRPr="00063E66" w:rsidRDefault="00316BB6" w:rsidP="00316BB6">
            <w:pPr>
              <w:spacing w:after="0" w:line="240" w:lineRule="auto"/>
              <w:jc w:val="both"/>
              <w:rPr>
                <w:rFonts w:ascii="Times New Roman" w:hAnsi="Times New Roman" w:cs="Times New Roman"/>
                <w:color w:val="000000"/>
                <w:sz w:val="24"/>
                <w:szCs w:val="24"/>
                <w:lang w:val="bg-BG"/>
              </w:rPr>
            </w:pPr>
            <w:r w:rsidRPr="00063E66">
              <w:rPr>
                <w:rFonts w:ascii="Times New Roman" w:hAnsi="Times New Roman" w:cs="Times New Roman"/>
                <w:color w:val="000000"/>
                <w:sz w:val="24"/>
                <w:szCs w:val="24"/>
                <w:lang w:val="bg-BG"/>
              </w:rPr>
              <w:t>6.</w:t>
            </w:r>
          </w:p>
        </w:tc>
        <w:tc>
          <w:tcPr>
            <w:tcW w:w="8415" w:type="dxa"/>
            <w:tcBorders>
              <w:top w:val="single" w:sz="4" w:space="0" w:color="auto"/>
              <w:left w:val="single" w:sz="4" w:space="0" w:color="auto"/>
              <w:bottom w:val="single" w:sz="4" w:space="0" w:color="auto"/>
              <w:right w:val="single" w:sz="4" w:space="0" w:color="auto"/>
            </w:tcBorders>
            <w:shd w:val="clear" w:color="000000" w:fill="FFFFFF"/>
          </w:tcPr>
          <w:p w14:paraId="27341DEB" w14:textId="77777777" w:rsidR="00316BB6" w:rsidRPr="00063E66" w:rsidRDefault="00054A7B" w:rsidP="00DE1B4A">
            <w:pPr>
              <w:spacing w:after="0" w:line="240" w:lineRule="auto"/>
              <w:jc w:val="both"/>
              <w:rPr>
                <w:rFonts w:ascii="Times New Roman" w:hAnsi="Times New Roman" w:cs="Times New Roman"/>
                <w:color w:val="000000"/>
                <w:sz w:val="24"/>
                <w:szCs w:val="24"/>
                <w:lang w:val="bg-BG"/>
              </w:rPr>
            </w:pPr>
            <w:r w:rsidRPr="00054A7B">
              <w:rPr>
                <w:rFonts w:ascii="Times New Roman" w:hAnsi="Times New Roman" w:cs="Times New Roman"/>
                <w:color w:val="000000"/>
                <w:sz w:val="24"/>
                <w:szCs w:val="24"/>
                <w:lang w:val="bg-BG"/>
              </w:rPr>
              <w:t>Срокът за изпълнението на проектното предложение е съобразен с максималния срок, указан в т. 18 от Условията за кандидатстване по настоящата процедура.</w:t>
            </w:r>
          </w:p>
        </w:tc>
        <w:tc>
          <w:tcPr>
            <w:tcW w:w="3261" w:type="dxa"/>
            <w:tcBorders>
              <w:top w:val="single" w:sz="4" w:space="0" w:color="auto"/>
              <w:left w:val="single" w:sz="4" w:space="0" w:color="auto"/>
              <w:bottom w:val="single" w:sz="4" w:space="0" w:color="auto"/>
              <w:right w:val="single" w:sz="4" w:space="0" w:color="auto"/>
            </w:tcBorders>
            <w:vAlign w:val="bottom"/>
          </w:tcPr>
          <w:p w14:paraId="156C90D9" w14:textId="77777777" w:rsidR="00316BB6" w:rsidRPr="000B7560" w:rsidRDefault="00316BB6" w:rsidP="00316BB6">
            <w:pPr>
              <w:spacing w:after="0" w:line="240" w:lineRule="auto"/>
              <w:jc w:val="both"/>
              <w:rPr>
                <w:rFonts w:ascii="Times New Roman" w:hAnsi="Times New Roman" w:cs="Times New Roman"/>
                <w:color w:val="000000"/>
                <w:sz w:val="24"/>
                <w:szCs w:val="24"/>
                <w:lang w:val="bg-BG"/>
              </w:rPr>
            </w:pPr>
            <w:r w:rsidRPr="001515C5">
              <w:rPr>
                <w:rFonts w:ascii="Times New Roman" w:hAnsi="Times New Roman" w:cs="Times New Roman"/>
                <w:color w:val="000000"/>
                <w:sz w:val="24"/>
                <w:szCs w:val="24"/>
                <w:lang w:val="bg-BG"/>
              </w:rPr>
              <w:t xml:space="preserve"> да             </w:t>
            </w:r>
            <w:r w:rsidR="00DE1B4A">
              <w:rPr>
                <w:rFonts w:ascii="Times New Roman" w:hAnsi="Times New Roman" w:cs="Times New Roman"/>
                <w:color w:val="000000"/>
                <w:sz w:val="24"/>
                <w:szCs w:val="24"/>
                <w:lang w:val="bg-BG"/>
              </w:rPr>
              <w:t> не</w:t>
            </w:r>
          </w:p>
        </w:tc>
      </w:tr>
      <w:tr w:rsidR="00316BB6" w:rsidRPr="002066F7" w14:paraId="22A4F1D8" w14:textId="77777777" w:rsidTr="000A4B9C">
        <w:trPr>
          <w:trHeight w:val="1050"/>
        </w:trPr>
        <w:tc>
          <w:tcPr>
            <w:tcW w:w="516" w:type="dxa"/>
            <w:tcBorders>
              <w:top w:val="single" w:sz="4" w:space="0" w:color="auto"/>
              <w:left w:val="single" w:sz="4" w:space="0" w:color="auto"/>
              <w:bottom w:val="single" w:sz="4" w:space="0" w:color="auto"/>
              <w:right w:val="single" w:sz="4" w:space="0" w:color="auto"/>
            </w:tcBorders>
            <w:noWrap/>
          </w:tcPr>
          <w:p w14:paraId="19DBCAF1" w14:textId="77777777" w:rsidR="00316BB6" w:rsidRPr="00F2207E" w:rsidRDefault="00316BB6" w:rsidP="00316BB6">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7</w:t>
            </w:r>
            <w:r w:rsidRPr="00F2207E">
              <w:rPr>
                <w:rFonts w:ascii="Times New Roman" w:hAnsi="Times New Roman" w:cs="Times New Roman"/>
                <w:color w:val="000000"/>
                <w:sz w:val="24"/>
                <w:szCs w:val="24"/>
                <w:lang w:val="bg-BG"/>
              </w:rPr>
              <w:t>.</w:t>
            </w:r>
          </w:p>
        </w:tc>
        <w:tc>
          <w:tcPr>
            <w:tcW w:w="8415" w:type="dxa"/>
            <w:tcBorders>
              <w:top w:val="single" w:sz="4" w:space="0" w:color="auto"/>
              <w:left w:val="single" w:sz="4" w:space="0" w:color="auto"/>
              <w:bottom w:val="single" w:sz="4" w:space="0" w:color="auto"/>
              <w:right w:val="single" w:sz="4" w:space="0" w:color="auto"/>
            </w:tcBorders>
            <w:shd w:val="clear" w:color="000000" w:fill="FFFFFF"/>
          </w:tcPr>
          <w:p w14:paraId="20054550" w14:textId="77777777" w:rsidR="00316BB6" w:rsidRPr="00F2207E" w:rsidRDefault="00316BB6" w:rsidP="00201FBF">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 xml:space="preserve">Безвъзмездната финансова помощ на проектното предложение </w:t>
            </w:r>
            <w:r>
              <w:rPr>
                <w:rFonts w:ascii="Times New Roman" w:hAnsi="Times New Roman" w:cs="Times New Roman"/>
                <w:color w:val="000000"/>
                <w:sz w:val="24"/>
                <w:szCs w:val="24"/>
                <w:lang w:val="bg-BG"/>
              </w:rPr>
              <w:t>е изчислена съгласно изискванията в</w:t>
            </w:r>
            <w:r w:rsidRPr="00F2207E">
              <w:rPr>
                <w:rFonts w:ascii="Times New Roman" w:hAnsi="Times New Roman" w:cs="Times New Roman"/>
                <w:color w:val="000000"/>
                <w:sz w:val="24"/>
                <w:szCs w:val="24"/>
                <w:lang w:val="bg-BG"/>
              </w:rPr>
              <w:t xml:space="preserve"> т. </w:t>
            </w:r>
            <w:r w:rsidR="00201FBF" w:rsidRPr="00201FBF">
              <w:rPr>
                <w:rFonts w:ascii="Times New Roman" w:hAnsi="Times New Roman" w:cs="Times New Roman"/>
                <w:color w:val="000000"/>
                <w:sz w:val="24"/>
                <w:szCs w:val="24"/>
                <w:lang w:val="bg-BG"/>
              </w:rPr>
              <w:t xml:space="preserve">9 </w:t>
            </w:r>
            <w:r w:rsidRPr="00201FBF">
              <w:rPr>
                <w:rFonts w:ascii="Times New Roman" w:hAnsi="Times New Roman" w:cs="Times New Roman"/>
                <w:color w:val="000000"/>
                <w:sz w:val="24"/>
                <w:szCs w:val="24"/>
                <w:lang w:val="bg-BG"/>
              </w:rPr>
              <w:t>о</w:t>
            </w:r>
            <w:r w:rsidRPr="00F2207E">
              <w:rPr>
                <w:rFonts w:ascii="Times New Roman" w:hAnsi="Times New Roman" w:cs="Times New Roman"/>
                <w:color w:val="000000"/>
                <w:sz w:val="24"/>
                <w:szCs w:val="24"/>
                <w:lang w:val="bg-BG"/>
              </w:rPr>
              <w:t>т Условията за кандидатстване по настоящата процедура.</w:t>
            </w:r>
          </w:p>
        </w:tc>
        <w:tc>
          <w:tcPr>
            <w:tcW w:w="3261" w:type="dxa"/>
            <w:tcBorders>
              <w:top w:val="single" w:sz="4" w:space="0" w:color="auto"/>
              <w:left w:val="single" w:sz="4" w:space="0" w:color="auto"/>
              <w:bottom w:val="single" w:sz="4" w:space="0" w:color="auto"/>
              <w:right w:val="single" w:sz="4" w:space="0" w:color="auto"/>
            </w:tcBorders>
            <w:vAlign w:val="bottom"/>
          </w:tcPr>
          <w:p w14:paraId="0540D12A" w14:textId="77777777"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 xml:space="preserve"> да              не       </w:t>
            </w:r>
          </w:p>
        </w:tc>
      </w:tr>
      <w:tr w:rsidR="00316BB6" w:rsidRPr="002066F7" w14:paraId="0F7FFEDD" w14:textId="77777777" w:rsidTr="000A4B9C">
        <w:trPr>
          <w:trHeight w:val="335"/>
        </w:trPr>
        <w:tc>
          <w:tcPr>
            <w:tcW w:w="516" w:type="dxa"/>
            <w:tcBorders>
              <w:top w:val="single" w:sz="4" w:space="0" w:color="auto"/>
              <w:left w:val="single" w:sz="4" w:space="0" w:color="auto"/>
              <w:bottom w:val="single" w:sz="4" w:space="0" w:color="auto"/>
              <w:right w:val="single" w:sz="4" w:space="0" w:color="auto"/>
            </w:tcBorders>
            <w:noWrap/>
          </w:tcPr>
          <w:p w14:paraId="2CDEA26E" w14:textId="77777777" w:rsidR="00316BB6" w:rsidRPr="00436035" w:rsidRDefault="00316BB6" w:rsidP="00316BB6">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8.</w:t>
            </w:r>
          </w:p>
        </w:tc>
        <w:tc>
          <w:tcPr>
            <w:tcW w:w="8415" w:type="dxa"/>
            <w:tcBorders>
              <w:top w:val="single" w:sz="4" w:space="0" w:color="auto"/>
              <w:left w:val="single" w:sz="4" w:space="0" w:color="auto"/>
              <w:bottom w:val="single" w:sz="4" w:space="0" w:color="auto"/>
              <w:right w:val="single" w:sz="4" w:space="0" w:color="auto"/>
            </w:tcBorders>
            <w:shd w:val="clear" w:color="000000" w:fill="FFFFFF"/>
          </w:tcPr>
          <w:p w14:paraId="740A2592" w14:textId="77777777" w:rsidR="00316BB6"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Отстраняването на нередовностите по проектното предложение не е довело до подобряване на качеството му.</w:t>
            </w:r>
          </w:p>
          <w:p w14:paraId="44503ECC" w14:textId="77777777" w:rsidR="00FE5043" w:rsidRPr="00F2207E" w:rsidRDefault="00FE5043" w:rsidP="00316BB6">
            <w:pPr>
              <w:spacing w:after="0" w:line="240" w:lineRule="auto"/>
              <w:jc w:val="both"/>
              <w:rPr>
                <w:rFonts w:ascii="Times New Roman" w:hAnsi="Times New Roman" w:cs="Times New Roman"/>
                <w:color w:val="000000"/>
                <w:sz w:val="24"/>
                <w:szCs w:val="24"/>
                <w:lang w:val="bg-BG"/>
              </w:rPr>
            </w:pPr>
          </w:p>
        </w:tc>
        <w:tc>
          <w:tcPr>
            <w:tcW w:w="3261" w:type="dxa"/>
            <w:tcBorders>
              <w:top w:val="single" w:sz="4" w:space="0" w:color="auto"/>
              <w:left w:val="single" w:sz="4" w:space="0" w:color="auto"/>
              <w:bottom w:val="single" w:sz="4" w:space="0" w:color="auto"/>
              <w:right w:val="single" w:sz="4" w:space="0" w:color="auto"/>
            </w:tcBorders>
            <w:vAlign w:val="bottom"/>
          </w:tcPr>
          <w:p w14:paraId="5585F7CB" w14:textId="77777777" w:rsidR="00316BB6" w:rsidRPr="000B7560" w:rsidRDefault="00316BB6" w:rsidP="00316BB6">
            <w:pPr>
              <w:spacing w:after="0" w:line="240" w:lineRule="auto"/>
              <w:jc w:val="both"/>
              <w:rPr>
                <w:rFonts w:ascii="Times New Roman" w:hAnsi="Times New Roman" w:cs="Times New Roman"/>
                <w:color w:val="000000"/>
                <w:sz w:val="24"/>
                <w:szCs w:val="24"/>
                <w:lang w:val="bg-BG"/>
              </w:rPr>
            </w:pPr>
            <w:r w:rsidRPr="000B7560">
              <w:rPr>
                <w:rFonts w:ascii="Times New Roman" w:hAnsi="Times New Roman" w:cs="Times New Roman"/>
                <w:color w:val="000000"/>
                <w:sz w:val="24"/>
                <w:szCs w:val="24"/>
                <w:lang w:val="bg-BG"/>
              </w:rPr>
              <w:t> да              не        непр.</w:t>
            </w:r>
          </w:p>
        </w:tc>
      </w:tr>
      <w:tr w:rsidR="00FE5043" w:rsidRPr="002066F7" w14:paraId="65241D3B" w14:textId="77777777" w:rsidTr="00A87BF4">
        <w:trPr>
          <w:trHeight w:val="335"/>
        </w:trPr>
        <w:tc>
          <w:tcPr>
            <w:tcW w:w="516" w:type="dxa"/>
            <w:tcBorders>
              <w:top w:val="single" w:sz="4" w:space="0" w:color="auto"/>
              <w:left w:val="single" w:sz="4" w:space="0" w:color="auto"/>
              <w:bottom w:val="single" w:sz="4" w:space="0" w:color="auto"/>
              <w:right w:val="single" w:sz="4" w:space="0" w:color="auto"/>
            </w:tcBorders>
            <w:noWrap/>
          </w:tcPr>
          <w:p w14:paraId="3C612F24" w14:textId="77777777" w:rsidR="00FE5043" w:rsidRDefault="003F7D59" w:rsidP="00FE5043">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9.</w:t>
            </w:r>
          </w:p>
        </w:tc>
        <w:tc>
          <w:tcPr>
            <w:tcW w:w="8415" w:type="dxa"/>
            <w:tcBorders>
              <w:top w:val="single" w:sz="4" w:space="0" w:color="auto"/>
              <w:left w:val="single" w:sz="4" w:space="0" w:color="auto"/>
              <w:bottom w:val="single" w:sz="4" w:space="0" w:color="auto"/>
              <w:right w:val="single" w:sz="4" w:space="0" w:color="auto"/>
            </w:tcBorders>
            <w:shd w:val="clear" w:color="000000" w:fill="FFFFFF"/>
          </w:tcPr>
          <w:p w14:paraId="775A3D29" w14:textId="77777777" w:rsidR="00FE5043" w:rsidRDefault="00FE5043" w:rsidP="00FE5043">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bg-BG"/>
              </w:rPr>
              <w:t>Видовете дейности</w:t>
            </w:r>
            <w:r w:rsidRPr="00054A7B">
              <w:rPr>
                <w:rFonts w:ascii="Times New Roman" w:hAnsi="Times New Roman" w:cs="Times New Roman"/>
                <w:sz w:val="24"/>
                <w:szCs w:val="24"/>
                <w:lang w:val="bg-BG"/>
              </w:rPr>
              <w:t>, избрани в</w:t>
            </w:r>
            <w:r w:rsidRPr="00054A7B">
              <w:rPr>
                <w:rFonts w:ascii="Times New Roman" w:hAnsi="Times New Roman" w:cs="Times New Roman"/>
                <w:sz w:val="24"/>
                <w:szCs w:val="24"/>
              </w:rPr>
              <w:t xml:space="preserve"> стратегията за ВОМР</w:t>
            </w:r>
            <w:r w:rsidRPr="00054A7B">
              <w:rPr>
                <w:rFonts w:ascii="Times New Roman" w:hAnsi="Times New Roman" w:cs="Times New Roman"/>
                <w:sz w:val="24"/>
                <w:szCs w:val="24"/>
                <w:lang w:val="bg-BG"/>
              </w:rPr>
              <w:t>,</w:t>
            </w:r>
            <w:r w:rsidRPr="00054A7B">
              <w:rPr>
                <w:rFonts w:ascii="Times New Roman" w:hAnsi="Times New Roman" w:cs="Times New Roman"/>
                <w:sz w:val="24"/>
                <w:szCs w:val="24"/>
              </w:rPr>
              <w:t xml:space="preserve"> допринася</w:t>
            </w:r>
            <w:r w:rsidRPr="00054A7B">
              <w:rPr>
                <w:rFonts w:ascii="Times New Roman" w:hAnsi="Times New Roman" w:cs="Times New Roman"/>
                <w:sz w:val="24"/>
                <w:szCs w:val="24"/>
                <w:lang w:val="bg-BG"/>
              </w:rPr>
              <w:t>т</w:t>
            </w:r>
            <w:r w:rsidRPr="00054A7B">
              <w:rPr>
                <w:rFonts w:ascii="Times New Roman" w:hAnsi="Times New Roman" w:cs="Times New Roman"/>
                <w:sz w:val="24"/>
                <w:szCs w:val="24"/>
              </w:rPr>
              <w:t xml:space="preserve"> за постигане </w:t>
            </w:r>
            <w:r>
              <w:rPr>
                <w:rFonts w:ascii="Times New Roman" w:hAnsi="Times New Roman" w:cs="Times New Roman"/>
                <w:sz w:val="24"/>
                <w:szCs w:val="24"/>
                <w:lang w:val="bg-BG"/>
              </w:rPr>
              <w:t xml:space="preserve">на </w:t>
            </w:r>
            <w:r w:rsidR="003F7D59">
              <w:rPr>
                <w:rFonts w:ascii="Times New Roman" w:hAnsi="Times New Roman" w:cs="Times New Roman"/>
                <w:sz w:val="24"/>
                <w:szCs w:val="24"/>
                <w:lang w:val="bg-BG"/>
              </w:rPr>
              <w:t>хоризонталните политики на ЕС, на</w:t>
            </w:r>
            <w:r w:rsidRPr="00054A7B">
              <w:rPr>
                <w:rFonts w:ascii="Times New Roman" w:hAnsi="Times New Roman" w:cs="Times New Roman"/>
                <w:sz w:val="24"/>
                <w:szCs w:val="24"/>
              </w:rPr>
              <w:t xml:space="preserve"> </w:t>
            </w:r>
            <w:r>
              <w:rPr>
                <w:rFonts w:ascii="Times New Roman" w:hAnsi="Times New Roman" w:cs="Times New Roman"/>
                <w:sz w:val="24"/>
                <w:szCs w:val="24"/>
                <w:lang w:val="bg-BG"/>
              </w:rPr>
              <w:t>ПМДРА</w:t>
            </w:r>
            <w:r w:rsidR="003F7D59">
              <w:rPr>
                <w:rFonts w:ascii="Times New Roman" w:hAnsi="Times New Roman" w:cs="Times New Roman"/>
                <w:sz w:val="24"/>
                <w:szCs w:val="24"/>
                <w:lang w:val="bg-BG"/>
              </w:rPr>
              <w:t xml:space="preserve"> и на самата стратегия за ВОМР</w:t>
            </w:r>
            <w:r>
              <w:rPr>
                <w:rFonts w:ascii="Times New Roman" w:hAnsi="Times New Roman" w:cs="Times New Roman"/>
                <w:sz w:val="24"/>
                <w:szCs w:val="24"/>
                <w:lang w:val="bg-BG"/>
              </w:rPr>
              <w:t>.</w:t>
            </w:r>
            <w:r w:rsidRPr="00054A7B">
              <w:rPr>
                <w:rFonts w:ascii="Times New Roman" w:hAnsi="Times New Roman" w:cs="Times New Roman"/>
                <w:sz w:val="24"/>
                <w:szCs w:val="24"/>
              </w:rPr>
              <w:t xml:space="preserve"> </w:t>
            </w:r>
          </w:p>
          <w:p w14:paraId="5BE939DD" w14:textId="77777777" w:rsidR="00FE5043" w:rsidRPr="00F2207E" w:rsidRDefault="00FE5043" w:rsidP="00FE5043">
            <w:pPr>
              <w:spacing w:after="0" w:line="240" w:lineRule="auto"/>
              <w:jc w:val="both"/>
              <w:rPr>
                <w:rFonts w:ascii="Times New Roman" w:hAnsi="Times New Roman" w:cs="Times New Roman"/>
                <w:color w:val="000000"/>
                <w:sz w:val="24"/>
                <w:szCs w:val="24"/>
                <w:lang w:val="bg-BG"/>
              </w:rPr>
            </w:pPr>
          </w:p>
        </w:tc>
        <w:tc>
          <w:tcPr>
            <w:tcW w:w="3261" w:type="dxa"/>
            <w:tcBorders>
              <w:top w:val="single" w:sz="4" w:space="0" w:color="auto"/>
              <w:left w:val="single" w:sz="4" w:space="0" w:color="auto"/>
              <w:bottom w:val="single" w:sz="4" w:space="0" w:color="auto"/>
              <w:right w:val="single" w:sz="4" w:space="0" w:color="auto"/>
            </w:tcBorders>
          </w:tcPr>
          <w:p w14:paraId="1D5DC9C0" w14:textId="77777777" w:rsidR="00FE5043" w:rsidRDefault="00FE5043" w:rsidP="00FE5043">
            <w:pPr>
              <w:rPr>
                <w:rFonts w:ascii="Times New Roman" w:hAnsi="Times New Roman" w:cs="Times New Roman"/>
                <w:color w:val="000000"/>
                <w:sz w:val="24"/>
                <w:szCs w:val="24"/>
                <w:lang w:val="bg-BG"/>
              </w:rPr>
            </w:pPr>
          </w:p>
          <w:p w14:paraId="321184E5" w14:textId="77777777" w:rsidR="00FE5043" w:rsidRDefault="00FE5043" w:rsidP="00FE5043">
            <w:r w:rsidRPr="00031B0A">
              <w:rPr>
                <w:rFonts w:ascii="Times New Roman" w:hAnsi="Times New Roman" w:cs="Times New Roman"/>
                <w:color w:val="000000"/>
                <w:sz w:val="24"/>
                <w:szCs w:val="24"/>
                <w:lang w:val="bg-BG"/>
              </w:rPr>
              <w:t> да              не</w:t>
            </w:r>
          </w:p>
        </w:tc>
      </w:tr>
      <w:tr w:rsidR="00FE5043" w:rsidRPr="002066F7" w14:paraId="5AC68C52" w14:textId="77777777" w:rsidTr="00A87BF4">
        <w:trPr>
          <w:trHeight w:val="335"/>
        </w:trPr>
        <w:tc>
          <w:tcPr>
            <w:tcW w:w="516" w:type="dxa"/>
            <w:tcBorders>
              <w:top w:val="single" w:sz="4" w:space="0" w:color="auto"/>
              <w:left w:val="single" w:sz="4" w:space="0" w:color="auto"/>
              <w:bottom w:val="single" w:sz="4" w:space="0" w:color="auto"/>
              <w:right w:val="single" w:sz="4" w:space="0" w:color="auto"/>
            </w:tcBorders>
            <w:noWrap/>
          </w:tcPr>
          <w:p w14:paraId="35824AAF" w14:textId="77777777" w:rsidR="00FE5043" w:rsidRDefault="003F7D59" w:rsidP="00FE5043">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10.</w:t>
            </w:r>
          </w:p>
        </w:tc>
        <w:tc>
          <w:tcPr>
            <w:tcW w:w="8415" w:type="dxa"/>
            <w:tcBorders>
              <w:top w:val="single" w:sz="4" w:space="0" w:color="auto"/>
              <w:left w:val="single" w:sz="4" w:space="0" w:color="auto"/>
              <w:bottom w:val="single" w:sz="4" w:space="0" w:color="auto"/>
              <w:right w:val="single" w:sz="4" w:space="0" w:color="auto"/>
            </w:tcBorders>
            <w:shd w:val="clear" w:color="000000" w:fill="FFFFFF"/>
          </w:tcPr>
          <w:p w14:paraId="6277E4C7" w14:textId="77777777" w:rsidR="00FE5043" w:rsidRDefault="00FE5043" w:rsidP="00FE5043">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 xml:space="preserve">За включените в </w:t>
            </w:r>
            <w:r w:rsidRPr="00FE5043">
              <w:rPr>
                <w:rFonts w:ascii="Times New Roman" w:hAnsi="Times New Roman" w:cs="Times New Roman"/>
                <w:color w:val="000000"/>
                <w:sz w:val="24"/>
                <w:szCs w:val="24"/>
                <w:lang w:val="bg-BG"/>
              </w:rPr>
              <w:t>стратегията за ВОМР</w:t>
            </w:r>
            <w:r w:rsidR="003F7D59">
              <w:rPr>
                <w:rFonts w:ascii="Times New Roman" w:hAnsi="Times New Roman" w:cs="Times New Roman"/>
                <w:color w:val="000000"/>
                <w:sz w:val="24"/>
                <w:szCs w:val="24"/>
                <w:lang w:val="bg-BG"/>
              </w:rPr>
              <w:t xml:space="preserve"> видове </w:t>
            </w:r>
            <w:r>
              <w:rPr>
                <w:rFonts w:ascii="Times New Roman" w:hAnsi="Times New Roman" w:cs="Times New Roman"/>
                <w:color w:val="000000"/>
                <w:sz w:val="24"/>
                <w:szCs w:val="24"/>
                <w:lang w:val="bg-BG"/>
              </w:rPr>
              <w:t>дейности</w:t>
            </w:r>
            <w:r w:rsidRPr="00FE5043">
              <w:rPr>
                <w:rFonts w:ascii="Times New Roman" w:hAnsi="Times New Roman" w:cs="Times New Roman"/>
                <w:color w:val="000000"/>
                <w:sz w:val="24"/>
                <w:szCs w:val="24"/>
                <w:lang w:val="bg-BG"/>
              </w:rPr>
              <w:t xml:space="preserve"> са определени допустимите кандидати, </w:t>
            </w:r>
            <w:r>
              <w:rPr>
                <w:rFonts w:ascii="Times New Roman" w:hAnsi="Times New Roman" w:cs="Times New Roman"/>
                <w:color w:val="000000"/>
                <w:sz w:val="24"/>
                <w:szCs w:val="24"/>
                <w:lang w:val="bg-BG"/>
              </w:rPr>
              <w:t xml:space="preserve">допустимите </w:t>
            </w:r>
            <w:r w:rsidRPr="00FE5043">
              <w:rPr>
                <w:rFonts w:ascii="Times New Roman" w:hAnsi="Times New Roman" w:cs="Times New Roman"/>
                <w:color w:val="000000"/>
                <w:sz w:val="24"/>
                <w:szCs w:val="24"/>
                <w:lang w:val="bg-BG"/>
              </w:rPr>
              <w:t xml:space="preserve">дейности и </w:t>
            </w:r>
            <w:r w:rsidR="0033567B">
              <w:rPr>
                <w:rFonts w:ascii="Times New Roman" w:hAnsi="Times New Roman" w:cs="Times New Roman"/>
                <w:color w:val="000000"/>
                <w:sz w:val="24"/>
                <w:szCs w:val="24"/>
                <w:lang w:val="bg-BG"/>
              </w:rPr>
              <w:t xml:space="preserve">групи </w:t>
            </w:r>
            <w:r>
              <w:rPr>
                <w:rFonts w:ascii="Times New Roman" w:hAnsi="Times New Roman" w:cs="Times New Roman"/>
                <w:color w:val="000000"/>
                <w:sz w:val="24"/>
                <w:szCs w:val="24"/>
                <w:lang w:val="bg-BG"/>
              </w:rPr>
              <w:t xml:space="preserve">допустимите </w:t>
            </w:r>
            <w:r w:rsidRPr="00FE5043">
              <w:rPr>
                <w:rFonts w:ascii="Times New Roman" w:hAnsi="Times New Roman" w:cs="Times New Roman"/>
                <w:color w:val="000000"/>
                <w:sz w:val="24"/>
                <w:szCs w:val="24"/>
                <w:lang w:val="bg-BG"/>
              </w:rPr>
              <w:t>разходи по проектите към стратегията, които ще се осъществяват на територията на действие на МИРГ.</w:t>
            </w:r>
          </w:p>
          <w:p w14:paraId="2C9091E4" w14:textId="77777777" w:rsidR="00FE5043" w:rsidRPr="00F2207E" w:rsidRDefault="00FE5043" w:rsidP="00FE5043">
            <w:pPr>
              <w:spacing w:after="0" w:line="240" w:lineRule="auto"/>
              <w:jc w:val="both"/>
              <w:rPr>
                <w:rFonts w:ascii="Times New Roman" w:hAnsi="Times New Roman" w:cs="Times New Roman"/>
                <w:color w:val="000000"/>
                <w:sz w:val="24"/>
                <w:szCs w:val="24"/>
                <w:lang w:val="bg-BG"/>
              </w:rPr>
            </w:pPr>
          </w:p>
        </w:tc>
        <w:tc>
          <w:tcPr>
            <w:tcW w:w="3261" w:type="dxa"/>
            <w:tcBorders>
              <w:top w:val="single" w:sz="4" w:space="0" w:color="auto"/>
              <w:left w:val="single" w:sz="4" w:space="0" w:color="auto"/>
              <w:bottom w:val="single" w:sz="4" w:space="0" w:color="auto"/>
              <w:right w:val="single" w:sz="4" w:space="0" w:color="auto"/>
            </w:tcBorders>
          </w:tcPr>
          <w:p w14:paraId="4139AB60" w14:textId="77777777" w:rsidR="00FE5043" w:rsidRDefault="00FE5043" w:rsidP="00FE5043">
            <w:pPr>
              <w:rPr>
                <w:rFonts w:ascii="Times New Roman" w:hAnsi="Times New Roman" w:cs="Times New Roman"/>
                <w:color w:val="000000"/>
                <w:sz w:val="24"/>
                <w:szCs w:val="24"/>
                <w:lang w:val="bg-BG"/>
              </w:rPr>
            </w:pPr>
          </w:p>
          <w:p w14:paraId="5C7049A8" w14:textId="77777777" w:rsidR="00FE5043" w:rsidRDefault="00FE5043" w:rsidP="00FE5043">
            <w:r w:rsidRPr="00031B0A">
              <w:rPr>
                <w:rFonts w:ascii="Times New Roman" w:hAnsi="Times New Roman" w:cs="Times New Roman"/>
                <w:color w:val="000000"/>
                <w:sz w:val="24"/>
                <w:szCs w:val="24"/>
                <w:lang w:val="bg-BG"/>
              </w:rPr>
              <w:t> да              не</w:t>
            </w:r>
          </w:p>
        </w:tc>
      </w:tr>
      <w:tr w:rsidR="00DD7739" w:rsidRPr="002066F7" w14:paraId="037FD4A6" w14:textId="77777777" w:rsidTr="00A87BF4">
        <w:trPr>
          <w:trHeight w:val="335"/>
        </w:trPr>
        <w:tc>
          <w:tcPr>
            <w:tcW w:w="516" w:type="dxa"/>
            <w:tcBorders>
              <w:top w:val="single" w:sz="4" w:space="0" w:color="auto"/>
              <w:left w:val="single" w:sz="4" w:space="0" w:color="auto"/>
              <w:bottom w:val="single" w:sz="4" w:space="0" w:color="auto"/>
              <w:right w:val="single" w:sz="4" w:space="0" w:color="auto"/>
            </w:tcBorders>
            <w:noWrap/>
          </w:tcPr>
          <w:p w14:paraId="5CE5593A" w14:textId="301F2BA3" w:rsidR="00DD7739" w:rsidRDefault="008F15BD" w:rsidP="00FE5043">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11</w:t>
            </w:r>
            <w:r w:rsidR="00DD7739">
              <w:rPr>
                <w:rFonts w:ascii="Times New Roman" w:hAnsi="Times New Roman" w:cs="Times New Roman"/>
                <w:color w:val="000000"/>
                <w:sz w:val="24"/>
                <w:szCs w:val="24"/>
                <w:lang w:val="bg-BG"/>
              </w:rPr>
              <w:t>.</w:t>
            </w:r>
          </w:p>
        </w:tc>
        <w:tc>
          <w:tcPr>
            <w:tcW w:w="8415" w:type="dxa"/>
            <w:tcBorders>
              <w:top w:val="single" w:sz="4" w:space="0" w:color="auto"/>
              <w:left w:val="single" w:sz="4" w:space="0" w:color="auto"/>
              <w:bottom w:val="single" w:sz="4" w:space="0" w:color="auto"/>
              <w:right w:val="single" w:sz="4" w:space="0" w:color="auto"/>
            </w:tcBorders>
            <w:shd w:val="clear" w:color="000000" w:fill="FFFFFF"/>
          </w:tcPr>
          <w:p w14:paraId="659CF81C" w14:textId="77777777" w:rsidR="00DD7739" w:rsidRDefault="00DD7739" w:rsidP="00DD7739">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Екипът на МИРГ отговаря</w:t>
            </w:r>
            <w:r w:rsidRPr="00DD7739">
              <w:rPr>
                <w:rFonts w:ascii="Times New Roman" w:hAnsi="Times New Roman" w:cs="Times New Roman"/>
                <w:color w:val="000000"/>
                <w:sz w:val="24"/>
                <w:szCs w:val="24"/>
                <w:lang w:val="bg-BG"/>
              </w:rPr>
              <w:t xml:space="preserve"> на изискванията, заложени в т. 11 от Условията за кандидатстване.</w:t>
            </w:r>
          </w:p>
          <w:p w14:paraId="51E7358B" w14:textId="77777777" w:rsidR="00DD7739" w:rsidRPr="00FE5043" w:rsidRDefault="00DD7739" w:rsidP="00DD7739">
            <w:pPr>
              <w:spacing w:after="0" w:line="240" w:lineRule="auto"/>
              <w:jc w:val="both"/>
              <w:rPr>
                <w:rFonts w:ascii="Times New Roman" w:hAnsi="Times New Roman" w:cs="Times New Roman"/>
                <w:color w:val="000000"/>
                <w:sz w:val="24"/>
                <w:szCs w:val="24"/>
                <w:lang w:val="bg-BG"/>
              </w:rPr>
            </w:pPr>
          </w:p>
        </w:tc>
        <w:tc>
          <w:tcPr>
            <w:tcW w:w="3261" w:type="dxa"/>
            <w:tcBorders>
              <w:top w:val="single" w:sz="4" w:space="0" w:color="auto"/>
              <w:left w:val="single" w:sz="4" w:space="0" w:color="auto"/>
              <w:bottom w:val="single" w:sz="4" w:space="0" w:color="auto"/>
              <w:right w:val="single" w:sz="4" w:space="0" w:color="auto"/>
            </w:tcBorders>
          </w:tcPr>
          <w:p w14:paraId="2DFDFA80" w14:textId="77777777" w:rsidR="00DD7739" w:rsidRDefault="00DD7739" w:rsidP="00FE5043">
            <w:pPr>
              <w:rPr>
                <w:rFonts w:ascii="Times New Roman" w:hAnsi="Times New Roman" w:cs="Times New Roman"/>
                <w:color w:val="000000"/>
                <w:sz w:val="24"/>
                <w:szCs w:val="24"/>
                <w:lang w:val="bg-BG"/>
              </w:rPr>
            </w:pPr>
            <w:r w:rsidRPr="00031B0A">
              <w:rPr>
                <w:rFonts w:ascii="Times New Roman" w:hAnsi="Times New Roman" w:cs="Times New Roman"/>
                <w:color w:val="000000"/>
                <w:sz w:val="24"/>
                <w:szCs w:val="24"/>
                <w:lang w:val="bg-BG"/>
              </w:rPr>
              <w:lastRenderedPageBreak/>
              <w:t> да              не</w:t>
            </w:r>
          </w:p>
        </w:tc>
      </w:tr>
      <w:tr w:rsidR="00FE5043" w:rsidRPr="002066F7" w14:paraId="7ED71EA8" w14:textId="77777777" w:rsidTr="00A87BF4">
        <w:trPr>
          <w:trHeight w:val="335"/>
        </w:trPr>
        <w:tc>
          <w:tcPr>
            <w:tcW w:w="516" w:type="dxa"/>
            <w:tcBorders>
              <w:top w:val="single" w:sz="4" w:space="0" w:color="auto"/>
              <w:left w:val="single" w:sz="4" w:space="0" w:color="auto"/>
              <w:bottom w:val="single" w:sz="4" w:space="0" w:color="auto"/>
              <w:right w:val="single" w:sz="4" w:space="0" w:color="auto"/>
            </w:tcBorders>
            <w:noWrap/>
          </w:tcPr>
          <w:p w14:paraId="5A0D971B" w14:textId="2429786E" w:rsidR="00FE5043" w:rsidRDefault="003F7D59" w:rsidP="00DD7739">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w:t>
            </w:r>
            <w:r w:rsidR="000B0371">
              <w:rPr>
                <w:rFonts w:ascii="Times New Roman" w:hAnsi="Times New Roman" w:cs="Times New Roman"/>
                <w:color w:val="000000"/>
                <w:sz w:val="24"/>
                <w:szCs w:val="24"/>
                <w:lang w:val="bg-BG"/>
              </w:rPr>
              <w:t>2.</w:t>
            </w:r>
          </w:p>
        </w:tc>
        <w:tc>
          <w:tcPr>
            <w:tcW w:w="8415" w:type="dxa"/>
            <w:tcBorders>
              <w:top w:val="single" w:sz="4" w:space="0" w:color="auto"/>
              <w:left w:val="single" w:sz="4" w:space="0" w:color="auto"/>
              <w:bottom w:val="single" w:sz="4" w:space="0" w:color="auto"/>
              <w:right w:val="single" w:sz="4" w:space="0" w:color="auto"/>
            </w:tcBorders>
            <w:shd w:val="clear" w:color="000000" w:fill="FFFFFF"/>
          </w:tcPr>
          <w:p w14:paraId="566AC67E" w14:textId="77777777" w:rsidR="00FE5043" w:rsidRPr="00FE5043" w:rsidRDefault="00FE5043" w:rsidP="00FA3F5E">
            <w:pPr>
              <w:spacing w:after="0" w:line="240" w:lineRule="auto"/>
              <w:jc w:val="both"/>
              <w:rPr>
                <w:rFonts w:ascii="Times New Roman" w:hAnsi="Times New Roman" w:cs="Times New Roman"/>
                <w:color w:val="000000"/>
                <w:sz w:val="24"/>
                <w:szCs w:val="24"/>
                <w:lang w:val="bg-BG"/>
              </w:rPr>
            </w:pPr>
            <w:r w:rsidRPr="00FA3F5E">
              <w:rPr>
                <w:rFonts w:ascii="Times New Roman" w:hAnsi="Times New Roman" w:cs="Times New Roman"/>
                <w:color w:val="000000"/>
                <w:sz w:val="24"/>
                <w:szCs w:val="24"/>
                <w:lang w:val="bg-BG"/>
              </w:rPr>
              <w:t xml:space="preserve">Безвъзмездната финансова помощ на проектно </w:t>
            </w:r>
            <w:r w:rsidR="00FA3F5E" w:rsidRPr="00FA3F5E">
              <w:rPr>
                <w:rFonts w:ascii="Times New Roman" w:hAnsi="Times New Roman" w:cs="Times New Roman"/>
                <w:color w:val="000000"/>
                <w:sz w:val="24"/>
                <w:szCs w:val="24"/>
                <w:lang w:val="bg-BG"/>
              </w:rPr>
              <w:t xml:space="preserve">предложение </w:t>
            </w:r>
            <w:r w:rsidRPr="00FA3F5E">
              <w:rPr>
                <w:rFonts w:ascii="Times New Roman" w:hAnsi="Times New Roman" w:cs="Times New Roman"/>
                <w:color w:val="000000"/>
                <w:sz w:val="24"/>
                <w:szCs w:val="24"/>
                <w:lang w:val="bg-BG"/>
              </w:rPr>
              <w:t xml:space="preserve">по всяка </w:t>
            </w:r>
            <w:r w:rsidR="00FA3F5E" w:rsidRPr="00FA3F5E">
              <w:rPr>
                <w:rFonts w:ascii="Times New Roman" w:hAnsi="Times New Roman" w:cs="Times New Roman"/>
                <w:color w:val="000000"/>
                <w:sz w:val="24"/>
                <w:szCs w:val="24"/>
                <w:lang w:val="bg-BG"/>
              </w:rPr>
              <w:t>дейност</w:t>
            </w:r>
            <w:r w:rsidRPr="00FA3F5E">
              <w:rPr>
                <w:rFonts w:ascii="Times New Roman" w:hAnsi="Times New Roman" w:cs="Times New Roman"/>
                <w:color w:val="000000"/>
                <w:sz w:val="24"/>
                <w:szCs w:val="24"/>
                <w:lang w:val="bg-BG"/>
              </w:rPr>
              <w:t xml:space="preserve"> от ст</w:t>
            </w:r>
            <w:r w:rsidR="003F7D59" w:rsidRPr="00FA3F5E">
              <w:rPr>
                <w:rFonts w:ascii="Times New Roman" w:hAnsi="Times New Roman" w:cs="Times New Roman"/>
                <w:color w:val="000000"/>
                <w:sz w:val="24"/>
                <w:szCs w:val="24"/>
                <w:lang w:val="bg-BG"/>
              </w:rPr>
              <w:t>р</w:t>
            </w:r>
            <w:r w:rsidRPr="00FA3F5E">
              <w:rPr>
                <w:rFonts w:ascii="Times New Roman" w:hAnsi="Times New Roman" w:cs="Times New Roman"/>
                <w:color w:val="000000"/>
                <w:sz w:val="24"/>
                <w:szCs w:val="24"/>
                <w:lang w:val="bg-BG"/>
              </w:rPr>
              <w:t xml:space="preserve">атегията за ВОМР  не надвишава </w:t>
            </w:r>
            <w:r w:rsidR="00FA3F5E" w:rsidRPr="00FA3F5E">
              <w:rPr>
                <w:rFonts w:ascii="Times New Roman" w:hAnsi="Times New Roman" w:cs="Times New Roman"/>
                <w:color w:val="000000"/>
                <w:sz w:val="24"/>
                <w:szCs w:val="24"/>
              </w:rPr>
              <w:t>391 160 лева (200 000 евро).</w:t>
            </w:r>
          </w:p>
        </w:tc>
        <w:tc>
          <w:tcPr>
            <w:tcW w:w="3261" w:type="dxa"/>
            <w:tcBorders>
              <w:top w:val="single" w:sz="4" w:space="0" w:color="auto"/>
              <w:left w:val="single" w:sz="4" w:space="0" w:color="auto"/>
              <w:bottom w:val="single" w:sz="4" w:space="0" w:color="auto"/>
              <w:right w:val="single" w:sz="4" w:space="0" w:color="auto"/>
            </w:tcBorders>
          </w:tcPr>
          <w:p w14:paraId="594DA7E3" w14:textId="77777777" w:rsidR="003F7D59" w:rsidRDefault="003F7D59" w:rsidP="00FE5043">
            <w:pPr>
              <w:rPr>
                <w:rFonts w:ascii="Times New Roman" w:hAnsi="Times New Roman" w:cs="Times New Roman"/>
                <w:color w:val="000000"/>
                <w:sz w:val="24"/>
                <w:szCs w:val="24"/>
                <w:lang w:val="bg-BG"/>
              </w:rPr>
            </w:pPr>
          </w:p>
          <w:p w14:paraId="132EA0AF" w14:textId="77777777" w:rsidR="00FE5043" w:rsidRDefault="00FE5043" w:rsidP="00FE5043">
            <w:pPr>
              <w:rPr>
                <w:rFonts w:ascii="Times New Roman" w:hAnsi="Times New Roman" w:cs="Times New Roman"/>
                <w:color w:val="000000"/>
                <w:sz w:val="24"/>
                <w:szCs w:val="24"/>
                <w:lang w:val="bg-BG"/>
              </w:rPr>
            </w:pPr>
            <w:r w:rsidRPr="00031B0A">
              <w:rPr>
                <w:rFonts w:ascii="Times New Roman" w:hAnsi="Times New Roman" w:cs="Times New Roman"/>
                <w:color w:val="000000"/>
                <w:sz w:val="24"/>
                <w:szCs w:val="24"/>
                <w:lang w:val="bg-BG"/>
              </w:rPr>
              <w:t> да              не</w:t>
            </w:r>
          </w:p>
        </w:tc>
      </w:tr>
      <w:tr w:rsidR="0048443E" w:rsidRPr="002066F7" w14:paraId="18324EEB" w14:textId="77777777" w:rsidTr="000A4B9C">
        <w:trPr>
          <w:trHeight w:val="1059"/>
        </w:trPr>
        <w:tc>
          <w:tcPr>
            <w:tcW w:w="516" w:type="dxa"/>
            <w:tcBorders>
              <w:top w:val="single" w:sz="4" w:space="0" w:color="auto"/>
              <w:left w:val="single" w:sz="4" w:space="0" w:color="auto"/>
              <w:bottom w:val="single" w:sz="4" w:space="0" w:color="auto"/>
              <w:right w:val="single" w:sz="4" w:space="0" w:color="auto"/>
            </w:tcBorders>
            <w:noWrap/>
          </w:tcPr>
          <w:p w14:paraId="1DBFFF01" w14:textId="7FCB4380" w:rsidR="0048443E" w:rsidRPr="002066F7" w:rsidRDefault="003F7D59" w:rsidP="00DD7739">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w:t>
            </w:r>
            <w:r w:rsidR="000B0371">
              <w:rPr>
                <w:rFonts w:ascii="Times New Roman" w:hAnsi="Times New Roman" w:cs="Times New Roman"/>
                <w:color w:val="000000"/>
                <w:sz w:val="24"/>
                <w:szCs w:val="24"/>
                <w:lang w:val="bg-BG"/>
              </w:rPr>
              <w:t>3</w:t>
            </w:r>
            <w:r>
              <w:rPr>
                <w:rFonts w:ascii="Times New Roman" w:hAnsi="Times New Roman" w:cs="Times New Roman"/>
                <w:color w:val="000000"/>
                <w:sz w:val="24"/>
                <w:szCs w:val="24"/>
                <w:lang w:val="bg-BG"/>
              </w:rPr>
              <w:t>.</w:t>
            </w:r>
          </w:p>
        </w:tc>
        <w:tc>
          <w:tcPr>
            <w:tcW w:w="8415" w:type="dxa"/>
            <w:tcBorders>
              <w:top w:val="single" w:sz="4" w:space="0" w:color="auto"/>
              <w:left w:val="nil"/>
              <w:bottom w:val="single" w:sz="4" w:space="0" w:color="auto"/>
              <w:right w:val="nil"/>
            </w:tcBorders>
            <w:shd w:val="clear" w:color="000000" w:fill="FFFFFF"/>
          </w:tcPr>
          <w:p w14:paraId="69A69976" w14:textId="77777777" w:rsidR="00EE3447" w:rsidRPr="00951084" w:rsidRDefault="0048443E" w:rsidP="00951084">
            <w:pPr>
              <w:spacing w:after="0" w:line="240" w:lineRule="auto"/>
              <w:jc w:val="both"/>
              <w:rPr>
                <w:rFonts w:ascii="Times New Roman" w:hAnsi="Times New Roman" w:cs="Times New Roman"/>
                <w:sz w:val="24"/>
                <w:szCs w:val="24"/>
                <w:lang w:val="bg-BG"/>
              </w:rPr>
            </w:pPr>
            <w:r w:rsidRPr="002066F7">
              <w:rPr>
                <w:rFonts w:ascii="Times New Roman" w:hAnsi="Times New Roman" w:cs="Times New Roman"/>
                <w:color w:val="000000"/>
                <w:sz w:val="24"/>
                <w:szCs w:val="24"/>
                <w:lang w:val="bg-BG"/>
              </w:rPr>
              <w:t xml:space="preserve">Проектното предложение е в съответствие с политиката на ЕС за </w:t>
            </w:r>
            <w:r w:rsidRPr="002604A2">
              <w:rPr>
                <w:rFonts w:ascii="Times New Roman" w:hAnsi="Times New Roman" w:cs="Times New Roman"/>
                <w:sz w:val="24"/>
                <w:szCs w:val="24"/>
                <w:lang w:val="bg-BG"/>
              </w:rPr>
              <w:t>равенството между мъжете и жените, интегрирането на принципа на равенство между половете и отчитането на социалните аспекти на пола.</w:t>
            </w:r>
            <w:r w:rsidRPr="00DE1B4A">
              <w:rPr>
                <w:rFonts w:ascii="Times New Roman" w:hAnsi="Times New Roman" w:cs="Times New Roman"/>
                <w:sz w:val="24"/>
                <w:szCs w:val="24"/>
                <w:lang w:val="bg-BG"/>
              </w:rPr>
              <w:t xml:space="preserve"> </w:t>
            </w:r>
          </w:p>
        </w:tc>
        <w:tc>
          <w:tcPr>
            <w:tcW w:w="3261" w:type="dxa"/>
            <w:tcBorders>
              <w:top w:val="single" w:sz="8" w:space="0" w:color="auto"/>
              <w:left w:val="single" w:sz="8" w:space="0" w:color="auto"/>
              <w:bottom w:val="single" w:sz="4" w:space="0" w:color="auto"/>
              <w:right w:val="single" w:sz="8" w:space="0" w:color="000000"/>
            </w:tcBorders>
            <w:vAlign w:val="bottom"/>
          </w:tcPr>
          <w:p w14:paraId="375A2460" w14:textId="77777777"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7955B3" w:rsidRPr="002066F7" w14:paraId="4102CCAB" w14:textId="77777777" w:rsidTr="000A4B9C">
        <w:trPr>
          <w:trHeight w:val="406"/>
        </w:trPr>
        <w:tc>
          <w:tcPr>
            <w:tcW w:w="516" w:type="dxa"/>
            <w:tcBorders>
              <w:top w:val="nil"/>
              <w:left w:val="single" w:sz="8" w:space="0" w:color="auto"/>
              <w:bottom w:val="single" w:sz="4" w:space="0" w:color="auto"/>
              <w:right w:val="single" w:sz="4" w:space="0" w:color="auto"/>
            </w:tcBorders>
            <w:noWrap/>
          </w:tcPr>
          <w:p w14:paraId="5D0A5141" w14:textId="243FB495" w:rsidR="007955B3" w:rsidRDefault="00201FBF" w:rsidP="00DD7739">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w:t>
            </w:r>
            <w:r w:rsidR="000B0371">
              <w:rPr>
                <w:rFonts w:ascii="Times New Roman" w:hAnsi="Times New Roman" w:cs="Times New Roman"/>
                <w:color w:val="000000"/>
                <w:sz w:val="24"/>
                <w:szCs w:val="24"/>
                <w:lang w:val="bg-BG"/>
              </w:rPr>
              <w:t>4</w:t>
            </w:r>
            <w:r w:rsidR="007955B3">
              <w:rPr>
                <w:rFonts w:ascii="Times New Roman" w:hAnsi="Times New Roman" w:cs="Times New Roman"/>
                <w:color w:val="000000"/>
                <w:sz w:val="24"/>
                <w:szCs w:val="24"/>
                <w:lang w:val="bg-BG"/>
              </w:rPr>
              <w:t>.</w:t>
            </w:r>
          </w:p>
        </w:tc>
        <w:tc>
          <w:tcPr>
            <w:tcW w:w="8415" w:type="dxa"/>
            <w:tcBorders>
              <w:top w:val="single" w:sz="4" w:space="0" w:color="auto"/>
              <w:left w:val="nil"/>
              <w:bottom w:val="single" w:sz="4" w:space="0" w:color="auto"/>
              <w:right w:val="nil"/>
            </w:tcBorders>
            <w:shd w:val="clear" w:color="000000" w:fill="FFFFFF"/>
          </w:tcPr>
          <w:p w14:paraId="6FDC1A2E" w14:textId="77777777" w:rsidR="007955B3" w:rsidRDefault="007955B3" w:rsidP="007955B3">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Проектното предложен</w:t>
            </w:r>
            <w:r>
              <w:rPr>
                <w:rFonts w:ascii="Times New Roman" w:hAnsi="Times New Roman" w:cs="Times New Roman"/>
                <w:color w:val="000000"/>
                <w:sz w:val="24"/>
                <w:szCs w:val="24"/>
                <w:lang w:val="bg-BG"/>
              </w:rPr>
              <w:t>ие е в съответствие с отключващо условие</w:t>
            </w:r>
            <w:r w:rsidRPr="00DE1B4A">
              <w:rPr>
                <w:rFonts w:ascii="Times New Roman" w:hAnsi="Times New Roman" w:cs="Times New Roman"/>
                <w:sz w:val="24"/>
                <w:szCs w:val="24"/>
                <w:lang w:val="bg-BG"/>
              </w:rPr>
              <w:t xml:space="preserve"> </w:t>
            </w:r>
            <w:r w:rsidRPr="002066F7">
              <w:rPr>
                <w:rFonts w:ascii="Times New Roman" w:hAnsi="Times New Roman" w:cs="Times New Roman"/>
                <w:sz w:val="24"/>
                <w:szCs w:val="24"/>
                <w:lang w:val="bg-BG"/>
              </w:rPr>
              <w:t>„</w:t>
            </w:r>
            <w:r w:rsidRPr="002066F7">
              <w:rPr>
                <w:rFonts w:ascii="Times New Roman" w:hAnsi="Times New Roman" w:cs="Times New Roman"/>
                <w:color w:val="000000"/>
                <w:sz w:val="24"/>
                <w:szCs w:val="24"/>
                <w:lang w:val="bg-BG"/>
              </w:rPr>
              <w:t>Ефективното прилагане и изпълнение</w:t>
            </w:r>
            <w:r>
              <w:rPr>
                <w:rFonts w:ascii="Times New Roman" w:hAnsi="Times New Roman" w:cs="Times New Roman"/>
                <w:color w:val="000000"/>
                <w:sz w:val="24"/>
                <w:szCs w:val="24"/>
                <w:lang w:val="bg-BG"/>
              </w:rPr>
              <w:t xml:space="preserve"> на Хартата на основните права“ (Хартата), съгласно</w:t>
            </w:r>
            <w:r w:rsidRPr="002066F7">
              <w:rPr>
                <w:rFonts w:ascii="Times New Roman" w:hAnsi="Times New Roman" w:cs="Times New Roman"/>
                <w:color w:val="000000"/>
                <w:sz w:val="24"/>
                <w:szCs w:val="24"/>
                <w:lang w:val="bg-BG"/>
              </w:rPr>
              <w:t xml:space="preserve"> член 15 на Регламент (ЕС) 2021/1060</w:t>
            </w:r>
            <w:r w:rsidR="00F64F4E" w:rsidRPr="00DE1B4A">
              <w:rPr>
                <w:lang w:val="bg-BG"/>
              </w:rPr>
              <w:t xml:space="preserve"> </w:t>
            </w:r>
            <w:r w:rsidR="00F64F4E" w:rsidRPr="00F64F4E">
              <w:rPr>
                <w:rFonts w:ascii="Times New Roman" w:hAnsi="Times New Roman" w:cs="Times New Roman"/>
                <w:color w:val="000000"/>
                <w:sz w:val="24"/>
                <w:szCs w:val="24"/>
                <w:lang w:val="bg-BG"/>
              </w:rPr>
              <w:t>по отношение на обхват</w:t>
            </w:r>
            <w:r w:rsidR="00F64F4E">
              <w:rPr>
                <w:rFonts w:ascii="Times New Roman" w:hAnsi="Times New Roman" w:cs="Times New Roman"/>
                <w:color w:val="000000"/>
                <w:sz w:val="24"/>
                <w:szCs w:val="24"/>
                <w:lang w:val="bg-BG"/>
              </w:rPr>
              <w:t>а</w:t>
            </w:r>
            <w:r w:rsidR="00F64F4E" w:rsidRPr="00F64F4E">
              <w:rPr>
                <w:rFonts w:ascii="Times New Roman" w:hAnsi="Times New Roman" w:cs="Times New Roman"/>
                <w:color w:val="000000"/>
                <w:sz w:val="24"/>
                <w:szCs w:val="24"/>
                <w:lang w:val="bg-BG"/>
              </w:rPr>
              <w:t xml:space="preserve"> и метод</w:t>
            </w:r>
            <w:r w:rsidR="00FB3B46">
              <w:rPr>
                <w:rFonts w:ascii="Times New Roman" w:hAnsi="Times New Roman" w:cs="Times New Roman"/>
                <w:color w:val="000000"/>
                <w:sz w:val="24"/>
                <w:szCs w:val="24"/>
                <w:lang w:val="bg-BG"/>
              </w:rPr>
              <w:t>а</w:t>
            </w:r>
            <w:r w:rsidR="00F64F4E" w:rsidRPr="00F64F4E">
              <w:rPr>
                <w:rFonts w:ascii="Times New Roman" w:hAnsi="Times New Roman" w:cs="Times New Roman"/>
                <w:color w:val="000000"/>
                <w:sz w:val="24"/>
                <w:szCs w:val="24"/>
                <w:lang w:val="bg-BG"/>
              </w:rPr>
              <w:t xml:space="preserve"> на изпълнение</w:t>
            </w:r>
            <w:r w:rsidR="00F64F4E">
              <w:rPr>
                <w:rFonts w:ascii="Times New Roman" w:hAnsi="Times New Roman" w:cs="Times New Roman"/>
                <w:color w:val="000000"/>
                <w:sz w:val="24"/>
                <w:szCs w:val="24"/>
                <w:lang w:val="bg-BG"/>
              </w:rPr>
              <w:t xml:space="preserve"> на проекта</w:t>
            </w:r>
            <w:r w:rsidR="00F64F4E" w:rsidRPr="00F64F4E">
              <w:rPr>
                <w:rFonts w:ascii="Times New Roman" w:hAnsi="Times New Roman" w:cs="Times New Roman"/>
                <w:color w:val="000000"/>
                <w:sz w:val="24"/>
                <w:szCs w:val="24"/>
                <w:lang w:val="bg-BG"/>
              </w:rPr>
              <w:t>.</w:t>
            </w:r>
          </w:p>
          <w:p w14:paraId="69E5424E" w14:textId="77777777" w:rsidR="007955B3" w:rsidRPr="00DE1B4A" w:rsidRDefault="007955B3" w:rsidP="007955B3">
            <w:pPr>
              <w:spacing w:after="0" w:line="240" w:lineRule="auto"/>
              <w:jc w:val="both"/>
              <w:rPr>
                <w:rFonts w:ascii="Times New Roman" w:hAnsi="Times New Roman" w:cs="Times New Roman"/>
                <w:color w:val="000000"/>
                <w:sz w:val="24"/>
                <w:szCs w:val="24"/>
                <w:lang w:val="bg-BG"/>
              </w:rPr>
            </w:pPr>
            <w:r w:rsidRPr="002604A2">
              <w:rPr>
                <w:rFonts w:ascii="Times New Roman" w:hAnsi="Times New Roman" w:cs="Times New Roman"/>
                <w:color w:val="000000"/>
                <w:sz w:val="24"/>
                <w:szCs w:val="24"/>
                <w:lang w:val="bg-BG"/>
              </w:rPr>
              <w:t>На етапа на оценка на заявлението за кандидатстване, съответствието на проекта с Хартата следва да се разбира като липса на противоречие между условията на проекта и изискванията на Хартата или като неутралност на тези изисквания по отношение на обхвата и съдържанието на проекта</w:t>
            </w:r>
            <w:r w:rsidRPr="00DE1B4A">
              <w:rPr>
                <w:rFonts w:ascii="Times New Roman" w:hAnsi="Times New Roman" w:cs="Times New Roman"/>
                <w:color w:val="000000"/>
                <w:sz w:val="24"/>
                <w:szCs w:val="24"/>
                <w:lang w:val="bg-BG"/>
              </w:rPr>
              <w:t>;</w:t>
            </w:r>
          </w:p>
        </w:tc>
        <w:tc>
          <w:tcPr>
            <w:tcW w:w="3261" w:type="dxa"/>
            <w:tcBorders>
              <w:top w:val="single" w:sz="8" w:space="0" w:color="auto"/>
              <w:left w:val="single" w:sz="8" w:space="0" w:color="auto"/>
              <w:bottom w:val="single" w:sz="4" w:space="0" w:color="auto"/>
              <w:right w:val="single" w:sz="8" w:space="0" w:color="000000"/>
            </w:tcBorders>
            <w:vAlign w:val="bottom"/>
          </w:tcPr>
          <w:p w14:paraId="1B2DA43F" w14:textId="77777777" w:rsidR="007955B3" w:rsidRPr="002066F7" w:rsidRDefault="009A3B6F"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14:paraId="1CBEA29F" w14:textId="77777777" w:rsidTr="000A4B9C">
        <w:trPr>
          <w:trHeight w:val="1782"/>
        </w:trPr>
        <w:tc>
          <w:tcPr>
            <w:tcW w:w="516" w:type="dxa"/>
            <w:tcBorders>
              <w:top w:val="nil"/>
              <w:left w:val="single" w:sz="8" w:space="0" w:color="auto"/>
              <w:bottom w:val="single" w:sz="4" w:space="0" w:color="auto"/>
              <w:right w:val="single" w:sz="4" w:space="0" w:color="auto"/>
            </w:tcBorders>
            <w:noWrap/>
          </w:tcPr>
          <w:p w14:paraId="23729669" w14:textId="546FEA7F" w:rsidR="0048443E" w:rsidRPr="002066F7" w:rsidRDefault="00201FBF" w:rsidP="00DD7739">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w:t>
            </w:r>
            <w:r w:rsidR="000B0371">
              <w:rPr>
                <w:rFonts w:ascii="Times New Roman" w:hAnsi="Times New Roman" w:cs="Times New Roman"/>
                <w:color w:val="000000"/>
                <w:sz w:val="24"/>
                <w:szCs w:val="24"/>
                <w:lang w:val="bg-BG"/>
              </w:rPr>
              <w:t>5</w:t>
            </w:r>
            <w:r w:rsidR="0048443E" w:rsidRPr="002066F7">
              <w:rPr>
                <w:rFonts w:ascii="Times New Roman" w:hAnsi="Times New Roman" w:cs="Times New Roman"/>
                <w:color w:val="000000"/>
                <w:sz w:val="24"/>
                <w:szCs w:val="24"/>
                <w:lang w:val="bg-BG"/>
              </w:rPr>
              <w:t>.</w:t>
            </w:r>
          </w:p>
        </w:tc>
        <w:tc>
          <w:tcPr>
            <w:tcW w:w="8415" w:type="dxa"/>
            <w:tcBorders>
              <w:top w:val="single" w:sz="4" w:space="0" w:color="auto"/>
              <w:left w:val="nil"/>
              <w:bottom w:val="single" w:sz="4" w:space="0" w:color="auto"/>
              <w:right w:val="nil"/>
            </w:tcBorders>
            <w:shd w:val="clear" w:color="000000" w:fill="FFFFFF"/>
          </w:tcPr>
          <w:p w14:paraId="7E010F42" w14:textId="77777777" w:rsidR="00E15ACF" w:rsidRDefault="0048443E" w:rsidP="00E15ACF">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Проектното предложение е в съответствие с отключващ</w:t>
            </w:r>
            <w:r w:rsidR="00F64F4E">
              <w:rPr>
                <w:rFonts w:ascii="Times New Roman" w:hAnsi="Times New Roman" w:cs="Times New Roman"/>
                <w:color w:val="000000"/>
                <w:sz w:val="24"/>
                <w:szCs w:val="24"/>
                <w:lang w:val="bg-BG"/>
              </w:rPr>
              <w:t>о</w:t>
            </w:r>
            <w:r w:rsidRPr="002066F7">
              <w:rPr>
                <w:rFonts w:ascii="Times New Roman" w:hAnsi="Times New Roman" w:cs="Times New Roman"/>
                <w:color w:val="000000"/>
                <w:sz w:val="24"/>
                <w:szCs w:val="24"/>
                <w:lang w:val="bg-BG"/>
              </w:rPr>
              <w:t xml:space="preserve"> услови</w:t>
            </w:r>
            <w:r w:rsidR="00F64F4E">
              <w:rPr>
                <w:rFonts w:ascii="Times New Roman" w:hAnsi="Times New Roman" w:cs="Times New Roman"/>
                <w:color w:val="000000"/>
                <w:sz w:val="24"/>
                <w:szCs w:val="24"/>
                <w:lang w:val="bg-BG"/>
              </w:rPr>
              <w:t>е</w:t>
            </w:r>
            <w:r w:rsidRPr="00DE1B4A">
              <w:rPr>
                <w:rFonts w:ascii="Times New Roman" w:hAnsi="Times New Roman" w:cs="Times New Roman"/>
                <w:sz w:val="24"/>
                <w:szCs w:val="24"/>
                <w:lang w:val="bg-BG"/>
              </w:rPr>
              <w:t xml:space="preserve"> </w:t>
            </w:r>
            <w:r w:rsidRPr="002066F7">
              <w:rPr>
                <w:rFonts w:ascii="Times New Roman" w:hAnsi="Times New Roman" w:cs="Times New Roman"/>
                <w:color w:val="000000"/>
                <w:sz w:val="24"/>
                <w:szCs w:val="24"/>
                <w:lang w:val="bg-BG"/>
              </w:rPr>
              <w:t>Конвенцията на ООН за правата на хората с увреждания (КПХУ) в съответствие с Решение 2010/48/ЕО на Съвета</w:t>
            </w:r>
            <w:r w:rsidR="00F64F4E">
              <w:rPr>
                <w:rFonts w:ascii="Times New Roman" w:hAnsi="Times New Roman" w:cs="Times New Roman"/>
                <w:color w:val="000000"/>
                <w:sz w:val="24"/>
                <w:szCs w:val="24"/>
                <w:lang w:val="bg-BG"/>
              </w:rPr>
              <w:t xml:space="preserve"> </w:t>
            </w:r>
            <w:r w:rsidR="00FB3B46" w:rsidRPr="00FB3B46">
              <w:rPr>
                <w:rFonts w:ascii="Times New Roman" w:hAnsi="Times New Roman" w:cs="Times New Roman"/>
                <w:color w:val="000000"/>
                <w:sz w:val="24"/>
                <w:szCs w:val="24"/>
                <w:lang w:val="bg-BG"/>
              </w:rPr>
              <w:t xml:space="preserve">по отношение на обхвата на проекта, метода на изпълнение и кандидата. </w:t>
            </w:r>
            <w:r w:rsidR="00FB3B46">
              <w:rPr>
                <w:rFonts w:ascii="Times New Roman" w:hAnsi="Times New Roman" w:cs="Times New Roman"/>
                <w:color w:val="000000"/>
                <w:sz w:val="24"/>
                <w:szCs w:val="24"/>
                <w:lang w:val="bg-BG"/>
              </w:rPr>
              <w:t xml:space="preserve"> </w:t>
            </w:r>
          </w:p>
          <w:p w14:paraId="09B3645F" w14:textId="77777777" w:rsidR="00F64F4E" w:rsidRPr="002066F7" w:rsidRDefault="009A3B6F" w:rsidP="00E15ACF">
            <w:pPr>
              <w:spacing w:after="0" w:line="240" w:lineRule="auto"/>
              <w:jc w:val="both"/>
              <w:rPr>
                <w:rFonts w:ascii="Times New Roman" w:hAnsi="Times New Roman" w:cs="Times New Roman"/>
                <w:color w:val="000000"/>
                <w:sz w:val="24"/>
                <w:szCs w:val="24"/>
                <w:lang w:val="bg-BG"/>
              </w:rPr>
            </w:pPr>
            <w:r w:rsidRPr="009A3B6F">
              <w:rPr>
                <w:rFonts w:ascii="Times New Roman" w:hAnsi="Times New Roman" w:cs="Times New Roman"/>
                <w:color w:val="000000"/>
                <w:sz w:val="24"/>
                <w:szCs w:val="24"/>
                <w:lang w:val="bg-BG"/>
              </w:rPr>
              <w:t xml:space="preserve">На етапа на оценка на заявлението </w:t>
            </w:r>
            <w:r>
              <w:rPr>
                <w:rFonts w:ascii="Times New Roman" w:hAnsi="Times New Roman" w:cs="Times New Roman"/>
                <w:color w:val="000000"/>
                <w:sz w:val="24"/>
                <w:szCs w:val="24"/>
                <w:lang w:val="bg-BG"/>
              </w:rPr>
              <w:t xml:space="preserve">за кандидатстване, </w:t>
            </w:r>
            <w:r w:rsidRPr="009A3B6F">
              <w:rPr>
                <w:rFonts w:ascii="Times New Roman" w:hAnsi="Times New Roman" w:cs="Times New Roman"/>
                <w:color w:val="000000"/>
                <w:sz w:val="24"/>
                <w:szCs w:val="24"/>
                <w:lang w:val="bg-BG"/>
              </w:rPr>
              <w:t>съответствието на проекта с посочената конвенция следва да се разбира като липса на противоречие между условията на проекта и изискванията на същата конвенция или като неутралност на тези изисквания по отношение на обхвата и съдържанието на проекта.</w:t>
            </w:r>
          </w:p>
        </w:tc>
        <w:tc>
          <w:tcPr>
            <w:tcW w:w="3261" w:type="dxa"/>
            <w:tcBorders>
              <w:top w:val="single" w:sz="8" w:space="0" w:color="auto"/>
              <w:left w:val="single" w:sz="8" w:space="0" w:color="auto"/>
              <w:bottom w:val="single" w:sz="4" w:space="0" w:color="auto"/>
              <w:right w:val="single" w:sz="8" w:space="0" w:color="000000"/>
            </w:tcBorders>
            <w:vAlign w:val="bottom"/>
          </w:tcPr>
          <w:p w14:paraId="421E3AB2" w14:textId="77777777"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14:paraId="489C497E" w14:textId="77777777" w:rsidTr="000A4B9C">
        <w:trPr>
          <w:trHeight w:val="615"/>
        </w:trPr>
        <w:tc>
          <w:tcPr>
            <w:tcW w:w="12192" w:type="dxa"/>
            <w:gridSpan w:val="3"/>
            <w:tcBorders>
              <w:top w:val="single" w:sz="8" w:space="0" w:color="auto"/>
              <w:left w:val="single" w:sz="8" w:space="0" w:color="auto"/>
              <w:bottom w:val="single" w:sz="8" w:space="0" w:color="auto"/>
              <w:right w:val="single" w:sz="8" w:space="0" w:color="000000"/>
            </w:tcBorders>
            <w:noWrap/>
          </w:tcPr>
          <w:p w14:paraId="58716D13" w14:textId="77777777" w:rsidR="000A4B9C" w:rsidRDefault="000A4B9C" w:rsidP="000A4B9C">
            <w:pPr>
              <w:spacing w:after="0" w:line="240" w:lineRule="auto"/>
              <w:jc w:val="center"/>
              <w:rPr>
                <w:rFonts w:ascii="Times New Roman" w:hAnsi="Times New Roman" w:cs="Times New Roman"/>
                <w:b/>
                <w:bCs/>
                <w:color w:val="000000"/>
                <w:sz w:val="24"/>
                <w:szCs w:val="24"/>
                <w:lang w:val="bg-BG"/>
              </w:rPr>
            </w:pPr>
          </w:p>
          <w:p w14:paraId="12725E67" w14:textId="77777777" w:rsidR="0048443E" w:rsidRPr="002066F7" w:rsidRDefault="0048443E" w:rsidP="000A4B9C">
            <w:pPr>
              <w:spacing w:after="0" w:line="240" w:lineRule="auto"/>
              <w:jc w:val="center"/>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При несъответствие с някое от посочените изисквания, проектното предложение се отхвърля!</w:t>
            </w:r>
          </w:p>
        </w:tc>
      </w:tr>
      <w:tr w:rsidR="0048443E" w:rsidRPr="002066F7" w14:paraId="0566AF9C" w14:textId="77777777" w:rsidTr="000A4B9C">
        <w:trPr>
          <w:trHeight w:val="484"/>
        </w:trPr>
        <w:tc>
          <w:tcPr>
            <w:tcW w:w="12192" w:type="dxa"/>
            <w:gridSpan w:val="3"/>
            <w:tcBorders>
              <w:top w:val="single" w:sz="8" w:space="0" w:color="auto"/>
              <w:left w:val="single" w:sz="8" w:space="0" w:color="auto"/>
              <w:bottom w:val="single" w:sz="8" w:space="0" w:color="auto"/>
              <w:right w:val="single" w:sz="8" w:space="0" w:color="000000"/>
            </w:tcBorders>
            <w:noWrap/>
          </w:tcPr>
          <w:p w14:paraId="2EBC49D4" w14:textId="77777777" w:rsidR="000A4B9C" w:rsidRDefault="000A4B9C" w:rsidP="00D3581F">
            <w:pPr>
              <w:spacing w:after="0" w:line="240" w:lineRule="auto"/>
              <w:rPr>
                <w:rFonts w:ascii="Times New Roman" w:hAnsi="Times New Roman" w:cs="Times New Roman"/>
                <w:b/>
                <w:bCs/>
                <w:color w:val="000000"/>
                <w:sz w:val="24"/>
                <w:szCs w:val="24"/>
                <w:lang w:val="bg-BG"/>
              </w:rPr>
            </w:pPr>
          </w:p>
          <w:p w14:paraId="086928CE" w14:textId="77777777" w:rsidR="0048443E" w:rsidRDefault="0048443E" w:rsidP="00D3581F">
            <w:pPr>
              <w:spacing w:after="0" w:line="240" w:lineRule="auto"/>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2. Техническа и финансова оценка:</w:t>
            </w:r>
          </w:p>
          <w:p w14:paraId="454F11B2" w14:textId="77777777" w:rsidR="000A4B9C" w:rsidRPr="002066F7" w:rsidRDefault="000A4B9C" w:rsidP="00D3581F">
            <w:pPr>
              <w:spacing w:after="0" w:line="240" w:lineRule="auto"/>
              <w:rPr>
                <w:rFonts w:ascii="Times New Roman" w:hAnsi="Times New Roman" w:cs="Times New Roman"/>
                <w:b/>
                <w:bCs/>
                <w:color w:val="000000"/>
                <w:sz w:val="24"/>
                <w:szCs w:val="24"/>
                <w:lang w:val="bg-BG"/>
              </w:rPr>
            </w:pPr>
          </w:p>
        </w:tc>
      </w:tr>
    </w:tbl>
    <w:p w14:paraId="4F6BB442" w14:textId="77777777" w:rsidR="00F60BF9" w:rsidRPr="00F60BF9" w:rsidRDefault="00F60BF9" w:rsidP="00F60BF9">
      <w:pPr>
        <w:spacing w:after="0"/>
        <w:rPr>
          <w:vanish/>
        </w:rPr>
      </w:pPr>
    </w:p>
    <w:tbl>
      <w:tblPr>
        <w:tblW w:w="12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9355"/>
      </w:tblGrid>
      <w:tr w:rsidR="00DD7739" w:rsidRPr="00DD7739" w14:paraId="4B5A02D3" w14:textId="77777777" w:rsidTr="00F60BF9">
        <w:tc>
          <w:tcPr>
            <w:tcW w:w="2802" w:type="dxa"/>
            <w:shd w:val="clear" w:color="auto" w:fill="auto"/>
          </w:tcPr>
          <w:p w14:paraId="71EF37D7" w14:textId="77777777" w:rsidR="00DD7739" w:rsidRPr="00F60BF9" w:rsidRDefault="00DD7739" w:rsidP="00F60BF9">
            <w:pPr>
              <w:spacing w:after="0"/>
              <w:rPr>
                <w:rFonts w:ascii="Times New Roman" w:hAnsi="Times New Roman" w:cs="Times New Roman"/>
                <w:b/>
                <w:sz w:val="24"/>
                <w:szCs w:val="24"/>
                <w:lang w:val="bg-BG"/>
              </w:rPr>
            </w:pPr>
            <w:r w:rsidRPr="00F60BF9">
              <w:rPr>
                <w:rFonts w:ascii="Times New Roman" w:hAnsi="Times New Roman" w:cs="Times New Roman"/>
                <w:b/>
                <w:sz w:val="24"/>
                <w:szCs w:val="24"/>
                <w:lang w:val="bg-BG"/>
              </w:rPr>
              <w:t>Вид дейност</w:t>
            </w:r>
          </w:p>
        </w:tc>
        <w:tc>
          <w:tcPr>
            <w:tcW w:w="9355" w:type="dxa"/>
            <w:shd w:val="clear" w:color="auto" w:fill="auto"/>
          </w:tcPr>
          <w:p w14:paraId="013E3A94" w14:textId="77777777" w:rsidR="00DD7739" w:rsidRPr="00F60BF9" w:rsidRDefault="00DD7739" w:rsidP="00F60BF9">
            <w:pPr>
              <w:spacing w:after="0"/>
              <w:rPr>
                <w:rFonts w:ascii="Times New Roman" w:hAnsi="Times New Roman" w:cs="Times New Roman"/>
                <w:b/>
                <w:sz w:val="24"/>
                <w:szCs w:val="24"/>
                <w:lang w:val="bg-BG"/>
              </w:rPr>
            </w:pPr>
            <w:r w:rsidRPr="00F60BF9">
              <w:rPr>
                <w:rFonts w:ascii="Times New Roman" w:hAnsi="Times New Roman" w:cs="Times New Roman"/>
                <w:b/>
                <w:sz w:val="24"/>
                <w:szCs w:val="24"/>
                <w:lang w:val="bg-BG"/>
              </w:rPr>
              <w:t>Изпълнение на стратегии за ВОМР</w:t>
            </w:r>
          </w:p>
        </w:tc>
      </w:tr>
      <w:tr w:rsidR="00DD7739" w:rsidRPr="00DD7739" w14:paraId="7ADE6CCE" w14:textId="77777777" w:rsidTr="00F60BF9">
        <w:tc>
          <w:tcPr>
            <w:tcW w:w="2802" w:type="dxa"/>
            <w:shd w:val="clear" w:color="auto" w:fill="auto"/>
          </w:tcPr>
          <w:p w14:paraId="572B484C" w14:textId="77777777" w:rsidR="00DD7739" w:rsidRPr="00F60BF9" w:rsidRDefault="00DD7739" w:rsidP="00F60BF9">
            <w:pPr>
              <w:spacing w:after="0"/>
              <w:rPr>
                <w:rFonts w:cs="Times New Roman"/>
                <w:lang w:val="bg-BG"/>
              </w:rPr>
            </w:pPr>
            <w:r w:rsidRPr="00F60BF9">
              <w:rPr>
                <w:rFonts w:ascii="Times New Roman" w:hAnsi="Times New Roman" w:cs="Times New Roman"/>
                <w:sz w:val="24"/>
                <w:szCs w:val="24"/>
                <w:lang w:val="bg-BG"/>
              </w:rPr>
              <w:t>Критерии за подбор</w:t>
            </w:r>
          </w:p>
        </w:tc>
        <w:tc>
          <w:tcPr>
            <w:tcW w:w="9355" w:type="dxa"/>
            <w:shd w:val="clear" w:color="auto" w:fill="auto"/>
          </w:tcPr>
          <w:p w14:paraId="32816347" w14:textId="77777777" w:rsidR="00DD7739" w:rsidRPr="00F60BF9" w:rsidRDefault="00DD7739" w:rsidP="00F60BF9">
            <w:pPr>
              <w:numPr>
                <w:ilvl w:val="0"/>
                <w:numId w:val="17"/>
              </w:num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Географски район обхванат от стратегията във връзка с Националната програма за развитие БЪЛГАРИЯ 2030: </w:t>
            </w:r>
          </w:p>
          <w:p w14:paraId="28CA6234" w14:textId="77777777" w:rsidR="00DD7739" w:rsidRPr="00F60BF9" w:rsidRDefault="00DD7739" w:rsidP="00F60BF9">
            <w:pPr>
              <w:numPr>
                <w:ilvl w:val="0"/>
                <w:numId w:val="23"/>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Северозападен район - </w:t>
            </w:r>
            <w:r w:rsidRPr="00F60BF9">
              <w:rPr>
                <w:rFonts w:ascii="Times New Roman" w:hAnsi="Times New Roman" w:cs="Times New Roman"/>
                <w:b/>
                <w:sz w:val="24"/>
                <w:szCs w:val="24"/>
                <w:lang w:val="bg-BG"/>
              </w:rPr>
              <w:t>8 точки</w:t>
            </w:r>
          </w:p>
          <w:p w14:paraId="77261C56" w14:textId="77777777" w:rsidR="00DD7739" w:rsidRPr="00F60BF9" w:rsidRDefault="00DD7739" w:rsidP="00F60BF9">
            <w:pPr>
              <w:numPr>
                <w:ilvl w:val="0"/>
                <w:numId w:val="23"/>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Северен централен район - </w:t>
            </w:r>
            <w:r w:rsidRPr="00F60BF9">
              <w:rPr>
                <w:rFonts w:ascii="Times New Roman" w:hAnsi="Times New Roman" w:cs="Times New Roman"/>
                <w:b/>
                <w:sz w:val="24"/>
                <w:szCs w:val="24"/>
                <w:lang w:val="bg-BG"/>
              </w:rPr>
              <w:t>7 точки</w:t>
            </w:r>
          </w:p>
          <w:p w14:paraId="0C19F8F8" w14:textId="77777777" w:rsidR="00DD7739" w:rsidRPr="00F60BF9" w:rsidRDefault="00DD7739" w:rsidP="00F60BF9">
            <w:pPr>
              <w:numPr>
                <w:ilvl w:val="0"/>
                <w:numId w:val="23"/>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Южен централен район - </w:t>
            </w:r>
            <w:r w:rsidRPr="00F60BF9">
              <w:rPr>
                <w:rFonts w:ascii="Times New Roman" w:hAnsi="Times New Roman" w:cs="Times New Roman"/>
                <w:b/>
                <w:sz w:val="24"/>
                <w:szCs w:val="24"/>
                <w:lang w:val="bg-BG"/>
              </w:rPr>
              <w:t>6 точки</w:t>
            </w:r>
          </w:p>
          <w:p w14:paraId="5B7100F5" w14:textId="77777777" w:rsidR="00DD7739" w:rsidRPr="00F60BF9" w:rsidRDefault="00DD7739" w:rsidP="00F60BF9">
            <w:pPr>
              <w:numPr>
                <w:ilvl w:val="0"/>
                <w:numId w:val="23"/>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Югоизточен район - </w:t>
            </w:r>
            <w:r w:rsidRPr="00F60BF9">
              <w:rPr>
                <w:rFonts w:ascii="Times New Roman" w:hAnsi="Times New Roman" w:cs="Times New Roman"/>
                <w:b/>
                <w:sz w:val="24"/>
                <w:szCs w:val="24"/>
                <w:lang w:val="bg-BG"/>
              </w:rPr>
              <w:t>5 точки</w:t>
            </w:r>
          </w:p>
          <w:p w14:paraId="193EA00E" w14:textId="77777777" w:rsidR="00DD7739" w:rsidRPr="00F60BF9" w:rsidRDefault="00DD7739" w:rsidP="00F60BF9">
            <w:pPr>
              <w:numPr>
                <w:ilvl w:val="0"/>
                <w:numId w:val="23"/>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Североизточен район - </w:t>
            </w:r>
            <w:r w:rsidRPr="00F60BF9">
              <w:rPr>
                <w:rFonts w:ascii="Times New Roman" w:eastAsia="Times New Roman" w:hAnsi="Times New Roman" w:cs="Times New Roman"/>
                <w:b/>
                <w:sz w:val="24"/>
                <w:szCs w:val="24"/>
                <w:lang w:val="bg-BG"/>
              </w:rPr>
              <w:t>4</w:t>
            </w:r>
            <w:r w:rsidRPr="00F60BF9">
              <w:rPr>
                <w:rFonts w:ascii="Times New Roman" w:hAnsi="Times New Roman" w:cs="Times New Roman"/>
                <w:b/>
                <w:sz w:val="24"/>
                <w:szCs w:val="24"/>
                <w:lang w:val="bg-BG"/>
              </w:rPr>
              <w:t xml:space="preserve"> точки</w:t>
            </w:r>
          </w:p>
          <w:p w14:paraId="128F05E4" w14:textId="77777777" w:rsidR="00DD7739" w:rsidRPr="00F60BF9" w:rsidRDefault="00DD7739" w:rsidP="00F60BF9">
            <w:pPr>
              <w:numPr>
                <w:ilvl w:val="0"/>
                <w:numId w:val="23"/>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Югозападен район - </w:t>
            </w:r>
            <w:r w:rsidRPr="00F60BF9">
              <w:rPr>
                <w:rFonts w:ascii="Times New Roman" w:hAnsi="Times New Roman" w:cs="Times New Roman"/>
                <w:b/>
                <w:sz w:val="24"/>
                <w:szCs w:val="24"/>
                <w:lang w:val="bg-BG"/>
              </w:rPr>
              <w:t>3 точки</w:t>
            </w:r>
          </w:p>
          <w:p w14:paraId="13E1B646" w14:textId="77777777" w:rsidR="00DD7739" w:rsidRPr="00F60BF9" w:rsidRDefault="00DD7739"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Когато територията на МИРГ попада в повече от един район, се присъждат по- високия брой точки. </w:t>
            </w:r>
            <w:r w:rsidRPr="00F60BF9">
              <w:rPr>
                <w:rFonts w:ascii="Times New Roman" w:eastAsia="Times New Roman" w:hAnsi="Times New Roman" w:cs="Times New Roman"/>
                <w:b/>
                <w:sz w:val="24"/>
                <w:szCs w:val="24"/>
                <w:lang w:val="bg-BG"/>
              </w:rPr>
              <w:t>Максимален брой точки – 8.</w:t>
            </w:r>
          </w:p>
          <w:p w14:paraId="551A68FB" w14:textId="77777777" w:rsidR="00DD7739" w:rsidRPr="00F60BF9" w:rsidRDefault="00DD7739"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rPr>
            </w:pPr>
          </w:p>
          <w:p w14:paraId="713A3EF2" w14:textId="77777777" w:rsidR="00DD7739" w:rsidRPr="00F60BF9" w:rsidRDefault="00DD7739" w:rsidP="00F60BF9">
            <w:pPr>
              <w:numPr>
                <w:ilvl w:val="0"/>
                <w:numId w:val="17"/>
              </w:numPr>
              <w:tabs>
                <w:tab w:val="left" w:pos="-61"/>
              </w:tabs>
              <w:overflowPunct w:val="0"/>
              <w:autoSpaceDE w:val="0"/>
              <w:autoSpaceDN w:val="0"/>
              <w:adjustRightInd w:val="0"/>
              <w:spacing w:after="0" w:line="240" w:lineRule="auto"/>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Оценка на рибарската територия за допустимост за прилагане на подхода ВОМР:</w:t>
            </w:r>
          </w:p>
          <w:p w14:paraId="628DBAFB" w14:textId="77777777" w:rsidR="00DD7739" w:rsidRPr="00F60BF9" w:rsidRDefault="00DD7739"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2.1 Наличие на традиции в рибарството</w:t>
            </w:r>
            <w:r w:rsidRPr="00F60BF9">
              <w:rPr>
                <w:rFonts w:ascii="Times New Roman" w:eastAsia="Times New Roman" w:hAnsi="Times New Roman" w:cs="Times New Roman"/>
                <w:sz w:val="24"/>
                <w:szCs w:val="24"/>
                <w:vertAlign w:val="superscript"/>
                <w:lang w:val="bg-BG"/>
              </w:rPr>
              <w:footnoteReference w:id="1"/>
            </w:r>
            <w:r w:rsidRPr="00F60BF9">
              <w:rPr>
                <w:rFonts w:ascii="Times New Roman" w:eastAsia="Times New Roman" w:hAnsi="Times New Roman" w:cs="Times New Roman"/>
                <w:sz w:val="24"/>
                <w:szCs w:val="24"/>
                <w:lang w:val="bg-BG"/>
              </w:rPr>
              <w:t xml:space="preserve"> </w:t>
            </w:r>
            <w:r w:rsidRPr="00F60BF9">
              <w:rPr>
                <w:rFonts w:ascii="Times New Roman" w:eastAsia="Times New Roman" w:hAnsi="Times New Roman" w:cs="Times New Roman"/>
                <w:b/>
                <w:sz w:val="24"/>
                <w:szCs w:val="24"/>
                <w:lang w:val="bg-BG"/>
              </w:rPr>
              <w:t>(само едно твърдение е вярно)</w:t>
            </w:r>
            <w:r w:rsidRPr="00F60BF9">
              <w:rPr>
                <w:rFonts w:ascii="Times New Roman" w:eastAsia="Times New Roman" w:hAnsi="Times New Roman" w:cs="Times New Roman"/>
                <w:sz w:val="24"/>
                <w:szCs w:val="24"/>
                <w:lang w:val="bg-BG"/>
              </w:rPr>
              <w:t>:</w:t>
            </w:r>
          </w:p>
          <w:p w14:paraId="724B0CC4" w14:textId="77777777" w:rsidR="00DD7739" w:rsidRPr="00F60BF9" w:rsidRDefault="00DD7739" w:rsidP="00F60BF9">
            <w:pPr>
              <w:numPr>
                <w:ilvl w:val="0"/>
                <w:numId w:val="24"/>
              </w:numPr>
              <w:spacing w:after="0" w:line="240" w:lineRule="auto"/>
              <w:ind w:right="-63"/>
              <w:contextualSpacing/>
              <w:jc w:val="both"/>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На територията на всички общини, част от местното партньорство са налични доказателства за традиционен поминък рибарство през последните 20 и повече години (доказва се в стратегията чрез икономически и исторически официални данни, че населението на територията на всяка община е пряко ангажирано в годините с рибарство) - </w:t>
            </w:r>
            <w:r w:rsidRPr="00F60BF9">
              <w:rPr>
                <w:rFonts w:ascii="Times New Roman" w:hAnsi="Times New Roman" w:cs="Times New Roman"/>
                <w:b/>
                <w:sz w:val="24"/>
                <w:szCs w:val="24"/>
                <w:lang w:val="bg-BG"/>
              </w:rPr>
              <w:t>25 точки</w:t>
            </w:r>
            <w:r w:rsidRPr="00F60BF9">
              <w:rPr>
                <w:rFonts w:ascii="Times New Roman" w:eastAsia="Times New Roman" w:hAnsi="Times New Roman" w:cs="Times New Roman"/>
                <w:b/>
                <w:sz w:val="24"/>
                <w:szCs w:val="24"/>
                <w:lang w:val="bg-BG"/>
              </w:rPr>
              <w:t>;</w:t>
            </w:r>
          </w:p>
          <w:p w14:paraId="4435B663" w14:textId="77777777" w:rsidR="00DD7739" w:rsidRPr="00F60BF9" w:rsidRDefault="00DD7739" w:rsidP="00F60BF9">
            <w:pPr>
              <w:numPr>
                <w:ilvl w:val="0"/>
                <w:numId w:val="24"/>
              </w:numPr>
              <w:spacing w:after="0" w:line="240" w:lineRule="auto"/>
              <w:ind w:right="-63"/>
              <w:contextualSpacing/>
              <w:jc w:val="both"/>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На територията на поне една община, част от местното партньорство са налични доказателства за традиционен поминък рибарство през последните 20 и повече години (доказва се в стратегията чрез икономически и исторически официални данни, че населението на територията на всяка община е пряко ангажирано в годините с рибарство) </w:t>
            </w:r>
            <w:r w:rsidRPr="00F60BF9">
              <w:rPr>
                <w:rFonts w:ascii="Times New Roman" w:hAnsi="Times New Roman" w:cs="Times New Roman"/>
                <w:b/>
                <w:sz w:val="24"/>
                <w:szCs w:val="24"/>
                <w:lang w:val="bg-BG"/>
              </w:rPr>
              <w:t>10 точки</w:t>
            </w:r>
            <w:r w:rsidRPr="00F60BF9">
              <w:rPr>
                <w:rFonts w:ascii="Times New Roman" w:eastAsia="Times New Roman" w:hAnsi="Times New Roman" w:cs="Times New Roman"/>
                <w:b/>
                <w:sz w:val="24"/>
                <w:szCs w:val="24"/>
                <w:lang w:val="bg-BG"/>
              </w:rPr>
              <w:t xml:space="preserve">. </w:t>
            </w:r>
          </w:p>
          <w:p w14:paraId="5BA2BF1E" w14:textId="77777777" w:rsidR="00DD7739" w:rsidRPr="00F60BF9" w:rsidRDefault="00DD7739" w:rsidP="00F60BF9">
            <w:pPr>
              <w:tabs>
                <w:tab w:val="left" w:pos="-61"/>
              </w:tabs>
              <w:overflowPunct w:val="0"/>
              <w:autoSpaceDE w:val="0"/>
              <w:autoSpaceDN w:val="0"/>
              <w:adjustRightInd w:val="0"/>
              <w:spacing w:after="0"/>
              <w:ind w:left="144"/>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lastRenderedPageBreak/>
              <w:t>2.2 На територията на МИРГ се изпълняват дейности в сектори от устойчивата синя икономика</w:t>
            </w:r>
            <w:r w:rsidRPr="00F60BF9">
              <w:rPr>
                <w:rFonts w:ascii="Times New Roman" w:eastAsia="Times New Roman" w:hAnsi="Times New Roman" w:cs="Times New Roman"/>
                <w:sz w:val="24"/>
                <w:szCs w:val="24"/>
                <w:vertAlign w:val="superscript"/>
                <w:lang w:val="bg-BG"/>
              </w:rPr>
              <w:footnoteReference w:id="2"/>
            </w:r>
            <w:r w:rsidRPr="00F60BF9">
              <w:rPr>
                <w:rFonts w:ascii="Times New Roman" w:eastAsia="Times New Roman" w:hAnsi="Times New Roman" w:cs="Times New Roman"/>
                <w:sz w:val="24"/>
                <w:szCs w:val="24"/>
                <w:lang w:val="bg-BG"/>
              </w:rPr>
              <w:t xml:space="preserve"> </w:t>
            </w:r>
            <w:r w:rsidRPr="00F60BF9">
              <w:rPr>
                <w:rFonts w:ascii="Times New Roman" w:eastAsia="Times New Roman" w:hAnsi="Times New Roman" w:cs="Times New Roman"/>
                <w:b/>
                <w:sz w:val="24"/>
                <w:szCs w:val="24"/>
                <w:lang w:val="bg-BG"/>
              </w:rPr>
              <w:t>(само едно твърдение е вярно)</w:t>
            </w:r>
            <w:r w:rsidRPr="00F60BF9">
              <w:rPr>
                <w:rFonts w:ascii="Times New Roman" w:eastAsia="Times New Roman" w:hAnsi="Times New Roman" w:cs="Times New Roman"/>
                <w:sz w:val="24"/>
                <w:szCs w:val="24"/>
                <w:lang w:val="bg-BG"/>
              </w:rPr>
              <w:t>:</w:t>
            </w:r>
          </w:p>
          <w:p w14:paraId="0D8AC2DC" w14:textId="77777777" w:rsidR="00DD7739" w:rsidRPr="00F60BF9" w:rsidRDefault="00DD7739" w:rsidP="00F60BF9">
            <w:pPr>
              <w:numPr>
                <w:ilvl w:val="0"/>
                <w:numId w:val="25"/>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На територията на всяка община, партньор в МИРГ се изпълнява поне една дейност - </w:t>
            </w:r>
            <w:r w:rsidRPr="00F60BF9">
              <w:rPr>
                <w:rFonts w:ascii="Times New Roman" w:hAnsi="Times New Roman" w:cs="Times New Roman"/>
                <w:b/>
                <w:sz w:val="24"/>
                <w:szCs w:val="24"/>
                <w:lang w:val="bg-BG"/>
              </w:rPr>
              <w:t>25 точки</w:t>
            </w:r>
            <w:r w:rsidRPr="00F60BF9">
              <w:rPr>
                <w:rFonts w:ascii="Times New Roman" w:eastAsia="Times New Roman" w:hAnsi="Times New Roman" w:cs="Times New Roman"/>
                <w:b/>
                <w:sz w:val="24"/>
                <w:szCs w:val="24"/>
                <w:lang w:val="bg-BG"/>
              </w:rPr>
              <w:t>;</w:t>
            </w:r>
          </w:p>
          <w:p w14:paraId="1F62270C" w14:textId="77777777" w:rsidR="00DD7739" w:rsidRPr="00F60BF9" w:rsidRDefault="00DD7739" w:rsidP="00F60BF9">
            <w:pPr>
              <w:numPr>
                <w:ilvl w:val="0"/>
                <w:numId w:val="25"/>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На територията поне една община, партньор в МИРГ, но не на всяка община изпълнява поне една дейност </w:t>
            </w:r>
            <w:r w:rsidRPr="00F60BF9">
              <w:rPr>
                <w:rFonts w:ascii="Times New Roman" w:eastAsia="Times New Roman" w:hAnsi="Times New Roman" w:cs="Times New Roman"/>
                <w:b/>
                <w:sz w:val="24"/>
                <w:szCs w:val="24"/>
                <w:lang w:val="bg-BG"/>
              </w:rPr>
              <w:t>- 10</w:t>
            </w:r>
            <w:r w:rsidRPr="00F60BF9">
              <w:rPr>
                <w:rFonts w:ascii="Times New Roman" w:hAnsi="Times New Roman" w:cs="Times New Roman"/>
                <w:b/>
                <w:sz w:val="24"/>
                <w:szCs w:val="24"/>
                <w:lang w:val="bg-BG"/>
              </w:rPr>
              <w:t xml:space="preserve"> точки.</w:t>
            </w:r>
          </w:p>
          <w:p w14:paraId="1380C8E2" w14:textId="77777777" w:rsidR="00DD7739" w:rsidRPr="00F60BF9" w:rsidRDefault="00DD7739" w:rsidP="00F60BF9">
            <w:pPr>
              <w:tabs>
                <w:tab w:val="left" w:pos="-61"/>
              </w:tabs>
              <w:overflowPunct w:val="0"/>
              <w:autoSpaceDE w:val="0"/>
              <w:autoSpaceDN w:val="0"/>
              <w:adjustRightInd w:val="0"/>
              <w:spacing w:after="0"/>
              <w:ind w:left="864"/>
              <w:contextualSpacing/>
              <w:jc w:val="both"/>
              <w:textAlignment w:val="baseline"/>
              <w:rPr>
                <w:rFonts w:ascii="Times New Roman" w:eastAsia="Times New Roman" w:hAnsi="Times New Roman" w:cs="Times New Roman"/>
                <w:sz w:val="24"/>
                <w:szCs w:val="24"/>
                <w:lang w:val="bg-BG"/>
              </w:rPr>
            </w:pPr>
          </w:p>
          <w:p w14:paraId="4EA7518E" w14:textId="77777777" w:rsidR="00DD7739" w:rsidRPr="00F60BF9" w:rsidRDefault="00DD7739" w:rsidP="00F60BF9">
            <w:pPr>
              <w:numPr>
                <w:ilvl w:val="0"/>
                <w:numId w:val="17"/>
              </w:numPr>
              <w:tabs>
                <w:tab w:val="left" w:pos="-61"/>
              </w:tabs>
              <w:overflowPunct w:val="0"/>
              <w:autoSpaceDE w:val="0"/>
              <w:autoSpaceDN w:val="0"/>
              <w:adjustRightInd w:val="0"/>
              <w:spacing w:after="0" w:line="240" w:lineRule="auto"/>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Качество на SWOT-анализа</w:t>
            </w:r>
          </w:p>
          <w:p w14:paraId="03F08B0F" w14:textId="77777777" w:rsidR="00DD7739" w:rsidRPr="00F60BF9" w:rsidRDefault="00DD7739"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3.1 Качество на SWOT-анализа (само едно твърдение е вярно):</w:t>
            </w:r>
          </w:p>
          <w:p w14:paraId="3E136317" w14:textId="77777777" w:rsidR="00DD7739" w:rsidRPr="00F60BF9" w:rsidRDefault="00DD7739" w:rsidP="00F60BF9">
            <w:pPr>
              <w:numPr>
                <w:ilvl w:val="0"/>
                <w:numId w:val="26"/>
              </w:numPr>
              <w:tabs>
                <w:tab w:val="left" w:pos="-61"/>
              </w:tabs>
              <w:overflowPunct w:val="0"/>
              <w:autoSpaceDE w:val="0"/>
              <w:autoSpaceDN w:val="0"/>
              <w:adjustRightInd w:val="0"/>
              <w:spacing w:after="0" w:line="240" w:lineRule="auto"/>
              <w:contextualSpacing/>
              <w:jc w:val="both"/>
              <w:textAlignment w:val="baseline"/>
              <w:rPr>
                <w:lang w:val="bg-BG"/>
              </w:rPr>
            </w:pPr>
            <w:r w:rsidRPr="00F60BF9">
              <w:rPr>
                <w:rFonts w:ascii="Times New Roman" w:eastAsia="Times New Roman" w:hAnsi="Times New Roman" w:cs="Times New Roman"/>
                <w:sz w:val="24"/>
                <w:szCs w:val="24"/>
                <w:lang w:val="bg-BG"/>
              </w:rPr>
              <w:t xml:space="preserve">SWOT-анализът е ясно построен, на базата на изведените в стратегията за ВОМР на територията предизвикателства, научени уроци и предприети до настоящия момент мерки. От него са изведени ясни, логични и специфични за територията потребности – </w:t>
            </w:r>
            <w:r w:rsidRPr="00F60BF9">
              <w:rPr>
                <w:rFonts w:ascii="Times New Roman" w:eastAsia="Times New Roman" w:hAnsi="Times New Roman" w:cs="Times New Roman"/>
                <w:b/>
                <w:sz w:val="24"/>
                <w:szCs w:val="24"/>
                <w:lang w:val="bg-BG"/>
              </w:rPr>
              <w:t>25 точки</w:t>
            </w:r>
            <w:r w:rsidRPr="00F60BF9">
              <w:rPr>
                <w:rFonts w:ascii="Times New Roman" w:eastAsia="Times New Roman" w:hAnsi="Times New Roman" w:cs="Times New Roman"/>
                <w:sz w:val="24"/>
                <w:szCs w:val="24"/>
                <w:lang w:val="bg-BG"/>
              </w:rPr>
              <w:t>.</w:t>
            </w:r>
          </w:p>
          <w:p w14:paraId="08CD3C61" w14:textId="77777777" w:rsidR="00DD7739" w:rsidRPr="00F60BF9" w:rsidRDefault="00DD7739" w:rsidP="00F60BF9">
            <w:pPr>
              <w:numPr>
                <w:ilvl w:val="0"/>
                <w:numId w:val="26"/>
              </w:numPr>
              <w:tabs>
                <w:tab w:val="left" w:pos="-61"/>
              </w:tabs>
              <w:overflowPunct w:val="0"/>
              <w:autoSpaceDE w:val="0"/>
              <w:autoSpaceDN w:val="0"/>
              <w:adjustRightInd w:val="0"/>
              <w:spacing w:after="0" w:line="240" w:lineRule="auto"/>
              <w:contextualSpacing/>
              <w:jc w:val="both"/>
              <w:textAlignment w:val="baseline"/>
              <w:rPr>
                <w:lang w:val="bg-BG"/>
              </w:rPr>
            </w:pPr>
            <w:r w:rsidRPr="00F60BF9">
              <w:rPr>
                <w:rFonts w:ascii="Times New Roman" w:eastAsia="Times New Roman" w:hAnsi="Times New Roman" w:cs="Times New Roman"/>
                <w:sz w:val="24"/>
                <w:szCs w:val="24"/>
                <w:lang w:val="bg-BG"/>
              </w:rPr>
              <w:t xml:space="preserve">SWOT-анализът е ясно построен, на базата на изведените в стратегията за ВОМР на територията предизвикателства, научени уроци и предприети до настоящия момент мерки, но и не извежда ясни, логични и специфични за рибарската територия потребности – </w:t>
            </w:r>
            <w:r w:rsidRPr="00F60BF9">
              <w:rPr>
                <w:rFonts w:ascii="Times New Roman" w:eastAsia="Times New Roman" w:hAnsi="Times New Roman" w:cs="Times New Roman"/>
                <w:b/>
                <w:sz w:val="24"/>
                <w:szCs w:val="24"/>
                <w:lang w:val="bg-BG"/>
              </w:rPr>
              <w:t>10 точки</w:t>
            </w:r>
            <w:r w:rsidRPr="00F60BF9">
              <w:rPr>
                <w:rFonts w:ascii="Times New Roman" w:eastAsia="Times New Roman" w:hAnsi="Times New Roman" w:cs="Times New Roman"/>
                <w:sz w:val="24"/>
                <w:szCs w:val="24"/>
                <w:lang w:val="bg-BG"/>
              </w:rPr>
              <w:t>.</w:t>
            </w:r>
          </w:p>
          <w:p w14:paraId="4492129B" w14:textId="77777777" w:rsidR="00DD7739" w:rsidRPr="00F60BF9" w:rsidRDefault="00DD7739" w:rsidP="00F60BF9">
            <w:pPr>
              <w:numPr>
                <w:ilvl w:val="0"/>
                <w:numId w:val="26"/>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lastRenderedPageBreak/>
              <w:t xml:space="preserve">SWOT-анализът извежда ясни, логични и специфични за рибарската територия потребности, но не е ясно построен, на базата на изведените в стратегията за ВОМР на територията предизвикателства, научени уроци и предприети до настоящия момент мерки – </w:t>
            </w:r>
            <w:r w:rsidRPr="00F60BF9">
              <w:rPr>
                <w:rFonts w:ascii="Times New Roman" w:eastAsia="Times New Roman" w:hAnsi="Times New Roman" w:cs="Times New Roman"/>
                <w:b/>
                <w:sz w:val="24"/>
                <w:szCs w:val="24"/>
                <w:lang w:val="bg-BG"/>
              </w:rPr>
              <w:t>5 точки</w:t>
            </w:r>
            <w:r w:rsidRPr="00F60BF9">
              <w:rPr>
                <w:rFonts w:ascii="Times New Roman" w:eastAsia="Times New Roman" w:hAnsi="Times New Roman" w:cs="Times New Roman"/>
                <w:sz w:val="24"/>
                <w:szCs w:val="24"/>
                <w:lang w:val="bg-BG"/>
              </w:rPr>
              <w:t>.</w:t>
            </w:r>
          </w:p>
          <w:p w14:paraId="32E09515" w14:textId="77777777" w:rsidR="00DD7739" w:rsidRPr="00F60BF9" w:rsidRDefault="00DD7739" w:rsidP="00F60BF9">
            <w:pPr>
              <w:numPr>
                <w:ilvl w:val="0"/>
                <w:numId w:val="26"/>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SWOT-анализът не е ясно построен, на базата на изведените в стратегията за ВОМР на територията предизвикателства, научени уроци и предприети до настоящия момент мерки и не извежда ясни, логични и специфични за рибарската територия потребности – </w:t>
            </w:r>
            <w:r w:rsidRPr="00F60BF9">
              <w:rPr>
                <w:rFonts w:ascii="Times New Roman" w:eastAsia="Times New Roman" w:hAnsi="Times New Roman" w:cs="Times New Roman"/>
                <w:b/>
                <w:sz w:val="24"/>
                <w:szCs w:val="24"/>
                <w:lang w:val="bg-BG"/>
              </w:rPr>
              <w:t>не се присъждат точки</w:t>
            </w:r>
            <w:r w:rsidRPr="00F60BF9">
              <w:rPr>
                <w:rFonts w:ascii="Times New Roman" w:eastAsia="Times New Roman" w:hAnsi="Times New Roman" w:cs="Times New Roman"/>
                <w:sz w:val="24"/>
                <w:szCs w:val="24"/>
                <w:lang w:val="bg-BG"/>
              </w:rPr>
              <w:t xml:space="preserve">. </w:t>
            </w:r>
          </w:p>
          <w:p w14:paraId="6CC4191F"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p>
          <w:p w14:paraId="3A04B9F1" w14:textId="77777777" w:rsidR="00DD7739" w:rsidRPr="00F60BF9" w:rsidRDefault="00DD7739" w:rsidP="00F60BF9">
            <w:pPr>
              <w:spacing w:after="0"/>
              <w:jc w:val="both"/>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3.2 Изведените нужди са в синергия с нуждите, изведени в ПМДРА за прилагането на подхода ВОМР в програмен период 2021-2027 г. </w:t>
            </w:r>
          </w:p>
          <w:p w14:paraId="625E19CE" w14:textId="77777777" w:rsidR="00DD7739" w:rsidRPr="00F60BF9" w:rsidRDefault="00DD7739" w:rsidP="00F60BF9">
            <w:pPr>
              <w:spacing w:after="0"/>
              <w:jc w:val="both"/>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Минимално изпълнение на критерия – </w:t>
            </w:r>
            <w:r w:rsidRPr="00F60BF9">
              <w:rPr>
                <w:rFonts w:ascii="Times New Roman" w:eastAsia="Times New Roman" w:hAnsi="Times New Roman" w:cs="Times New Roman"/>
                <w:b/>
                <w:sz w:val="24"/>
                <w:szCs w:val="24"/>
                <w:lang w:val="bg-BG"/>
              </w:rPr>
              <w:t>5 точки</w:t>
            </w:r>
          </w:p>
          <w:p w14:paraId="4F10EA12" w14:textId="77777777" w:rsidR="00DD7739" w:rsidRPr="00F60BF9" w:rsidRDefault="00DD7739" w:rsidP="00F60BF9">
            <w:pPr>
              <w:spacing w:after="0"/>
              <w:jc w:val="both"/>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Средно изпълнение на критерия (синергия с поне половината от нуждите) – </w:t>
            </w:r>
            <w:r w:rsidRPr="00F60BF9">
              <w:rPr>
                <w:rFonts w:ascii="Times New Roman" w:eastAsia="Times New Roman" w:hAnsi="Times New Roman" w:cs="Times New Roman"/>
                <w:b/>
                <w:sz w:val="24"/>
                <w:szCs w:val="24"/>
                <w:lang w:val="bg-BG"/>
              </w:rPr>
              <w:t>10 точки</w:t>
            </w:r>
          </w:p>
          <w:p w14:paraId="56F0A681" w14:textId="77777777" w:rsidR="00DD7739" w:rsidRPr="00F60BF9" w:rsidRDefault="00DD7739" w:rsidP="00F60BF9">
            <w:pPr>
              <w:spacing w:after="0"/>
              <w:jc w:val="both"/>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Максимално изпълнение на критерия – </w:t>
            </w:r>
            <w:r w:rsidRPr="00F60BF9">
              <w:rPr>
                <w:rFonts w:ascii="Times New Roman" w:eastAsia="Times New Roman" w:hAnsi="Times New Roman" w:cs="Times New Roman"/>
                <w:b/>
                <w:sz w:val="24"/>
                <w:szCs w:val="24"/>
                <w:lang w:val="bg-BG"/>
              </w:rPr>
              <w:t>15 точки</w:t>
            </w:r>
          </w:p>
          <w:p w14:paraId="69308744"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p>
          <w:p w14:paraId="05C224D5" w14:textId="77777777" w:rsidR="00DD7739" w:rsidRPr="00F60BF9" w:rsidRDefault="00DD7739" w:rsidP="00F60BF9">
            <w:pPr>
              <w:spacing w:after="0"/>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3.3 Изведените нужди са обосновани на база на анализите в стратегията. Изведени са взаимовръзки между нуждите и спецификата на рибарската територия </w:t>
            </w:r>
          </w:p>
          <w:p w14:paraId="040BACCA" w14:textId="77777777" w:rsidR="00DD7739" w:rsidRPr="00F60BF9" w:rsidRDefault="00DD7739" w:rsidP="00F60BF9">
            <w:pPr>
              <w:spacing w:after="0" w:line="240" w:lineRule="auto"/>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Минимално изпълнение на критерия – </w:t>
            </w:r>
            <w:r w:rsidRPr="00F60BF9">
              <w:rPr>
                <w:rFonts w:ascii="Times New Roman" w:eastAsia="Times New Roman" w:hAnsi="Times New Roman" w:cs="Times New Roman"/>
                <w:b/>
                <w:sz w:val="24"/>
                <w:szCs w:val="24"/>
                <w:lang w:val="bg-BG"/>
              </w:rPr>
              <w:t>5 точки</w:t>
            </w:r>
          </w:p>
          <w:p w14:paraId="4EF077B5" w14:textId="77777777" w:rsidR="00DD7739" w:rsidRPr="00F60BF9" w:rsidRDefault="00DD7739" w:rsidP="00F60BF9">
            <w:pPr>
              <w:spacing w:after="0" w:line="240" w:lineRule="auto"/>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Средно изпълнение на критерия (поне половина са обосновани) – </w:t>
            </w:r>
            <w:r w:rsidRPr="00F60BF9">
              <w:rPr>
                <w:rFonts w:ascii="Times New Roman" w:eastAsia="Times New Roman" w:hAnsi="Times New Roman" w:cs="Times New Roman"/>
                <w:b/>
                <w:sz w:val="24"/>
                <w:szCs w:val="24"/>
                <w:lang w:val="bg-BG"/>
              </w:rPr>
              <w:t>10 точки</w:t>
            </w:r>
          </w:p>
          <w:p w14:paraId="7A2D28AD" w14:textId="77777777" w:rsidR="00DD7739" w:rsidRPr="00F60BF9" w:rsidRDefault="00DD7739" w:rsidP="00F60BF9">
            <w:pPr>
              <w:spacing w:after="0"/>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Максимално изпълнение на критерия – </w:t>
            </w:r>
            <w:r w:rsidRPr="00F60BF9">
              <w:rPr>
                <w:rFonts w:ascii="Times New Roman" w:eastAsia="Times New Roman" w:hAnsi="Times New Roman" w:cs="Times New Roman"/>
                <w:b/>
                <w:sz w:val="24"/>
                <w:szCs w:val="24"/>
                <w:lang w:val="bg-BG"/>
              </w:rPr>
              <w:t>15 точки</w:t>
            </w:r>
          </w:p>
          <w:p w14:paraId="317E7174"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p>
          <w:p w14:paraId="5AD34BAD" w14:textId="77777777" w:rsidR="00DD7739" w:rsidRPr="00F60BF9" w:rsidRDefault="00DD7739" w:rsidP="00F60BF9">
            <w:pPr>
              <w:numPr>
                <w:ilvl w:val="0"/>
                <w:numId w:val="17"/>
              </w:numPr>
              <w:tabs>
                <w:tab w:val="left" w:pos="-61"/>
              </w:tabs>
              <w:overflowPunct w:val="0"/>
              <w:autoSpaceDE w:val="0"/>
              <w:autoSpaceDN w:val="0"/>
              <w:adjustRightInd w:val="0"/>
              <w:spacing w:after="0" w:line="240" w:lineRule="auto"/>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Публично и прозрачно формиране на местното партньорство в рибарската територия:</w:t>
            </w:r>
          </w:p>
          <w:p w14:paraId="770B1232" w14:textId="77777777" w:rsidR="00DD7739" w:rsidRPr="00F60BF9" w:rsidRDefault="00DD7739"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rPr>
            </w:pPr>
          </w:p>
          <w:p w14:paraId="7EC60D02"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4.1 На рибарската територия е проведена консултация за изготвянето на стратегията за ВОМР със заинтересованите страни. Налична е ясна аргументация съгласно анализа на заинтересованите страни, част от стратегията за ВОМР: </w:t>
            </w:r>
          </w:p>
          <w:p w14:paraId="0EEE07E1"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социални, </w:t>
            </w:r>
          </w:p>
          <w:p w14:paraId="5CB109D8"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културни, </w:t>
            </w:r>
          </w:p>
          <w:p w14:paraId="0ED38BC6"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lastRenderedPageBreak/>
              <w:t xml:space="preserve">екологични, </w:t>
            </w:r>
          </w:p>
          <w:p w14:paraId="64A5D869"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представители на местния бизнес, </w:t>
            </w:r>
          </w:p>
          <w:p w14:paraId="496C17CD"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риболовния туризъм,</w:t>
            </w:r>
          </w:p>
          <w:p w14:paraId="52D9DD47"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любителския риболов (физически лица)</w:t>
            </w:r>
          </w:p>
          <w:p w14:paraId="0B0AC36A"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местната власт,</w:t>
            </w:r>
          </w:p>
          <w:p w14:paraId="36F76C16"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рибарски сдружения и ловно-рибарски сдружения. </w:t>
            </w:r>
          </w:p>
          <w:p w14:paraId="4CFA52C5" w14:textId="77777777" w:rsidR="00DD7739" w:rsidRPr="00F60BF9" w:rsidRDefault="00DD7739" w:rsidP="00F60BF9">
            <w:pPr>
              <w:tabs>
                <w:tab w:val="left" w:pos="-61"/>
              </w:tabs>
              <w:overflowPunct w:val="0"/>
              <w:autoSpaceDE w:val="0"/>
              <w:autoSpaceDN w:val="0"/>
              <w:adjustRightInd w:val="0"/>
              <w:spacing w:after="0"/>
              <w:ind w:left="834"/>
              <w:contextualSpacing/>
              <w:jc w:val="both"/>
              <w:textAlignment w:val="baseline"/>
              <w:rPr>
                <w:rFonts w:ascii="Times New Roman" w:eastAsia="Times New Roman" w:hAnsi="Times New Roman" w:cs="Times New Roman"/>
                <w:sz w:val="24"/>
                <w:szCs w:val="24"/>
                <w:lang w:val="bg-BG"/>
              </w:rPr>
            </w:pPr>
          </w:p>
          <w:p w14:paraId="3A46340C" w14:textId="77777777" w:rsidR="00DD7739" w:rsidRPr="00F60BF9" w:rsidRDefault="00DD7739" w:rsidP="00F60BF9">
            <w:p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Един представител може да представлява само една от изброените групи.</w:t>
            </w:r>
          </w:p>
          <w:p w14:paraId="32477A17" w14:textId="77777777" w:rsidR="00DD7739" w:rsidRPr="00F60BF9" w:rsidRDefault="00DD7739" w:rsidP="00F60BF9">
            <w:pPr>
              <w:spacing w:after="0"/>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При наличие на поне един представител от изброените групи, за всяка представена група се присъждат </w:t>
            </w:r>
            <w:r w:rsidRPr="00F60BF9">
              <w:rPr>
                <w:rFonts w:ascii="Times New Roman" w:eastAsia="Times New Roman" w:hAnsi="Times New Roman" w:cs="Times New Roman"/>
                <w:b/>
                <w:sz w:val="24"/>
                <w:szCs w:val="24"/>
                <w:lang w:val="bg-BG"/>
              </w:rPr>
              <w:t xml:space="preserve">3 точки, максимум 24 точки. </w:t>
            </w:r>
            <w:r w:rsidRPr="00F60BF9">
              <w:rPr>
                <w:rFonts w:ascii="Times New Roman" w:eastAsia="Times New Roman" w:hAnsi="Times New Roman" w:cs="Times New Roman"/>
                <w:sz w:val="24"/>
                <w:szCs w:val="24"/>
                <w:lang w:val="bg-BG"/>
              </w:rPr>
              <w:t>Точки се присъждат единствено, когато някоя от изброените групи е определена в стратегията с налична обосновка.</w:t>
            </w:r>
          </w:p>
          <w:p w14:paraId="7B239400" w14:textId="77777777" w:rsidR="00DD7739" w:rsidRPr="00F60BF9" w:rsidRDefault="00DD7739" w:rsidP="00F60BF9">
            <w:pPr>
              <w:spacing w:after="0"/>
              <w:rPr>
                <w:rFonts w:ascii="Times New Roman" w:eastAsia="Times New Roman" w:hAnsi="Times New Roman" w:cs="Times New Roman"/>
                <w:b/>
                <w:sz w:val="24"/>
                <w:szCs w:val="24"/>
                <w:lang w:val="bg-BG"/>
              </w:rPr>
            </w:pPr>
          </w:p>
          <w:p w14:paraId="1EF1C76D"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4.2 Участие на представители на следните заинтересовани страни във процеса на формиране на общото събрание. Налична е ясна аргументация как посочените групи са обвързани с рибарството и идентичността на МИРГ съгласно анализа на заинтересованите страни, част от стратегията за ВОМР:</w:t>
            </w:r>
          </w:p>
          <w:p w14:paraId="3C7C6B27"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социални, </w:t>
            </w:r>
          </w:p>
          <w:p w14:paraId="0C2786BF"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културни, </w:t>
            </w:r>
          </w:p>
          <w:p w14:paraId="6368FD1D"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екологични, </w:t>
            </w:r>
          </w:p>
          <w:p w14:paraId="4DC3366C"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представители на местния бизнес, </w:t>
            </w:r>
          </w:p>
          <w:p w14:paraId="550BB4DC"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риболовния туризъм,</w:t>
            </w:r>
          </w:p>
          <w:p w14:paraId="3D263DC7"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любителския риболов (физически лица)</w:t>
            </w:r>
          </w:p>
          <w:p w14:paraId="7F1CDDAC"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местната власт,</w:t>
            </w:r>
          </w:p>
          <w:p w14:paraId="1170FC49"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рибарски сдружения и ловно-рибарски сдружения. </w:t>
            </w:r>
          </w:p>
          <w:p w14:paraId="368B261B" w14:textId="77777777" w:rsidR="00DD7739" w:rsidRPr="00F60BF9" w:rsidRDefault="00DD7739" w:rsidP="00F60BF9">
            <w:p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p>
          <w:p w14:paraId="1341AC62" w14:textId="77777777" w:rsidR="00DD7739" w:rsidRPr="00F60BF9" w:rsidRDefault="00DD7739" w:rsidP="00F60BF9">
            <w:p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Един представител може да представлява само една от изброените групи.</w:t>
            </w:r>
          </w:p>
          <w:p w14:paraId="597EE585" w14:textId="77777777" w:rsidR="00DD7739" w:rsidRPr="00F60BF9" w:rsidRDefault="00DD7739" w:rsidP="00F60BF9">
            <w:p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p>
          <w:p w14:paraId="743808D0" w14:textId="77777777" w:rsidR="00DD7739" w:rsidRPr="00F60BF9" w:rsidRDefault="00DD7739" w:rsidP="00F60BF9">
            <w:pPr>
              <w:spacing w:after="0"/>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При наличие на поне един представител от изброените групи, за всяка представена група се присъждат </w:t>
            </w:r>
            <w:r w:rsidRPr="00F60BF9">
              <w:rPr>
                <w:rFonts w:ascii="Times New Roman" w:eastAsia="Times New Roman" w:hAnsi="Times New Roman" w:cs="Times New Roman"/>
                <w:b/>
                <w:sz w:val="24"/>
                <w:szCs w:val="24"/>
                <w:lang w:val="bg-BG"/>
              </w:rPr>
              <w:t xml:space="preserve">3 точки, максимум 24 точки. </w:t>
            </w:r>
            <w:r w:rsidRPr="00F60BF9">
              <w:rPr>
                <w:rFonts w:ascii="Times New Roman" w:eastAsia="Times New Roman" w:hAnsi="Times New Roman" w:cs="Times New Roman"/>
                <w:sz w:val="24"/>
                <w:szCs w:val="24"/>
                <w:lang w:val="bg-BG"/>
              </w:rPr>
              <w:t xml:space="preserve">Точки се присъждат единствено, </w:t>
            </w:r>
            <w:r w:rsidRPr="00F60BF9">
              <w:rPr>
                <w:rFonts w:ascii="Times New Roman" w:eastAsia="Times New Roman" w:hAnsi="Times New Roman" w:cs="Times New Roman"/>
                <w:sz w:val="24"/>
                <w:szCs w:val="24"/>
                <w:lang w:val="bg-BG"/>
              </w:rPr>
              <w:lastRenderedPageBreak/>
              <w:t>когато някоя от изброените групи е определена в стратегията с налична обосновка.</w:t>
            </w:r>
          </w:p>
          <w:p w14:paraId="24B70A2D" w14:textId="77777777" w:rsidR="00DD7739" w:rsidRPr="00F60BF9" w:rsidRDefault="00DD7739" w:rsidP="00F60BF9">
            <w:pPr>
              <w:spacing w:after="0"/>
              <w:rPr>
                <w:rFonts w:ascii="Times New Roman" w:eastAsia="Times New Roman" w:hAnsi="Times New Roman" w:cs="Times New Roman"/>
                <w:b/>
                <w:sz w:val="24"/>
                <w:szCs w:val="24"/>
                <w:lang w:val="bg-BG"/>
              </w:rPr>
            </w:pPr>
          </w:p>
          <w:p w14:paraId="1D0E2882"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4.3 Наличие на представители на следните заинтересовани страни във общото събрание. Налична е ясна аргументация как посочените групи са обвързани с рибарството и идентичността на МИРГ съгласно анализа на заинтересованите страни, част от стратегията за ВОМР:</w:t>
            </w:r>
          </w:p>
          <w:p w14:paraId="4334B3A1"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социални, </w:t>
            </w:r>
          </w:p>
          <w:p w14:paraId="57DC0E5D"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културни, </w:t>
            </w:r>
          </w:p>
          <w:p w14:paraId="301FEEB0"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екологични, </w:t>
            </w:r>
          </w:p>
          <w:p w14:paraId="541494CD"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представители на местния бизнес, </w:t>
            </w:r>
          </w:p>
          <w:p w14:paraId="349D6586"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риболовния туризъм,</w:t>
            </w:r>
          </w:p>
          <w:p w14:paraId="154C927C"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любителския риболов (физически лица)</w:t>
            </w:r>
          </w:p>
          <w:p w14:paraId="359C597E"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местната власт,</w:t>
            </w:r>
          </w:p>
          <w:p w14:paraId="4A220453" w14:textId="77777777" w:rsidR="00DD7739" w:rsidRPr="00F60BF9" w:rsidRDefault="00DD7739"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рибарски сдружения и ловно-рибарски сдружения. </w:t>
            </w:r>
          </w:p>
          <w:p w14:paraId="160CBDEB" w14:textId="77777777" w:rsidR="00DD7739" w:rsidRPr="00F60BF9" w:rsidRDefault="00DD7739" w:rsidP="00F60BF9">
            <w:p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p>
          <w:p w14:paraId="01DEAB14" w14:textId="77777777" w:rsidR="00DD7739" w:rsidRPr="00F60BF9" w:rsidRDefault="00DD7739" w:rsidP="00F60BF9">
            <w:p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Един представител може да представлява само една от изброените групи.</w:t>
            </w:r>
          </w:p>
          <w:p w14:paraId="5655D569" w14:textId="77777777" w:rsidR="00DD7739" w:rsidRPr="00F60BF9" w:rsidRDefault="00DD7739" w:rsidP="00F60BF9">
            <w:pPr>
              <w:spacing w:after="0"/>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При наличие на поне един представител от изброените групи, за всяка представена група се присъждат </w:t>
            </w:r>
            <w:r w:rsidRPr="00F60BF9">
              <w:rPr>
                <w:rFonts w:ascii="Times New Roman" w:eastAsia="Times New Roman" w:hAnsi="Times New Roman" w:cs="Times New Roman"/>
                <w:b/>
                <w:sz w:val="24"/>
                <w:szCs w:val="24"/>
                <w:lang w:val="bg-BG"/>
              </w:rPr>
              <w:t xml:space="preserve">3 точки, максимум 24 точки. </w:t>
            </w:r>
            <w:r w:rsidRPr="00F60BF9">
              <w:rPr>
                <w:rFonts w:ascii="Times New Roman" w:eastAsia="Times New Roman" w:hAnsi="Times New Roman" w:cs="Times New Roman"/>
                <w:sz w:val="24"/>
                <w:szCs w:val="24"/>
                <w:lang w:val="bg-BG"/>
              </w:rPr>
              <w:t>Точки се присъждат единствено, когато някоя от изброените групи е определена в стратегията с налична обосновка.</w:t>
            </w:r>
          </w:p>
          <w:p w14:paraId="35E9115D" w14:textId="77777777" w:rsidR="00DD7739" w:rsidRPr="00F60BF9" w:rsidRDefault="00DD7739" w:rsidP="00F60BF9">
            <w:pPr>
              <w:spacing w:after="0"/>
              <w:rPr>
                <w:rFonts w:ascii="Times New Roman" w:eastAsia="Times New Roman" w:hAnsi="Times New Roman" w:cs="Times New Roman"/>
                <w:b/>
                <w:sz w:val="24"/>
                <w:szCs w:val="24"/>
                <w:lang w:val="bg-BG"/>
              </w:rPr>
            </w:pPr>
          </w:p>
          <w:p w14:paraId="494BDCB3" w14:textId="77777777" w:rsidR="00DD7739" w:rsidRPr="00F60BF9" w:rsidRDefault="00DD7739" w:rsidP="00F60BF9">
            <w:pPr>
              <w:spacing w:after="0"/>
              <w:rPr>
                <w:rFonts w:ascii="Times New Roman" w:eastAsia="Times New Roman" w:hAnsi="Times New Roman" w:cs="Times New Roman"/>
                <w:b/>
                <w:sz w:val="24"/>
                <w:szCs w:val="24"/>
                <w:lang w:val="bg-BG"/>
              </w:rPr>
            </w:pPr>
          </w:p>
          <w:p w14:paraId="7E5E968A" w14:textId="77777777" w:rsidR="00DD7739" w:rsidRPr="00F60BF9" w:rsidRDefault="00DD773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4.4 Наличие на представители на рибарския сектор в управителния съвет на МИРГ съгласно анализа на заинтересованите страни, част от стратегията за ВОМР – </w:t>
            </w:r>
            <w:r w:rsidRPr="00F60BF9">
              <w:rPr>
                <w:rFonts w:ascii="Times New Roman" w:eastAsia="Times New Roman" w:hAnsi="Times New Roman" w:cs="Times New Roman"/>
                <w:b/>
                <w:sz w:val="24"/>
                <w:szCs w:val="24"/>
                <w:lang w:val="bg-BG"/>
              </w:rPr>
              <w:t>20 точки</w:t>
            </w:r>
          </w:p>
          <w:p w14:paraId="0DC23255" w14:textId="77777777" w:rsidR="00DD7739" w:rsidRPr="00F60BF9" w:rsidRDefault="00DD773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Точки се присъждат единствено, когато са налични представители на рибарския сектор.</w:t>
            </w:r>
          </w:p>
          <w:p w14:paraId="6E11A6A4" w14:textId="77777777" w:rsidR="00DD7739" w:rsidRPr="00F60BF9" w:rsidRDefault="00DD7739" w:rsidP="00F60BF9">
            <w:p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p>
          <w:p w14:paraId="3632D186"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4.5 Участие на  (1) жени, (2) жители на територията под 30 години или (3) представители на уязвими социални групи (физически лица) във формираното общо събрание съгласно анализа на заинтересованите страни, част от стратегията за ВОМР. </w:t>
            </w:r>
            <w:r w:rsidRPr="00F60BF9">
              <w:rPr>
                <w:rFonts w:ascii="Times New Roman" w:eastAsia="Times New Roman" w:hAnsi="Times New Roman" w:cs="Times New Roman"/>
                <w:sz w:val="24"/>
                <w:szCs w:val="24"/>
                <w:lang w:val="bg-BG"/>
              </w:rPr>
              <w:lastRenderedPageBreak/>
              <w:t xml:space="preserve">При наличие на поне един представител от изброените групи, за всяка представена група се присъждат </w:t>
            </w:r>
            <w:r w:rsidRPr="00F60BF9">
              <w:rPr>
                <w:rFonts w:ascii="Times New Roman" w:eastAsia="Times New Roman" w:hAnsi="Times New Roman" w:cs="Times New Roman"/>
                <w:b/>
                <w:sz w:val="24"/>
                <w:szCs w:val="24"/>
                <w:lang w:val="bg-BG"/>
              </w:rPr>
              <w:t>5 точки</w:t>
            </w:r>
            <w:r w:rsidRPr="00F60BF9">
              <w:rPr>
                <w:rFonts w:ascii="Times New Roman" w:eastAsia="Times New Roman" w:hAnsi="Times New Roman" w:cs="Times New Roman"/>
                <w:sz w:val="24"/>
                <w:szCs w:val="24"/>
                <w:lang w:val="bg-BG"/>
              </w:rPr>
              <w:t xml:space="preserve">. Един представител може да представлява само една от изброените групи. </w:t>
            </w:r>
          </w:p>
          <w:p w14:paraId="569CC38A"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b/>
                <w:sz w:val="24"/>
                <w:szCs w:val="24"/>
                <w:lang w:val="bg-BG"/>
              </w:rPr>
            </w:pPr>
            <w:r w:rsidRPr="00F60BF9">
              <w:rPr>
                <w:rFonts w:ascii="Times New Roman" w:eastAsia="Times New Roman" w:hAnsi="Times New Roman" w:cs="Times New Roman"/>
                <w:b/>
                <w:sz w:val="24"/>
                <w:szCs w:val="24"/>
                <w:lang w:val="bg-BG"/>
              </w:rPr>
              <w:t xml:space="preserve">Максимален брой точки – 15. </w:t>
            </w:r>
            <w:r w:rsidRPr="00F60BF9">
              <w:rPr>
                <w:rFonts w:ascii="Times New Roman" w:eastAsia="Times New Roman" w:hAnsi="Times New Roman" w:cs="Times New Roman"/>
                <w:sz w:val="24"/>
                <w:szCs w:val="24"/>
                <w:lang w:val="bg-BG"/>
              </w:rPr>
              <w:t>Точки се присъждат единствено, когато някоя от изброените групи е определена в стратегията с налична обосновка.</w:t>
            </w:r>
          </w:p>
          <w:p w14:paraId="5706785F"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p>
          <w:p w14:paraId="2E44BC4A" w14:textId="77777777" w:rsidR="00DD7739" w:rsidRPr="00F60BF9" w:rsidRDefault="00DD7739" w:rsidP="00F60BF9">
            <w:pPr>
              <w:numPr>
                <w:ilvl w:val="0"/>
                <w:numId w:val="17"/>
              </w:num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Измеримо, резултатно и изпълнимо дефиниране на видовете дейности по стратегията за местно развитие, качество на стратегията</w:t>
            </w:r>
          </w:p>
          <w:p w14:paraId="1DF82C51" w14:textId="77777777" w:rsidR="00DD7739" w:rsidRPr="00F60BF9" w:rsidRDefault="00DD7739" w:rsidP="00F60BF9">
            <w:pPr>
              <w:tabs>
                <w:tab w:val="left" w:pos="-61"/>
              </w:tabs>
              <w:overflowPunct w:val="0"/>
              <w:autoSpaceDE w:val="0"/>
              <w:autoSpaceDN w:val="0"/>
              <w:adjustRightInd w:val="0"/>
              <w:spacing w:after="0"/>
              <w:ind w:left="180"/>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5.1 Съответствие на видовете дейности в стратегията: </w:t>
            </w:r>
          </w:p>
          <w:p w14:paraId="54C8D333" w14:textId="77777777" w:rsidR="00DD7739" w:rsidRPr="00F60BF9" w:rsidRDefault="00DD7739" w:rsidP="00F60BF9">
            <w:pPr>
              <w:numPr>
                <w:ilvl w:val="0"/>
                <w:numId w:val="22"/>
              </w:numPr>
              <w:spacing w:after="0" w:line="240" w:lineRule="auto"/>
              <w:contextualSpacing/>
              <w:jc w:val="both"/>
              <w:rPr>
                <w:rFonts w:ascii="Times New Roman" w:eastAsia="Times New Roman" w:hAnsi="Times New Roman" w:cs="Times New Roman"/>
                <w:color w:val="5F497A"/>
                <w:sz w:val="24"/>
                <w:szCs w:val="24"/>
                <w:lang w:val="bg-BG"/>
              </w:rPr>
            </w:pPr>
            <w:r w:rsidRPr="00F60BF9">
              <w:rPr>
                <w:rFonts w:ascii="Times New Roman" w:eastAsia="Times New Roman" w:hAnsi="Times New Roman" w:cs="Times New Roman"/>
                <w:sz w:val="24"/>
                <w:szCs w:val="24"/>
                <w:lang w:val="bg-BG"/>
              </w:rPr>
              <w:t xml:space="preserve">Наличие на съответствие на предложените видове дейности в стратегията едновременно спрямо изведените нужди в SWOT-анализа </w:t>
            </w:r>
            <w:r w:rsidRPr="00F60BF9">
              <w:rPr>
                <w:rFonts w:ascii="Times New Roman" w:eastAsia="Times New Roman" w:hAnsi="Times New Roman" w:cs="Times New Roman"/>
                <w:color w:val="000000"/>
                <w:sz w:val="24"/>
                <w:szCs w:val="24"/>
                <w:lang w:val="bg-BG" w:eastAsia="en-GB"/>
              </w:rPr>
              <w:t>и хоризонталните стратегии и политики на ЕС за програмен период 2021-2027 г.</w:t>
            </w:r>
            <w:r w:rsidRPr="00F60BF9">
              <w:rPr>
                <w:rFonts w:ascii="Times New Roman" w:eastAsia="Times New Roman" w:hAnsi="Times New Roman" w:cs="Times New Roman"/>
                <w:sz w:val="24"/>
                <w:szCs w:val="24"/>
                <w:lang w:val="bg-BG"/>
              </w:rPr>
              <w:t xml:space="preserve"> -</w:t>
            </w:r>
            <w:r w:rsidRPr="00F60BF9">
              <w:rPr>
                <w:rFonts w:ascii="Times New Roman" w:eastAsia="Times New Roman" w:hAnsi="Times New Roman" w:cs="Times New Roman"/>
                <w:b/>
                <w:sz w:val="24"/>
                <w:szCs w:val="24"/>
                <w:lang w:val="bg-BG"/>
              </w:rPr>
              <w:t xml:space="preserve"> 10 точки</w:t>
            </w:r>
          </w:p>
          <w:p w14:paraId="375B3913" w14:textId="77777777" w:rsidR="00DD7739" w:rsidRPr="00F60BF9" w:rsidRDefault="00DD7739" w:rsidP="00F60BF9">
            <w:pPr>
              <w:numPr>
                <w:ilvl w:val="0"/>
                <w:numId w:val="22"/>
              </w:numPr>
              <w:spacing w:after="0" w:line="240" w:lineRule="auto"/>
              <w:contextualSpacing/>
              <w:jc w:val="both"/>
              <w:rPr>
                <w:rFonts w:ascii="Times New Roman" w:eastAsia="Times New Roman" w:hAnsi="Times New Roman" w:cs="Times New Roman"/>
                <w:color w:val="5F497A"/>
                <w:sz w:val="24"/>
                <w:szCs w:val="24"/>
                <w:lang w:val="bg-BG"/>
              </w:rPr>
            </w:pPr>
            <w:r w:rsidRPr="00F60BF9">
              <w:rPr>
                <w:rFonts w:ascii="Times New Roman" w:eastAsia="Times New Roman" w:hAnsi="Times New Roman" w:cs="Times New Roman"/>
                <w:sz w:val="24"/>
                <w:szCs w:val="24"/>
                <w:lang w:val="bg-BG"/>
              </w:rPr>
              <w:t xml:space="preserve">Наличие на съответствие на предложените видове дейности в стратегията спрямо изведените нужди в SWOT-анализа </w:t>
            </w:r>
            <w:r w:rsidRPr="00F60BF9">
              <w:rPr>
                <w:rFonts w:ascii="Times New Roman" w:eastAsia="Times New Roman" w:hAnsi="Times New Roman" w:cs="Times New Roman"/>
                <w:color w:val="000000"/>
                <w:sz w:val="24"/>
                <w:szCs w:val="24"/>
                <w:lang w:val="bg-BG" w:eastAsia="en-GB"/>
              </w:rPr>
              <w:t>или хоризонталните стратегии и политики на ЕС за програмен период 2021-2027 г.</w:t>
            </w:r>
            <w:r w:rsidRPr="00F60BF9">
              <w:rPr>
                <w:rFonts w:ascii="Times New Roman" w:eastAsia="Times New Roman" w:hAnsi="Times New Roman" w:cs="Times New Roman"/>
                <w:sz w:val="24"/>
                <w:szCs w:val="24"/>
                <w:lang w:val="bg-BG"/>
              </w:rPr>
              <w:t xml:space="preserve"> – </w:t>
            </w:r>
            <w:r w:rsidRPr="00F60BF9">
              <w:rPr>
                <w:rFonts w:ascii="Times New Roman" w:eastAsia="Times New Roman" w:hAnsi="Times New Roman" w:cs="Times New Roman"/>
                <w:b/>
                <w:sz w:val="24"/>
                <w:szCs w:val="24"/>
                <w:lang w:val="bg-BG"/>
              </w:rPr>
              <w:t>5 точки</w:t>
            </w:r>
          </w:p>
          <w:p w14:paraId="41A956CF" w14:textId="77777777" w:rsidR="00DD7739" w:rsidRPr="00F60BF9" w:rsidRDefault="00DD7739" w:rsidP="00F60BF9">
            <w:pPr>
              <w:spacing w:after="0"/>
              <w:ind w:left="72"/>
              <w:jc w:val="both"/>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Точки се присъждат, когато всички видове дейности съответстват на посочените критерии. Когато това изискване не е изпълнено в цялост, не се присъждат точки по този критерий.</w:t>
            </w:r>
          </w:p>
          <w:p w14:paraId="187412ED" w14:textId="77777777" w:rsidR="00DD7739" w:rsidRPr="00F60BF9" w:rsidRDefault="00DD7739" w:rsidP="00F60BF9">
            <w:pPr>
              <w:spacing w:after="0"/>
              <w:jc w:val="both"/>
              <w:rPr>
                <w:rFonts w:ascii="Times New Roman" w:eastAsia="Times New Roman" w:hAnsi="Times New Roman" w:cs="Times New Roman"/>
                <w:color w:val="5F497A"/>
                <w:sz w:val="24"/>
                <w:szCs w:val="24"/>
                <w:lang w:val="bg-BG" w:eastAsia="en-GB"/>
              </w:rPr>
            </w:pPr>
          </w:p>
          <w:p w14:paraId="3806CBC4"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5.2 Предложените видове дейности са насочени в подкрепа на инвестиции от частни оператори, които ще привлекат инвестиции на територията на МИРГ чрез частното съфинансиране на проекти по планираните видове дейности. </w:t>
            </w:r>
          </w:p>
          <w:p w14:paraId="77C3E47C" w14:textId="77777777" w:rsidR="00DD7739" w:rsidRPr="00F60BF9" w:rsidRDefault="00DD7739" w:rsidP="00F60BF9">
            <w:pPr>
              <w:spacing w:after="0"/>
              <w:ind w:left="792"/>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Ако привлича под 15% от бюджета на стратегията (бюджета в БФП) – </w:t>
            </w:r>
            <w:r w:rsidRPr="00F60BF9">
              <w:rPr>
                <w:rFonts w:ascii="Times New Roman" w:hAnsi="Times New Roman" w:cs="Times New Roman"/>
                <w:b/>
                <w:sz w:val="24"/>
                <w:szCs w:val="24"/>
                <w:lang w:val="bg-BG"/>
              </w:rPr>
              <w:t>не се присъждат точки</w:t>
            </w:r>
          </w:p>
          <w:p w14:paraId="3121516C" w14:textId="77777777" w:rsidR="00DD7739" w:rsidRPr="00F60BF9" w:rsidRDefault="00DD7739" w:rsidP="00F60BF9">
            <w:pPr>
              <w:spacing w:after="0"/>
              <w:ind w:left="792"/>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Ако привлича от 15% до 20% от бюджета на стратегията (бюджета в БФП) - </w:t>
            </w:r>
            <w:r w:rsidRPr="00F60BF9">
              <w:rPr>
                <w:rFonts w:ascii="Times New Roman" w:hAnsi="Times New Roman" w:cs="Times New Roman"/>
                <w:b/>
                <w:sz w:val="24"/>
                <w:szCs w:val="24"/>
                <w:lang w:val="bg-BG"/>
              </w:rPr>
              <w:t>10 точки</w:t>
            </w:r>
          </w:p>
          <w:p w14:paraId="663D771F" w14:textId="77777777" w:rsidR="00DD7739" w:rsidRPr="00F60BF9" w:rsidRDefault="00DD7739" w:rsidP="00F60BF9">
            <w:pPr>
              <w:spacing w:after="0"/>
              <w:ind w:left="792"/>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Ако привлича от 21% до 30% от бюджета на стратегията (бюджета в БФП) - </w:t>
            </w:r>
            <w:r w:rsidRPr="00F60BF9">
              <w:rPr>
                <w:rFonts w:ascii="Times New Roman" w:hAnsi="Times New Roman" w:cs="Times New Roman"/>
                <w:b/>
                <w:sz w:val="24"/>
                <w:szCs w:val="24"/>
                <w:lang w:val="bg-BG"/>
              </w:rPr>
              <w:t>15 точки</w:t>
            </w:r>
          </w:p>
          <w:p w14:paraId="5F0FC6C3" w14:textId="77777777" w:rsidR="00DD7739" w:rsidRPr="00F60BF9" w:rsidRDefault="00DD7739" w:rsidP="00F60BF9">
            <w:pPr>
              <w:spacing w:after="0"/>
              <w:ind w:left="792"/>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lastRenderedPageBreak/>
              <w:t xml:space="preserve">- Ако привлича 31% и повече от бюджета на стратегията (бюджета в БФП) - </w:t>
            </w:r>
            <w:r w:rsidRPr="00F60BF9">
              <w:rPr>
                <w:rFonts w:ascii="Times New Roman" w:hAnsi="Times New Roman" w:cs="Times New Roman"/>
                <w:b/>
                <w:sz w:val="24"/>
                <w:szCs w:val="24"/>
                <w:lang w:val="bg-BG"/>
              </w:rPr>
              <w:t>20 точки</w:t>
            </w:r>
          </w:p>
          <w:p w14:paraId="7B491342" w14:textId="77777777" w:rsidR="00DD7739" w:rsidRPr="00F60BF9" w:rsidRDefault="00DD773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Процентното съотношение се приравнява в цели числа за целта на измерването на индикатора.</w:t>
            </w:r>
          </w:p>
          <w:p w14:paraId="3D74C4CF" w14:textId="77777777" w:rsidR="00DD7739" w:rsidRPr="00F60BF9" w:rsidRDefault="00DD773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43AF2087"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5.3 Екологична насоченост на  видовете дейности в стратегията:</w:t>
            </w:r>
          </w:p>
          <w:p w14:paraId="307FA107" w14:textId="77777777" w:rsidR="00DD7739" w:rsidRPr="00F60BF9" w:rsidRDefault="00DD7739" w:rsidP="00F60BF9">
            <w:pPr>
              <w:numPr>
                <w:ilvl w:val="0"/>
                <w:numId w:val="21"/>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До 10% от бюджета на стратегията е предвиден за постигането на екологични цели, съблюдаващи принципите на отговорно управление на ресурсите, опазване и защита на екосистемите – </w:t>
            </w:r>
            <w:r w:rsidRPr="00F60BF9">
              <w:rPr>
                <w:rFonts w:ascii="Times New Roman" w:eastAsia="Times New Roman" w:hAnsi="Times New Roman" w:cs="Times New Roman"/>
                <w:b/>
                <w:sz w:val="24"/>
                <w:szCs w:val="24"/>
                <w:lang w:val="bg-BG"/>
              </w:rPr>
              <w:t xml:space="preserve">5 точки. </w:t>
            </w:r>
          </w:p>
          <w:p w14:paraId="2B51560C" w14:textId="77777777" w:rsidR="00DD7739" w:rsidRPr="00F60BF9" w:rsidRDefault="00DD7739" w:rsidP="00F60BF9">
            <w:pPr>
              <w:numPr>
                <w:ilvl w:val="0"/>
                <w:numId w:val="21"/>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11% и повече от бюджета на стратегията е предвиден за постигането на екологични цели, съблюдаващи принципите на отговорно управление на ресурсите, опазване и защита на екосистемите – </w:t>
            </w:r>
            <w:r w:rsidRPr="00F60BF9">
              <w:rPr>
                <w:rFonts w:ascii="Times New Roman" w:eastAsia="Times New Roman" w:hAnsi="Times New Roman" w:cs="Times New Roman"/>
                <w:b/>
                <w:sz w:val="24"/>
                <w:szCs w:val="24"/>
                <w:lang w:val="bg-BG"/>
              </w:rPr>
              <w:t xml:space="preserve">10 точки. </w:t>
            </w:r>
          </w:p>
          <w:p w14:paraId="6A5ECF4B" w14:textId="77777777" w:rsidR="00DD7739" w:rsidRPr="00F60BF9" w:rsidRDefault="00DD773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52434E48" w14:textId="77777777" w:rsidR="00DD7739" w:rsidRPr="00F60BF9" w:rsidRDefault="00DD773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Когато това бюджетно съотношение е под 5%, не се присъждат точки. Процентното съотношение се закръгля до цяло число по аритметичен способ.</w:t>
            </w:r>
          </w:p>
          <w:p w14:paraId="7B1EF86B" w14:textId="77777777" w:rsidR="00DD7739" w:rsidRPr="00F60BF9" w:rsidRDefault="00DD773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6E2D2006"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5.4 Наличие на видове дейности със социален ефект спрямо лица от уязвимите социални групи в стратегията – </w:t>
            </w:r>
            <w:r w:rsidRPr="00F60BF9">
              <w:rPr>
                <w:rFonts w:ascii="Times New Roman" w:eastAsia="Times New Roman" w:hAnsi="Times New Roman" w:cs="Times New Roman"/>
                <w:b/>
                <w:sz w:val="24"/>
                <w:szCs w:val="24"/>
                <w:lang w:val="bg-BG"/>
              </w:rPr>
              <w:t>10 точки.</w:t>
            </w:r>
            <w:r w:rsidRPr="00F60BF9">
              <w:rPr>
                <w:rFonts w:ascii="Times New Roman" w:eastAsia="Times New Roman" w:hAnsi="Times New Roman" w:cs="Times New Roman"/>
                <w:sz w:val="24"/>
                <w:szCs w:val="24"/>
                <w:lang w:val="bg-BG"/>
              </w:rPr>
              <w:t xml:space="preserve"> </w:t>
            </w:r>
          </w:p>
          <w:p w14:paraId="54326975"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Точки се присъждат, когато повече от 5% от бюджета на стратегията е предвиден за извършването на дейности със социална насоченост. Когато това бюджетно съотношение е под 5%, не се присъждат точки. </w:t>
            </w:r>
          </w:p>
          <w:p w14:paraId="2D04A145"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color w:val="FF0000"/>
                <w:sz w:val="24"/>
                <w:szCs w:val="24"/>
                <w:lang w:val="bg-BG"/>
              </w:rPr>
            </w:pPr>
          </w:p>
          <w:p w14:paraId="25AB9FE5"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5.5 Наличие на видове дейности в стратегията за осъществяване на връзки и сътрудничество между сектори и структури в рибарската територия:</w:t>
            </w:r>
          </w:p>
          <w:p w14:paraId="4421E723" w14:textId="77777777" w:rsidR="00DD7739" w:rsidRPr="00F60BF9" w:rsidRDefault="00DD7739" w:rsidP="00F60BF9">
            <w:pPr>
              <w:numPr>
                <w:ilvl w:val="0"/>
                <w:numId w:val="21"/>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w:t>
            </w:r>
            <w:r w:rsidRPr="00F60BF9">
              <w:rPr>
                <w:rFonts w:ascii="Times New Roman" w:eastAsia="Times New Roman" w:hAnsi="Times New Roman" w:cs="Times New Roman"/>
                <w:sz w:val="24"/>
                <w:szCs w:val="24"/>
              </w:rPr>
              <w:t>O</w:t>
            </w:r>
            <w:r w:rsidRPr="00F60BF9">
              <w:rPr>
                <w:rFonts w:ascii="Times New Roman" w:eastAsia="Times New Roman" w:hAnsi="Times New Roman" w:cs="Times New Roman"/>
                <w:sz w:val="24"/>
                <w:szCs w:val="24"/>
                <w:lang w:val="bg-BG"/>
              </w:rPr>
              <w:t xml:space="preserve">т 5% до 10% от бюджета на стратегията е предвиден за осъществяване на връзки и сътрудничество – </w:t>
            </w:r>
            <w:r w:rsidRPr="00F60BF9">
              <w:rPr>
                <w:rFonts w:ascii="Times New Roman" w:eastAsia="Times New Roman" w:hAnsi="Times New Roman" w:cs="Times New Roman"/>
                <w:b/>
                <w:sz w:val="24"/>
                <w:szCs w:val="24"/>
                <w:lang w:val="bg-BG"/>
              </w:rPr>
              <w:t>5 точки</w:t>
            </w:r>
            <w:r w:rsidRPr="00F60BF9">
              <w:rPr>
                <w:rFonts w:ascii="Times New Roman" w:eastAsia="Times New Roman" w:hAnsi="Times New Roman" w:cs="Times New Roman"/>
                <w:sz w:val="24"/>
                <w:szCs w:val="24"/>
                <w:lang w:val="bg-BG"/>
              </w:rPr>
              <w:t xml:space="preserve">. </w:t>
            </w:r>
          </w:p>
          <w:p w14:paraId="63AD0679" w14:textId="77777777" w:rsidR="00DD7739" w:rsidRPr="00F60BF9" w:rsidRDefault="00DD7739" w:rsidP="00F60BF9">
            <w:pPr>
              <w:numPr>
                <w:ilvl w:val="0"/>
                <w:numId w:val="21"/>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Над 10% от бюджета на стратегията е предвиден за осъществяване на връзки и сътрудничество – </w:t>
            </w:r>
            <w:r w:rsidRPr="00F60BF9">
              <w:rPr>
                <w:rFonts w:ascii="Times New Roman" w:eastAsia="Times New Roman" w:hAnsi="Times New Roman" w:cs="Times New Roman"/>
                <w:b/>
                <w:sz w:val="24"/>
                <w:szCs w:val="24"/>
                <w:lang w:val="bg-BG"/>
              </w:rPr>
              <w:t>10 точки</w:t>
            </w:r>
            <w:r w:rsidRPr="00F60BF9">
              <w:rPr>
                <w:rFonts w:ascii="Times New Roman" w:eastAsia="Times New Roman" w:hAnsi="Times New Roman" w:cs="Times New Roman"/>
                <w:sz w:val="24"/>
                <w:szCs w:val="24"/>
                <w:lang w:val="bg-BG"/>
              </w:rPr>
              <w:t xml:space="preserve">. </w:t>
            </w:r>
          </w:p>
          <w:p w14:paraId="7FDE4B36" w14:textId="77777777" w:rsidR="00DD7739" w:rsidRPr="00F60BF9" w:rsidRDefault="00DD773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lastRenderedPageBreak/>
              <w:t>Когато това бюджетно съотношение е под 5%, не се присъждат точки. Процентното съотношение се закръгля до цяло число по аритметичен способ.</w:t>
            </w:r>
          </w:p>
          <w:p w14:paraId="0DF84F1B" w14:textId="77777777" w:rsidR="00DD7739" w:rsidRPr="00F60BF9" w:rsidRDefault="00DD773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09FF7549" w14:textId="77777777" w:rsidR="00DD7739" w:rsidRPr="00F60BF9" w:rsidRDefault="00DD7739" w:rsidP="00F60BF9">
            <w:pPr>
              <w:tabs>
                <w:tab w:val="left" w:pos="-61"/>
              </w:tabs>
              <w:overflowPunct w:val="0"/>
              <w:autoSpaceDE w:val="0"/>
              <w:autoSpaceDN w:val="0"/>
              <w:adjustRightInd w:val="0"/>
              <w:spacing w:after="0"/>
              <w:ind w:left="-18"/>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5.6 Наличие в стратегията на дейности за подготовка и за сътрудничество с други МИРГ, МИГ, както и подобен тип структури, прилагащи подходи за териториално развитие от България, ЕС или трети страни:</w:t>
            </w:r>
          </w:p>
          <w:p w14:paraId="28432705" w14:textId="77777777" w:rsidR="00DD7739" w:rsidRPr="00F60BF9" w:rsidRDefault="00DD7739" w:rsidP="00F60BF9">
            <w:pPr>
              <w:numPr>
                <w:ilvl w:val="0"/>
                <w:numId w:val="21"/>
              </w:numPr>
              <w:overflowPunct w:val="0"/>
              <w:autoSpaceDE w:val="0"/>
              <w:autoSpaceDN w:val="0"/>
              <w:adjustRightInd w:val="0"/>
              <w:spacing w:after="0" w:line="240" w:lineRule="auto"/>
              <w:ind w:left="882" w:hanging="450"/>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w:t>
            </w:r>
            <w:r w:rsidRPr="00F60BF9">
              <w:rPr>
                <w:rFonts w:ascii="Times New Roman" w:eastAsia="Times New Roman" w:hAnsi="Times New Roman" w:cs="Times New Roman"/>
                <w:sz w:val="24"/>
                <w:szCs w:val="24"/>
              </w:rPr>
              <w:t>O</w:t>
            </w:r>
            <w:r w:rsidRPr="00F60BF9">
              <w:rPr>
                <w:rFonts w:ascii="Times New Roman" w:eastAsia="Times New Roman" w:hAnsi="Times New Roman" w:cs="Times New Roman"/>
                <w:sz w:val="24"/>
                <w:szCs w:val="24"/>
                <w:lang w:val="bg-BG"/>
              </w:rPr>
              <w:t xml:space="preserve">т 5% до 10% от бюджета на стратегията е предвиден за осъществяване на връзки и сътрудничество – </w:t>
            </w:r>
            <w:r w:rsidRPr="00F60BF9">
              <w:rPr>
                <w:rFonts w:ascii="Times New Roman" w:eastAsia="Times New Roman" w:hAnsi="Times New Roman" w:cs="Times New Roman"/>
                <w:b/>
                <w:sz w:val="24"/>
                <w:szCs w:val="24"/>
                <w:lang w:val="bg-BG"/>
              </w:rPr>
              <w:t>5 точки</w:t>
            </w:r>
            <w:r w:rsidRPr="00F60BF9">
              <w:rPr>
                <w:rFonts w:ascii="Times New Roman" w:eastAsia="Times New Roman" w:hAnsi="Times New Roman" w:cs="Times New Roman"/>
                <w:sz w:val="24"/>
                <w:szCs w:val="24"/>
                <w:lang w:val="bg-BG"/>
              </w:rPr>
              <w:t xml:space="preserve">. </w:t>
            </w:r>
          </w:p>
          <w:p w14:paraId="333CB8D1" w14:textId="77777777" w:rsidR="00DD7739" w:rsidRPr="00F60BF9" w:rsidRDefault="00DD7739" w:rsidP="00F60BF9">
            <w:pPr>
              <w:numPr>
                <w:ilvl w:val="0"/>
                <w:numId w:val="21"/>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Над 10% от бюджета на стратегията е предвиден за осъществяване на връзки и сътрудничество – </w:t>
            </w:r>
            <w:r w:rsidRPr="00F60BF9">
              <w:rPr>
                <w:rFonts w:ascii="Times New Roman" w:eastAsia="Times New Roman" w:hAnsi="Times New Roman" w:cs="Times New Roman"/>
                <w:b/>
                <w:sz w:val="24"/>
                <w:szCs w:val="24"/>
                <w:lang w:val="bg-BG"/>
              </w:rPr>
              <w:t>10 точки</w:t>
            </w:r>
            <w:r w:rsidRPr="00F60BF9">
              <w:rPr>
                <w:rFonts w:ascii="Times New Roman" w:eastAsia="Times New Roman" w:hAnsi="Times New Roman" w:cs="Times New Roman"/>
                <w:sz w:val="24"/>
                <w:szCs w:val="24"/>
                <w:lang w:val="bg-BG"/>
              </w:rPr>
              <w:t xml:space="preserve">. </w:t>
            </w:r>
          </w:p>
          <w:p w14:paraId="3B8B0723" w14:textId="77777777" w:rsidR="00DD7739" w:rsidRPr="00F60BF9" w:rsidRDefault="00DD7739" w:rsidP="00F60BF9">
            <w:pPr>
              <w:tabs>
                <w:tab w:val="left" w:pos="-61"/>
              </w:tabs>
              <w:overflowPunct w:val="0"/>
              <w:autoSpaceDE w:val="0"/>
              <w:autoSpaceDN w:val="0"/>
              <w:adjustRightInd w:val="0"/>
              <w:spacing w:after="0"/>
              <w:ind w:left="-18"/>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Когато това бюджетно съотношение е под 5%, не се присъждат точки. Процентното съотношение се закръгля до цяло число по аритметичен способ.</w:t>
            </w:r>
          </w:p>
          <w:p w14:paraId="5F9DA20E" w14:textId="77777777" w:rsidR="00DD7739" w:rsidRPr="00F60BF9" w:rsidRDefault="00DD773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3D5ED2D8" w14:textId="77777777" w:rsidR="00DD7739" w:rsidRPr="00F60BF9" w:rsidRDefault="00DD773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5.7 Наличие на сътрудничество по критерии 5.5 и 5.6 едновременно с присъдени точки – </w:t>
            </w:r>
            <w:r w:rsidRPr="00F60BF9">
              <w:rPr>
                <w:rFonts w:ascii="Times New Roman" w:eastAsia="Times New Roman" w:hAnsi="Times New Roman" w:cs="Times New Roman"/>
                <w:b/>
                <w:sz w:val="24"/>
                <w:szCs w:val="24"/>
                <w:lang w:val="bg-BG"/>
              </w:rPr>
              <w:t>10 точки</w:t>
            </w:r>
          </w:p>
          <w:p w14:paraId="79CB878D" w14:textId="77777777" w:rsidR="00DD7739" w:rsidRPr="00F60BF9" w:rsidRDefault="00DD773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101C1952"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rPr>
              <w:t>5.8</w:t>
            </w:r>
            <w:r w:rsidRPr="00F60BF9">
              <w:rPr>
                <w:rFonts w:ascii="Times New Roman" w:eastAsia="Times New Roman" w:hAnsi="Times New Roman" w:cs="Times New Roman"/>
                <w:sz w:val="24"/>
                <w:szCs w:val="24"/>
                <w:lang w:val="bg-BG" w:eastAsia="fr-FR"/>
              </w:rPr>
              <w:t xml:space="preserve"> Бюджетът за всеки вид дейност е логически обоснован и е в съответствие на целите на стратегията (Бюджетът има ясна разбивка по позиции и е обвързан с финансовия план) – </w:t>
            </w:r>
            <w:r w:rsidRPr="00F60BF9">
              <w:rPr>
                <w:rFonts w:ascii="Times New Roman" w:eastAsia="Times New Roman" w:hAnsi="Times New Roman" w:cs="Times New Roman"/>
                <w:b/>
                <w:sz w:val="24"/>
                <w:szCs w:val="24"/>
                <w:lang w:val="bg-BG" w:eastAsia="fr-FR"/>
              </w:rPr>
              <w:t>10 точки</w:t>
            </w:r>
            <w:r w:rsidRPr="00F60BF9">
              <w:rPr>
                <w:rFonts w:ascii="Times New Roman" w:eastAsia="Times New Roman" w:hAnsi="Times New Roman" w:cs="Times New Roman"/>
                <w:sz w:val="24"/>
                <w:szCs w:val="24"/>
                <w:lang w:val="bg-BG" w:eastAsia="fr-FR"/>
              </w:rPr>
              <w:t xml:space="preserve">. </w:t>
            </w:r>
          </w:p>
          <w:p w14:paraId="21042440"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p>
          <w:p w14:paraId="36EF6D56"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eastAsia="fr-FR"/>
              </w:rPr>
              <w:t xml:space="preserve">5.9 Налична е синергия и допълняемост с други стратегически дейности, изпълняващи се на рибарската територия (оценява се наличната информация, посочена от кандидата в стратегията за ВОМР) - </w:t>
            </w:r>
            <w:r w:rsidRPr="00F60BF9">
              <w:rPr>
                <w:rFonts w:ascii="Times New Roman" w:eastAsia="Times New Roman" w:hAnsi="Times New Roman" w:cs="Times New Roman"/>
                <w:b/>
                <w:sz w:val="24"/>
                <w:szCs w:val="24"/>
                <w:lang w:val="bg-BG" w:eastAsia="fr-FR"/>
              </w:rPr>
              <w:t>10 точки</w:t>
            </w:r>
            <w:r w:rsidRPr="00F60BF9">
              <w:rPr>
                <w:rFonts w:ascii="Times New Roman" w:eastAsia="Times New Roman" w:hAnsi="Times New Roman" w:cs="Times New Roman"/>
                <w:sz w:val="24"/>
                <w:szCs w:val="24"/>
                <w:lang w:val="bg-BG" w:eastAsia="fr-FR"/>
              </w:rPr>
              <w:t>.</w:t>
            </w:r>
          </w:p>
          <w:p w14:paraId="1A425E07"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p>
          <w:p w14:paraId="7F1DE797"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eastAsia="fr-FR"/>
              </w:rPr>
              <w:t xml:space="preserve">5.10 Наличие на специфични за територията индикатори за резултат, които адекватно измерват ефекта на стратегията във връзка с </w:t>
            </w:r>
            <w:r w:rsidRPr="00F60BF9">
              <w:rPr>
                <w:rFonts w:ascii="Times New Roman" w:eastAsia="Times New Roman" w:hAnsi="Times New Roman" w:cs="Times New Roman"/>
                <w:sz w:val="24"/>
                <w:szCs w:val="24"/>
                <w:lang w:val="bg-BG"/>
              </w:rPr>
              <w:t xml:space="preserve">характерните особености на територията - </w:t>
            </w:r>
            <w:r w:rsidRPr="00F60BF9">
              <w:rPr>
                <w:rFonts w:ascii="Times New Roman" w:eastAsia="Times New Roman" w:hAnsi="Times New Roman" w:cs="Times New Roman"/>
                <w:b/>
                <w:sz w:val="24"/>
                <w:szCs w:val="24"/>
                <w:lang w:val="bg-BG" w:eastAsia="fr-FR"/>
              </w:rPr>
              <w:t>10 точки</w:t>
            </w:r>
            <w:r w:rsidRPr="00F60BF9">
              <w:rPr>
                <w:rFonts w:ascii="Times New Roman" w:eastAsia="Times New Roman" w:hAnsi="Times New Roman" w:cs="Times New Roman"/>
                <w:sz w:val="24"/>
                <w:szCs w:val="24"/>
                <w:lang w:val="bg-BG" w:eastAsia="fr-FR"/>
              </w:rPr>
              <w:t>.</w:t>
            </w:r>
          </w:p>
          <w:p w14:paraId="394A7CC6"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p>
          <w:p w14:paraId="79A18793"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eastAsia="fr-FR"/>
              </w:rPr>
              <w:lastRenderedPageBreak/>
              <w:t xml:space="preserve">5.11 Наличие в стратегията на план за мониторинг и оценка на стратегията, който да съдържа планирани дейности,  времеви график на планираните дейности, обосновка за избора им и техните етапи на изпълнение - </w:t>
            </w:r>
            <w:r w:rsidRPr="00F60BF9">
              <w:rPr>
                <w:rFonts w:ascii="Times New Roman" w:eastAsia="Times New Roman" w:hAnsi="Times New Roman" w:cs="Times New Roman"/>
                <w:b/>
                <w:sz w:val="24"/>
                <w:szCs w:val="24"/>
                <w:lang w:val="bg-BG" w:eastAsia="fr-FR"/>
              </w:rPr>
              <w:t>10 точки.</w:t>
            </w:r>
          </w:p>
          <w:p w14:paraId="44DB15D4"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p>
          <w:p w14:paraId="23E13092"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eastAsia="fr-FR"/>
              </w:rPr>
              <w:t xml:space="preserve">5.12 Стратегията е така изградена, че с изпълнението ѝ се постигат целите на ПМДРА и на правото на общността за прилагането на подхода ВОМР в програмен период 2021-2027 г. - </w:t>
            </w:r>
            <w:r w:rsidRPr="00F60BF9">
              <w:rPr>
                <w:rFonts w:ascii="Times New Roman" w:eastAsia="Times New Roman" w:hAnsi="Times New Roman" w:cs="Times New Roman"/>
                <w:b/>
                <w:sz w:val="24"/>
                <w:szCs w:val="24"/>
                <w:lang w:val="bg-BG" w:eastAsia="fr-FR"/>
              </w:rPr>
              <w:t>10 точки</w:t>
            </w:r>
          </w:p>
          <w:p w14:paraId="1111209E"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eastAsia="fr-FR"/>
              </w:rPr>
              <w:t>Точки се присъждат само когато чрез стратегията се постигат целите, описани в ПМДРА и европейската нормативна база.</w:t>
            </w:r>
          </w:p>
          <w:p w14:paraId="591CFD20"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p>
          <w:p w14:paraId="4827A983"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eastAsia="fr-FR"/>
              </w:rPr>
              <w:t xml:space="preserve">5.13 Заявена готовност от страна на членовете на МИРГ за предоставянето на нефинансов принос към развитието на дейността на групата (напр. безвъзмезден труд, помещения, оборудване и пр.) Оценява се наличната информация, посочена от кандидата в стратегията за ВОМР  - </w:t>
            </w:r>
            <w:r w:rsidRPr="00F60BF9">
              <w:rPr>
                <w:rFonts w:ascii="Times New Roman" w:eastAsia="Times New Roman" w:hAnsi="Times New Roman" w:cs="Times New Roman"/>
                <w:b/>
                <w:sz w:val="24"/>
                <w:szCs w:val="24"/>
                <w:lang w:val="bg-BG" w:eastAsia="fr-FR"/>
              </w:rPr>
              <w:t>10 точки.</w:t>
            </w:r>
          </w:p>
          <w:p w14:paraId="349EEE37"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color w:val="FF0000"/>
                <w:sz w:val="24"/>
                <w:szCs w:val="24"/>
                <w:lang w:val="bg-BG" w:eastAsia="fr-FR"/>
              </w:rPr>
            </w:pPr>
          </w:p>
          <w:p w14:paraId="502595D6" w14:textId="77777777" w:rsidR="00DD7739" w:rsidRPr="00F60BF9" w:rsidRDefault="00DD7739" w:rsidP="00F60BF9">
            <w:pPr>
              <w:numPr>
                <w:ilvl w:val="0"/>
                <w:numId w:val="17"/>
              </w:numPr>
              <w:tabs>
                <w:tab w:val="left" w:pos="-61"/>
              </w:tabs>
              <w:overflowPunct w:val="0"/>
              <w:autoSpaceDE w:val="0"/>
              <w:autoSpaceDN w:val="0"/>
              <w:adjustRightInd w:val="0"/>
              <w:spacing w:after="0" w:line="240" w:lineRule="auto"/>
              <w:ind w:left="72" w:firstLine="42"/>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eastAsia="fr-FR"/>
              </w:rPr>
              <w:t>Принос към хоризонтални стратегии и политики</w:t>
            </w:r>
          </w:p>
          <w:p w14:paraId="4CF2151F" w14:textId="77777777" w:rsidR="00DD7739" w:rsidRPr="00F60BF9" w:rsidRDefault="00DD7739"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eastAsia="fr-FR"/>
              </w:rPr>
            </w:pPr>
          </w:p>
          <w:p w14:paraId="7E21330E" w14:textId="77777777" w:rsidR="00DD7739" w:rsidRPr="00F60BF9" w:rsidRDefault="00DD7739"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eastAsia="fr-FR"/>
              </w:rPr>
              <w:t xml:space="preserve">6.1 Стратегията допринася за целите на  интелигентната специализация на ЕС - </w:t>
            </w:r>
            <w:r w:rsidRPr="00F60BF9">
              <w:rPr>
                <w:rFonts w:ascii="Times New Roman" w:eastAsia="Times New Roman" w:hAnsi="Times New Roman" w:cs="Times New Roman"/>
                <w:b/>
                <w:sz w:val="24"/>
                <w:szCs w:val="24"/>
                <w:lang w:val="bg-BG" w:eastAsia="fr-FR"/>
              </w:rPr>
              <w:t>10 точки.</w:t>
            </w:r>
            <w:r w:rsidRPr="00F60BF9">
              <w:rPr>
                <w:rFonts w:ascii="Times New Roman" w:eastAsia="Times New Roman" w:hAnsi="Times New Roman" w:cs="Times New Roman"/>
                <w:sz w:val="24"/>
                <w:szCs w:val="24"/>
                <w:lang w:val="bg-BG" w:eastAsia="fr-FR"/>
              </w:rPr>
              <w:t xml:space="preserve"> </w:t>
            </w:r>
          </w:p>
          <w:p w14:paraId="5AB09665" w14:textId="77777777" w:rsidR="00DD7739" w:rsidRPr="00F60BF9" w:rsidRDefault="00DD7739"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eastAsia="fr-FR"/>
              </w:rPr>
              <w:t>Точки се присъждат само при наличието на ясна обосновка в стратегията.</w:t>
            </w:r>
          </w:p>
          <w:p w14:paraId="438699B3" w14:textId="77777777" w:rsidR="00DD7739" w:rsidRPr="00F60BF9" w:rsidRDefault="00DD7739"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eastAsia="fr-FR"/>
              </w:rPr>
            </w:pPr>
          </w:p>
          <w:p w14:paraId="1DC34F48"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6.2 Наличие на дейности за насърчаване на устойчивата синя икономика чрез  иновации и растеж в специфичните сектори в рибарската общност, обект на стратегията - </w:t>
            </w:r>
            <w:r w:rsidRPr="00F60BF9">
              <w:rPr>
                <w:rFonts w:ascii="Times New Roman" w:eastAsia="Times New Roman" w:hAnsi="Times New Roman" w:cs="Times New Roman"/>
                <w:b/>
                <w:sz w:val="24"/>
                <w:szCs w:val="24"/>
                <w:lang w:val="bg-BG" w:eastAsia="fr-FR"/>
              </w:rPr>
              <w:t>10 точки</w:t>
            </w:r>
            <w:r w:rsidRPr="00F60BF9">
              <w:rPr>
                <w:rFonts w:ascii="Times New Roman" w:eastAsia="Times New Roman" w:hAnsi="Times New Roman" w:cs="Times New Roman"/>
                <w:sz w:val="24"/>
                <w:szCs w:val="24"/>
                <w:lang w:val="bg-BG"/>
              </w:rPr>
              <w:t xml:space="preserve">. </w:t>
            </w:r>
          </w:p>
          <w:p w14:paraId="68C53C2B"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p>
          <w:p w14:paraId="71A2349B" w14:textId="77777777" w:rsidR="00DD7739" w:rsidRPr="00F60BF9" w:rsidRDefault="00DD7739" w:rsidP="00F60BF9">
            <w:pPr>
              <w:tabs>
                <w:tab w:val="left" w:pos="-61"/>
              </w:tabs>
              <w:overflowPunct w:val="0"/>
              <w:autoSpaceDE w:val="0"/>
              <w:autoSpaceDN w:val="0"/>
              <w:adjustRightInd w:val="0"/>
              <w:spacing w:after="0" w:line="240" w:lineRule="auto"/>
              <w:ind w:left="72" w:firstLine="42"/>
              <w:jc w:val="both"/>
              <w:textAlignment w:val="baseline"/>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6.3 </w:t>
            </w:r>
            <w:r w:rsidRPr="00F60BF9">
              <w:rPr>
                <w:rFonts w:ascii="Times New Roman" w:hAnsi="Times New Roman" w:cs="Times New Roman"/>
                <w:sz w:val="24"/>
                <w:szCs w:val="24"/>
                <w:lang w:val="bg-BG"/>
              </w:rPr>
              <w:t>Принос към специфични политики и хоризонтални приоритети</w:t>
            </w:r>
            <w:r w:rsidRPr="00F60BF9" w:rsidDel="00E712B0">
              <w:rPr>
                <w:rFonts w:ascii="Times New Roman" w:hAnsi="Times New Roman" w:cs="Times New Roman"/>
                <w:sz w:val="24"/>
                <w:szCs w:val="24"/>
                <w:lang w:val="bg-BG"/>
              </w:rPr>
              <w:t xml:space="preserve"> </w:t>
            </w:r>
            <w:r w:rsidRPr="00F60BF9">
              <w:rPr>
                <w:rFonts w:ascii="Times New Roman" w:hAnsi="Times New Roman" w:cs="Times New Roman"/>
                <w:sz w:val="24"/>
                <w:szCs w:val="24"/>
                <w:lang w:val="bg-BG"/>
              </w:rPr>
              <w:t>на ниво ЕС. Точки се присъждат при доказан принос на стратегията по описаните във формуляра на стратегията политики и приоритети.</w:t>
            </w:r>
          </w:p>
          <w:p w14:paraId="76C9093A" w14:textId="77777777" w:rsidR="00DD7739" w:rsidRPr="00F60BF9" w:rsidRDefault="00DD7739"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lastRenderedPageBreak/>
              <w:t>- Възстановяване и устойчивост</w:t>
            </w:r>
          </w:p>
          <w:p w14:paraId="1973FE11" w14:textId="77777777" w:rsidR="00DD7739" w:rsidRPr="00F60BF9" w:rsidRDefault="00DD7739"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Зелен преход</w:t>
            </w:r>
          </w:p>
          <w:p w14:paraId="11E69FBB" w14:textId="77777777" w:rsidR="00DD7739" w:rsidRPr="00F60BF9" w:rsidRDefault="00DD7739"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Цифров преход</w:t>
            </w:r>
          </w:p>
          <w:p w14:paraId="578A7C55" w14:textId="77777777" w:rsidR="00DD7739" w:rsidRPr="00F60BF9" w:rsidRDefault="00DD7739"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Засилване на иновации за конкурентоспособност и устойчивост</w:t>
            </w:r>
          </w:p>
          <w:p w14:paraId="76D0B9F1" w14:textId="77777777" w:rsidR="00DD7739" w:rsidRPr="00F60BF9" w:rsidRDefault="00DD7739"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Оптимална добавена стойност и прилагане на механизми за привличане на публична подкрепа</w:t>
            </w:r>
          </w:p>
          <w:p w14:paraId="407A566D" w14:textId="77777777" w:rsidR="00DD7739" w:rsidRPr="00F60BF9" w:rsidRDefault="00DD7739"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Декарбонизация</w:t>
            </w:r>
          </w:p>
          <w:p w14:paraId="30526173" w14:textId="77777777" w:rsidR="00DD7739" w:rsidRPr="00F60BF9" w:rsidRDefault="00DD7739"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Инвестиции в синя икономика</w:t>
            </w:r>
          </w:p>
          <w:p w14:paraId="6371480D" w14:textId="77777777" w:rsidR="00DD7739" w:rsidRPr="00F60BF9" w:rsidRDefault="00DD7739"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Обща политика в областта на рибарството</w:t>
            </w:r>
          </w:p>
          <w:p w14:paraId="0BE5FB4F" w14:textId="77777777" w:rsidR="00DD7739" w:rsidRPr="00F60BF9" w:rsidRDefault="00DD7739"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Устойчив и конкурентоспособен сектор на аквакултур</w:t>
            </w:r>
            <w:r w:rsidRPr="00F60BF9">
              <w:rPr>
                <w:rFonts w:ascii="Times New Roman" w:hAnsi="Times New Roman" w:cs="Times New Roman"/>
                <w:sz w:val="24"/>
                <w:szCs w:val="24"/>
              </w:rPr>
              <w:t>a</w:t>
            </w:r>
            <w:r w:rsidRPr="00F60BF9">
              <w:rPr>
                <w:rFonts w:ascii="Times New Roman" w:hAnsi="Times New Roman" w:cs="Times New Roman"/>
                <w:sz w:val="24"/>
                <w:szCs w:val="24"/>
                <w:lang w:val="bg-BG"/>
              </w:rPr>
              <w:t>т</w:t>
            </w:r>
            <w:r w:rsidRPr="00F60BF9">
              <w:rPr>
                <w:rFonts w:ascii="Times New Roman" w:hAnsi="Times New Roman" w:cs="Times New Roman"/>
                <w:sz w:val="24"/>
                <w:szCs w:val="24"/>
              </w:rPr>
              <w:t>a</w:t>
            </w:r>
          </w:p>
          <w:p w14:paraId="10E6BE59"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xml:space="preserve">Присъждат се по </w:t>
            </w:r>
            <w:r w:rsidRPr="00F60BF9">
              <w:rPr>
                <w:rFonts w:ascii="Times New Roman" w:hAnsi="Times New Roman" w:cs="Times New Roman"/>
                <w:b/>
                <w:sz w:val="24"/>
                <w:szCs w:val="24"/>
                <w:lang w:val="bg-BG"/>
              </w:rPr>
              <w:t>3 точки</w:t>
            </w:r>
            <w:r w:rsidRPr="00F60BF9">
              <w:rPr>
                <w:rFonts w:ascii="Times New Roman" w:hAnsi="Times New Roman" w:cs="Times New Roman"/>
                <w:sz w:val="24"/>
                <w:szCs w:val="24"/>
                <w:lang w:val="bg-BG"/>
              </w:rPr>
              <w:t xml:space="preserve"> за всяка политика или приоритет. При обоснован принос по всички цели се присъждат допълнително </w:t>
            </w:r>
            <w:r w:rsidRPr="00F60BF9">
              <w:rPr>
                <w:rFonts w:ascii="Times New Roman" w:hAnsi="Times New Roman" w:cs="Times New Roman"/>
                <w:b/>
                <w:sz w:val="24"/>
                <w:szCs w:val="24"/>
                <w:lang w:val="bg-BG"/>
              </w:rPr>
              <w:t>3 точки</w:t>
            </w:r>
            <w:r w:rsidRPr="00F60BF9">
              <w:rPr>
                <w:rFonts w:ascii="Times New Roman" w:hAnsi="Times New Roman" w:cs="Times New Roman"/>
                <w:sz w:val="24"/>
                <w:szCs w:val="24"/>
                <w:lang w:val="bg-BG"/>
              </w:rPr>
              <w:t>.</w:t>
            </w:r>
          </w:p>
          <w:p w14:paraId="7F211C18"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hAnsi="Times New Roman" w:cs="Times New Roman"/>
                <w:b/>
                <w:sz w:val="24"/>
                <w:szCs w:val="24"/>
                <w:lang w:val="bg-BG"/>
              </w:rPr>
            </w:pPr>
            <w:r w:rsidRPr="00F60BF9">
              <w:rPr>
                <w:rFonts w:ascii="Times New Roman" w:hAnsi="Times New Roman" w:cs="Times New Roman"/>
                <w:b/>
                <w:sz w:val="24"/>
                <w:szCs w:val="24"/>
                <w:lang w:val="bg-BG"/>
              </w:rPr>
              <w:t>Максимален брой точки 30.</w:t>
            </w:r>
          </w:p>
          <w:p w14:paraId="343FB4AA" w14:textId="77777777" w:rsidR="00DD7739" w:rsidRPr="00F60BF9" w:rsidRDefault="00DD7739" w:rsidP="00F60BF9">
            <w:pPr>
              <w:tabs>
                <w:tab w:val="left" w:pos="-61"/>
              </w:tabs>
              <w:overflowPunct w:val="0"/>
              <w:autoSpaceDE w:val="0"/>
              <w:autoSpaceDN w:val="0"/>
              <w:adjustRightInd w:val="0"/>
              <w:spacing w:after="0"/>
              <w:ind w:left="72" w:firstLine="42"/>
              <w:jc w:val="both"/>
              <w:textAlignment w:val="baseline"/>
              <w:rPr>
                <w:rFonts w:ascii="Times New Roman" w:hAnsi="Times New Roman" w:cs="Times New Roman"/>
                <w:sz w:val="24"/>
                <w:szCs w:val="24"/>
                <w:lang w:val="bg-BG"/>
              </w:rPr>
            </w:pPr>
          </w:p>
          <w:p w14:paraId="0B029FA0" w14:textId="77777777" w:rsidR="00DD7739" w:rsidRPr="00F60BF9" w:rsidRDefault="00DD773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F60BF9">
              <w:rPr>
                <w:rFonts w:ascii="Times New Roman" w:hAnsi="Times New Roman" w:cs="Times New Roman"/>
                <w:sz w:val="24"/>
                <w:szCs w:val="24"/>
                <w:lang w:val="bg-BG"/>
              </w:rPr>
              <w:t xml:space="preserve"> 7. Популяризация на стратегията на МИРГ чрез в</w:t>
            </w:r>
            <w:r w:rsidRPr="00F60BF9">
              <w:rPr>
                <w:rFonts w:ascii="Times New Roman" w:eastAsia="Times New Roman" w:hAnsi="Times New Roman" w:cs="Times New Roman"/>
                <w:sz w:val="24"/>
                <w:szCs w:val="24"/>
                <w:lang w:val="bg-BG"/>
              </w:rPr>
              <w:t>идимост, прозрачност и комуникация, описани в стратегията за ВОМР</w:t>
            </w:r>
          </w:p>
          <w:p w14:paraId="7EB263A2" w14:textId="77777777" w:rsidR="00DD7739" w:rsidRPr="00F60BF9" w:rsidRDefault="00DD7739" w:rsidP="00F60BF9">
            <w:pPr>
              <w:overflowPunct w:val="0"/>
              <w:autoSpaceDE w:val="0"/>
              <w:autoSpaceDN w:val="0"/>
              <w:adjustRightInd w:val="0"/>
              <w:spacing w:after="0"/>
              <w:ind w:left="61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Създаване и поддръжка на информационен сайт - </w:t>
            </w:r>
            <w:r w:rsidRPr="00F60BF9">
              <w:rPr>
                <w:rFonts w:ascii="Times New Roman" w:eastAsia="Times New Roman" w:hAnsi="Times New Roman" w:cs="Times New Roman"/>
                <w:b/>
                <w:sz w:val="24"/>
                <w:szCs w:val="24"/>
                <w:lang w:val="bg-BG" w:eastAsia="fr-FR"/>
              </w:rPr>
              <w:t>5 точки</w:t>
            </w:r>
          </w:p>
          <w:p w14:paraId="1CA54BFE" w14:textId="77777777" w:rsidR="00DD7739" w:rsidRPr="00F60BF9" w:rsidRDefault="00DD7739" w:rsidP="00F60BF9">
            <w:pPr>
              <w:overflowPunct w:val="0"/>
              <w:autoSpaceDE w:val="0"/>
              <w:autoSpaceDN w:val="0"/>
              <w:adjustRightInd w:val="0"/>
              <w:spacing w:after="0"/>
              <w:ind w:left="61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Създаване и поддръжка на страница/канал в социалните мрежи - </w:t>
            </w:r>
            <w:r w:rsidRPr="00F60BF9">
              <w:rPr>
                <w:rFonts w:ascii="Times New Roman" w:eastAsia="Times New Roman" w:hAnsi="Times New Roman" w:cs="Times New Roman"/>
                <w:b/>
                <w:sz w:val="24"/>
                <w:szCs w:val="24"/>
                <w:lang w:val="bg-BG" w:eastAsia="fr-FR"/>
              </w:rPr>
              <w:t>5 точки</w:t>
            </w:r>
          </w:p>
          <w:p w14:paraId="0C6118C8" w14:textId="77777777" w:rsidR="00DD7739" w:rsidRPr="00F60BF9" w:rsidRDefault="00DD7739" w:rsidP="00F60BF9">
            <w:pPr>
              <w:overflowPunct w:val="0"/>
              <w:autoSpaceDE w:val="0"/>
              <w:autoSpaceDN w:val="0"/>
              <w:adjustRightInd w:val="0"/>
              <w:spacing w:after="0"/>
              <w:ind w:left="61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Организиране на събития за изпълнението на дейностите на подхода - </w:t>
            </w:r>
            <w:r w:rsidRPr="00F60BF9">
              <w:rPr>
                <w:rFonts w:ascii="Times New Roman" w:eastAsia="Times New Roman" w:hAnsi="Times New Roman" w:cs="Times New Roman"/>
                <w:b/>
                <w:sz w:val="24"/>
                <w:szCs w:val="24"/>
                <w:lang w:val="bg-BG" w:eastAsia="fr-FR"/>
              </w:rPr>
              <w:t>5 точки</w:t>
            </w:r>
            <w:r w:rsidRPr="00F60BF9">
              <w:rPr>
                <w:rFonts w:ascii="Times New Roman" w:eastAsia="Times New Roman" w:hAnsi="Times New Roman" w:cs="Times New Roman"/>
                <w:sz w:val="24"/>
                <w:szCs w:val="24"/>
                <w:lang w:val="bg-BG"/>
              </w:rPr>
              <w:t xml:space="preserve"> </w:t>
            </w:r>
          </w:p>
          <w:p w14:paraId="04006B67" w14:textId="77777777" w:rsidR="00DD7739" w:rsidRPr="00F60BF9" w:rsidRDefault="00DD7739" w:rsidP="00F60BF9">
            <w:pPr>
              <w:spacing w:after="0"/>
              <w:rPr>
                <w:rFonts w:ascii="Times New Roman" w:hAnsi="Times New Roman" w:cs="Times New Roman"/>
                <w:b/>
                <w:sz w:val="24"/>
                <w:szCs w:val="24"/>
                <w:lang w:val="bg-BG"/>
              </w:rPr>
            </w:pPr>
            <w:r w:rsidRPr="00F60BF9">
              <w:rPr>
                <w:rFonts w:ascii="Times New Roman" w:hAnsi="Times New Roman" w:cs="Times New Roman"/>
                <w:b/>
                <w:sz w:val="24"/>
                <w:szCs w:val="24"/>
                <w:lang w:val="bg-BG"/>
              </w:rPr>
              <w:t>Максимум 15 точки</w:t>
            </w:r>
          </w:p>
          <w:p w14:paraId="1F25117B" w14:textId="77777777" w:rsidR="00DD7739" w:rsidRPr="00F60BF9" w:rsidRDefault="00DD773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6C1C64F6" w14:textId="77777777" w:rsidR="00DD7739" w:rsidRPr="00F60BF9" w:rsidRDefault="00DD773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8. Устойчиво изпълнение на подхода ВОМР през програмен период 2014-2020 г. Оценява се изпълнението на последната прилагана стратегия, финансирана от ЕФМДР </w:t>
            </w:r>
            <w:r w:rsidRPr="00F60BF9">
              <w:rPr>
                <w:rFonts w:ascii="Times New Roman" w:eastAsia="Times New Roman" w:hAnsi="Times New Roman" w:cs="Times New Roman"/>
                <w:sz w:val="24"/>
                <w:szCs w:val="24"/>
                <w:lang w:val="bg-BG"/>
              </w:rPr>
              <w:lastRenderedPageBreak/>
              <w:t>или ЕФР.</w:t>
            </w:r>
          </w:p>
          <w:p w14:paraId="185A23EF" w14:textId="77777777" w:rsidR="00DD7739" w:rsidRPr="00F60BF9" w:rsidRDefault="00DD7739" w:rsidP="00F60BF9">
            <w:pPr>
              <w:tabs>
                <w:tab w:val="left" w:pos="162"/>
              </w:tabs>
              <w:overflowPunct w:val="0"/>
              <w:autoSpaceDE w:val="0"/>
              <w:autoSpaceDN w:val="0"/>
              <w:adjustRightInd w:val="0"/>
              <w:spacing w:after="0"/>
              <w:ind w:left="612"/>
              <w:jc w:val="both"/>
              <w:textAlignment w:val="baseline"/>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На територията на МИРГ е изпълняван подхода ВОМР през посочения период със стойност на изпълнените проекти</w:t>
            </w:r>
            <w:r w:rsidRPr="00F60BF9">
              <w:rPr>
                <w:rFonts w:ascii="Times New Roman" w:eastAsia="Times New Roman" w:hAnsi="Times New Roman" w:cs="Times New Roman"/>
                <w:sz w:val="24"/>
                <w:szCs w:val="24"/>
                <w:vertAlign w:val="superscript"/>
                <w:lang w:val="bg-BG"/>
              </w:rPr>
              <w:footnoteReference w:id="3"/>
            </w:r>
            <w:r w:rsidRPr="00F60BF9">
              <w:rPr>
                <w:rFonts w:ascii="Times New Roman" w:eastAsia="Times New Roman" w:hAnsi="Times New Roman" w:cs="Times New Roman"/>
                <w:sz w:val="24"/>
                <w:szCs w:val="24"/>
                <w:lang w:val="bg-BG"/>
              </w:rPr>
              <w:t xml:space="preserve"> по стратегията (без текущи разходи и анимация) с или над 90% от предвидените в бюджета на стратегията – </w:t>
            </w:r>
            <w:r w:rsidRPr="00F60BF9">
              <w:rPr>
                <w:rFonts w:ascii="Times New Roman" w:eastAsia="Times New Roman" w:hAnsi="Times New Roman" w:cs="Times New Roman"/>
                <w:b/>
                <w:sz w:val="24"/>
                <w:szCs w:val="24"/>
                <w:lang w:val="bg-BG"/>
              </w:rPr>
              <w:t>50 точки</w:t>
            </w:r>
          </w:p>
          <w:p w14:paraId="55215752" w14:textId="77777777" w:rsidR="00DD7739" w:rsidRPr="00F60BF9" w:rsidRDefault="00DD7739" w:rsidP="00F60BF9">
            <w:pPr>
              <w:tabs>
                <w:tab w:val="left" w:pos="162"/>
              </w:tabs>
              <w:overflowPunct w:val="0"/>
              <w:autoSpaceDE w:val="0"/>
              <w:autoSpaceDN w:val="0"/>
              <w:adjustRightInd w:val="0"/>
              <w:spacing w:after="0"/>
              <w:ind w:left="61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На територията на МИРГ е изпълняван подхода ВОМР през посочения период със стойност на изпълнените проекти по стратегията (без текущи разходи и анимация) с 80-89% от предвидените в бюджета на стратегията –</w:t>
            </w:r>
            <w:r w:rsidRPr="00F60BF9">
              <w:rPr>
                <w:rFonts w:ascii="Times New Roman" w:eastAsia="Times New Roman" w:hAnsi="Times New Roman" w:cs="Times New Roman"/>
                <w:b/>
                <w:sz w:val="24"/>
                <w:szCs w:val="24"/>
                <w:lang w:val="bg-BG"/>
              </w:rPr>
              <w:t>35 точки</w:t>
            </w:r>
          </w:p>
          <w:p w14:paraId="7B1FDA46" w14:textId="77777777" w:rsidR="00DD7739" w:rsidRPr="00F60BF9" w:rsidRDefault="00DD7739" w:rsidP="00F60BF9">
            <w:pPr>
              <w:tabs>
                <w:tab w:val="left" w:pos="162"/>
              </w:tabs>
              <w:overflowPunct w:val="0"/>
              <w:autoSpaceDE w:val="0"/>
              <w:autoSpaceDN w:val="0"/>
              <w:adjustRightInd w:val="0"/>
              <w:spacing w:after="0"/>
              <w:ind w:left="61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На територията на МИРГ е изпълняван подхода ВОМР през посочения период със стойност на изпълнените проекти по стратегията (без текущи разходи и анимация) с 60-79% от предвидените в бюджета на стратегията – </w:t>
            </w:r>
            <w:r w:rsidRPr="00F60BF9">
              <w:rPr>
                <w:rFonts w:ascii="Times New Roman" w:eastAsia="Times New Roman" w:hAnsi="Times New Roman" w:cs="Times New Roman"/>
                <w:b/>
                <w:sz w:val="24"/>
                <w:szCs w:val="24"/>
                <w:lang w:val="bg-BG"/>
              </w:rPr>
              <w:t>20 точки</w:t>
            </w:r>
          </w:p>
          <w:p w14:paraId="1005A871" w14:textId="77777777" w:rsidR="00DD7739" w:rsidRPr="00F60BF9" w:rsidRDefault="00DD7739" w:rsidP="00F60BF9">
            <w:pPr>
              <w:tabs>
                <w:tab w:val="left" w:pos="162"/>
              </w:tabs>
              <w:overflowPunct w:val="0"/>
              <w:autoSpaceDE w:val="0"/>
              <w:autoSpaceDN w:val="0"/>
              <w:adjustRightInd w:val="0"/>
              <w:spacing w:after="0"/>
              <w:ind w:left="612"/>
              <w:jc w:val="both"/>
              <w:textAlignment w:val="baseline"/>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 На територията на МИРГ е изпълняван подхода ВОМР през посочения период със стойност изпълнените проекти по стратегията (без текущи разходи и анимация) под 60% от предвидените в бюджета на стратегията – </w:t>
            </w:r>
            <w:r w:rsidRPr="00F60BF9">
              <w:rPr>
                <w:rFonts w:ascii="Times New Roman" w:eastAsia="Times New Roman" w:hAnsi="Times New Roman" w:cs="Times New Roman"/>
                <w:b/>
                <w:sz w:val="24"/>
                <w:szCs w:val="24"/>
                <w:lang w:val="bg-BG"/>
              </w:rPr>
              <w:t>не се присъждат точки</w:t>
            </w:r>
          </w:p>
          <w:p w14:paraId="441BB804" w14:textId="77777777" w:rsidR="00DD7739" w:rsidRPr="00F60BF9" w:rsidRDefault="00DD773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b/>
                <w:sz w:val="24"/>
                <w:szCs w:val="24"/>
                <w:lang w:val="bg-BG"/>
              </w:rPr>
              <w:t>Процентното съотношение се закръгля до цели числа</w:t>
            </w:r>
          </w:p>
          <w:p w14:paraId="766F376F" w14:textId="77777777" w:rsidR="00DD7739" w:rsidRPr="00F60BF9" w:rsidRDefault="00DD7739" w:rsidP="00F60BF9">
            <w:pPr>
              <w:spacing w:after="0"/>
              <w:rPr>
                <w:rFonts w:ascii="Times New Roman" w:hAnsi="Times New Roman" w:cs="Times New Roman"/>
                <w:b/>
                <w:sz w:val="24"/>
                <w:szCs w:val="24"/>
                <w:lang w:val="bg-BG"/>
              </w:rPr>
            </w:pPr>
            <w:r w:rsidRPr="00F60BF9">
              <w:rPr>
                <w:rFonts w:ascii="Times New Roman" w:hAnsi="Times New Roman" w:cs="Times New Roman"/>
                <w:b/>
                <w:sz w:val="24"/>
                <w:szCs w:val="24"/>
                <w:lang w:val="bg-BG"/>
              </w:rPr>
              <w:t>Максимум 50 точки</w:t>
            </w:r>
          </w:p>
          <w:p w14:paraId="23AE9031" w14:textId="77777777" w:rsidR="00DD7739" w:rsidRPr="00F60BF9" w:rsidRDefault="00DD7739" w:rsidP="00F60BF9">
            <w:pPr>
              <w:spacing w:after="0" w:line="240" w:lineRule="auto"/>
              <w:rPr>
                <w:rFonts w:ascii="Times New Roman" w:hAnsi="Times New Roman" w:cs="Times New Roman"/>
                <w:sz w:val="24"/>
                <w:szCs w:val="24"/>
                <w:lang w:val="bg-BG"/>
              </w:rPr>
            </w:pPr>
          </w:p>
        </w:tc>
      </w:tr>
      <w:tr w:rsidR="00DD7739" w:rsidRPr="00DD7739" w14:paraId="29FB4102" w14:textId="77777777" w:rsidTr="00F60BF9">
        <w:tc>
          <w:tcPr>
            <w:tcW w:w="2802" w:type="dxa"/>
            <w:shd w:val="clear" w:color="auto" w:fill="auto"/>
          </w:tcPr>
          <w:p w14:paraId="42012634" w14:textId="77777777" w:rsidR="00DD7739" w:rsidRPr="00F60BF9" w:rsidRDefault="00DD7739" w:rsidP="00F60BF9">
            <w:pPr>
              <w:spacing w:after="0" w:line="240" w:lineRule="auto"/>
              <w:rPr>
                <w:rFonts w:ascii="Times New Roman" w:hAnsi="Times New Roman" w:cs="Times New Roman"/>
                <w:sz w:val="24"/>
                <w:szCs w:val="24"/>
                <w:lang w:val="bg-BG"/>
              </w:rPr>
            </w:pPr>
          </w:p>
        </w:tc>
        <w:tc>
          <w:tcPr>
            <w:tcW w:w="9355" w:type="dxa"/>
            <w:shd w:val="clear" w:color="auto" w:fill="auto"/>
          </w:tcPr>
          <w:p w14:paraId="41236D09" w14:textId="77777777" w:rsidR="00DD7739" w:rsidRPr="00F60BF9" w:rsidRDefault="00DD7739" w:rsidP="00F60BF9">
            <w:pPr>
              <w:spacing w:after="0"/>
              <w:rPr>
                <w:rFonts w:ascii="Times New Roman" w:eastAsia="Times New Roman" w:hAnsi="Times New Roman" w:cs="Times New Roman"/>
                <w:b/>
                <w:bCs/>
                <w:sz w:val="24"/>
                <w:szCs w:val="24"/>
                <w:lang w:val="bg-BG" w:eastAsia="fr-FR"/>
              </w:rPr>
            </w:pPr>
            <w:r w:rsidRPr="00F60BF9">
              <w:rPr>
                <w:rFonts w:ascii="Times New Roman" w:eastAsia="Times New Roman" w:hAnsi="Times New Roman" w:cs="Times New Roman"/>
                <w:b/>
                <w:bCs/>
                <w:sz w:val="24"/>
                <w:szCs w:val="24"/>
                <w:lang w:val="bg-BG" w:eastAsia="fr-FR"/>
              </w:rPr>
              <w:t>Максимален брой точки: 475</w:t>
            </w:r>
          </w:p>
          <w:p w14:paraId="071ACB70" w14:textId="77777777" w:rsidR="00DD7739" w:rsidRPr="00F60BF9" w:rsidRDefault="00DD7739" w:rsidP="00F60BF9">
            <w:pPr>
              <w:spacing w:after="0"/>
              <w:rPr>
                <w:rFonts w:ascii="Times New Roman" w:eastAsia="Times New Roman" w:hAnsi="Times New Roman" w:cs="Times New Roman"/>
                <w:sz w:val="24"/>
                <w:szCs w:val="24"/>
                <w:lang w:val="bg-BG"/>
              </w:rPr>
            </w:pPr>
            <w:r w:rsidRPr="00F60BF9">
              <w:rPr>
                <w:rFonts w:ascii="Times New Roman" w:eastAsia="Times New Roman" w:hAnsi="Times New Roman" w:cs="Times New Roman"/>
                <w:b/>
                <w:bCs/>
                <w:sz w:val="24"/>
                <w:szCs w:val="24"/>
                <w:lang w:val="bg-BG" w:eastAsia="fr-FR"/>
              </w:rPr>
              <w:t>Минимален брой точки: 290</w:t>
            </w:r>
          </w:p>
        </w:tc>
      </w:tr>
    </w:tbl>
    <w:p w14:paraId="26F9C1D8" w14:textId="77777777" w:rsidR="00F70226" w:rsidRDefault="00F70226" w:rsidP="00D3581F">
      <w:pPr>
        <w:spacing w:after="0" w:line="240" w:lineRule="auto"/>
        <w:rPr>
          <w:rFonts w:ascii="Times New Roman" w:hAnsi="Times New Roman" w:cs="Times New Roman"/>
          <w:color w:val="000000"/>
          <w:sz w:val="24"/>
          <w:szCs w:val="24"/>
          <w:lang w:val="bg-BG"/>
        </w:rPr>
      </w:pPr>
    </w:p>
    <w:p w14:paraId="568E4652" w14:textId="77777777" w:rsidR="00491E38" w:rsidRDefault="00491E38" w:rsidP="00491E38">
      <w:pPr>
        <w:spacing w:after="0" w:line="240" w:lineRule="auto"/>
        <w:rPr>
          <w:rFonts w:ascii="Times New Roman" w:hAnsi="Times New Roman" w:cs="Times New Roman"/>
          <w:color w:val="000000"/>
          <w:sz w:val="24"/>
          <w:szCs w:val="24"/>
          <w:lang w:val="bg-BG"/>
        </w:rPr>
      </w:pPr>
    </w:p>
    <w:p w14:paraId="2B2CA33D" w14:textId="77777777" w:rsidR="00491E38" w:rsidRPr="00BD6702" w:rsidRDefault="00491E38" w:rsidP="00BD6702">
      <w:pPr>
        <w:spacing w:after="0" w:line="240" w:lineRule="auto"/>
        <w:ind w:left="-142" w:right="-328"/>
        <w:jc w:val="both"/>
        <w:rPr>
          <w:rFonts w:ascii="Times New Roman" w:hAnsi="Times New Roman" w:cs="Times New Roman"/>
          <w:color w:val="000000"/>
          <w:sz w:val="24"/>
          <w:szCs w:val="24"/>
          <w:lang w:val="bg-BG"/>
        </w:rPr>
      </w:pPr>
      <w:r w:rsidRPr="00610597">
        <w:rPr>
          <w:rFonts w:ascii="Times New Roman" w:hAnsi="Times New Roman" w:cs="Times New Roman"/>
          <w:color w:val="000000"/>
          <w:sz w:val="24"/>
          <w:szCs w:val="24"/>
          <w:lang w:val="bg-BG"/>
        </w:rPr>
        <w:t xml:space="preserve">Проектните предложения, </w:t>
      </w:r>
      <w:r w:rsidRPr="00BD6702">
        <w:rPr>
          <w:rFonts w:ascii="Times New Roman" w:hAnsi="Times New Roman" w:cs="Times New Roman"/>
          <w:color w:val="000000"/>
          <w:sz w:val="24"/>
          <w:szCs w:val="24"/>
          <w:lang w:val="bg-BG"/>
        </w:rPr>
        <w:t xml:space="preserve">получили </w:t>
      </w:r>
      <w:r w:rsidR="00BD6702" w:rsidRPr="00BD6702">
        <w:rPr>
          <w:rFonts w:ascii="Times New Roman" w:hAnsi="Times New Roman" w:cs="Times New Roman"/>
          <w:color w:val="000000"/>
          <w:sz w:val="24"/>
          <w:szCs w:val="24"/>
          <w:lang w:val="bg-BG"/>
        </w:rPr>
        <w:t xml:space="preserve">минимум </w:t>
      </w:r>
      <w:r w:rsidR="00BD6702" w:rsidRPr="00DE1B4A">
        <w:rPr>
          <w:rFonts w:ascii="Times New Roman" w:hAnsi="Times New Roman" w:cs="Times New Roman"/>
          <w:color w:val="000000"/>
          <w:sz w:val="24"/>
          <w:szCs w:val="24"/>
          <w:lang w:val="bg-BG"/>
        </w:rPr>
        <w:t>2</w:t>
      </w:r>
      <w:r w:rsidR="00DD7739">
        <w:rPr>
          <w:rFonts w:ascii="Times New Roman" w:hAnsi="Times New Roman" w:cs="Times New Roman"/>
          <w:color w:val="000000"/>
          <w:sz w:val="24"/>
          <w:szCs w:val="24"/>
          <w:lang w:val="bg-BG"/>
        </w:rPr>
        <w:t>90</w:t>
      </w:r>
      <w:r w:rsidR="00BD6702" w:rsidRPr="00BD6702">
        <w:rPr>
          <w:rFonts w:ascii="Times New Roman" w:hAnsi="Times New Roman" w:cs="Times New Roman"/>
          <w:color w:val="000000"/>
          <w:sz w:val="24"/>
          <w:szCs w:val="24"/>
          <w:lang w:val="bg-BG"/>
        </w:rPr>
        <w:t xml:space="preserve"> </w:t>
      </w:r>
      <w:r w:rsidRPr="00BD6702">
        <w:rPr>
          <w:rFonts w:ascii="Times New Roman" w:hAnsi="Times New Roman" w:cs="Times New Roman"/>
          <w:color w:val="000000"/>
          <w:sz w:val="24"/>
          <w:szCs w:val="24"/>
          <w:lang w:val="bg-BG"/>
        </w:rPr>
        <w:t>точки на етап „Техническа и финансова оценка”,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общия размер на общия бюджет по процедурата.</w:t>
      </w:r>
    </w:p>
    <w:p w14:paraId="6A7F20C4" w14:textId="77777777" w:rsidR="00610597" w:rsidRPr="00BD6702" w:rsidRDefault="00610597" w:rsidP="00BD6702">
      <w:pPr>
        <w:spacing w:after="0" w:line="240" w:lineRule="auto"/>
        <w:ind w:left="-142" w:right="-328"/>
        <w:jc w:val="both"/>
        <w:rPr>
          <w:rFonts w:ascii="Times New Roman" w:hAnsi="Times New Roman" w:cs="Times New Roman"/>
          <w:color w:val="000000"/>
          <w:sz w:val="24"/>
          <w:szCs w:val="24"/>
          <w:lang w:val="bg-BG"/>
        </w:rPr>
      </w:pPr>
    </w:p>
    <w:p w14:paraId="2A18F597" w14:textId="77777777" w:rsidR="00491E38" w:rsidRPr="00610597" w:rsidRDefault="00491E38" w:rsidP="00BD6702">
      <w:pPr>
        <w:spacing w:after="0" w:line="240" w:lineRule="auto"/>
        <w:ind w:left="-142" w:right="-328"/>
        <w:jc w:val="both"/>
        <w:rPr>
          <w:rFonts w:ascii="Times New Roman" w:hAnsi="Times New Roman" w:cs="Times New Roman"/>
          <w:color w:val="000000"/>
          <w:sz w:val="24"/>
          <w:szCs w:val="24"/>
          <w:lang w:val="bg-BG"/>
        </w:rPr>
      </w:pPr>
      <w:r w:rsidRPr="00BD6702">
        <w:rPr>
          <w:rFonts w:ascii="Times New Roman" w:hAnsi="Times New Roman" w:cs="Times New Roman"/>
          <w:color w:val="000000"/>
          <w:sz w:val="24"/>
          <w:szCs w:val="24"/>
          <w:lang w:val="bg-BG"/>
        </w:rPr>
        <w:t xml:space="preserve">В случай че проектното предложение получи по-малко от </w:t>
      </w:r>
      <w:r w:rsidR="00BD6702" w:rsidRPr="00DE1B4A">
        <w:rPr>
          <w:rFonts w:ascii="Times New Roman" w:hAnsi="Times New Roman" w:cs="Times New Roman"/>
          <w:color w:val="000000"/>
          <w:sz w:val="24"/>
          <w:szCs w:val="24"/>
          <w:lang w:val="bg-BG"/>
        </w:rPr>
        <w:t>2</w:t>
      </w:r>
      <w:r w:rsidR="00DD7739">
        <w:rPr>
          <w:rFonts w:ascii="Times New Roman" w:hAnsi="Times New Roman" w:cs="Times New Roman"/>
          <w:color w:val="000000"/>
          <w:sz w:val="24"/>
          <w:szCs w:val="24"/>
          <w:lang w:val="bg-BG"/>
        </w:rPr>
        <w:t>9</w:t>
      </w:r>
      <w:r w:rsidR="00BD6702" w:rsidRPr="00DE1B4A">
        <w:rPr>
          <w:rFonts w:ascii="Times New Roman" w:hAnsi="Times New Roman" w:cs="Times New Roman"/>
          <w:color w:val="000000"/>
          <w:sz w:val="24"/>
          <w:szCs w:val="24"/>
          <w:lang w:val="bg-BG"/>
        </w:rPr>
        <w:t>0</w:t>
      </w:r>
      <w:r w:rsidRPr="00BD6702">
        <w:rPr>
          <w:rFonts w:ascii="Times New Roman" w:hAnsi="Times New Roman" w:cs="Times New Roman"/>
          <w:color w:val="000000"/>
          <w:sz w:val="24"/>
          <w:szCs w:val="24"/>
          <w:lang w:val="bg-BG"/>
        </w:rPr>
        <w:t xml:space="preserve"> точки, проектното</w:t>
      </w:r>
      <w:r w:rsidRPr="00610597">
        <w:rPr>
          <w:rFonts w:ascii="Times New Roman" w:hAnsi="Times New Roman" w:cs="Times New Roman"/>
          <w:color w:val="000000"/>
          <w:sz w:val="24"/>
          <w:szCs w:val="24"/>
          <w:lang w:val="bg-BG"/>
        </w:rPr>
        <w:t xml:space="preserve"> предложение се отхвърля.</w:t>
      </w:r>
    </w:p>
    <w:p w14:paraId="1A927B66" w14:textId="77777777" w:rsidR="00CF751F" w:rsidRPr="002066F7" w:rsidRDefault="00491E38" w:rsidP="00BD6702">
      <w:pPr>
        <w:spacing w:after="0" w:line="240" w:lineRule="auto"/>
        <w:ind w:left="-142" w:right="-328"/>
        <w:jc w:val="both"/>
        <w:rPr>
          <w:rFonts w:ascii="Times New Roman" w:hAnsi="Times New Roman" w:cs="Times New Roman"/>
          <w:color w:val="000000"/>
          <w:sz w:val="24"/>
          <w:szCs w:val="24"/>
          <w:lang w:val="bg-BG"/>
        </w:rPr>
      </w:pPr>
      <w:r w:rsidRPr="00610597">
        <w:rPr>
          <w:rFonts w:ascii="Times New Roman" w:hAnsi="Times New Roman" w:cs="Times New Roman"/>
          <w:color w:val="000000"/>
          <w:sz w:val="24"/>
          <w:szCs w:val="24"/>
          <w:lang w:val="bg-BG"/>
        </w:rPr>
        <w:lastRenderedPageBreak/>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sectPr w:rsidR="00CF751F" w:rsidRPr="002066F7" w:rsidSect="002066F7">
      <w:headerReference w:type="first" r:id="rId8"/>
      <w:footerReference w:type="first" r:id="rId9"/>
      <w:pgSz w:w="15840" w:h="12240" w:orient="landscape"/>
      <w:pgMar w:top="1985" w:right="2981" w:bottom="1411" w:left="1138"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B7073" w14:textId="77777777" w:rsidR="00F60BF9" w:rsidRDefault="00F60BF9" w:rsidP="00116291">
      <w:pPr>
        <w:spacing w:after="0" w:line="240" w:lineRule="auto"/>
      </w:pPr>
      <w:r>
        <w:separator/>
      </w:r>
    </w:p>
  </w:endnote>
  <w:endnote w:type="continuationSeparator" w:id="0">
    <w:p w14:paraId="15E425FD" w14:textId="77777777" w:rsidR="00F60BF9" w:rsidRDefault="00F60BF9" w:rsidP="00116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CB34D" w14:textId="55C6878F" w:rsidR="00FB14C1" w:rsidRDefault="00FB14C1">
    <w:pPr>
      <w:pStyle w:val="Footer"/>
      <w:jc w:val="right"/>
    </w:pPr>
    <w:r>
      <w:fldChar w:fldCharType="begin"/>
    </w:r>
    <w:r>
      <w:instrText xml:space="preserve"> PAGE   \* MERGEFORMAT </w:instrText>
    </w:r>
    <w:r>
      <w:fldChar w:fldCharType="separate"/>
    </w:r>
    <w:r w:rsidR="000731DC">
      <w:rPr>
        <w:noProof/>
      </w:rPr>
      <w:t>1</w:t>
    </w:r>
    <w:r>
      <w:rPr>
        <w:noProof/>
      </w:rPr>
      <w:fldChar w:fldCharType="end"/>
    </w:r>
  </w:p>
  <w:p w14:paraId="5BF4BBE3" w14:textId="77777777" w:rsidR="00FB14C1" w:rsidRDefault="00FB14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E0548" w14:textId="77777777" w:rsidR="00F60BF9" w:rsidRDefault="00F60BF9" w:rsidP="00116291">
      <w:pPr>
        <w:spacing w:after="0" w:line="240" w:lineRule="auto"/>
      </w:pPr>
      <w:r>
        <w:separator/>
      </w:r>
    </w:p>
  </w:footnote>
  <w:footnote w:type="continuationSeparator" w:id="0">
    <w:p w14:paraId="6017DFA2" w14:textId="77777777" w:rsidR="00F60BF9" w:rsidRDefault="00F60BF9" w:rsidP="00116291">
      <w:pPr>
        <w:spacing w:after="0" w:line="240" w:lineRule="auto"/>
      </w:pPr>
      <w:r>
        <w:continuationSeparator/>
      </w:r>
    </w:p>
  </w:footnote>
  <w:footnote w:id="1">
    <w:p w14:paraId="3E7A3746" w14:textId="77777777" w:rsidR="00DD7739" w:rsidRPr="00D03BEC" w:rsidRDefault="00DD7739" w:rsidP="00DD7739">
      <w:pPr>
        <w:pStyle w:val="FootnoteText"/>
        <w:rPr>
          <w:rFonts w:ascii="Times New Roman" w:hAnsi="Times New Roman" w:cs="Times New Roman"/>
          <w:sz w:val="22"/>
          <w:szCs w:val="22"/>
          <w:lang w:val="bg-BG"/>
        </w:rPr>
      </w:pPr>
      <w:r w:rsidRPr="00D03BEC">
        <w:rPr>
          <w:rFonts w:ascii="Times New Roman" w:hAnsi="Times New Roman" w:cs="Times New Roman"/>
          <w:sz w:val="22"/>
          <w:szCs w:val="22"/>
        </w:rPr>
        <w:footnoteRef/>
      </w:r>
      <w:r w:rsidRPr="00D03BEC">
        <w:rPr>
          <w:rFonts w:ascii="Times New Roman" w:hAnsi="Times New Roman" w:cs="Times New Roman"/>
          <w:sz w:val="22"/>
          <w:szCs w:val="22"/>
          <w:lang w:val="bg-BG"/>
        </w:rPr>
        <w:t xml:space="preserve"> Под „Рибарство“ се разбира тази част от икономиката и земеделието на Република България, която обхваща дейности в стопанския риболов, аквакултурите, преработка на риба и други водни организми</w:t>
      </w:r>
      <w:r>
        <w:rPr>
          <w:rFonts w:ascii="Times New Roman" w:hAnsi="Times New Roman" w:cs="Times New Roman"/>
          <w:sz w:val="22"/>
          <w:szCs w:val="22"/>
          <w:lang w:val="bg-BG"/>
        </w:rPr>
        <w:t>.</w:t>
      </w:r>
    </w:p>
    <w:p w14:paraId="71A7508B" w14:textId="77777777" w:rsidR="00DD7739" w:rsidRPr="00D03BEC" w:rsidRDefault="00DD7739" w:rsidP="00DD7739">
      <w:pPr>
        <w:pStyle w:val="FootnoteText"/>
        <w:rPr>
          <w:lang w:val="bg-BG"/>
        </w:rPr>
      </w:pPr>
    </w:p>
  </w:footnote>
  <w:footnote w:id="2">
    <w:p w14:paraId="3AC9D5B7" w14:textId="77777777" w:rsidR="00DD7739" w:rsidRPr="00247911" w:rsidRDefault="00DD7739" w:rsidP="00DD7739">
      <w:pPr>
        <w:spacing w:after="0" w:line="240" w:lineRule="auto"/>
        <w:ind w:right="-63"/>
        <w:rPr>
          <w:rFonts w:ascii="Times New Roman" w:hAnsi="Times New Roman" w:cs="Times New Roman"/>
          <w:lang w:val="bg-BG"/>
        </w:rPr>
      </w:pPr>
      <w:r w:rsidRPr="00D03BEC">
        <w:rPr>
          <w:rStyle w:val="FootnoteReference"/>
          <w:lang w:val="bg-BG"/>
        </w:rPr>
        <w:footnoteRef/>
      </w:r>
      <w:r w:rsidRPr="00D03BEC">
        <w:rPr>
          <w:lang w:val="bg-BG"/>
        </w:rPr>
        <w:t xml:space="preserve"> </w:t>
      </w:r>
      <w:r w:rsidRPr="00247911">
        <w:rPr>
          <w:rFonts w:ascii="Times New Roman" w:hAnsi="Times New Roman" w:cs="Times New Roman"/>
          <w:lang w:val="bg-BG"/>
        </w:rPr>
        <w:t>Сектори, които са включени в „устойчивата синя икономика“:</w:t>
      </w:r>
    </w:p>
    <w:p w14:paraId="7916A59F" w14:textId="77777777" w:rsidR="000731DC" w:rsidRPr="00970CA7" w:rsidRDefault="000731DC" w:rsidP="000731DC">
      <w:pPr>
        <w:pStyle w:val="ListParagraph"/>
        <w:numPr>
          <w:ilvl w:val="0"/>
          <w:numId w:val="20"/>
        </w:numPr>
        <w:spacing w:after="0" w:line="240" w:lineRule="auto"/>
        <w:ind w:right="-63"/>
        <w:contextualSpacing/>
        <w:rPr>
          <w:rFonts w:ascii="Times New Roman" w:hAnsi="Times New Roman" w:cs="Times New Roman"/>
          <w:lang w:val="bg-BG"/>
        </w:rPr>
      </w:pPr>
      <w:r w:rsidRPr="00970CA7">
        <w:rPr>
          <w:rFonts w:ascii="Times New Roman" w:hAnsi="Times New Roman" w:cs="Times New Roman"/>
          <w:lang w:val="bg-BG"/>
        </w:rPr>
        <w:t xml:space="preserve">Аквакултури: отглеждането на </w:t>
      </w:r>
      <w:r>
        <w:rPr>
          <w:rFonts w:ascii="Times New Roman" w:hAnsi="Times New Roman" w:cs="Times New Roman"/>
          <w:lang w:val="bg-BG"/>
        </w:rPr>
        <w:t>водни организми</w:t>
      </w:r>
      <w:r w:rsidRPr="00970CA7">
        <w:rPr>
          <w:rFonts w:ascii="Times New Roman" w:hAnsi="Times New Roman" w:cs="Times New Roman"/>
          <w:lang w:val="bg-BG"/>
        </w:rPr>
        <w:t xml:space="preserve"> в морето или във вътрешните води</w:t>
      </w:r>
      <w:r>
        <w:rPr>
          <w:rFonts w:ascii="Times New Roman" w:hAnsi="Times New Roman" w:cs="Times New Roman"/>
          <w:lang w:val="bg-BG"/>
        </w:rPr>
        <w:t>;</w:t>
      </w:r>
      <w:r w:rsidRPr="00970CA7">
        <w:rPr>
          <w:rFonts w:ascii="Times New Roman" w:hAnsi="Times New Roman" w:cs="Times New Roman"/>
          <w:lang w:val="bg-BG"/>
        </w:rPr>
        <w:t xml:space="preserve"> </w:t>
      </w:r>
    </w:p>
    <w:p w14:paraId="74DCAEEF" w14:textId="77777777" w:rsidR="000731DC" w:rsidRPr="00970CA7" w:rsidRDefault="000731DC" w:rsidP="000731DC">
      <w:pPr>
        <w:pStyle w:val="ListParagraph"/>
        <w:numPr>
          <w:ilvl w:val="0"/>
          <w:numId w:val="20"/>
        </w:numPr>
        <w:spacing w:after="0" w:line="240" w:lineRule="auto"/>
        <w:ind w:right="-63"/>
        <w:contextualSpacing/>
        <w:rPr>
          <w:rFonts w:ascii="Times New Roman" w:hAnsi="Times New Roman" w:cs="Times New Roman"/>
          <w:lang w:val="bg-BG"/>
        </w:rPr>
      </w:pPr>
      <w:r>
        <w:rPr>
          <w:rFonts w:ascii="Times New Roman" w:hAnsi="Times New Roman" w:cs="Times New Roman"/>
          <w:lang w:val="bg-BG"/>
        </w:rPr>
        <w:t>Стопански риболов;</w:t>
      </w:r>
    </w:p>
    <w:p w14:paraId="512FEF80" w14:textId="77777777" w:rsidR="000731DC" w:rsidRPr="00970CA7" w:rsidRDefault="000731DC" w:rsidP="000731DC">
      <w:pPr>
        <w:pStyle w:val="ListParagraph"/>
        <w:numPr>
          <w:ilvl w:val="0"/>
          <w:numId w:val="20"/>
        </w:numPr>
        <w:spacing w:after="0" w:line="240" w:lineRule="auto"/>
        <w:ind w:right="-63"/>
        <w:contextualSpacing/>
        <w:rPr>
          <w:rFonts w:ascii="Times New Roman" w:hAnsi="Times New Roman" w:cs="Times New Roman"/>
          <w:lang w:val="bg-BG"/>
        </w:rPr>
      </w:pPr>
      <w:r w:rsidRPr="00970CA7">
        <w:rPr>
          <w:rFonts w:ascii="Times New Roman" w:hAnsi="Times New Roman" w:cs="Times New Roman"/>
          <w:lang w:val="bg-BG"/>
        </w:rPr>
        <w:t>Възобновяема енергия</w:t>
      </w:r>
      <w:r>
        <w:rPr>
          <w:rFonts w:ascii="Times New Roman" w:hAnsi="Times New Roman" w:cs="Times New Roman"/>
          <w:lang w:val="bg-BG"/>
        </w:rPr>
        <w:t>;</w:t>
      </w:r>
    </w:p>
    <w:p w14:paraId="3703D1E6" w14:textId="77777777" w:rsidR="000731DC" w:rsidRPr="00970CA7" w:rsidRDefault="000731DC" w:rsidP="000731DC">
      <w:pPr>
        <w:pStyle w:val="ListParagraph"/>
        <w:numPr>
          <w:ilvl w:val="0"/>
          <w:numId w:val="20"/>
        </w:numPr>
        <w:spacing w:after="0" w:line="240" w:lineRule="auto"/>
        <w:ind w:right="-63"/>
        <w:contextualSpacing/>
        <w:rPr>
          <w:rFonts w:ascii="Times New Roman" w:hAnsi="Times New Roman" w:cs="Times New Roman"/>
          <w:lang w:val="bg-BG"/>
        </w:rPr>
      </w:pPr>
      <w:r>
        <w:rPr>
          <w:rFonts w:ascii="Times New Roman" w:hAnsi="Times New Roman" w:cs="Times New Roman"/>
          <w:lang w:val="bg-BG"/>
        </w:rPr>
        <w:t>Пристанищни</w:t>
      </w:r>
      <w:r w:rsidRPr="00970CA7">
        <w:rPr>
          <w:rFonts w:ascii="Times New Roman" w:hAnsi="Times New Roman" w:cs="Times New Roman"/>
          <w:lang w:val="bg-BG"/>
        </w:rPr>
        <w:t xml:space="preserve"> дейност</w:t>
      </w:r>
      <w:r>
        <w:rPr>
          <w:rFonts w:ascii="Times New Roman" w:hAnsi="Times New Roman" w:cs="Times New Roman"/>
          <w:lang w:val="bg-BG"/>
        </w:rPr>
        <w:t>и;</w:t>
      </w:r>
    </w:p>
    <w:p w14:paraId="28983A93" w14:textId="77777777" w:rsidR="000731DC" w:rsidRPr="00970CA7" w:rsidRDefault="000731DC" w:rsidP="000731DC">
      <w:pPr>
        <w:pStyle w:val="ListParagraph"/>
        <w:numPr>
          <w:ilvl w:val="0"/>
          <w:numId w:val="20"/>
        </w:numPr>
        <w:spacing w:after="0" w:line="240" w:lineRule="auto"/>
        <w:ind w:right="-63"/>
        <w:contextualSpacing/>
        <w:rPr>
          <w:rFonts w:ascii="Times New Roman" w:hAnsi="Times New Roman" w:cs="Times New Roman"/>
          <w:lang w:val="bg-BG"/>
        </w:rPr>
      </w:pPr>
      <w:r w:rsidRPr="00970CA7">
        <w:rPr>
          <w:rFonts w:ascii="Times New Roman" w:hAnsi="Times New Roman" w:cs="Times New Roman"/>
          <w:lang w:val="bg-BG"/>
        </w:rPr>
        <w:t xml:space="preserve">Дейности за опазване на </w:t>
      </w:r>
      <w:r>
        <w:rPr>
          <w:rFonts w:ascii="Times New Roman" w:hAnsi="Times New Roman" w:cs="Times New Roman"/>
          <w:lang w:val="bg-BG"/>
        </w:rPr>
        <w:t>водните</w:t>
      </w:r>
      <w:r w:rsidRPr="00970CA7">
        <w:rPr>
          <w:rFonts w:ascii="Times New Roman" w:hAnsi="Times New Roman" w:cs="Times New Roman"/>
          <w:lang w:val="bg-BG"/>
        </w:rPr>
        <w:t xml:space="preserve"> екосистеми</w:t>
      </w:r>
      <w:r>
        <w:rPr>
          <w:rFonts w:ascii="Times New Roman" w:hAnsi="Times New Roman" w:cs="Times New Roman"/>
          <w:lang w:val="bg-BG"/>
        </w:rPr>
        <w:t>;</w:t>
      </w:r>
      <w:r w:rsidRPr="00970CA7">
        <w:rPr>
          <w:rFonts w:ascii="Times New Roman" w:hAnsi="Times New Roman" w:cs="Times New Roman"/>
          <w:lang w:val="bg-BG"/>
        </w:rPr>
        <w:t xml:space="preserve"> </w:t>
      </w:r>
    </w:p>
    <w:p w14:paraId="730BE0F5" w14:textId="77777777" w:rsidR="000731DC" w:rsidRDefault="000731DC" w:rsidP="000731DC">
      <w:pPr>
        <w:pStyle w:val="ListParagraph"/>
        <w:numPr>
          <w:ilvl w:val="0"/>
          <w:numId w:val="20"/>
        </w:numPr>
        <w:spacing w:after="0" w:line="240" w:lineRule="auto"/>
        <w:ind w:right="-63"/>
        <w:contextualSpacing/>
        <w:rPr>
          <w:rFonts w:ascii="Times New Roman" w:hAnsi="Times New Roman" w:cs="Times New Roman"/>
          <w:lang w:val="bg-BG"/>
        </w:rPr>
      </w:pPr>
      <w:r>
        <w:rPr>
          <w:rFonts w:ascii="Times New Roman" w:hAnsi="Times New Roman" w:cs="Times New Roman"/>
          <w:lang w:val="bg-BG"/>
        </w:rPr>
        <w:t>Прилагане на морски биоизследвания и прилагането им;</w:t>
      </w:r>
      <w:r w:rsidRPr="00970CA7">
        <w:rPr>
          <w:rFonts w:ascii="Times New Roman" w:hAnsi="Times New Roman" w:cs="Times New Roman"/>
          <w:lang w:val="bg-BG"/>
        </w:rPr>
        <w:t xml:space="preserve"> </w:t>
      </w:r>
    </w:p>
    <w:p w14:paraId="29C202C1" w14:textId="77777777" w:rsidR="000731DC" w:rsidRDefault="000731DC" w:rsidP="000731DC">
      <w:pPr>
        <w:pStyle w:val="ListParagraph"/>
        <w:numPr>
          <w:ilvl w:val="0"/>
          <w:numId w:val="20"/>
        </w:numPr>
        <w:pBdr>
          <w:top w:val="nil"/>
          <w:left w:val="nil"/>
          <w:bottom w:val="nil"/>
          <w:right w:val="nil"/>
          <w:between w:val="nil"/>
          <w:bar w:val="nil"/>
        </w:pBdr>
        <w:spacing w:after="0"/>
        <w:rPr>
          <w:rFonts w:ascii="Times New Roman" w:hAnsi="Times New Roman" w:cs="Times New Roman"/>
          <w:lang w:val="bg-BG"/>
        </w:rPr>
      </w:pPr>
      <w:r w:rsidRPr="00D936B4">
        <w:rPr>
          <w:rFonts w:ascii="Times New Roman" w:hAnsi="Times New Roman" w:cs="Times New Roman"/>
          <w:lang w:val="bg-BG"/>
        </w:rPr>
        <w:t>Биопроспекция: систематично и организирано търсене на полезни продукти, получени от биоресурси, включително растения, микроорганизми, животни и т.н., които могат да бъдат доразвити за комерсиализация и общи ползи за обществото;</w:t>
      </w:r>
    </w:p>
    <w:p w14:paraId="12F06162" w14:textId="77777777" w:rsidR="000731DC" w:rsidRPr="00D936B4" w:rsidRDefault="000731DC" w:rsidP="000731DC">
      <w:pPr>
        <w:pStyle w:val="ListParagraph"/>
        <w:numPr>
          <w:ilvl w:val="0"/>
          <w:numId w:val="20"/>
        </w:numPr>
        <w:pBdr>
          <w:top w:val="nil"/>
          <w:left w:val="nil"/>
          <w:bottom w:val="nil"/>
          <w:right w:val="nil"/>
          <w:between w:val="nil"/>
          <w:bar w:val="nil"/>
        </w:pBdr>
        <w:spacing w:after="0"/>
        <w:rPr>
          <w:rFonts w:ascii="Times New Roman" w:hAnsi="Times New Roman" w:cs="Times New Roman"/>
          <w:lang w:val="bg-BG"/>
        </w:rPr>
      </w:pPr>
      <w:r w:rsidRPr="00D936B4">
        <w:rPr>
          <w:rFonts w:ascii="Times New Roman" w:hAnsi="Times New Roman" w:cs="Times New Roman"/>
          <w:lang w:val="bg-BG"/>
        </w:rPr>
        <w:t>Морски транспорт</w:t>
      </w:r>
      <w:r>
        <w:rPr>
          <w:rFonts w:ascii="Times New Roman" w:hAnsi="Times New Roman" w:cs="Times New Roman"/>
          <w:lang w:val="bg-BG"/>
        </w:rPr>
        <w:t>;</w:t>
      </w:r>
    </w:p>
    <w:p w14:paraId="2AD4BA14" w14:textId="77777777" w:rsidR="000731DC" w:rsidRPr="00970CA7" w:rsidRDefault="000731DC" w:rsidP="000731DC">
      <w:pPr>
        <w:pStyle w:val="ListParagraph"/>
        <w:numPr>
          <w:ilvl w:val="0"/>
          <w:numId w:val="20"/>
        </w:numPr>
        <w:spacing w:after="0" w:line="240" w:lineRule="auto"/>
        <w:ind w:right="-63"/>
        <w:contextualSpacing/>
        <w:rPr>
          <w:rFonts w:ascii="Times New Roman" w:hAnsi="Times New Roman" w:cs="Times New Roman"/>
          <w:szCs w:val="24"/>
          <w:lang w:val="bg-BG"/>
        </w:rPr>
      </w:pPr>
      <w:r w:rsidRPr="00970CA7">
        <w:rPr>
          <w:rFonts w:ascii="Times New Roman" w:hAnsi="Times New Roman" w:cs="Times New Roman"/>
          <w:lang w:val="bg-BG"/>
        </w:rPr>
        <w:t>Туризъм (</w:t>
      </w:r>
      <w:r>
        <w:rPr>
          <w:rFonts w:ascii="Times New Roman" w:hAnsi="Times New Roman" w:cs="Times New Roman"/>
          <w:lang w:val="bg-BG"/>
        </w:rPr>
        <w:t>крайбрежен морски и риболовен туризъм</w:t>
      </w:r>
      <w:r>
        <w:rPr>
          <w:rFonts w:ascii="Times New Roman" w:hAnsi="Times New Roman" w:cs="Times New Roman"/>
        </w:rPr>
        <w:t>)</w:t>
      </w:r>
    </w:p>
    <w:p w14:paraId="3DF36410" w14:textId="77777777" w:rsidR="000731DC" w:rsidRPr="00970CA7" w:rsidRDefault="000731DC" w:rsidP="000731DC">
      <w:pPr>
        <w:pStyle w:val="EndnoteText"/>
        <w:rPr>
          <w:lang w:val="bg-BG"/>
        </w:rPr>
      </w:pPr>
    </w:p>
    <w:p w14:paraId="077A242A" w14:textId="77777777" w:rsidR="00DD7739" w:rsidRPr="00D93EF1" w:rsidRDefault="00DD7739" w:rsidP="00DD7739">
      <w:pPr>
        <w:pStyle w:val="FootnoteText"/>
        <w:rPr>
          <w:lang w:val="bg-BG"/>
        </w:rPr>
      </w:pPr>
      <w:bookmarkStart w:id="0" w:name="_GoBack"/>
      <w:bookmarkEnd w:id="0"/>
    </w:p>
  </w:footnote>
  <w:footnote w:id="3">
    <w:p w14:paraId="73CA17AD" w14:textId="77777777" w:rsidR="00DD7739" w:rsidRPr="002D7BD3" w:rsidRDefault="00DD7739" w:rsidP="00DD7739">
      <w:pPr>
        <w:pStyle w:val="FootnoteText"/>
        <w:rPr>
          <w:rFonts w:ascii="Times New Roman" w:hAnsi="Times New Roman" w:cs="Times New Roman"/>
          <w:lang w:val="bg-BG"/>
        </w:rPr>
      </w:pPr>
      <w:r w:rsidRPr="002D7BD3">
        <w:rPr>
          <w:rStyle w:val="FootnoteReference"/>
          <w:rFonts w:ascii="Times New Roman" w:hAnsi="Times New Roman" w:cs="Times New Roman"/>
        </w:rPr>
        <w:footnoteRef/>
      </w:r>
      <w:r w:rsidRPr="002D7BD3">
        <w:rPr>
          <w:rFonts w:ascii="Times New Roman" w:hAnsi="Times New Roman" w:cs="Times New Roman"/>
          <w:lang w:val="bg-BG"/>
        </w:rPr>
        <w:t xml:space="preserve"> Под „изпълнени проекти“ се разбира договори с одобрено окончателно плащане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C13AE" w14:textId="77777777" w:rsidR="00D82183" w:rsidRDefault="000731DC" w:rsidP="002066F7">
    <w:pPr>
      <w:pStyle w:val="Header"/>
      <w:tabs>
        <w:tab w:val="clear" w:pos="4536"/>
        <w:tab w:val="clear" w:pos="9072"/>
        <w:tab w:val="center" w:pos="5860"/>
      </w:tabs>
    </w:pPr>
    <w:r>
      <w:rPr>
        <w:rFonts w:eastAsia="Times New Roman"/>
        <w:noProof/>
      </w:rPr>
      <w:pict w14:anchorId="39E313D3">
        <v:shapetype id="_x0000_t202" coordsize="21600,21600" o:spt="202" path="m,l,21600r21600,l21600,xe">
          <v:stroke joinstyle="miter"/>
          <v:path gradientshapeok="t" o:connecttype="rect"/>
        </v:shapetype>
        <v:shape id="TextBox 5" o:spid="_x0000_s2061" type="#_x0000_t202" style="position:absolute;margin-left:192.95pt;margin-top:39.35pt;width:171.55pt;height:18.65pt;z-index:251657728;visibility:visible;mso-position-horizont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CqwuAIAAMA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GAnaQ48e2N7cyj2a2eqMg87A6X4AN7OHY/B0TPVwJ6uvGgm5bKnYsBul5NgyWkN2ob3pn12d&#10;cLQFWY8fZA1R6NZIB7RvVG9LB8VAgA5dejx1BjJBFRxGYRLHAWipAlsUJ+ll7ELQ7Hh7UNq8Y7JH&#10;dpFjBZ136HR3p43NhmZHFxtMyJJ3net+J54dgON0ArHhqrXZLFwzf6RBukpWCfFIFK88EhSFd1Mu&#10;iReX4XxWXBbLZRH+tHFDkrW8rpmwYY7CCsmfNe4g8UkSJ2lp2fHawtmUtNqsl51COwrCLt13KMiZ&#10;m/88DVcE4PKCUhiR4DZKvTJO5h4pycxL50HiBWF6m8YBSUlRPqd0xwX7d0pozHE6i2aTmH7LLXDf&#10;a24067mB0dHxPsfJyYlmVoIrUbvWGsq7aX1WCpv+Uymg3cdGO8FajU5qNfv1fnoZNroV81rWj6Bg&#10;JUFgIFMYe7BopfqO0QgjJMf625YqhlH3XsArSENC7MxxGzKbR7BR55b1uYWKCqByvMZoWi7NNKe2&#10;g+KbFiJN707IG3g5DXeifsrq8N5gTDhuh5Fm59D53nk9Dd7FLwAAAP//AwBQSwMEFAAGAAgAAAAh&#10;AL9nYqLeAAAACwEAAA8AAABkcnMvZG93bnJldi54bWxMj8FOwzAQRO9I/IO1SNyoHZRWVohToUKP&#10;FVD4ADtekkBsR7HTJH/PcoLj7Ixm3pb7xfXsgmPsgleQbQQw9HWwnW8UfLwf7ySwmLS3ug8eFawY&#10;YV9dX5W6sGH2b3g5p4ZRiY+FVtCmNBScx7pFp+MmDOjJ+wyj04nk2HA76pnKXc/vhdhxpztPC60e&#10;8NBi/X2enILnV7OaPPs65k9iNfZlPh3q6aTU7c3y+AAs4ZL+wvCLT+hQEZMJk7eR9Qq2QhB6IiPf&#10;5cAoIfNtBszQRUoJvCr5/x+qHwAAAP//AwBQSwECLQAUAAYACAAAACEAtoM4kv4AAADhAQAAEwAA&#10;AAAAAAAAAAAAAAAAAAAAW0NvbnRlbnRfVHlwZXNdLnhtbFBLAQItABQABgAIAAAAIQA4/SH/1gAA&#10;AJQBAAALAAAAAAAAAAAAAAAAAC8BAABfcmVscy8ucmVsc1BLAQItABQABgAIAAAAIQDNSCqwuAIA&#10;AMAFAAAOAAAAAAAAAAAAAAAAAC4CAABkcnMvZTJvRG9jLnhtbFBLAQItABQABgAIAAAAIQC/Z2Ki&#10;3gAAAAsBAAAPAAAAAAAAAAAAAAAAABIFAABkcnMvZG93bnJldi54bWxQSwUGAAAAAAQABADzAAAA&#10;HQYAAAAA&#10;" filled="f" stroked="f">
          <v:textbox style="mso-next-textbox:#TextBox 5">
            <w:txbxContent>
              <w:p w14:paraId="03BD5B45" w14:textId="77777777" w:rsidR="0008236C" w:rsidRPr="003C7229" w:rsidRDefault="0008236C" w:rsidP="0008236C">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И ХРАНИТЕ </w:t>
                </w:r>
              </w:p>
              <w:p w14:paraId="126326A8" w14:textId="77777777" w:rsidR="0008236C" w:rsidRDefault="0008236C" w:rsidP="0008236C">
                <w:pPr>
                  <w:jc w:val="center"/>
                </w:pPr>
              </w:p>
            </w:txbxContent>
          </v:textbox>
          <w10:wrap anchorx="margin"/>
        </v:shape>
      </w:pict>
    </w:r>
    <w:r>
      <w:rPr>
        <w:rFonts w:eastAsia="Times New Roman"/>
        <w:noProof/>
      </w:rPr>
      <w:pict w14:anchorId="577C6A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2060" type="#_x0000_t75" style="position:absolute;margin-left:231.75pt;margin-top:-23.7pt;width:110.15pt;height:59.45pt;z-index:-251657728;visibility:visible;mso-width-relative:margin;mso-height-relative:margin" wrapcoords="8066 508 7246 4574 820 8640 273 11181 137 19567 2871 20838 8476 20838 12851 20838 18866 20838 20916 19821 20916 10419 20370 8894 19413 8640 14081 4574 13397 508 8066 508">
          <v:imagedata r:id="rId1" o:title=""/>
          <w10:wrap type="tight"/>
        </v:shape>
      </w:pict>
    </w:r>
    <w:r>
      <w:rPr>
        <w:rFonts w:eastAsia="Times New Roman"/>
        <w:noProof/>
      </w:rPr>
      <w:pict w14:anchorId="5B14832D">
        <v:shape id="Picture 3" o:spid="_x0000_s2059" type="#_x0000_t75" style="position:absolute;margin-left:384.9pt;margin-top:-7.4pt;width:167.4pt;height:62.75pt;z-index:251656704;visibility:visible">
          <v:imagedata r:id="rId2" o:title=""/>
          <w10:wrap type="square"/>
        </v:shape>
      </w:pict>
    </w:r>
    <w:r>
      <w:rPr>
        <w:rFonts w:eastAsia="Times New Roman"/>
        <w:lang w:val="bg-BG"/>
      </w:rPr>
      <w:pict w14:anchorId="3CF92E83">
        <v:shape id="_x0000_i1025" type="#_x0000_t75" style="width:183.15pt;height:44.95pt;mso-position-horizontal-relative:char;mso-position-vertical-relative:line">
          <v:imagedata r:id="rId3" o:title=""/>
        </v:shape>
      </w:pict>
    </w:r>
    <w:r w:rsidR="0008236C">
      <w:rPr>
        <w:rFonts w:eastAsia="Times New Roman"/>
        <w:lang w:val="bg-BG"/>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466D8"/>
    <w:multiLevelType w:val="hybridMultilevel"/>
    <w:tmpl w:val="90408264"/>
    <w:lvl w:ilvl="0" w:tplc="6E540A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464AE"/>
    <w:multiLevelType w:val="hybridMultilevel"/>
    <w:tmpl w:val="CC4279EE"/>
    <w:lvl w:ilvl="0" w:tplc="ADF4E1B0">
      <w:start w:val="2"/>
      <w:numFmt w:val="bullet"/>
      <w:lvlText w:val="–"/>
      <w:lvlJc w:val="left"/>
      <w:pPr>
        <w:ind w:left="390" w:hanging="360"/>
      </w:pPr>
      <w:rPr>
        <w:rFonts w:ascii="Calibri" w:eastAsia="Times New Roman" w:hAnsi="Calibri" w:hint="default"/>
      </w:rPr>
    </w:lvl>
    <w:lvl w:ilvl="1" w:tplc="04090003">
      <w:start w:val="1"/>
      <w:numFmt w:val="bullet"/>
      <w:lvlText w:val="o"/>
      <w:lvlJc w:val="left"/>
      <w:pPr>
        <w:ind w:left="1110" w:hanging="360"/>
      </w:pPr>
      <w:rPr>
        <w:rFonts w:ascii="Courier New" w:hAnsi="Courier New" w:cs="Courier New" w:hint="default"/>
      </w:rPr>
    </w:lvl>
    <w:lvl w:ilvl="2" w:tplc="04090005">
      <w:start w:val="1"/>
      <w:numFmt w:val="bullet"/>
      <w:lvlText w:val=""/>
      <w:lvlJc w:val="left"/>
      <w:pPr>
        <w:ind w:left="1830" w:hanging="360"/>
      </w:pPr>
      <w:rPr>
        <w:rFonts w:ascii="Wingdings" w:hAnsi="Wingdings" w:cs="Wingdings" w:hint="default"/>
      </w:rPr>
    </w:lvl>
    <w:lvl w:ilvl="3" w:tplc="04090001">
      <w:start w:val="1"/>
      <w:numFmt w:val="bullet"/>
      <w:lvlText w:val=""/>
      <w:lvlJc w:val="left"/>
      <w:pPr>
        <w:ind w:left="2550" w:hanging="360"/>
      </w:pPr>
      <w:rPr>
        <w:rFonts w:ascii="Symbol" w:hAnsi="Symbol" w:cs="Symbol" w:hint="default"/>
      </w:rPr>
    </w:lvl>
    <w:lvl w:ilvl="4" w:tplc="04090003">
      <w:start w:val="1"/>
      <w:numFmt w:val="bullet"/>
      <w:lvlText w:val="o"/>
      <w:lvlJc w:val="left"/>
      <w:pPr>
        <w:ind w:left="3270" w:hanging="360"/>
      </w:pPr>
      <w:rPr>
        <w:rFonts w:ascii="Courier New" w:hAnsi="Courier New" w:cs="Courier New" w:hint="default"/>
      </w:rPr>
    </w:lvl>
    <w:lvl w:ilvl="5" w:tplc="04090005">
      <w:start w:val="1"/>
      <w:numFmt w:val="bullet"/>
      <w:lvlText w:val=""/>
      <w:lvlJc w:val="left"/>
      <w:pPr>
        <w:ind w:left="3990" w:hanging="360"/>
      </w:pPr>
      <w:rPr>
        <w:rFonts w:ascii="Wingdings" w:hAnsi="Wingdings" w:cs="Wingdings" w:hint="default"/>
      </w:rPr>
    </w:lvl>
    <w:lvl w:ilvl="6" w:tplc="04090001">
      <w:start w:val="1"/>
      <w:numFmt w:val="bullet"/>
      <w:lvlText w:val=""/>
      <w:lvlJc w:val="left"/>
      <w:pPr>
        <w:ind w:left="4710" w:hanging="360"/>
      </w:pPr>
      <w:rPr>
        <w:rFonts w:ascii="Symbol" w:hAnsi="Symbol" w:cs="Symbol" w:hint="default"/>
      </w:rPr>
    </w:lvl>
    <w:lvl w:ilvl="7" w:tplc="04090003">
      <w:start w:val="1"/>
      <w:numFmt w:val="bullet"/>
      <w:lvlText w:val="o"/>
      <w:lvlJc w:val="left"/>
      <w:pPr>
        <w:ind w:left="5430" w:hanging="360"/>
      </w:pPr>
      <w:rPr>
        <w:rFonts w:ascii="Courier New" w:hAnsi="Courier New" w:cs="Courier New" w:hint="default"/>
      </w:rPr>
    </w:lvl>
    <w:lvl w:ilvl="8" w:tplc="04090005">
      <w:start w:val="1"/>
      <w:numFmt w:val="bullet"/>
      <w:lvlText w:val=""/>
      <w:lvlJc w:val="left"/>
      <w:pPr>
        <w:ind w:left="6150" w:hanging="360"/>
      </w:pPr>
      <w:rPr>
        <w:rFonts w:ascii="Wingdings" w:hAnsi="Wingdings" w:cs="Wingdings" w:hint="default"/>
      </w:rPr>
    </w:lvl>
  </w:abstractNum>
  <w:abstractNum w:abstractNumId="2" w15:restartNumberingAfterBreak="0">
    <w:nsid w:val="0A7677B1"/>
    <w:multiLevelType w:val="hybridMultilevel"/>
    <w:tmpl w:val="3AC626D0"/>
    <w:lvl w:ilvl="0" w:tplc="6E540A1C">
      <w:numFmt w:val="bullet"/>
      <w:lvlText w:val="-"/>
      <w:lvlJc w:val="left"/>
      <w:pPr>
        <w:tabs>
          <w:tab w:val="num" w:pos="540"/>
        </w:tabs>
        <w:ind w:left="540" w:hanging="360"/>
      </w:pPr>
      <w:rPr>
        <w:rFonts w:ascii="Times New Roman" w:eastAsia="Calibri" w:hAnsi="Times New Roman"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3" w15:restartNumberingAfterBreak="0">
    <w:nsid w:val="0E5046CC"/>
    <w:multiLevelType w:val="hybridMultilevel"/>
    <w:tmpl w:val="1476662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1C313F4"/>
    <w:multiLevelType w:val="hybridMultilevel"/>
    <w:tmpl w:val="E0DCE1B4"/>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5" w15:restartNumberingAfterBreak="0">
    <w:nsid w:val="13EA3172"/>
    <w:multiLevelType w:val="hybridMultilevel"/>
    <w:tmpl w:val="2A08CA8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15:restartNumberingAfterBreak="0">
    <w:nsid w:val="1662521B"/>
    <w:multiLevelType w:val="hybridMultilevel"/>
    <w:tmpl w:val="43546762"/>
    <w:lvl w:ilvl="0" w:tplc="CB58A394">
      <w:start w:val="1"/>
      <w:numFmt w:val="bullet"/>
      <w:lvlText w:val=""/>
      <w:lvlJc w:val="left"/>
      <w:pPr>
        <w:ind w:left="834" w:hanging="360"/>
      </w:pPr>
      <w:rPr>
        <w:rFonts w:ascii="Symbol" w:hAnsi="Symbol" w:hint="default"/>
      </w:rPr>
    </w:lvl>
    <w:lvl w:ilvl="1" w:tplc="04090003" w:tentative="1">
      <w:start w:val="1"/>
      <w:numFmt w:val="bullet"/>
      <w:lvlText w:val="o"/>
      <w:lvlJc w:val="left"/>
      <w:pPr>
        <w:ind w:left="1554" w:hanging="360"/>
      </w:pPr>
      <w:rPr>
        <w:rFonts w:ascii="Courier New" w:hAnsi="Courier New" w:cs="Courier New" w:hint="default"/>
      </w:rPr>
    </w:lvl>
    <w:lvl w:ilvl="2" w:tplc="04090005" w:tentative="1">
      <w:start w:val="1"/>
      <w:numFmt w:val="bullet"/>
      <w:lvlText w:val=""/>
      <w:lvlJc w:val="left"/>
      <w:pPr>
        <w:ind w:left="2274" w:hanging="360"/>
      </w:pPr>
      <w:rPr>
        <w:rFonts w:ascii="Wingdings" w:hAnsi="Wingdings" w:hint="default"/>
      </w:rPr>
    </w:lvl>
    <w:lvl w:ilvl="3" w:tplc="04090001" w:tentative="1">
      <w:start w:val="1"/>
      <w:numFmt w:val="bullet"/>
      <w:lvlText w:val=""/>
      <w:lvlJc w:val="left"/>
      <w:pPr>
        <w:ind w:left="2994" w:hanging="360"/>
      </w:pPr>
      <w:rPr>
        <w:rFonts w:ascii="Symbol" w:hAnsi="Symbol" w:hint="default"/>
      </w:rPr>
    </w:lvl>
    <w:lvl w:ilvl="4" w:tplc="04090003" w:tentative="1">
      <w:start w:val="1"/>
      <w:numFmt w:val="bullet"/>
      <w:lvlText w:val="o"/>
      <w:lvlJc w:val="left"/>
      <w:pPr>
        <w:ind w:left="3714" w:hanging="360"/>
      </w:pPr>
      <w:rPr>
        <w:rFonts w:ascii="Courier New" w:hAnsi="Courier New" w:cs="Courier New" w:hint="default"/>
      </w:rPr>
    </w:lvl>
    <w:lvl w:ilvl="5" w:tplc="04090005" w:tentative="1">
      <w:start w:val="1"/>
      <w:numFmt w:val="bullet"/>
      <w:lvlText w:val=""/>
      <w:lvlJc w:val="left"/>
      <w:pPr>
        <w:ind w:left="4434" w:hanging="360"/>
      </w:pPr>
      <w:rPr>
        <w:rFonts w:ascii="Wingdings" w:hAnsi="Wingdings" w:hint="default"/>
      </w:rPr>
    </w:lvl>
    <w:lvl w:ilvl="6" w:tplc="04090001" w:tentative="1">
      <w:start w:val="1"/>
      <w:numFmt w:val="bullet"/>
      <w:lvlText w:val=""/>
      <w:lvlJc w:val="left"/>
      <w:pPr>
        <w:ind w:left="5154" w:hanging="360"/>
      </w:pPr>
      <w:rPr>
        <w:rFonts w:ascii="Symbol" w:hAnsi="Symbol" w:hint="default"/>
      </w:rPr>
    </w:lvl>
    <w:lvl w:ilvl="7" w:tplc="04090003" w:tentative="1">
      <w:start w:val="1"/>
      <w:numFmt w:val="bullet"/>
      <w:lvlText w:val="o"/>
      <w:lvlJc w:val="left"/>
      <w:pPr>
        <w:ind w:left="5874" w:hanging="360"/>
      </w:pPr>
      <w:rPr>
        <w:rFonts w:ascii="Courier New" w:hAnsi="Courier New" w:cs="Courier New" w:hint="default"/>
      </w:rPr>
    </w:lvl>
    <w:lvl w:ilvl="8" w:tplc="04090005" w:tentative="1">
      <w:start w:val="1"/>
      <w:numFmt w:val="bullet"/>
      <w:lvlText w:val=""/>
      <w:lvlJc w:val="left"/>
      <w:pPr>
        <w:ind w:left="6594" w:hanging="360"/>
      </w:pPr>
      <w:rPr>
        <w:rFonts w:ascii="Wingdings" w:hAnsi="Wingdings" w:hint="default"/>
      </w:rPr>
    </w:lvl>
  </w:abstractNum>
  <w:abstractNum w:abstractNumId="7" w15:restartNumberingAfterBreak="0">
    <w:nsid w:val="17862E7D"/>
    <w:multiLevelType w:val="hybridMultilevel"/>
    <w:tmpl w:val="693A2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E73714"/>
    <w:multiLevelType w:val="hybridMultilevel"/>
    <w:tmpl w:val="E506D6FE"/>
    <w:lvl w:ilvl="0" w:tplc="F7ECDF7A">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6B5A32"/>
    <w:multiLevelType w:val="hybridMultilevel"/>
    <w:tmpl w:val="190AFDE2"/>
    <w:lvl w:ilvl="0" w:tplc="6E540A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C92843"/>
    <w:multiLevelType w:val="hybridMultilevel"/>
    <w:tmpl w:val="99BC2D3A"/>
    <w:lvl w:ilvl="0" w:tplc="C25E1504">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15:restartNumberingAfterBreak="0">
    <w:nsid w:val="32245259"/>
    <w:multiLevelType w:val="hybridMultilevel"/>
    <w:tmpl w:val="3266D7C8"/>
    <w:lvl w:ilvl="0" w:tplc="59243956">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2160638"/>
    <w:multiLevelType w:val="hybridMultilevel"/>
    <w:tmpl w:val="86BC4FD4"/>
    <w:lvl w:ilvl="0" w:tplc="6E540A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567590"/>
    <w:multiLevelType w:val="hybridMultilevel"/>
    <w:tmpl w:val="BA0866E8"/>
    <w:lvl w:ilvl="0" w:tplc="CB58A3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C902A7"/>
    <w:multiLevelType w:val="hybridMultilevel"/>
    <w:tmpl w:val="D4F2CB9E"/>
    <w:lvl w:ilvl="0" w:tplc="59243956">
      <w:start w:val="10"/>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B05495C"/>
    <w:multiLevelType w:val="hybridMultilevel"/>
    <w:tmpl w:val="466E4592"/>
    <w:lvl w:ilvl="0" w:tplc="59243956">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C3E4D"/>
    <w:multiLevelType w:val="hybridMultilevel"/>
    <w:tmpl w:val="8ED4E496"/>
    <w:lvl w:ilvl="0" w:tplc="59243956">
      <w:start w:val="1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53E7F62"/>
    <w:multiLevelType w:val="hybridMultilevel"/>
    <w:tmpl w:val="10305960"/>
    <w:lvl w:ilvl="0" w:tplc="AE1034CE">
      <w:start w:val="30"/>
      <w:numFmt w:val="bullet"/>
      <w:lvlText w:val="-"/>
      <w:lvlJc w:val="left"/>
      <w:pPr>
        <w:ind w:left="405" w:hanging="360"/>
      </w:pPr>
      <w:rPr>
        <w:rFonts w:ascii="Calibri" w:eastAsia="Times New Roman" w:hAnsi="Calibri"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cs="Wingdings" w:hint="default"/>
      </w:rPr>
    </w:lvl>
    <w:lvl w:ilvl="3" w:tplc="04090001">
      <w:start w:val="1"/>
      <w:numFmt w:val="bullet"/>
      <w:lvlText w:val=""/>
      <w:lvlJc w:val="left"/>
      <w:pPr>
        <w:ind w:left="2565" w:hanging="360"/>
      </w:pPr>
      <w:rPr>
        <w:rFonts w:ascii="Symbol" w:hAnsi="Symbol" w:cs="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cs="Wingdings" w:hint="default"/>
      </w:rPr>
    </w:lvl>
    <w:lvl w:ilvl="6" w:tplc="04090001">
      <w:start w:val="1"/>
      <w:numFmt w:val="bullet"/>
      <w:lvlText w:val=""/>
      <w:lvlJc w:val="left"/>
      <w:pPr>
        <w:ind w:left="4725" w:hanging="360"/>
      </w:pPr>
      <w:rPr>
        <w:rFonts w:ascii="Symbol" w:hAnsi="Symbol" w:cs="Symbol" w:hint="default"/>
      </w:rPr>
    </w:lvl>
    <w:lvl w:ilvl="7" w:tplc="04090003">
      <w:start w:val="1"/>
      <w:numFmt w:val="bullet"/>
      <w:lvlText w:val="o"/>
      <w:lvlJc w:val="left"/>
      <w:pPr>
        <w:ind w:left="5445" w:hanging="360"/>
      </w:pPr>
      <w:rPr>
        <w:rFonts w:ascii="Courier New" w:hAnsi="Courier New" w:cs="Courier New" w:hint="default"/>
      </w:rPr>
    </w:lvl>
    <w:lvl w:ilvl="8" w:tplc="04090005">
      <w:start w:val="1"/>
      <w:numFmt w:val="bullet"/>
      <w:lvlText w:val=""/>
      <w:lvlJc w:val="left"/>
      <w:pPr>
        <w:ind w:left="6165" w:hanging="360"/>
      </w:pPr>
      <w:rPr>
        <w:rFonts w:ascii="Wingdings" w:hAnsi="Wingdings" w:cs="Wingdings" w:hint="default"/>
      </w:rPr>
    </w:lvl>
  </w:abstractNum>
  <w:abstractNum w:abstractNumId="19" w15:restartNumberingAfterBreak="0">
    <w:nsid w:val="555B58F1"/>
    <w:multiLevelType w:val="hybridMultilevel"/>
    <w:tmpl w:val="9F7840B4"/>
    <w:lvl w:ilvl="0" w:tplc="43D6C5C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616A48"/>
    <w:multiLevelType w:val="hybridMultilevel"/>
    <w:tmpl w:val="11C29EAE"/>
    <w:lvl w:ilvl="0" w:tplc="CB58A394">
      <w:start w:val="1"/>
      <w:numFmt w:val="bullet"/>
      <w:lvlText w:val=""/>
      <w:lvlJc w:val="left"/>
      <w:pPr>
        <w:ind w:left="83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442F1D"/>
    <w:multiLevelType w:val="hybridMultilevel"/>
    <w:tmpl w:val="6FC8D8EC"/>
    <w:lvl w:ilvl="0" w:tplc="0402000F">
      <w:start w:val="1"/>
      <w:numFmt w:val="decimal"/>
      <w:lvlText w:val="%1."/>
      <w:lvlJc w:val="left"/>
      <w:pPr>
        <w:tabs>
          <w:tab w:val="num" w:pos="540"/>
        </w:tabs>
        <w:ind w:left="540" w:hanging="360"/>
      </w:pPr>
    </w:lvl>
    <w:lvl w:ilvl="1" w:tplc="FC141C06">
      <w:start w:val="1"/>
      <w:numFmt w:val="bullet"/>
      <w:lvlText w:val="o"/>
      <w:lvlJc w:val="left"/>
      <w:pPr>
        <w:tabs>
          <w:tab w:val="num" w:pos="1080"/>
        </w:tabs>
        <w:ind w:left="1080" w:hanging="360"/>
      </w:pPr>
      <w:rPr>
        <w:rFonts w:ascii="Courier New" w:hAnsi="Courier New" w:cs="Courier New" w:hint="default"/>
      </w:rPr>
    </w:lvl>
    <w:lvl w:ilvl="2" w:tplc="8EA85F30">
      <w:start w:val="1"/>
      <w:numFmt w:val="bullet"/>
      <w:lvlText w:val=""/>
      <w:lvlJc w:val="left"/>
      <w:pPr>
        <w:tabs>
          <w:tab w:val="num" w:pos="1800"/>
        </w:tabs>
        <w:ind w:left="1800" w:hanging="360"/>
      </w:pPr>
      <w:rPr>
        <w:rFonts w:ascii="Wingdings" w:hAnsi="Wingdings" w:cs="Wingdings" w:hint="default"/>
      </w:rPr>
    </w:lvl>
    <w:lvl w:ilvl="3" w:tplc="28022BAE">
      <w:start w:val="1"/>
      <w:numFmt w:val="bullet"/>
      <w:lvlText w:val=""/>
      <w:lvlJc w:val="left"/>
      <w:pPr>
        <w:tabs>
          <w:tab w:val="num" w:pos="2520"/>
        </w:tabs>
        <w:ind w:left="2520" w:hanging="360"/>
      </w:pPr>
      <w:rPr>
        <w:rFonts w:ascii="Symbol" w:hAnsi="Symbol" w:cs="Symbol" w:hint="default"/>
      </w:rPr>
    </w:lvl>
    <w:lvl w:ilvl="4" w:tplc="214A552C">
      <w:start w:val="1"/>
      <w:numFmt w:val="bullet"/>
      <w:lvlText w:val="o"/>
      <w:lvlJc w:val="left"/>
      <w:pPr>
        <w:tabs>
          <w:tab w:val="num" w:pos="3240"/>
        </w:tabs>
        <w:ind w:left="3240" w:hanging="360"/>
      </w:pPr>
      <w:rPr>
        <w:rFonts w:ascii="Courier New" w:hAnsi="Courier New" w:cs="Courier New" w:hint="default"/>
      </w:rPr>
    </w:lvl>
    <w:lvl w:ilvl="5" w:tplc="CFDCDDB2">
      <w:start w:val="1"/>
      <w:numFmt w:val="bullet"/>
      <w:lvlText w:val=""/>
      <w:lvlJc w:val="left"/>
      <w:pPr>
        <w:tabs>
          <w:tab w:val="num" w:pos="3960"/>
        </w:tabs>
        <w:ind w:left="3960" w:hanging="360"/>
      </w:pPr>
      <w:rPr>
        <w:rFonts w:ascii="Wingdings" w:hAnsi="Wingdings" w:cs="Wingdings" w:hint="default"/>
      </w:rPr>
    </w:lvl>
    <w:lvl w:ilvl="6" w:tplc="B29EEF00">
      <w:start w:val="1"/>
      <w:numFmt w:val="bullet"/>
      <w:lvlText w:val=""/>
      <w:lvlJc w:val="left"/>
      <w:pPr>
        <w:tabs>
          <w:tab w:val="num" w:pos="4680"/>
        </w:tabs>
        <w:ind w:left="4680" w:hanging="360"/>
      </w:pPr>
      <w:rPr>
        <w:rFonts w:ascii="Symbol" w:hAnsi="Symbol" w:cs="Symbol" w:hint="default"/>
      </w:rPr>
    </w:lvl>
    <w:lvl w:ilvl="7" w:tplc="6A1E7136">
      <w:start w:val="1"/>
      <w:numFmt w:val="bullet"/>
      <w:lvlText w:val="o"/>
      <w:lvlJc w:val="left"/>
      <w:pPr>
        <w:tabs>
          <w:tab w:val="num" w:pos="5400"/>
        </w:tabs>
        <w:ind w:left="5400" w:hanging="360"/>
      </w:pPr>
      <w:rPr>
        <w:rFonts w:ascii="Courier New" w:hAnsi="Courier New" w:cs="Courier New" w:hint="default"/>
      </w:rPr>
    </w:lvl>
    <w:lvl w:ilvl="8" w:tplc="BC06DDDC">
      <w:start w:val="1"/>
      <w:numFmt w:val="bullet"/>
      <w:lvlText w:val=""/>
      <w:lvlJc w:val="left"/>
      <w:pPr>
        <w:tabs>
          <w:tab w:val="num" w:pos="6120"/>
        </w:tabs>
        <w:ind w:left="6120" w:hanging="360"/>
      </w:pPr>
      <w:rPr>
        <w:rFonts w:ascii="Wingdings" w:hAnsi="Wingdings" w:cs="Wingdings" w:hint="default"/>
      </w:rPr>
    </w:lvl>
  </w:abstractNum>
  <w:abstractNum w:abstractNumId="22" w15:restartNumberingAfterBreak="0">
    <w:nsid w:val="63D6529D"/>
    <w:multiLevelType w:val="hybridMultilevel"/>
    <w:tmpl w:val="132CCF80"/>
    <w:lvl w:ilvl="0" w:tplc="59243956">
      <w:start w:val="1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AF63DFF"/>
    <w:multiLevelType w:val="hybridMultilevel"/>
    <w:tmpl w:val="8BC0BB34"/>
    <w:lvl w:ilvl="0" w:tplc="83747E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781684"/>
    <w:multiLevelType w:val="hybridMultilevel"/>
    <w:tmpl w:val="E7868AE6"/>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7C49408A"/>
    <w:multiLevelType w:val="hybridMultilevel"/>
    <w:tmpl w:val="996E97BE"/>
    <w:lvl w:ilvl="0" w:tplc="FA2E7BCA">
      <w:start w:val="2"/>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4"/>
  </w:num>
  <w:num w:numId="2">
    <w:abstractNumId w:val="25"/>
  </w:num>
  <w:num w:numId="3">
    <w:abstractNumId w:val="1"/>
  </w:num>
  <w:num w:numId="4">
    <w:abstractNumId w:val="10"/>
  </w:num>
  <w:num w:numId="5">
    <w:abstractNumId w:val="5"/>
  </w:num>
  <w:num w:numId="6">
    <w:abstractNumId w:val="18"/>
  </w:num>
  <w:num w:numId="7">
    <w:abstractNumId w:val="12"/>
  </w:num>
  <w:num w:numId="8">
    <w:abstractNumId w:val="24"/>
  </w:num>
  <w:num w:numId="9">
    <w:abstractNumId w:val="22"/>
  </w:num>
  <w:num w:numId="10">
    <w:abstractNumId w:val="8"/>
  </w:num>
  <w:num w:numId="11">
    <w:abstractNumId w:val="15"/>
  </w:num>
  <w:num w:numId="12">
    <w:abstractNumId w:val="23"/>
  </w:num>
  <w:num w:numId="13">
    <w:abstractNumId w:val="16"/>
  </w:num>
  <w:num w:numId="14">
    <w:abstractNumId w:val="17"/>
  </w:num>
  <w:num w:numId="15">
    <w:abstractNumId w:val="19"/>
  </w:num>
  <w:num w:numId="16">
    <w:abstractNumId w:val="11"/>
  </w:num>
  <w:num w:numId="17">
    <w:abstractNumId w:val="21"/>
  </w:num>
  <w:num w:numId="18">
    <w:abstractNumId w:val="7"/>
  </w:num>
  <w:num w:numId="19">
    <w:abstractNumId w:val="20"/>
  </w:num>
  <w:num w:numId="20">
    <w:abstractNumId w:val="3"/>
  </w:num>
  <w:num w:numId="21">
    <w:abstractNumId w:val="6"/>
  </w:num>
  <w:num w:numId="22">
    <w:abstractNumId w:val="14"/>
  </w:num>
  <w:num w:numId="23">
    <w:abstractNumId w:val="9"/>
  </w:num>
  <w:num w:numId="24">
    <w:abstractNumId w:val="0"/>
  </w:num>
  <w:num w:numId="25">
    <w:abstractNumId w:val="13"/>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doNotTrackMoves/>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6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907"/>
    <w:rsid w:val="00001519"/>
    <w:rsid w:val="00005471"/>
    <w:rsid w:val="00024B4B"/>
    <w:rsid w:val="00033A56"/>
    <w:rsid w:val="00042983"/>
    <w:rsid w:val="000449ED"/>
    <w:rsid w:val="00054A7B"/>
    <w:rsid w:val="00056B64"/>
    <w:rsid w:val="00063E66"/>
    <w:rsid w:val="00064D17"/>
    <w:rsid w:val="00064E35"/>
    <w:rsid w:val="000731DC"/>
    <w:rsid w:val="000775AB"/>
    <w:rsid w:val="0008189F"/>
    <w:rsid w:val="0008236C"/>
    <w:rsid w:val="0008464B"/>
    <w:rsid w:val="0009596A"/>
    <w:rsid w:val="000A4984"/>
    <w:rsid w:val="000A4B9C"/>
    <w:rsid w:val="000B0371"/>
    <w:rsid w:val="000E02AF"/>
    <w:rsid w:val="000E749F"/>
    <w:rsid w:val="000F2262"/>
    <w:rsid w:val="001067AF"/>
    <w:rsid w:val="00107127"/>
    <w:rsid w:val="0011356D"/>
    <w:rsid w:val="00116291"/>
    <w:rsid w:val="00121CA9"/>
    <w:rsid w:val="001252AF"/>
    <w:rsid w:val="00127785"/>
    <w:rsid w:val="00134E67"/>
    <w:rsid w:val="00172C4D"/>
    <w:rsid w:val="00175814"/>
    <w:rsid w:val="001827B9"/>
    <w:rsid w:val="00183B15"/>
    <w:rsid w:val="001840F6"/>
    <w:rsid w:val="00187AD1"/>
    <w:rsid w:val="00193CE4"/>
    <w:rsid w:val="001A76B6"/>
    <w:rsid w:val="001B4358"/>
    <w:rsid w:val="001C15AE"/>
    <w:rsid w:val="001F4078"/>
    <w:rsid w:val="00201FBF"/>
    <w:rsid w:val="002066F7"/>
    <w:rsid w:val="00212427"/>
    <w:rsid w:val="002201A0"/>
    <w:rsid w:val="002259D3"/>
    <w:rsid w:val="0022765B"/>
    <w:rsid w:val="00242EBC"/>
    <w:rsid w:val="00253B0A"/>
    <w:rsid w:val="002604A2"/>
    <w:rsid w:val="00272249"/>
    <w:rsid w:val="00277CA5"/>
    <w:rsid w:val="002979E2"/>
    <w:rsid w:val="002D4079"/>
    <w:rsid w:val="002E797B"/>
    <w:rsid w:val="00316B02"/>
    <w:rsid w:val="00316BB6"/>
    <w:rsid w:val="00325DC2"/>
    <w:rsid w:val="003334F5"/>
    <w:rsid w:val="0033567B"/>
    <w:rsid w:val="00385428"/>
    <w:rsid w:val="00386AE3"/>
    <w:rsid w:val="00387CFF"/>
    <w:rsid w:val="003A6ECB"/>
    <w:rsid w:val="003B661F"/>
    <w:rsid w:val="003D4881"/>
    <w:rsid w:val="003F667D"/>
    <w:rsid w:val="003F7D59"/>
    <w:rsid w:val="0040085C"/>
    <w:rsid w:val="004233C2"/>
    <w:rsid w:val="004250E2"/>
    <w:rsid w:val="004331DE"/>
    <w:rsid w:val="00436ACC"/>
    <w:rsid w:val="00444E56"/>
    <w:rsid w:val="0048443E"/>
    <w:rsid w:val="00491E38"/>
    <w:rsid w:val="004A239A"/>
    <w:rsid w:val="004E01FE"/>
    <w:rsid w:val="004E4E2A"/>
    <w:rsid w:val="004E58EF"/>
    <w:rsid w:val="004E6C36"/>
    <w:rsid w:val="004E7B75"/>
    <w:rsid w:val="00505475"/>
    <w:rsid w:val="005118C1"/>
    <w:rsid w:val="00513678"/>
    <w:rsid w:val="00530C47"/>
    <w:rsid w:val="00531C13"/>
    <w:rsid w:val="005434B3"/>
    <w:rsid w:val="005506B5"/>
    <w:rsid w:val="0056607C"/>
    <w:rsid w:val="005A2184"/>
    <w:rsid w:val="005A5AA3"/>
    <w:rsid w:val="005C42C2"/>
    <w:rsid w:val="005E01CF"/>
    <w:rsid w:val="005E0FD6"/>
    <w:rsid w:val="005F2907"/>
    <w:rsid w:val="00601211"/>
    <w:rsid w:val="00610597"/>
    <w:rsid w:val="006147EC"/>
    <w:rsid w:val="0062578E"/>
    <w:rsid w:val="006409BE"/>
    <w:rsid w:val="0065484A"/>
    <w:rsid w:val="00660816"/>
    <w:rsid w:val="0066618D"/>
    <w:rsid w:val="00666AA2"/>
    <w:rsid w:val="00673C4D"/>
    <w:rsid w:val="00675FB4"/>
    <w:rsid w:val="00681EBF"/>
    <w:rsid w:val="0068208E"/>
    <w:rsid w:val="00696837"/>
    <w:rsid w:val="006A1EBF"/>
    <w:rsid w:val="006B47AE"/>
    <w:rsid w:val="006D2393"/>
    <w:rsid w:val="006D30B1"/>
    <w:rsid w:val="006D7475"/>
    <w:rsid w:val="006F7ED2"/>
    <w:rsid w:val="00733AE1"/>
    <w:rsid w:val="007376A2"/>
    <w:rsid w:val="00745467"/>
    <w:rsid w:val="007545B6"/>
    <w:rsid w:val="007842EB"/>
    <w:rsid w:val="007955B3"/>
    <w:rsid w:val="007A2B51"/>
    <w:rsid w:val="007A7256"/>
    <w:rsid w:val="007B138F"/>
    <w:rsid w:val="007B6362"/>
    <w:rsid w:val="007C2B1E"/>
    <w:rsid w:val="007C4AB1"/>
    <w:rsid w:val="007C4B30"/>
    <w:rsid w:val="007C6067"/>
    <w:rsid w:val="007D1416"/>
    <w:rsid w:val="007D6B19"/>
    <w:rsid w:val="00801B74"/>
    <w:rsid w:val="008063A9"/>
    <w:rsid w:val="008069BC"/>
    <w:rsid w:val="00806B9D"/>
    <w:rsid w:val="00813CED"/>
    <w:rsid w:val="008314CB"/>
    <w:rsid w:val="00837EBB"/>
    <w:rsid w:val="00854794"/>
    <w:rsid w:val="00854EE3"/>
    <w:rsid w:val="00870006"/>
    <w:rsid w:val="008713C6"/>
    <w:rsid w:val="00880F60"/>
    <w:rsid w:val="0088782A"/>
    <w:rsid w:val="008C691A"/>
    <w:rsid w:val="008F130D"/>
    <w:rsid w:val="008F15BD"/>
    <w:rsid w:val="008F28D1"/>
    <w:rsid w:val="008F2A77"/>
    <w:rsid w:val="00924306"/>
    <w:rsid w:val="00931E43"/>
    <w:rsid w:val="00934FE5"/>
    <w:rsid w:val="00943555"/>
    <w:rsid w:val="00951084"/>
    <w:rsid w:val="009564BB"/>
    <w:rsid w:val="00956C9D"/>
    <w:rsid w:val="0097048F"/>
    <w:rsid w:val="00987415"/>
    <w:rsid w:val="009A0C7D"/>
    <w:rsid w:val="009A3B6F"/>
    <w:rsid w:val="009A5C81"/>
    <w:rsid w:val="009F5500"/>
    <w:rsid w:val="00A11E33"/>
    <w:rsid w:val="00A34258"/>
    <w:rsid w:val="00A558E5"/>
    <w:rsid w:val="00A57D46"/>
    <w:rsid w:val="00A613C8"/>
    <w:rsid w:val="00A74D16"/>
    <w:rsid w:val="00A7559A"/>
    <w:rsid w:val="00A90EA5"/>
    <w:rsid w:val="00AB323E"/>
    <w:rsid w:val="00AC57B3"/>
    <w:rsid w:val="00AD20AB"/>
    <w:rsid w:val="00AD6673"/>
    <w:rsid w:val="00AF7D42"/>
    <w:rsid w:val="00B02EC1"/>
    <w:rsid w:val="00B06FB6"/>
    <w:rsid w:val="00B14159"/>
    <w:rsid w:val="00B21433"/>
    <w:rsid w:val="00B37DBC"/>
    <w:rsid w:val="00B4309E"/>
    <w:rsid w:val="00B4442F"/>
    <w:rsid w:val="00B474E8"/>
    <w:rsid w:val="00B50C30"/>
    <w:rsid w:val="00B661AB"/>
    <w:rsid w:val="00B92345"/>
    <w:rsid w:val="00B94E72"/>
    <w:rsid w:val="00BA09C8"/>
    <w:rsid w:val="00BA0A8F"/>
    <w:rsid w:val="00BA1EF7"/>
    <w:rsid w:val="00BA3AA5"/>
    <w:rsid w:val="00BB1AC7"/>
    <w:rsid w:val="00BB2852"/>
    <w:rsid w:val="00BB4B91"/>
    <w:rsid w:val="00BD0312"/>
    <w:rsid w:val="00BD6702"/>
    <w:rsid w:val="00BE2DF7"/>
    <w:rsid w:val="00BE7065"/>
    <w:rsid w:val="00BE736E"/>
    <w:rsid w:val="00C062FD"/>
    <w:rsid w:val="00C06D3E"/>
    <w:rsid w:val="00C135F1"/>
    <w:rsid w:val="00C14864"/>
    <w:rsid w:val="00C15516"/>
    <w:rsid w:val="00C217C0"/>
    <w:rsid w:val="00C33B79"/>
    <w:rsid w:val="00C37DCC"/>
    <w:rsid w:val="00C50F72"/>
    <w:rsid w:val="00C7508B"/>
    <w:rsid w:val="00C76B96"/>
    <w:rsid w:val="00C77CC5"/>
    <w:rsid w:val="00C90649"/>
    <w:rsid w:val="00CC6E52"/>
    <w:rsid w:val="00CC6FD9"/>
    <w:rsid w:val="00CD16CC"/>
    <w:rsid w:val="00CE03F0"/>
    <w:rsid w:val="00CF751F"/>
    <w:rsid w:val="00D07800"/>
    <w:rsid w:val="00D13800"/>
    <w:rsid w:val="00D22ADD"/>
    <w:rsid w:val="00D2368C"/>
    <w:rsid w:val="00D3581F"/>
    <w:rsid w:val="00D82183"/>
    <w:rsid w:val="00D87B11"/>
    <w:rsid w:val="00D91728"/>
    <w:rsid w:val="00D96AC5"/>
    <w:rsid w:val="00DA3E79"/>
    <w:rsid w:val="00DC2B11"/>
    <w:rsid w:val="00DC68E0"/>
    <w:rsid w:val="00DD7739"/>
    <w:rsid w:val="00DE1B4A"/>
    <w:rsid w:val="00DE27ED"/>
    <w:rsid w:val="00DE5BE8"/>
    <w:rsid w:val="00E05CBD"/>
    <w:rsid w:val="00E153DD"/>
    <w:rsid w:val="00E15ACF"/>
    <w:rsid w:val="00E1691E"/>
    <w:rsid w:val="00E17D83"/>
    <w:rsid w:val="00E25021"/>
    <w:rsid w:val="00E25A90"/>
    <w:rsid w:val="00E57D8F"/>
    <w:rsid w:val="00E703B1"/>
    <w:rsid w:val="00E812D0"/>
    <w:rsid w:val="00E86D2C"/>
    <w:rsid w:val="00E96EE7"/>
    <w:rsid w:val="00EA0EE7"/>
    <w:rsid w:val="00EB68D4"/>
    <w:rsid w:val="00ED64C0"/>
    <w:rsid w:val="00ED77FA"/>
    <w:rsid w:val="00EE3447"/>
    <w:rsid w:val="00F0659D"/>
    <w:rsid w:val="00F140B5"/>
    <w:rsid w:val="00F2146C"/>
    <w:rsid w:val="00F2207E"/>
    <w:rsid w:val="00F24458"/>
    <w:rsid w:val="00F2716E"/>
    <w:rsid w:val="00F3412B"/>
    <w:rsid w:val="00F41BB2"/>
    <w:rsid w:val="00F44FD3"/>
    <w:rsid w:val="00F508F9"/>
    <w:rsid w:val="00F560C3"/>
    <w:rsid w:val="00F60BF9"/>
    <w:rsid w:val="00F621EA"/>
    <w:rsid w:val="00F64F4E"/>
    <w:rsid w:val="00F70226"/>
    <w:rsid w:val="00F84795"/>
    <w:rsid w:val="00F90DA8"/>
    <w:rsid w:val="00F91B09"/>
    <w:rsid w:val="00F935C3"/>
    <w:rsid w:val="00F95B8C"/>
    <w:rsid w:val="00F97DB4"/>
    <w:rsid w:val="00FA3F5E"/>
    <w:rsid w:val="00FB14C1"/>
    <w:rsid w:val="00FB2B2E"/>
    <w:rsid w:val="00FB3B46"/>
    <w:rsid w:val="00FC03F8"/>
    <w:rsid w:val="00FC2A45"/>
    <w:rsid w:val="00FC72BE"/>
    <w:rsid w:val="00FE0EE5"/>
    <w:rsid w:val="00FE5043"/>
    <w:rsid w:val="00FF129B"/>
    <w:rsid w:val="00FF1C4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4"/>
    <o:shapelayout v:ext="edit">
      <o:idmap v:ext="edit" data="1"/>
    </o:shapelayout>
  </w:shapeDefaults>
  <w:decimalSymbol w:val=","/>
  <w:listSeparator w:val=";"/>
  <w14:docId w14:val="09565B42"/>
  <w15:docId w15:val="{D86CF576-6453-4D36-BDF2-F50699E73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ED2"/>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6291"/>
    <w:pPr>
      <w:tabs>
        <w:tab w:val="center" w:pos="4536"/>
        <w:tab w:val="right" w:pos="9072"/>
      </w:tabs>
      <w:spacing w:after="0" w:line="240" w:lineRule="auto"/>
    </w:pPr>
  </w:style>
  <w:style w:type="character" w:customStyle="1" w:styleId="HeaderChar">
    <w:name w:val="Header Char"/>
    <w:link w:val="Header"/>
    <w:uiPriority w:val="99"/>
    <w:locked/>
    <w:rsid w:val="00116291"/>
    <w:rPr>
      <w:lang w:val="en-US" w:eastAsia="en-US"/>
    </w:rPr>
  </w:style>
  <w:style w:type="paragraph" w:styleId="Footer">
    <w:name w:val="footer"/>
    <w:basedOn w:val="Normal"/>
    <w:link w:val="FooterChar"/>
    <w:uiPriority w:val="99"/>
    <w:rsid w:val="00116291"/>
    <w:pPr>
      <w:tabs>
        <w:tab w:val="center" w:pos="4536"/>
        <w:tab w:val="right" w:pos="9072"/>
      </w:tabs>
      <w:spacing w:after="0" w:line="240" w:lineRule="auto"/>
    </w:pPr>
  </w:style>
  <w:style w:type="character" w:customStyle="1" w:styleId="FooterChar">
    <w:name w:val="Footer Char"/>
    <w:link w:val="Footer"/>
    <w:uiPriority w:val="99"/>
    <w:locked/>
    <w:rsid w:val="00116291"/>
    <w:rPr>
      <w:lang w:val="en-US" w:eastAsia="en-US"/>
    </w:rPr>
  </w:style>
  <w:style w:type="paragraph" w:styleId="NormalWeb">
    <w:name w:val="Normal (Web)"/>
    <w:basedOn w:val="Normal"/>
    <w:uiPriority w:val="99"/>
    <w:semiHidden/>
    <w:rsid w:val="0011629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BalloonText">
    <w:name w:val="Balloon Text"/>
    <w:basedOn w:val="Normal"/>
    <w:link w:val="BalloonTextChar"/>
    <w:uiPriority w:val="99"/>
    <w:semiHidden/>
    <w:rsid w:val="001162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116291"/>
    <w:rPr>
      <w:rFonts w:ascii="Tahoma" w:hAnsi="Tahoma" w:cs="Tahoma"/>
      <w:sz w:val="16"/>
      <w:szCs w:val="16"/>
      <w:lang w:val="en-US" w:eastAsia="en-US"/>
    </w:rPr>
  </w:style>
  <w:style w:type="paragraph" w:styleId="ListParagraph">
    <w:name w:val="List Paragraph"/>
    <w:aliases w:val="List Paragraph1,List1,Списък на абзаци,List Paragraph11,List Paragraph111"/>
    <w:basedOn w:val="Normal"/>
    <w:link w:val="ListParagraphChar"/>
    <w:uiPriority w:val="34"/>
    <w:qFormat/>
    <w:rsid w:val="00FB2B2E"/>
    <w:pPr>
      <w:ind w:left="720"/>
    </w:pPr>
    <w:rPr>
      <w:sz w:val="20"/>
      <w:szCs w:val="20"/>
    </w:rPr>
  </w:style>
  <w:style w:type="character" w:customStyle="1" w:styleId="ListParagraphChar">
    <w:name w:val="List Paragraph Char"/>
    <w:aliases w:val="List Paragraph1 Char,List1 Char,Списък на абзаци Char,List Paragraph11 Char,List Paragraph111 Char"/>
    <w:link w:val="ListParagraph"/>
    <w:uiPriority w:val="34"/>
    <w:locked/>
    <w:rsid w:val="000449ED"/>
    <w:rPr>
      <w:lang w:val="en-US" w:eastAsia="en-US"/>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unhideWhenUsed/>
    <w:rsid w:val="00B37DBC"/>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semiHidden/>
    <w:rsid w:val="00B37DBC"/>
    <w:rPr>
      <w:rFonts w:cs="Calibri"/>
      <w:sz w:val="20"/>
      <w:szCs w:val="20"/>
      <w:lang w:val="en-US"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unhideWhenUsed/>
    <w:rsid w:val="00B37DBC"/>
    <w:rPr>
      <w:vertAlign w:val="superscript"/>
    </w:rPr>
  </w:style>
  <w:style w:type="table" w:styleId="TableGrid">
    <w:name w:val="Table Grid"/>
    <w:basedOn w:val="TableNormal"/>
    <w:uiPriority w:val="39"/>
    <w:locked/>
    <w:rsid w:val="00F7022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B1AC7"/>
    <w:rPr>
      <w:sz w:val="16"/>
      <w:szCs w:val="16"/>
    </w:rPr>
  </w:style>
  <w:style w:type="paragraph" w:styleId="CommentText">
    <w:name w:val="annotation text"/>
    <w:basedOn w:val="Normal"/>
    <w:link w:val="CommentTextChar"/>
    <w:uiPriority w:val="99"/>
    <w:semiHidden/>
    <w:unhideWhenUsed/>
    <w:rsid w:val="00BB1AC7"/>
    <w:rPr>
      <w:sz w:val="20"/>
      <w:szCs w:val="20"/>
    </w:rPr>
  </w:style>
  <w:style w:type="character" w:customStyle="1" w:styleId="CommentTextChar">
    <w:name w:val="Comment Text Char"/>
    <w:link w:val="CommentText"/>
    <w:uiPriority w:val="99"/>
    <w:semiHidden/>
    <w:rsid w:val="00BB1AC7"/>
    <w:rPr>
      <w:rFonts w:cs="Calibri"/>
    </w:rPr>
  </w:style>
  <w:style w:type="paragraph" w:styleId="CommentSubject">
    <w:name w:val="annotation subject"/>
    <w:basedOn w:val="CommentText"/>
    <w:next w:val="CommentText"/>
    <w:link w:val="CommentSubjectChar"/>
    <w:uiPriority w:val="99"/>
    <w:semiHidden/>
    <w:unhideWhenUsed/>
    <w:rsid w:val="00BB1AC7"/>
    <w:rPr>
      <w:b/>
      <w:bCs/>
    </w:rPr>
  </w:style>
  <w:style w:type="character" w:customStyle="1" w:styleId="CommentSubjectChar">
    <w:name w:val="Comment Subject Char"/>
    <w:link w:val="CommentSubject"/>
    <w:uiPriority w:val="99"/>
    <w:semiHidden/>
    <w:rsid w:val="00BB1AC7"/>
    <w:rPr>
      <w:rFonts w:cs="Calibri"/>
      <w:b/>
      <w:bCs/>
    </w:rPr>
  </w:style>
  <w:style w:type="paragraph" w:customStyle="1" w:styleId="Default">
    <w:name w:val="Default"/>
    <w:rsid w:val="00BB1AC7"/>
    <w:pPr>
      <w:autoSpaceDE w:val="0"/>
      <w:autoSpaceDN w:val="0"/>
      <w:adjustRightInd w:val="0"/>
    </w:pPr>
    <w:rPr>
      <w:rFonts w:ascii="Times New Roman" w:hAnsi="Times New Roman"/>
      <w:color w:val="000000"/>
      <w:sz w:val="24"/>
      <w:szCs w:val="24"/>
    </w:rPr>
  </w:style>
  <w:style w:type="table" w:customStyle="1" w:styleId="TableGrid1">
    <w:name w:val="Table Grid1"/>
    <w:basedOn w:val="TableNormal"/>
    <w:next w:val="TableGrid"/>
    <w:uiPriority w:val="59"/>
    <w:rsid w:val="00DD773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731D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style>
  <w:style w:type="character" w:customStyle="1" w:styleId="EndnoteTextChar">
    <w:name w:val="Endnote Text Char"/>
    <w:basedOn w:val="DefaultParagraphFont"/>
    <w:link w:val="EndnoteText"/>
    <w:uiPriority w:val="99"/>
    <w:semiHidden/>
    <w:rsid w:val="000731DC"/>
    <w:rPr>
      <w:rFonts w:ascii="Times New Roman" w:eastAsia="Arial Unicode MS" w:hAnsi="Times New Roman"/>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359108">
      <w:marLeft w:val="0"/>
      <w:marRight w:val="0"/>
      <w:marTop w:val="0"/>
      <w:marBottom w:val="0"/>
      <w:divBdr>
        <w:top w:val="none" w:sz="0" w:space="0" w:color="auto"/>
        <w:left w:val="none" w:sz="0" w:space="0" w:color="auto"/>
        <w:bottom w:val="none" w:sz="0" w:space="0" w:color="auto"/>
        <w:right w:val="none" w:sz="0" w:space="0" w:color="auto"/>
      </w:divBdr>
    </w:div>
    <w:div w:id="1216359109">
      <w:marLeft w:val="0"/>
      <w:marRight w:val="0"/>
      <w:marTop w:val="0"/>
      <w:marBottom w:val="0"/>
      <w:divBdr>
        <w:top w:val="none" w:sz="0" w:space="0" w:color="auto"/>
        <w:left w:val="none" w:sz="0" w:space="0" w:color="auto"/>
        <w:bottom w:val="none" w:sz="0" w:space="0" w:color="auto"/>
        <w:right w:val="none" w:sz="0" w:space="0" w:color="auto"/>
      </w:divBdr>
    </w:div>
    <w:div w:id="1216359110">
      <w:marLeft w:val="0"/>
      <w:marRight w:val="0"/>
      <w:marTop w:val="0"/>
      <w:marBottom w:val="0"/>
      <w:divBdr>
        <w:top w:val="none" w:sz="0" w:space="0" w:color="auto"/>
        <w:left w:val="none" w:sz="0" w:space="0" w:color="auto"/>
        <w:bottom w:val="none" w:sz="0" w:space="0" w:color="auto"/>
        <w:right w:val="none" w:sz="0" w:space="0" w:color="auto"/>
      </w:divBdr>
    </w:div>
    <w:div w:id="1216359111">
      <w:marLeft w:val="0"/>
      <w:marRight w:val="0"/>
      <w:marTop w:val="0"/>
      <w:marBottom w:val="0"/>
      <w:divBdr>
        <w:top w:val="none" w:sz="0" w:space="0" w:color="auto"/>
        <w:left w:val="none" w:sz="0" w:space="0" w:color="auto"/>
        <w:bottom w:val="none" w:sz="0" w:space="0" w:color="auto"/>
        <w:right w:val="none" w:sz="0" w:space="0" w:color="auto"/>
      </w:divBdr>
    </w:div>
    <w:div w:id="12163591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29269-6EA1-415A-892E-7B17B62FF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1307</TotalTime>
  <Pages>16</Pages>
  <Words>3034</Words>
  <Characters>17298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mzh</Company>
  <LinksUpToDate>false</LinksUpToDate>
  <CharactersWithSpaces>20292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Zhelyu Asenov - UPO</dc:creator>
  <cp:keywords/>
  <dc:description/>
  <cp:lastModifiedBy>Krasimira Dankova</cp:lastModifiedBy>
  <cp:revision>204</cp:revision>
  <cp:lastPrinted>2023-07-03T11:08:00Z</cp:lastPrinted>
  <dcterms:created xsi:type="dcterms:W3CDTF">2016-06-03T13:02:00Z</dcterms:created>
  <dcterms:modified xsi:type="dcterms:W3CDTF">2025-02-21T09:53:00Z</dcterms:modified>
</cp:coreProperties>
</file>