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183" w:rsidRPr="00DE27ED" w:rsidRDefault="00D82183"/>
    <w:tbl>
      <w:tblPr>
        <w:tblW w:w="12192" w:type="dxa"/>
        <w:tblInd w:w="-34" w:type="dxa"/>
        <w:tblLook w:val="00A0" w:firstRow="1" w:lastRow="0" w:firstColumn="1" w:lastColumn="0" w:noHBand="0" w:noVBand="0"/>
      </w:tblPr>
      <w:tblGrid>
        <w:gridCol w:w="516"/>
        <w:gridCol w:w="3515"/>
        <w:gridCol w:w="4900"/>
        <w:gridCol w:w="3261"/>
      </w:tblGrid>
      <w:tr w:rsidR="00D82183" w:rsidRPr="00F2207E" w:rsidTr="000A4B9C">
        <w:trPr>
          <w:trHeight w:val="615"/>
        </w:trPr>
        <w:tc>
          <w:tcPr>
            <w:tcW w:w="12192" w:type="dxa"/>
            <w:gridSpan w:val="4"/>
            <w:tcBorders>
              <w:top w:val="nil"/>
              <w:left w:val="nil"/>
              <w:bottom w:val="single" w:sz="8" w:space="0" w:color="auto"/>
              <w:right w:val="nil"/>
            </w:tcBorders>
            <w:vAlign w:val="center"/>
          </w:tcPr>
          <w:p w:rsidR="00D82183" w:rsidRPr="00F2207E" w:rsidRDefault="00D82183" w:rsidP="00201FBF">
            <w:pPr>
              <w:spacing w:after="0" w:line="240" w:lineRule="auto"/>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4</w:t>
            </w:r>
          </w:p>
          <w:p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DE1B4A" w:rsidTr="000A4B9C">
        <w:trPr>
          <w:trHeight w:val="1290"/>
        </w:trPr>
        <w:tc>
          <w:tcPr>
            <w:tcW w:w="12192" w:type="dxa"/>
            <w:gridSpan w:val="4"/>
            <w:tcBorders>
              <w:top w:val="single" w:sz="8" w:space="0" w:color="auto"/>
              <w:left w:val="single" w:sz="8" w:space="0" w:color="auto"/>
              <w:bottom w:val="nil"/>
              <w:right w:val="single" w:sz="8" w:space="0" w:color="000000"/>
            </w:tcBorders>
            <w:vAlign w:val="bottom"/>
          </w:tcPr>
          <w:p w:rsidR="00201FBF" w:rsidRDefault="00D82183" w:rsidP="00201FBF">
            <w:pPr>
              <w:spacing w:after="0" w:line="360" w:lineRule="auto"/>
              <w:jc w:val="center"/>
              <w:outlineLvl w:val="0"/>
              <w:rPr>
                <w:rFonts w:ascii="Times New Roman" w:hAnsi="Times New Roman" w:cs="Times New Roman"/>
                <w:b/>
                <w:color w:val="000000"/>
                <w:sz w:val="24"/>
                <w:szCs w:val="24"/>
                <w:lang w:val="bg-BG"/>
              </w:rPr>
            </w:pPr>
            <w:r w:rsidRPr="00DE27ED">
              <w:rPr>
                <w:rFonts w:ascii="Times New Roman" w:hAnsi="Times New Roman" w:cs="Times New Roman"/>
                <w:b/>
                <w:color w:val="000000"/>
                <w:sz w:val="24"/>
                <w:szCs w:val="24"/>
                <w:lang w:val="bg-BG"/>
              </w:rPr>
              <w:t xml:space="preserve">Критерии и методология за оценка на проектни предложения по </w:t>
            </w:r>
            <w:r w:rsidR="00201FBF">
              <w:rPr>
                <w:rFonts w:ascii="Times New Roman" w:hAnsi="Times New Roman" w:cs="Times New Roman"/>
                <w:b/>
                <w:color w:val="000000"/>
                <w:sz w:val="24"/>
                <w:szCs w:val="24"/>
                <w:lang w:val="bg-BG"/>
              </w:rPr>
              <w:t>п</w:t>
            </w:r>
            <w:r w:rsidRPr="00DE27ED">
              <w:rPr>
                <w:rFonts w:ascii="Times New Roman" w:hAnsi="Times New Roman" w:cs="Times New Roman"/>
                <w:b/>
                <w:color w:val="000000"/>
                <w:sz w:val="24"/>
                <w:szCs w:val="24"/>
                <w:lang w:val="bg-BG"/>
              </w:rPr>
              <w:t>роцедура</w:t>
            </w:r>
            <w:r w:rsidR="00201FBF">
              <w:rPr>
                <w:rFonts w:ascii="Times New Roman" w:hAnsi="Times New Roman" w:cs="Times New Roman"/>
                <w:b/>
                <w:color w:val="000000"/>
                <w:sz w:val="24"/>
                <w:szCs w:val="24"/>
                <w:lang w:val="bg-BG"/>
              </w:rPr>
              <w:t xml:space="preserve"> </w:t>
            </w:r>
            <w:r w:rsidR="001A76B6" w:rsidRPr="00DE27ED">
              <w:rPr>
                <w:rFonts w:ascii="Times New Roman" w:hAnsi="Times New Roman" w:cs="Times New Roman"/>
                <w:b/>
                <w:color w:val="000000"/>
                <w:sz w:val="24"/>
                <w:szCs w:val="24"/>
                <w:lang w:val="bg-BG"/>
              </w:rPr>
              <w:t>чрез</w:t>
            </w:r>
            <w:r w:rsidR="00201FBF">
              <w:rPr>
                <w:rFonts w:ascii="Times New Roman" w:hAnsi="Times New Roman" w:cs="Times New Roman"/>
                <w:b/>
                <w:color w:val="000000"/>
                <w:sz w:val="24"/>
                <w:szCs w:val="24"/>
                <w:lang w:val="bg-BG"/>
              </w:rPr>
              <w:t xml:space="preserve"> подбор на проекти </w:t>
            </w:r>
          </w:p>
          <w:p w:rsidR="00D82183" w:rsidRPr="00C217C0" w:rsidRDefault="00201FBF" w:rsidP="005A6312">
            <w:pPr>
              <w:spacing w:after="0" w:line="360" w:lineRule="auto"/>
              <w:jc w:val="center"/>
              <w:outlineLvl w:val="0"/>
              <w:rPr>
                <w:rFonts w:ascii="Times New Roman" w:hAnsi="Times New Roman" w:cs="Times New Roman"/>
                <w:b/>
                <w:sz w:val="24"/>
                <w:szCs w:val="24"/>
                <w:lang w:val="bg-BG"/>
              </w:rPr>
            </w:pPr>
            <w:r>
              <w:rPr>
                <w:rFonts w:ascii="Times New Roman" w:hAnsi="Times New Roman" w:cs="Times New Roman"/>
                <w:b/>
                <w:color w:val="000000"/>
                <w:sz w:val="24"/>
                <w:szCs w:val="24"/>
                <w:lang w:val="bg-BG"/>
              </w:rPr>
              <w:t xml:space="preserve">№ </w:t>
            </w:r>
            <w:r w:rsidR="00C217C0" w:rsidRPr="00C217C0">
              <w:rPr>
                <w:rFonts w:ascii="Times New Roman" w:hAnsi="Times New Roman" w:cs="Times New Roman"/>
                <w:b/>
                <w:bCs/>
                <w:color w:val="000000"/>
                <w:sz w:val="24"/>
                <w:szCs w:val="24"/>
                <w:lang w:val="bg-BG"/>
              </w:rPr>
              <w:t>BG14MFPR001-1.00</w:t>
            </w:r>
            <w:r w:rsidR="005A6312">
              <w:rPr>
                <w:rFonts w:ascii="Times New Roman" w:hAnsi="Times New Roman" w:cs="Times New Roman"/>
                <w:b/>
                <w:bCs/>
                <w:color w:val="000000"/>
                <w:sz w:val="24"/>
                <w:szCs w:val="24"/>
                <w:lang w:val="bg-BG"/>
              </w:rPr>
              <w:t>5</w:t>
            </w:r>
            <w:bookmarkStart w:id="0" w:name="_GoBack"/>
            <w:bookmarkEnd w:id="0"/>
            <w:r w:rsidR="00C217C0" w:rsidRPr="00C217C0">
              <w:rPr>
                <w:rFonts w:ascii="Times New Roman" w:hAnsi="Times New Roman" w:cs="Times New Roman"/>
                <w:b/>
                <w:bCs/>
                <w:color w:val="000000"/>
                <w:sz w:val="24"/>
                <w:szCs w:val="24"/>
                <w:lang w:val="bg-BG"/>
              </w:rPr>
              <w:t xml:space="preserve"> „Окончателно преустановяване на риболовните дейности“</w:t>
            </w:r>
          </w:p>
        </w:tc>
      </w:tr>
      <w:tr w:rsidR="00D82183" w:rsidRPr="00DE1B4A" w:rsidTr="000A4B9C">
        <w:trPr>
          <w:trHeight w:val="315"/>
        </w:trPr>
        <w:tc>
          <w:tcPr>
            <w:tcW w:w="12192" w:type="dxa"/>
            <w:gridSpan w:val="4"/>
            <w:tcBorders>
              <w:top w:val="single" w:sz="8" w:space="0" w:color="auto"/>
              <w:left w:val="single" w:sz="8" w:space="0" w:color="auto"/>
              <w:bottom w:val="single" w:sz="4"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DE1B4A" w:rsidTr="000A4B9C">
        <w:trPr>
          <w:trHeight w:val="615"/>
        </w:trPr>
        <w:tc>
          <w:tcPr>
            <w:tcW w:w="12192" w:type="dxa"/>
            <w:gridSpan w:val="4"/>
            <w:tcBorders>
              <w:top w:val="single" w:sz="4" w:space="0" w:color="auto"/>
              <w:left w:val="single" w:sz="4" w:space="0" w:color="auto"/>
              <w:bottom w:val="single" w:sz="8" w:space="0" w:color="auto"/>
              <w:right w:val="single" w:sz="4" w:space="0" w:color="auto"/>
            </w:tcBorders>
          </w:tcPr>
          <w:p w:rsidR="00D82183" w:rsidRPr="002066F7" w:rsidRDefault="00D82183" w:rsidP="00956C9D">
            <w:pPr>
              <w:spacing w:after="0"/>
              <w:jc w:val="both"/>
              <w:rPr>
                <w:rFonts w:ascii="Times New Roman" w:hAnsi="Times New Roman" w:cs="Times New Roman"/>
                <w:color w:val="000000"/>
                <w:sz w:val="24"/>
                <w:szCs w:val="24"/>
                <w:lang w:val="bg-BG"/>
              </w:rPr>
            </w:pP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00056B64" w:rsidRPr="00DE1B4A">
              <w:rPr>
                <w:rFonts w:ascii="Times New Roman" w:hAnsi="Times New Roman" w:cs="Times New Roman"/>
                <w:color w:val="000000"/>
                <w:sz w:val="24"/>
                <w:szCs w:val="24"/>
                <w:lang w:val="bg-BG"/>
              </w:rPr>
              <w:t xml:space="preserve"> 2020</w:t>
            </w:r>
            <w:r w:rsidRPr="002066F7">
              <w:rPr>
                <w:rFonts w:ascii="Times New Roman" w:hAnsi="Times New Roman" w:cs="Times New Roman"/>
                <w:color w:val="000000"/>
                <w:sz w:val="24"/>
                <w:szCs w:val="24"/>
                <w:lang w:val="bg-BG"/>
              </w:rPr>
              <w:t xml:space="preserve">. </w:t>
            </w:r>
          </w:p>
          <w:p w:rsidR="00D82183" w:rsidRPr="00DE1B4A"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Оценката се извършва на база критерии, съдържащи се в Условията за кандидатстване, утвърдени от ръководителя на Управляващия орган </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УО</w:t>
            </w:r>
            <w:r w:rsidR="00056B64" w:rsidRPr="00DE1B4A">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на </w:t>
            </w:r>
            <w:r w:rsidR="00056B64">
              <w:rPr>
                <w:rFonts w:ascii="Times New Roman" w:hAnsi="Times New Roman" w:cs="Times New Roman"/>
                <w:color w:val="000000"/>
                <w:sz w:val="24"/>
                <w:szCs w:val="24"/>
                <w:lang w:val="bg-BG"/>
              </w:rPr>
              <w:t xml:space="preserve">Програмата за морско дело, рибарство и аквакултури </w:t>
            </w:r>
            <w:r w:rsidR="0088782A" w:rsidRPr="002066F7">
              <w:rPr>
                <w:rFonts w:ascii="Times New Roman" w:hAnsi="Times New Roman" w:cs="Times New Roman"/>
                <w:color w:val="000000"/>
                <w:sz w:val="24"/>
                <w:szCs w:val="24"/>
                <w:lang w:val="bg-BG"/>
              </w:rPr>
              <w:t>2021 - 2027</w:t>
            </w:r>
            <w:r w:rsidR="00056B64">
              <w:rPr>
                <w:rFonts w:ascii="Times New Roman" w:hAnsi="Times New Roman" w:cs="Times New Roman"/>
                <w:color w:val="000000"/>
                <w:sz w:val="24"/>
                <w:szCs w:val="24"/>
                <w:lang w:val="bg-BG"/>
              </w:rPr>
              <w:t xml:space="preserve"> </w:t>
            </w:r>
            <w:r w:rsidR="00056B64" w:rsidRPr="00DE1B4A">
              <w:rPr>
                <w:rFonts w:ascii="Times New Roman" w:hAnsi="Times New Roman" w:cs="Times New Roman"/>
                <w:color w:val="000000"/>
                <w:sz w:val="24"/>
                <w:szCs w:val="24"/>
                <w:lang w:val="bg-BG"/>
              </w:rPr>
              <w:t>(</w:t>
            </w:r>
            <w:r w:rsidR="00056B64" w:rsidRPr="002066F7">
              <w:rPr>
                <w:rFonts w:ascii="Times New Roman" w:hAnsi="Times New Roman" w:cs="Times New Roman"/>
                <w:color w:val="000000"/>
                <w:sz w:val="24"/>
                <w:szCs w:val="24"/>
                <w:lang w:val="bg-BG"/>
              </w:rPr>
              <w:t>ПМДРА</w:t>
            </w:r>
            <w:r w:rsidR="005C42C2" w:rsidRPr="00DE1B4A">
              <w:rPr>
                <w:rFonts w:ascii="Times New Roman" w:hAnsi="Times New Roman" w:cs="Times New Roman"/>
                <w:color w:val="000000"/>
                <w:sz w:val="24"/>
                <w:szCs w:val="24"/>
                <w:lang w:val="bg-BG"/>
              </w:rPr>
              <w:t>).</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w:t>
            </w:r>
            <w:r w:rsidR="00956C9D">
              <w:rPr>
                <w:rFonts w:ascii="Times New Roman" w:hAnsi="Times New Roman" w:cs="Times New Roman"/>
                <w:color w:val="000000"/>
                <w:sz w:val="24"/>
                <w:szCs w:val="24"/>
                <w:lang w:val="bg-BG"/>
              </w:rPr>
              <w:t>ме на провеждането на оценката.</w:t>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rsidR="00D82183" w:rsidRPr="002066F7"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rsidR="00D82183" w:rsidRPr="002066F7" w:rsidRDefault="00D82183" w:rsidP="00956C9D">
            <w:pPr>
              <w:spacing w:after="0"/>
              <w:jc w:val="both"/>
              <w:rPr>
                <w:rFonts w:ascii="Times New Roman" w:hAnsi="Times New Roman" w:cs="Times New Roman"/>
                <w:color w:val="000000"/>
                <w:sz w:val="24"/>
                <w:szCs w:val="24"/>
                <w:lang w:val="bg-BG"/>
              </w:rPr>
            </w:pPr>
          </w:p>
          <w:p w:rsidR="00956C9D" w:rsidRDefault="00956C9D" w:rsidP="00956C9D">
            <w:pPr>
              <w:spacing w:after="0"/>
              <w:rPr>
                <w:rFonts w:ascii="Times New Roman" w:hAnsi="Times New Roman" w:cs="Times New Roman"/>
                <w:color w:val="000000"/>
                <w:sz w:val="24"/>
                <w:szCs w:val="24"/>
                <w:lang w:val="bg-BG"/>
              </w:rPr>
            </w:pPr>
          </w:p>
          <w:p w:rsidR="00956C9D" w:rsidRDefault="00D82183" w:rsidP="00956C9D">
            <w:pPr>
              <w:spacing w:after="0"/>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Да</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 xml:space="preserve">, </w:t>
            </w:r>
            <w:r w:rsidR="0062578E">
              <w:rPr>
                <w:rFonts w:ascii="Times New Roman" w:hAnsi="Times New Roman" w:cs="Times New Roman"/>
                <w:color w:val="000000"/>
                <w:sz w:val="24"/>
                <w:szCs w:val="24"/>
                <w:lang w:val="bg-BG"/>
              </w:rPr>
              <w:t>„</w:t>
            </w:r>
            <w:r w:rsidRPr="002066F7">
              <w:rPr>
                <w:rFonts w:ascii="Times New Roman" w:hAnsi="Times New Roman" w:cs="Times New Roman"/>
                <w:color w:val="000000"/>
                <w:sz w:val="24"/>
                <w:szCs w:val="24"/>
                <w:lang w:val="bg-BG"/>
              </w:rPr>
              <w:t>Не</w:t>
            </w:r>
            <w:r w:rsidR="0062578E">
              <w:rPr>
                <w:rFonts w:ascii="Times New Roman" w:hAnsi="Times New Roman" w:cs="Times New Roman"/>
                <w:color w:val="000000"/>
                <w:sz w:val="24"/>
                <w:szCs w:val="24"/>
                <w:lang w:val="bg-BG"/>
              </w:rPr>
              <w:t>“ или „</w:t>
            </w:r>
            <w:r w:rsidRPr="002066F7">
              <w:rPr>
                <w:rFonts w:ascii="Times New Roman" w:hAnsi="Times New Roman" w:cs="Times New Roman"/>
                <w:color w:val="000000"/>
                <w:sz w:val="24"/>
                <w:szCs w:val="24"/>
                <w:lang w:val="bg-BG"/>
              </w:rPr>
              <w:t>Неприложимо</w:t>
            </w:r>
            <w:r w:rsidR="0062578E">
              <w:rPr>
                <w:rFonts w:ascii="Times New Roman" w:hAnsi="Times New Roman" w:cs="Times New Roman"/>
                <w:color w:val="000000"/>
                <w:sz w:val="24"/>
                <w:szCs w:val="24"/>
                <w:lang w:val="bg-BG"/>
              </w:rPr>
              <w:t>“</w:t>
            </w:r>
            <w:r w:rsidR="00956C9D">
              <w:rPr>
                <w:rFonts w:ascii="Times New Roman" w:hAnsi="Times New Roman" w:cs="Times New Roman"/>
                <w:color w:val="000000"/>
                <w:sz w:val="24"/>
                <w:szCs w:val="24"/>
                <w:lang w:val="bg-BG"/>
              </w:rPr>
              <w:t xml:space="preserve">. </w:t>
            </w:r>
          </w:p>
          <w:p w:rsidR="00107127" w:rsidRPr="00E57D8F" w:rsidRDefault="00D82183" w:rsidP="00956C9D">
            <w:pPr>
              <w:spacing w:after="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r w:rsidRPr="00E57D8F">
              <w:rPr>
                <w:rFonts w:ascii="Times New Roman" w:hAnsi="Times New Roman" w:cs="Times New Roman"/>
                <w:color w:val="000000"/>
                <w:sz w:val="24"/>
                <w:szCs w:val="24"/>
                <w:lang w:val="bg-BG"/>
              </w:rPr>
              <w:t xml:space="preserve">може да бъде по-кратък от една седмица. </w:t>
            </w:r>
          </w:p>
          <w:p w:rsidR="00107127" w:rsidRPr="00E57D8F"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rsidR="00107127" w:rsidRPr="000775AB" w:rsidRDefault="00107127" w:rsidP="00956C9D">
            <w:pPr>
              <w:spacing w:after="0"/>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0775AB">
              <w:rPr>
                <w:rFonts w:ascii="Times New Roman" w:hAnsi="Times New Roman" w:cs="Times New Roman"/>
                <w:color w:val="000000"/>
                <w:sz w:val="24"/>
                <w:szCs w:val="24"/>
                <w:lang w:val="bg-BG"/>
              </w:rPr>
              <w:t xml:space="preserve">Закона за управление на средствата от Европейските фондове при споделено управление </w:t>
            </w:r>
            <w:r w:rsidR="000775AB" w:rsidRPr="00DE1B4A">
              <w:rPr>
                <w:rFonts w:ascii="Times New Roman" w:hAnsi="Times New Roman" w:cs="Times New Roman"/>
                <w:color w:val="000000"/>
                <w:sz w:val="24"/>
                <w:szCs w:val="24"/>
                <w:lang w:val="bg-BG"/>
              </w:rPr>
              <w:t>(</w:t>
            </w:r>
            <w:r w:rsidR="0088782A" w:rsidRPr="00E57D8F">
              <w:rPr>
                <w:rFonts w:ascii="Times New Roman" w:hAnsi="Times New Roman" w:cs="Times New Roman"/>
                <w:sz w:val="24"/>
                <w:szCs w:val="24"/>
                <w:lang w:val="bg-BG"/>
              </w:rPr>
              <w:t>ЗУСЕФСУ</w:t>
            </w:r>
            <w:r w:rsidR="000775AB" w:rsidRPr="00DE1B4A">
              <w:rPr>
                <w:rFonts w:ascii="Times New Roman" w:hAnsi="Times New Roman" w:cs="Times New Roman"/>
                <w:color w:val="000000"/>
                <w:sz w:val="24"/>
                <w:szCs w:val="24"/>
                <w:lang w:val="bg-BG"/>
              </w:rPr>
              <w:t>)</w:t>
            </w:r>
            <w:r w:rsidR="000775AB">
              <w:rPr>
                <w:rFonts w:ascii="Times New Roman" w:hAnsi="Times New Roman" w:cs="Times New Roman"/>
                <w:color w:val="000000"/>
                <w:sz w:val="24"/>
                <w:szCs w:val="24"/>
                <w:lang w:val="bg-BG"/>
              </w:rPr>
              <w:t>.</w:t>
            </w:r>
          </w:p>
          <w:p w:rsidR="00107127" w:rsidRPr="00DE1B4A" w:rsidRDefault="00107127" w:rsidP="00956C9D">
            <w:pPr>
              <w:spacing w:after="0"/>
              <w:rPr>
                <w:rFonts w:ascii="Times New Roman" w:hAnsi="Times New Roman" w:cs="Times New Roman"/>
                <w:color w:val="000000"/>
                <w:sz w:val="24"/>
                <w:szCs w:val="24"/>
                <w:lang w:val="bg-BG"/>
              </w:rPr>
            </w:pPr>
          </w:p>
        </w:tc>
      </w:tr>
      <w:tr w:rsidR="00D82183" w:rsidRPr="002066F7" w:rsidTr="000A4B9C">
        <w:trPr>
          <w:trHeight w:val="795"/>
        </w:trPr>
        <w:tc>
          <w:tcPr>
            <w:tcW w:w="12192" w:type="dxa"/>
            <w:gridSpan w:val="4"/>
            <w:tcBorders>
              <w:top w:val="single" w:sz="4"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rsidTr="000A4B9C">
        <w:trPr>
          <w:trHeight w:val="690"/>
        </w:trPr>
        <w:tc>
          <w:tcPr>
            <w:tcW w:w="12192" w:type="dxa"/>
            <w:gridSpan w:val="4"/>
            <w:tcBorders>
              <w:top w:val="single" w:sz="8"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rsidTr="000A4B9C">
        <w:trPr>
          <w:trHeight w:val="495"/>
        </w:trPr>
        <w:tc>
          <w:tcPr>
            <w:tcW w:w="8931" w:type="dxa"/>
            <w:gridSpan w:val="3"/>
            <w:tcBorders>
              <w:top w:val="single" w:sz="8" w:space="0" w:color="auto"/>
              <w:left w:val="single" w:sz="8" w:space="0" w:color="auto"/>
              <w:bottom w:val="single" w:sz="8" w:space="0" w:color="auto"/>
              <w:right w:val="nil"/>
            </w:tcBorders>
            <w:noWrap/>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261"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316BB6" w:rsidRPr="002066F7" w:rsidTr="000A4B9C">
        <w:trPr>
          <w:trHeight w:val="889"/>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1.</w:t>
            </w:r>
          </w:p>
        </w:tc>
        <w:tc>
          <w:tcPr>
            <w:tcW w:w="8415" w:type="dxa"/>
            <w:gridSpan w:val="2"/>
            <w:tcBorders>
              <w:top w:val="single" w:sz="8"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nil"/>
              <w:left w:val="single" w:sz="8"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rPr>
              <w:t>2</w:t>
            </w:r>
            <w:r w:rsidRPr="00F2207E">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single" w:sz="4" w:space="0" w:color="000000"/>
            </w:tcBorders>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36374">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p>
        </w:tc>
        <w:tc>
          <w:tcPr>
            <w:tcW w:w="3261" w:type="dxa"/>
            <w:tcBorders>
              <w:top w:val="single" w:sz="8" w:space="0" w:color="auto"/>
              <w:left w:val="single" w:sz="8" w:space="0" w:color="auto"/>
              <w:bottom w:val="single" w:sz="8" w:space="0" w:color="auto"/>
              <w:right w:val="single" w:sz="8" w:space="0" w:color="000000"/>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688"/>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3</w:t>
            </w:r>
            <w:r w:rsidRPr="00436035">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EC4FAD" w:rsidRDefault="00316BB6" w:rsidP="00316BB6">
            <w:pPr>
              <w:spacing w:after="0" w:line="240" w:lineRule="auto"/>
              <w:jc w:val="both"/>
              <w:rPr>
                <w:rFonts w:ascii="Times New Roman" w:hAnsi="Times New Roman" w:cs="Times New Roman"/>
                <w:color w:val="000000"/>
                <w:sz w:val="24"/>
                <w:szCs w:val="24"/>
                <w:highlight w:val="yellow"/>
                <w:lang w:val="bg-BG"/>
              </w:rPr>
            </w:pPr>
            <w:r w:rsidRPr="00436035">
              <w:rPr>
                <w:rFonts w:ascii="Times New Roman" w:hAnsi="Times New Roman" w:cs="Times New Roman"/>
                <w:color w:val="000000"/>
                <w:sz w:val="24"/>
                <w:szCs w:val="24"/>
                <w:lang w:val="bg-BG"/>
              </w:rPr>
              <w:t>Кандидатът е допустим съгласно изискванията в т. 11 от Условия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xml:space="preserve"> да              не       </w:t>
            </w:r>
          </w:p>
        </w:tc>
      </w:tr>
      <w:tr w:rsidR="00316BB6" w:rsidRPr="002066F7" w:rsidTr="000A4B9C">
        <w:trPr>
          <w:trHeight w:val="975"/>
        </w:trPr>
        <w:tc>
          <w:tcPr>
            <w:tcW w:w="516" w:type="dxa"/>
            <w:tcBorders>
              <w:top w:val="single" w:sz="4" w:space="0" w:color="auto"/>
              <w:left w:val="single" w:sz="4" w:space="0" w:color="auto"/>
              <w:bottom w:val="single" w:sz="4" w:space="0" w:color="auto"/>
              <w:right w:val="single" w:sz="4" w:space="0" w:color="auto"/>
            </w:tcBorders>
            <w:noWrap/>
          </w:tcPr>
          <w:p w:rsidR="00316BB6" w:rsidRPr="00530C47" w:rsidRDefault="00316BB6" w:rsidP="00316BB6">
            <w:pPr>
              <w:spacing w:after="0" w:line="240" w:lineRule="auto"/>
              <w:jc w:val="both"/>
              <w:rPr>
                <w:rFonts w:ascii="Times New Roman" w:hAnsi="Times New Roman" w:cs="Times New Roman"/>
                <w:color w:val="000000"/>
                <w:sz w:val="24"/>
                <w:szCs w:val="24"/>
                <w:lang w:val="bg-BG"/>
              </w:rPr>
            </w:pPr>
            <w:r w:rsidRPr="00530C47">
              <w:rPr>
                <w:rFonts w:ascii="Times New Roman" w:hAnsi="Times New Roman" w:cs="Times New Roman"/>
                <w:color w:val="000000"/>
                <w:sz w:val="24"/>
                <w:szCs w:val="24"/>
                <w:lang w:val="bg-BG"/>
              </w:rPr>
              <w:lastRenderedPageBreak/>
              <w:t>4.</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530C47" w:rsidRDefault="00316BB6" w:rsidP="00316BB6">
            <w:pPr>
              <w:spacing w:after="0" w:line="240" w:lineRule="auto"/>
              <w:jc w:val="both"/>
              <w:rPr>
                <w:rFonts w:ascii="Times New Roman" w:hAnsi="Times New Roman" w:cs="Times New Roman"/>
                <w:color w:val="000000"/>
                <w:sz w:val="24"/>
                <w:szCs w:val="24"/>
                <w:lang w:val="bg-BG"/>
              </w:rPr>
            </w:pPr>
            <w:r w:rsidRPr="00530C47">
              <w:rPr>
                <w:rFonts w:ascii="Times New Roman" w:hAnsi="Times New Roman" w:cs="Times New Roman"/>
                <w:color w:val="000000"/>
                <w:sz w:val="24"/>
                <w:szCs w:val="24"/>
                <w:lang w:val="bg-BG"/>
              </w:rPr>
              <w:t>Риболовният кораб на кандидата е на възраст не по-малка от 10 години към датата на кандидатстване.</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5.</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16BB6" w:rsidRPr="00DE1B4A" w:rsidRDefault="00316BB6" w:rsidP="00316BB6">
            <w:pPr>
              <w:rPr>
                <w:lang w:val="bg-BG"/>
              </w:rPr>
            </w:pPr>
            <w:r w:rsidRPr="001515C5">
              <w:rPr>
                <w:rFonts w:ascii="Times New Roman" w:hAnsi="Times New Roman" w:cs="Times New Roman"/>
                <w:color w:val="000000"/>
                <w:sz w:val="24"/>
                <w:szCs w:val="24"/>
                <w:lang w:val="bg-BG"/>
              </w:rPr>
              <w:t xml:space="preserve">Риболовният кораб е регистриран като действащ такъв </w:t>
            </w:r>
            <w:r>
              <w:rPr>
                <w:rFonts w:ascii="Times New Roman" w:hAnsi="Times New Roman" w:cs="Times New Roman"/>
                <w:color w:val="000000"/>
                <w:sz w:val="24"/>
                <w:szCs w:val="24"/>
                <w:lang w:val="bg-BG"/>
              </w:rPr>
              <w:t xml:space="preserve">и </w:t>
            </w:r>
            <w:r w:rsidRPr="00F36374">
              <w:rPr>
                <w:rFonts w:ascii="Times New Roman" w:hAnsi="Times New Roman" w:cs="Times New Roman"/>
                <w:color w:val="000000"/>
                <w:sz w:val="24"/>
                <w:szCs w:val="24"/>
                <w:lang w:val="bg-BG"/>
              </w:rPr>
              <w:t>е упражнявал риболовна дейност най-малко 90 дни годишно през последните две календарни години, предхождащи датата на кандидатстване</w:t>
            </w:r>
            <w:r w:rsidRPr="001515C5">
              <w:rPr>
                <w:rFonts w:ascii="Times New Roman" w:hAnsi="Times New Roman" w:cs="Times New Roman"/>
                <w:color w:val="000000"/>
                <w:sz w:val="24"/>
                <w:szCs w:val="24"/>
                <w:lang w:val="bg-BG"/>
              </w:rPr>
              <w:t>.</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 не       </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063E66" w:rsidRDefault="00316BB6" w:rsidP="00316BB6">
            <w:pPr>
              <w:spacing w:after="0" w:line="240" w:lineRule="auto"/>
              <w:jc w:val="both"/>
              <w:rPr>
                <w:rFonts w:ascii="Times New Roman" w:hAnsi="Times New Roman" w:cs="Times New Roman"/>
                <w:color w:val="000000"/>
                <w:sz w:val="24"/>
                <w:szCs w:val="24"/>
                <w:lang w:val="bg-BG"/>
              </w:rPr>
            </w:pPr>
            <w:r w:rsidRPr="00063E66">
              <w:rPr>
                <w:rFonts w:ascii="Times New Roman" w:hAnsi="Times New Roman" w:cs="Times New Roman"/>
                <w:color w:val="000000"/>
                <w:sz w:val="24"/>
                <w:szCs w:val="24"/>
                <w:lang w:val="bg-BG"/>
              </w:rPr>
              <w:t>6.</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063E66" w:rsidRDefault="00316BB6" w:rsidP="00DE1B4A">
            <w:pPr>
              <w:spacing w:after="0" w:line="240" w:lineRule="auto"/>
              <w:jc w:val="both"/>
              <w:rPr>
                <w:rFonts w:ascii="Times New Roman" w:hAnsi="Times New Roman" w:cs="Times New Roman"/>
                <w:color w:val="000000"/>
                <w:sz w:val="24"/>
                <w:szCs w:val="24"/>
                <w:lang w:val="bg-BG"/>
              </w:rPr>
            </w:pPr>
            <w:r w:rsidRPr="00063E66">
              <w:rPr>
                <w:rFonts w:ascii="Times New Roman" w:hAnsi="Times New Roman" w:cs="Times New Roman"/>
                <w:color w:val="000000"/>
                <w:sz w:val="24"/>
                <w:szCs w:val="24"/>
                <w:lang w:val="bg-BG"/>
              </w:rPr>
              <w:t xml:space="preserve">Кандидатът не е бил подпомаган за модернизация </w:t>
            </w:r>
            <w:r w:rsidR="00C06D3E" w:rsidRPr="00063E66">
              <w:rPr>
                <w:rFonts w:ascii="Times New Roman" w:hAnsi="Times New Roman" w:cs="Times New Roman"/>
                <w:color w:val="000000"/>
                <w:sz w:val="24"/>
                <w:szCs w:val="24"/>
                <w:lang w:val="bg-BG"/>
              </w:rPr>
              <w:t>на кораба</w:t>
            </w:r>
            <w:r w:rsidR="00DE1B4A">
              <w:rPr>
                <w:rFonts w:ascii="Times New Roman" w:hAnsi="Times New Roman" w:cs="Times New Roman"/>
                <w:color w:val="000000"/>
                <w:sz w:val="24"/>
                <w:szCs w:val="24"/>
                <w:lang w:val="bg-BG"/>
              </w:rPr>
              <w:t xml:space="preserve"> или инвестиции на борда на риболовния кораб</w:t>
            </w:r>
            <w:r w:rsidR="00C06D3E" w:rsidRPr="00063E66">
              <w:rPr>
                <w:rFonts w:ascii="Times New Roman" w:hAnsi="Times New Roman" w:cs="Times New Roman"/>
                <w:color w:val="000000"/>
                <w:sz w:val="24"/>
                <w:szCs w:val="24"/>
                <w:lang w:val="bg-BG"/>
              </w:rPr>
              <w:t xml:space="preserve"> </w:t>
            </w:r>
            <w:r w:rsidRPr="00063E66">
              <w:rPr>
                <w:rFonts w:ascii="Times New Roman" w:hAnsi="Times New Roman" w:cs="Times New Roman"/>
                <w:color w:val="000000"/>
                <w:sz w:val="24"/>
                <w:szCs w:val="24"/>
                <w:lang w:val="bg-BG"/>
              </w:rPr>
              <w:t>с друга финансова помощ за последните 5 години</w:t>
            </w:r>
            <w:r w:rsidR="00DE1B4A">
              <w:rPr>
                <w:rFonts w:ascii="Times New Roman" w:hAnsi="Times New Roman" w:cs="Times New Roman"/>
                <w:color w:val="000000"/>
                <w:sz w:val="24"/>
                <w:szCs w:val="24"/>
                <w:lang w:val="bg-BG"/>
              </w:rPr>
              <w:t xml:space="preserve"> към датата на подаване на проектното предложение</w:t>
            </w:r>
            <w:r w:rsidRPr="00063E66">
              <w:rPr>
                <w:rFonts w:ascii="Times New Roman" w:hAnsi="Times New Roman" w:cs="Times New Roman"/>
                <w:color w:val="000000"/>
                <w:sz w:val="24"/>
                <w:szCs w:val="24"/>
                <w:lang w:val="bg-BG"/>
              </w:rPr>
              <w:t>.</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1515C5">
              <w:rPr>
                <w:rFonts w:ascii="Times New Roman" w:hAnsi="Times New Roman" w:cs="Times New Roman"/>
                <w:color w:val="000000"/>
                <w:sz w:val="24"/>
                <w:szCs w:val="24"/>
                <w:lang w:val="bg-BG"/>
              </w:rPr>
              <w:t xml:space="preserve"> да             </w:t>
            </w:r>
            <w:r w:rsidR="00DE1B4A">
              <w:rPr>
                <w:rFonts w:ascii="Times New Roman" w:hAnsi="Times New Roman" w:cs="Times New Roman"/>
                <w:color w:val="000000"/>
                <w:sz w:val="24"/>
                <w:szCs w:val="24"/>
                <w:lang w:val="bg-BG"/>
              </w:rPr>
              <w:t> не</w:t>
            </w:r>
          </w:p>
        </w:tc>
      </w:tr>
      <w:tr w:rsidR="00316BB6" w:rsidRPr="002066F7" w:rsidTr="000A4B9C">
        <w:trPr>
          <w:trHeight w:val="1050"/>
        </w:trPr>
        <w:tc>
          <w:tcPr>
            <w:tcW w:w="516" w:type="dxa"/>
            <w:tcBorders>
              <w:top w:val="single" w:sz="4" w:space="0" w:color="auto"/>
              <w:left w:val="single" w:sz="4" w:space="0" w:color="auto"/>
              <w:bottom w:val="single" w:sz="4" w:space="0" w:color="auto"/>
              <w:right w:val="single" w:sz="4" w:space="0" w:color="auto"/>
            </w:tcBorders>
            <w:noWrap/>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Pr="00F2207E">
              <w:rPr>
                <w:rFonts w:ascii="Times New Roman" w:hAnsi="Times New Roman" w:cs="Times New Roman"/>
                <w:color w:val="000000"/>
                <w:sz w:val="24"/>
                <w:szCs w:val="24"/>
                <w:lang w:val="bg-BG"/>
              </w:rPr>
              <w:t>.</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201FBF">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Безвъзмездната финансова помощ на проектното предложение </w:t>
            </w:r>
            <w:r>
              <w:rPr>
                <w:rFonts w:ascii="Times New Roman" w:hAnsi="Times New Roman" w:cs="Times New Roman"/>
                <w:color w:val="000000"/>
                <w:sz w:val="24"/>
                <w:szCs w:val="24"/>
                <w:lang w:val="bg-BG"/>
              </w:rPr>
              <w:t>е изчислена съгласно изискванията в</w:t>
            </w:r>
            <w:r w:rsidRPr="00F2207E">
              <w:rPr>
                <w:rFonts w:ascii="Times New Roman" w:hAnsi="Times New Roman" w:cs="Times New Roman"/>
                <w:color w:val="000000"/>
                <w:sz w:val="24"/>
                <w:szCs w:val="24"/>
                <w:lang w:val="bg-BG"/>
              </w:rPr>
              <w:t xml:space="preserve"> т. </w:t>
            </w:r>
            <w:r w:rsidR="00201FBF" w:rsidRPr="00201FBF">
              <w:rPr>
                <w:rFonts w:ascii="Times New Roman" w:hAnsi="Times New Roman" w:cs="Times New Roman"/>
                <w:color w:val="000000"/>
                <w:sz w:val="24"/>
                <w:szCs w:val="24"/>
                <w:lang w:val="bg-BG"/>
              </w:rPr>
              <w:t xml:space="preserve">9 </w:t>
            </w:r>
            <w:r w:rsidRPr="00201FBF">
              <w:rPr>
                <w:rFonts w:ascii="Times New Roman" w:hAnsi="Times New Roman" w:cs="Times New Roman"/>
                <w:color w:val="000000"/>
                <w:sz w:val="24"/>
                <w:szCs w:val="24"/>
                <w:lang w:val="bg-BG"/>
              </w:rPr>
              <w:t>о</w:t>
            </w:r>
            <w:r w:rsidRPr="00F2207E">
              <w:rPr>
                <w:rFonts w:ascii="Times New Roman" w:hAnsi="Times New Roman" w:cs="Times New Roman"/>
                <w:color w:val="000000"/>
                <w:sz w:val="24"/>
                <w:szCs w:val="24"/>
                <w:lang w:val="bg-BG"/>
              </w:rPr>
              <w:t>т Условията за кандидатстване по настоящата процедура.</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 xml:space="preserve"> да              не       </w:t>
            </w:r>
          </w:p>
        </w:tc>
      </w:tr>
      <w:tr w:rsidR="00316BB6" w:rsidRPr="002066F7" w:rsidTr="000A4B9C">
        <w:trPr>
          <w:trHeight w:val="335"/>
        </w:trPr>
        <w:tc>
          <w:tcPr>
            <w:tcW w:w="516" w:type="dxa"/>
            <w:tcBorders>
              <w:top w:val="single" w:sz="4" w:space="0" w:color="auto"/>
              <w:left w:val="single" w:sz="4" w:space="0" w:color="auto"/>
              <w:bottom w:val="single" w:sz="4" w:space="0" w:color="auto"/>
              <w:right w:val="single" w:sz="4" w:space="0" w:color="auto"/>
            </w:tcBorders>
            <w:noWrap/>
          </w:tcPr>
          <w:p w:rsidR="00316BB6" w:rsidRPr="00436035" w:rsidRDefault="00316BB6" w:rsidP="00316BB6">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8.</w:t>
            </w:r>
          </w:p>
        </w:tc>
        <w:tc>
          <w:tcPr>
            <w:tcW w:w="8415" w:type="dxa"/>
            <w:gridSpan w:val="2"/>
            <w:tcBorders>
              <w:top w:val="single" w:sz="4" w:space="0" w:color="auto"/>
              <w:left w:val="single" w:sz="4" w:space="0" w:color="auto"/>
              <w:bottom w:val="single" w:sz="4" w:space="0" w:color="auto"/>
              <w:right w:val="single" w:sz="4" w:space="0" w:color="auto"/>
            </w:tcBorders>
            <w:shd w:val="clear" w:color="000000" w:fill="FFFFFF"/>
          </w:tcPr>
          <w:p w:rsidR="00316BB6" w:rsidRPr="00F2207E" w:rsidRDefault="00316BB6" w:rsidP="00316BB6">
            <w:pPr>
              <w:spacing w:after="0" w:line="240" w:lineRule="auto"/>
              <w:jc w:val="both"/>
              <w:rPr>
                <w:rFonts w:ascii="Times New Roman" w:hAnsi="Times New Roman" w:cs="Times New Roman"/>
                <w:color w:val="000000"/>
                <w:sz w:val="24"/>
                <w:szCs w:val="24"/>
                <w:lang w:val="bg-BG"/>
              </w:rPr>
            </w:pPr>
            <w:r w:rsidRPr="00F2207E">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tc>
        <w:tc>
          <w:tcPr>
            <w:tcW w:w="3261" w:type="dxa"/>
            <w:tcBorders>
              <w:top w:val="single" w:sz="4" w:space="0" w:color="auto"/>
              <w:left w:val="single" w:sz="4" w:space="0" w:color="auto"/>
              <w:bottom w:val="single" w:sz="4" w:space="0" w:color="auto"/>
              <w:right w:val="single" w:sz="4" w:space="0" w:color="auto"/>
            </w:tcBorders>
            <w:vAlign w:val="bottom"/>
          </w:tcPr>
          <w:p w:rsidR="00316BB6" w:rsidRPr="000B7560" w:rsidRDefault="00316BB6" w:rsidP="00316BB6">
            <w:pPr>
              <w:spacing w:after="0" w:line="240" w:lineRule="auto"/>
              <w:jc w:val="both"/>
              <w:rPr>
                <w:rFonts w:ascii="Times New Roman" w:hAnsi="Times New Roman" w:cs="Times New Roman"/>
                <w:color w:val="000000"/>
                <w:sz w:val="24"/>
                <w:szCs w:val="24"/>
                <w:lang w:val="bg-BG"/>
              </w:rPr>
            </w:pPr>
            <w:r w:rsidRPr="000B7560">
              <w:rPr>
                <w:rFonts w:ascii="Times New Roman" w:hAnsi="Times New Roman" w:cs="Times New Roman"/>
                <w:color w:val="000000"/>
                <w:sz w:val="24"/>
                <w:szCs w:val="24"/>
                <w:lang w:val="bg-BG"/>
              </w:rPr>
              <w:t> да              не        непр.</w:t>
            </w:r>
          </w:p>
        </w:tc>
      </w:tr>
      <w:tr w:rsidR="0048443E" w:rsidRPr="002066F7" w:rsidTr="000A4B9C">
        <w:trPr>
          <w:trHeight w:val="1059"/>
        </w:trPr>
        <w:tc>
          <w:tcPr>
            <w:tcW w:w="516" w:type="dxa"/>
            <w:tcBorders>
              <w:top w:val="single" w:sz="4" w:space="0" w:color="auto"/>
              <w:left w:val="single" w:sz="4" w:space="0" w:color="auto"/>
              <w:bottom w:val="single" w:sz="4" w:space="0" w:color="auto"/>
              <w:right w:val="single" w:sz="4" w:space="0" w:color="auto"/>
            </w:tcBorders>
            <w:noWrap/>
          </w:tcPr>
          <w:p w:rsidR="0048443E" w:rsidRPr="002066F7"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DE1B4A">
              <w:rPr>
                <w:rFonts w:ascii="Times New Roman" w:hAnsi="Times New Roman" w:cs="Times New Roman"/>
                <w:sz w:val="24"/>
                <w:szCs w:val="24"/>
                <w:lang w:val="bg-BG"/>
              </w:rPr>
              <w:t xml:space="preserve"> </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7955B3" w:rsidRPr="002066F7" w:rsidTr="000A4B9C">
        <w:trPr>
          <w:trHeight w:val="406"/>
        </w:trPr>
        <w:tc>
          <w:tcPr>
            <w:tcW w:w="516" w:type="dxa"/>
            <w:tcBorders>
              <w:top w:val="nil"/>
              <w:left w:val="single" w:sz="8" w:space="0" w:color="auto"/>
              <w:bottom w:val="single" w:sz="4" w:space="0" w:color="auto"/>
              <w:right w:val="single" w:sz="4" w:space="0" w:color="auto"/>
            </w:tcBorders>
            <w:noWrap/>
          </w:tcPr>
          <w:p w:rsidR="007955B3"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r w:rsidR="007955B3">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DE1B4A">
              <w:rPr>
                <w:rFonts w:ascii="Times New Roman" w:hAnsi="Times New Roman" w:cs="Times New Roman"/>
                <w:sz w:val="24"/>
                <w:szCs w:val="24"/>
                <w:lang w:val="bg-BG"/>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rsidRPr="00DE1B4A">
              <w:rPr>
                <w:lang w:val="bg-BG"/>
              </w:rPr>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rsidR="007955B3" w:rsidRPr="00DE1B4A" w:rsidRDefault="007955B3" w:rsidP="007955B3">
            <w:pPr>
              <w:spacing w:after="0" w:line="240" w:lineRule="auto"/>
              <w:jc w:val="both"/>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DE1B4A">
              <w:rPr>
                <w:rFonts w:ascii="Times New Roman" w:hAnsi="Times New Roman" w:cs="Times New Roman"/>
                <w:color w:val="000000"/>
                <w:sz w:val="24"/>
                <w:szCs w:val="24"/>
                <w:lang w:val="bg-BG"/>
              </w:rPr>
              <w:t>;</w:t>
            </w:r>
          </w:p>
        </w:tc>
        <w:tc>
          <w:tcPr>
            <w:tcW w:w="3261" w:type="dxa"/>
            <w:tcBorders>
              <w:top w:val="single" w:sz="8" w:space="0" w:color="auto"/>
              <w:left w:val="single" w:sz="8" w:space="0" w:color="auto"/>
              <w:bottom w:val="single" w:sz="4" w:space="0" w:color="auto"/>
              <w:right w:val="single" w:sz="8" w:space="0" w:color="000000"/>
            </w:tcBorders>
            <w:vAlign w:val="bottom"/>
          </w:tcPr>
          <w:p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1782"/>
        </w:trPr>
        <w:tc>
          <w:tcPr>
            <w:tcW w:w="516" w:type="dxa"/>
            <w:tcBorders>
              <w:top w:val="nil"/>
              <w:left w:val="single" w:sz="8" w:space="0" w:color="auto"/>
              <w:bottom w:val="single" w:sz="4" w:space="0" w:color="auto"/>
              <w:right w:val="single" w:sz="4" w:space="0" w:color="auto"/>
            </w:tcBorders>
            <w:noWrap/>
          </w:tcPr>
          <w:p w:rsidR="0048443E" w:rsidRPr="002066F7" w:rsidRDefault="00201FBF"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lastRenderedPageBreak/>
              <w:t>11</w:t>
            </w:r>
            <w:r w:rsidR="0048443E" w:rsidRPr="002066F7">
              <w:rPr>
                <w:rFonts w:ascii="Times New Roman" w:hAnsi="Times New Roman" w:cs="Times New Roman"/>
                <w:color w:val="000000"/>
                <w:sz w:val="24"/>
                <w:szCs w:val="24"/>
                <w:lang w:val="bg-BG"/>
              </w:rPr>
              <w:t>.</w:t>
            </w:r>
          </w:p>
        </w:tc>
        <w:tc>
          <w:tcPr>
            <w:tcW w:w="8415" w:type="dxa"/>
            <w:gridSpan w:val="2"/>
            <w:tcBorders>
              <w:top w:val="single" w:sz="4" w:space="0" w:color="auto"/>
              <w:left w:val="nil"/>
              <w:bottom w:val="single" w:sz="4" w:space="0" w:color="auto"/>
              <w:right w:val="nil"/>
            </w:tcBorders>
            <w:shd w:val="clear" w:color="000000" w:fill="FFFFFF"/>
          </w:tcPr>
          <w:p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DE1B4A">
              <w:rPr>
                <w:rFonts w:ascii="Times New Roman" w:hAnsi="Times New Roman" w:cs="Times New Roman"/>
                <w:sz w:val="24"/>
                <w:szCs w:val="24"/>
                <w:lang w:val="bg-BG"/>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 xml:space="preserve">На етапа на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261"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0A4B9C">
        <w:trPr>
          <w:trHeight w:val="615"/>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0A4B9C">
            <w:pPr>
              <w:spacing w:after="0" w:line="240" w:lineRule="auto"/>
              <w:jc w:val="center"/>
              <w:rPr>
                <w:rFonts w:ascii="Times New Roman" w:hAnsi="Times New Roman" w:cs="Times New Roman"/>
                <w:b/>
                <w:bCs/>
                <w:color w:val="000000"/>
                <w:sz w:val="24"/>
                <w:szCs w:val="24"/>
                <w:lang w:val="bg-BG"/>
              </w:rPr>
            </w:pPr>
          </w:p>
          <w:p w:rsidR="0048443E" w:rsidRPr="002066F7" w:rsidRDefault="0048443E" w:rsidP="000A4B9C">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rsidTr="000A4B9C">
        <w:trPr>
          <w:trHeight w:val="484"/>
        </w:trPr>
        <w:tc>
          <w:tcPr>
            <w:tcW w:w="12192" w:type="dxa"/>
            <w:gridSpan w:val="4"/>
            <w:tcBorders>
              <w:top w:val="single" w:sz="8" w:space="0" w:color="auto"/>
              <w:left w:val="single" w:sz="8" w:space="0" w:color="auto"/>
              <w:bottom w:val="single" w:sz="8" w:space="0" w:color="auto"/>
              <w:right w:val="single" w:sz="8" w:space="0" w:color="000000"/>
            </w:tcBorders>
            <w:noWrap/>
          </w:tcPr>
          <w:p w:rsidR="000A4B9C" w:rsidRDefault="000A4B9C" w:rsidP="00D3581F">
            <w:pPr>
              <w:spacing w:after="0" w:line="240" w:lineRule="auto"/>
              <w:rPr>
                <w:rFonts w:ascii="Times New Roman" w:hAnsi="Times New Roman" w:cs="Times New Roman"/>
                <w:b/>
                <w:bCs/>
                <w:color w:val="000000"/>
                <w:sz w:val="24"/>
                <w:szCs w:val="24"/>
                <w:lang w:val="bg-BG"/>
              </w:rPr>
            </w:pPr>
          </w:p>
          <w:p w:rsidR="0048443E"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p w:rsidR="000A4B9C" w:rsidRPr="002066F7" w:rsidRDefault="000A4B9C" w:rsidP="00D3581F">
            <w:pPr>
              <w:spacing w:after="0" w:line="240" w:lineRule="auto"/>
              <w:rPr>
                <w:rFonts w:ascii="Times New Roman" w:hAnsi="Times New Roman" w:cs="Times New Roman"/>
                <w:b/>
                <w:bCs/>
                <w:color w:val="000000"/>
                <w:sz w:val="24"/>
                <w:szCs w:val="24"/>
                <w:lang w:val="bg-BG"/>
              </w:rPr>
            </w:pPr>
          </w:p>
        </w:tc>
      </w:tr>
      <w:tr w:rsidR="000A4B9C" w:rsidRPr="00DE1B4A"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b/>
                <w:sz w:val="24"/>
                <w:szCs w:val="24"/>
                <w:lang w:val="bg-BG"/>
              </w:rPr>
            </w:pPr>
            <w:r w:rsidRPr="000A4B9C">
              <w:rPr>
                <w:rFonts w:ascii="Times New Roman" w:hAnsi="Times New Roman" w:cs="Times New Roman"/>
                <w:b/>
                <w:sz w:val="24"/>
                <w:szCs w:val="24"/>
                <w:lang w:val="bg-BG"/>
              </w:rPr>
              <w:t>Вид дейност</w:t>
            </w:r>
          </w:p>
        </w:tc>
        <w:tc>
          <w:tcPr>
            <w:tcW w:w="816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b/>
                <w:sz w:val="24"/>
                <w:szCs w:val="24"/>
                <w:lang w:val="bg-BG"/>
              </w:rPr>
            </w:pPr>
            <w:r w:rsidRPr="000A4B9C">
              <w:rPr>
                <w:rFonts w:ascii="Times New Roman" w:hAnsi="Times New Roman" w:cs="Times New Roman"/>
                <w:b/>
                <w:sz w:val="24"/>
                <w:szCs w:val="24"/>
                <w:lang w:val="bg-BG"/>
              </w:rPr>
              <w:t>Окончателно преустановяване на риболовни дейности</w:t>
            </w:r>
          </w:p>
        </w:tc>
      </w:tr>
      <w:tr w:rsidR="000A4B9C" w:rsidRPr="000A4B9C" w:rsidTr="000A4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5"/>
        </w:trPr>
        <w:tc>
          <w:tcPr>
            <w:tcW w:w="4031" w:type="dxa"/>
            <w:gridSpan w:val="2"/>
            <w:tcBorders>
              <w:top w:val="single" w:sz="4" w:space="0" w:color="auto"/>
              <w:left w:val="single" w:sz="4" w:space="0" w:color="auto"/>
              <w:bottom w:val="single" w:sz="4" w:space="0" w:color="auto"/>
              <w:right w:val="single" w:sz="4" w:space="0" w:color="auto"/>
            </w:tcBorders>
            <w:hideMark/>
          </w:tcPr>
          <w:p w:rsidR="000A4B9C" w:rsidRPr="000A4B9C" w:rsidRDefault="000A4B9C" w:rsidP="000A4B9C">
            <w:pPr>
              <w:rPr>
                <w:rFonts w:ascii="Times New Roman" w:hAnsi="Times New Roman" w:cs="Times New Roman"/>
                <w:sz w:val="24"/>
                <w:szCs w:val="24"/>
              </w:rPr>
            </w:pPr>
            <w:r w:rsidRPr="000A4B9C">
              <w:rPr>
                <w:rFonts w:ascii="Times New Roman" w:hAnsi="Times New Roman" w:cs="Times New Roman"/>
                <w:sz w:val="24"/>
                <w:szCs w:val="24"/>
                <w:lang w:val="bg-BG"/>
              </w:rPr>
              <w:t>Критерии за подбор</w:t>
            </w:r>
          </w:p>
        </w:tc>
        <w:tc>
          <w:tcPr>
            <w:tcW w:w="8161" w:type="dxa"/>
            <w:gridSpan w:val="2"/>
            <w:tcBorders>
              <w:top w:val="single" w:sz="4" w:space="0" w:color="auto"/>
              <w:left w:val="single" w:sz="4" w:space="0" w:color="auto"/>
              <w:bottom w:val="single" w:sz="4" w:space="0" w:color="auto"/>
              <w:right w:val="single" w:sz="4" w:space="0" w:color="auto"/>
            </w:tcBorders>
          </w:tcPr>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от сегмент, за който е установено, </w:t>
            </w:r>
          </w:p>
          <w:p w:rsidR="000A4B9C" w:rsidRPr="000A4B9C" w:rsidRDefault="000A4B9C" w:rsidP="000A4B9C">
            <w:pPr>
              <w:spacing w:after="0" w:line="240" w:lineRule="auto"/>
              <w:rPr>
                <w:rFonts w:ascii="Times New Roman" w:eastAsia="Times New Roman" w:hAnsi="Times New Roman" w:cs="Times New Roman"/>
                <w:sz w:val="24"/>
                <w:szCs w:val="24"/>
                <w:lang w:val="bg-BG"/>
              </w:rPr>
            </w:pPr>
            <w:r w:rsidRPr="000A4B9C">
              <w:rPr>
                <w:rFonts w:ascii="Times New Roman" w:eastAsia="Times New Roman" w:hAnsi="Times New Roman" w:cs="Times New Roman"/>
                <w:sz w:val="24"/>
                <w:szCs w:val="24"/>
                <w:lang w:val="bg-BG" w:eastAsia="fr-FR"/>
              </w:rPr>
              <w:t>че не е балансиран спрямо възможностите за риболов</w:t>
            </w:r>
            <w:r w:rsidR="00005471">
              <w:rPr>
                <w:rStyle w:val="FootnoteReference"/>
                <w:rFonts w:ascii="Times New Roman" w:eastAsia="Times New Roman" w:hAnsi="Times New Roman" w:cs="Times New Roman"/>
                <w:sz w:val="24"/>
                <w:szCs w:val="24"/>
                <w:lang w:val="bg-BG" w:eastAsia="fr-FR"/>
              </w:rPr>
              <w:footnoteReference w:id="1"/>
            </w:r>
            <w:r w:rsidRPr="000A4B9C">
              <w:rPr>
                <w:rFonts w:ascii="Times New Roman" w:eastAsia="Times New Roman" w:hAnsi="Times New Roman" w:cs="Times New Roman"/>
                <w:sz w:val="24"/>
                <w:szCs w:val="24"/>
                <w:lang w:val="bg-BG" w:eastAsia="fr-FR"/>
              </w:rPr>
              <w:t xml:space="preserve"> или за сегмент, засегнат от препоръки на </w:t>
            </w:r>
            <w:r w:rsidR="008F28D1" w:rsidRPr="008F28D1">
              <w:rPr>
                <w:rFonts w:ascii="Times New Roman" w:eastAsia="Times New Roman" w:hAnsi="Times New Roman" w:cs="Times New Roman"/>
                <w:sz w:val="24"/>
                <w:szCs w:val="24"/>
                <w:lang w:val="bg-BG" w:eastAsia="fr-FR"/>
              </w:rPr>
              <w:t xml:space="preserve">Генералната комисия по риболова в Средиземно море </w:t>
            </w:r>
            <w:r w:rsidR="008F28D1" w:rsidRPr="00DE1B4A">
              <w:rPr>
                <w:rFonts w:ascii="Times New Roman" w:eastAsia="Times New Roman" w:hAnsi="Times New Roman" w:cs="Times New Roman"/>
                <w:sz w:val="24"/>
                <w:szCs w:val="24"/>
                <w:lang w:val="bg-BG" w:eastAsia="fr-FR"/>
              </w:rPr>
              <w:t>(</w:t>
            </w:r>
            <w:r w:rsidRPr="000A4B9C">
              <w:rPr>
                <w:rFonts w:ascii="Times New Roman" w:eastAsia="Times New Roman" w:hAnsi="Times New Roman" w:cs="Times New Roman"/>
                <w:sz w:val="24"/>
                <w:szCs w:val="24"/>
                <w:lang w:val="bg-BG" w:eastAsia="fr-FR"/>
              </w:rPr>
              <w:t>ГКРСМ</w:t>
            </w:r>
            <w:r w:rsidR="008F28D1" w:rsidRPr="00DE1B4A">
              <w:rPr>
                <w:rFonts w:ascii="Times New Roman" w:eastAsia="Times New Roman" w:hAnsi="Times New Roman" w:cs="Times New Roman"/>
                <w:sz w:val="24"/>
                <w:szCs w:val="24"/>
                <w:lang w:val="bg-BG" w:eastAsia="fr-FR"/>
              </w:rPr>
              <w:t>)</w:t>
            </w:r>
            <w:r w:rsidRPr="000A4B9C">
              <w:rPr>
                <w:rFonts w:ascii="Times New Roman" w:eastAsia="Times New Roman" w:hAnsi="Times New Roman" w:cs="Times New Roman"/>
                <w:sz w:val="24"/>
                <w:szCs w:val="24"/>
                <w:lang w:val="bg-BG" w:eastAsia="fr-FR"/>
              </w:rPr>
              <w:t xml:space="preserve"> - 20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Проекти, свързани с кораби от останалите сегменти - 10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r w:rsidRPr="000A4B9C">
              <w:rPr>
                <w:rFonts w:ascii="Times New Roman" w:eastAsia="Times New Roman" w:hAnsi="Times New Roman" w:cs="Times New Roman"/>
                <w:b/>
                <w:bCs/>
                <w:sz w:val="24"/>
                <w:szCs w:val="24"/>
                <w:lang w:val="bg-BG" w:eastAsia="fr-FR"/>
              </w:rPr>
              <w:t>Възраст на кораба</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10 до 15 години                                             10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16 до 25 години                                             20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Над 25 години                                                     30 точки</w:t>
            </w:r>
          </w:p>
          <w:p w:rsidR="000A4B9C" w:rsidRPr="000A4B9C" w:rsidRDefault="000A4B9C" w:rsidP="000A4B9C">
            <w:pPr>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b/>
                <w:bCs/>
                <w:sz w:val="24"/>
                <w:szCs w:val="24"/>
                <w:lang w:val="bg-BG" w:eastAsia="fr-FR"/>
              </w:rPr>
            </w:pPr>
            <w:r w:rsidRPr="000A4B9C">
              <w:rPr>
                <w:rFonts w:ascii="Times New Roman" w:eastAsia="Times New Roman" w:hAnsi="Times New Roman" w:cs="Times New Roman"/>
                <w:b/>
                <w:bCs/>
                <w:sz w:val="24"/>
                <w:szCs w:val="24"/>
                <w:lang w:val="bg-BG" w:eastAsia="fr-FR"/>
              </w:rPr>
              <w:t>Активност на риболовния кораб над минимума риболовни дни общо за двете години сумарно*</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Поне с 20 % над минимума риболовни дни  10 точки</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От 21 % - 40 %                                                  20 точки</w:t>
            </w:r>
          </w:p>
          <w:p w:rsidR="000A4B9C" w:rsidRPr="00DE1B4A"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Над 41 %                                                           30 точки</w:t>
            </w:r>
          </w:p>
          <w:p w:rsidR="000A4B9C" w:rsidRPr="00DE1B4A"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с </w:t>
            </w:r>
            <w:r w:rsidRPr="000A4B9C">
              <w:rPr>
                <w:rFonts w:ascii="Times New Roman" w:eastAsia="Times New Roman" w:hAnsi="Times New Roman" w:cs="Times New Roman"/>
                <w:b/>
                <w:sz w:val="24"/>
                <w:szCs w:val="24"/>
                <w:lang w:val="bg-BG" w:eastAsia="fr-FR"/>
              </w:rPr>
              <w:t>дължина под 12 метра</w:t>
            </w:r>
            <w:r w:rsidRPr="000A4B9C">
              <w:rPr>
                <w:rFonts w:ascii="Times New Roman" w:eastAsia="Times New Roman" w:hAnsi="Times New Roman" w:cs="Times New Roman"/>
                <w:sz w:val="24"/>
                <w:szCs w:val="24"/>
                <w:lang w:val="bg-BG" w:eastAsia="fr-FR"/>
              </w:rPr>
              <w:t xml:space="preserve"> – </w:t>
            </w:r>
            <w:r w:rsidRPr="00DE1B4A">
              <w:rPr>
                <w:rFonts w:ascii="Times New Roman" w:eastAsia="Times New Roman" w:hAnsi="Times New Roman" w:cs="Times New Roman"/>
                <w:sz w:val="24"/>
                <w:szCs w:val="24"/>
                <w:lang w:val="bg-BG" w:eastAsia="fr-FR"/>
              </w:rPr>
              <w:t>20</w:t>
            </w:r>
            <w:r w:rsidRPr="000A4B9C">
              <w:rPr>
                <w:rFonts w:ascii="Times New Roman" w:eastAsia="Times New Roman" w:hAnsi="Times New Roman" w:cs="Times New Roman"/>
                <w:sz w:val="24"/>
                <w:szCs w:val="24"/>
                <w:lang w:val="bg-BG" w:eastAsia="fr-FR"/>
              </w:rPr>
              <w:t xml:space="preserve"> точки </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Проекти, свързани с кораби с </w:t>
            </w:r>
            <w:r w:rsidRPr="000A4B9C">
              <w:rPr>
                <w:rFonts w:ascii="Times New Roman" w:eastAsia="Times New Roman" w:hAnsi="Times New Roman" w:cs="Times New Roman"/>
                <w:b/>
                <w:sz w:val="24"/>
                <w:szCs w:val="24"/>
                <w:lang w:val="bg-BG" w:eastAsia="fr-FR"/>
              </w:rPr>
              <w:t>дължина над 12 метра</w:t>
            </w:r>
            <w:r w:rsidRPr="000A4B9C">
              <w:rPr>
                <w:rFonts w:ascii="Times New Roman" w:eastAsia="Times New Roman" w:hAnsi="Times New Roman" w:cs="Times New Roman"/>
                <w:sz w:val="24"/>
                <w:szCs w:val="24"/>
                <w:lang w:val="bg-BG" w:eastAsia="fr-FR"/>
              </w:rPr>
              <w:t xml:space="preserve"> – </w:t>
            </w:r>
            <w:r w:rsidRPr="00DE1B4A">
              <w:rPr>
                <w:rFonts w:ascii="Times New Roman" w:eastAsia="Times New Roman" w:hAnsi="Times New Roman" w:cs="Times New Roman"/>
                <w:sz w:val="24"/>
                <w:szCs w:val="24"/>
                <w:lang w:val="bg-BG" w:eastAsia="fr-FR"/>
              </w:rPr>
              <w:t>10</w:t>
            </w:r>
            <w:r w:rsidRPr="000A4B9C">
              <w:rPr>
                <w:rFonts w:ascii="Times New Roman" w:eastAsia="Times New Roman" w:hAnsi="Times New Roman" w:cs="Times New Roman"/>
                <w:sz w:val="24"/>
                <w:szCs w:val="24"/>
                <w:lang w:val="bg-BG" w:eastAsia="fr-FR"/>
              </w:rPr>
              <w:t xml:space="preserve"> точки </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 xml:space="preserve">*Активност на риболовния кораб се изчислява спрямо минималните стойности за риболовни дни, посочени в чл. 20 на </w:t>
            </w:r>
            <w:r w:rsidRPr="000A4B9C">
              <w:rPr>
                <w:rFonts w:ascii="Times New Roman" w:hAnsi="Times New Roman" w:cs="Times New Roman"/>
                <w:sz w:val="24"/>
                <w:szCs w:val="24"/>
                <w:lang w:val="bg-BG"/>
              </w:rPr>
              <w:t>Регламент (ЕС)</w:t>
            </w:r>
            <w:r w:rsidRPr="00DE1B4A">
              <w:rPr>
                <w:rFonts w:ascii="Times New Roman" w:hAnsi="Times New Roman" w:cs="Times New Roman"/>
                <w:sz w:val="24"/>
                <w:szCs w:val="24"/>
                <w:lang w:val="bg-BG"/>
              </w:rPr>
              <w:t xml:space="preserve"> 2021/1139</w:t>
            </w:r>
            <w:r w:rsidRPr="000A4B9C">
              <w:rPr>
                <w:rFonts w:ascii="Times New Roman" w:eastAsia="Times New Roman" w:hAnsi="Times New Roman" w:cs="Times New Roman"/>
                <w:sz w:val="24"/>
                <w:szCs w:val="24"/>
                <w:lang w:val="bg-BG" w:eastAsia="fr-FR"/>
              </w:rPr>
              <w:t>:</w:t>
            </w:r>
          </w:p>
          <w:p w:rsidR="000A4B9C" w:rsidRPr="000A4B9C" w:rsidRDefault="000A4B9C" w:rsidP="000A4B9C">
            <w:pPr>
              <w:autoSpaceDE w:val="0"/>
              <w:autoSpaceDN w:val="0"/>
              <w:adjustRightInd w:val="0"/>
              <w:spacing w:after="0" w:line="240" w:lineRule="auto"/>
              <w:rPr>
                <w:rFonts w:ascii="Times New Roman" w:eastAsia="Times New Roman" w:hAnsi="Times New Roman" w:cs="Times New Roman"/>
                <w:sz w:val="24"/>
                <w:szCs w:val="24"/>
                <w:lang w:val="bg-BG" w:eastAsia="fr-FR"/>
              </w:rPr>
            </w:pPr>
            <w:r w:rsidRPr="000A4B9C">
              <w:rPr>
                <w:rFonts w:ascii="Times New Roman" w:eastAsia="Times New Roman" w:hAnsi="Times New Roman" w:cs="Times New Roman"/>
                <w:sz w:val="24"/>
                <w:szCs w:val="24"/>
                <w:lang w:val="bg-BG" w:eastAsia="fr-FR"/>
              </w:rPr>
              <w:t>90 риболовни дни годишно за последните две години, предхождащи датата на подаване на заявлението за подпомагане.</w:t>
            </w:r>
          </w:p>
          <w:p w:rsidR="000A4B9C" w:rsidRPr="000A4B9C" w:rsidRDefault="000A4B9C" w:rsidP="000A4B9C">
            <w:pPr>
              <w:spacing w:after="0" w:line="240" w:lineRule="auto"/>
              <w:jc w:val="both"/>
              <w:outlineLvl w:val="0"/>
              <w:rPr>
                <w:rFonts w:ascii="Times New Roman" w:eastAsia="Times New Roman" w:hAnsi="Times New Roman" w:cs="Times New Roman"/>
                <w:sz w:val="24"/>
                <w:szCs w:val="24"/>
                <w:lang w:val="bg-BG" w:eastAsia="fr-FR"/>
              </w:rPr>
            </w:pPr>
          </w:p>
          <w:p w:rsidR="000A4B9C" w:rsidRPr="000A4B9C" w:rsidRDefault="000A4B9C" w:rsidP="000A4B9C">
            <w:pPr>
              <w:spacing w:before="120" w:after="120"/>
              <w:rPr>
                <w:rFonts w:ascii="Times New Roman" w:hAnsi="Times New Roman" w:cs="Times New Roman"/>
                <w:sz w:val="24"/>
                <w:szCs w:val="24"/>
                <w:lang w:val="bg-BG"/>
              </w:rPr>
            </w:pPr>
            <w:r w:rsidRPr="000A4B9C">
              <w:rPr>
                <w:rFonts w:ascii="Times New Roman" w:eastAsia="Times New Roman" w:hAnsi="Times New Roman" w:cs="Times New Roman"/>
                <w:sz w:val="24"/>
                <w:szCs w:val="24"/>
                <w:lang w:val="bg-BG" w:eastAsia="fr-FR"/>
              </w:rPr>
              <w:t>Общ брой точки - 100</w:t>
            </w:r>
          </w:p>
        </w:tc>
      </w:tr>
    </w:tbl>
    <w:p w:rsidR="00F70226" w:rsidRDefault="00F70226" w:rsidP="00D3581F">
      <w:pPr>
        <w:spacing w:after="0" w:line="240" w:lineRule="auto"/>
        <w:rPr>
          <w:rFonts w:ascii="Times New Roman" w:hAnsi="Times New Roman" w:cs="Times New Roman"/>
          <w:color w:val="000000"/>
          <w:sz w:val="24"/>
          <w:szCs w:val="24"/>
          <w:lang w:val="bg-BG"/>
        </w:rPr>
      </w:pPr>
    </w:p>
    <w:p w:rsidR="00491E38" w:rsidRDefault="00491E38" w:rsidP="00491E38">
      <w:pPr>
        <w:spacing w:after="0" w:line="240" w:lineRule="auto"/>
        <w:rPr>
          <w:rFonts w:ascii="Times New Roman" w:hAnsi="Times New Roman" w:cs="Times New Roman"/>
          <w:color w:val="000000"/>
          <w:sz w:val="24"/>
          <w:szCs w:val="24"/>
          <w:lang w:val="bg-BG"/>
        </w:rPr>
      </w:pPr>
    </w:p>
    <w:p w:rsidR="00491E38" w:rsidRPr="00BD6702"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 xml:space="preserve">Проектните предложения, </w:t>
      </w:r>
      <w:r w:rsidRPr="00BD6702">
        <w:rPr>
          <w:rFonts w:ascii="Times New Roman" w:hAnsi="Times New Roman" w:cs="Times New Roman"/>
          <w:color w:val="000000"/>
          <w:sz w:val="24"/>
          <w:szCs w:val="24"/>
          <w:lang w:val="bg-BG"/>
        </w:rPr>
        <w:t xml:space="preserve">получили </w:t>
      </w:r>
      <w:r w:rsidR="00BD6702" w:rsidRPr="00BD6702">
        <w:rPr>
          <w:rFonts w:ascii="Times New Roman" w:hAnsi="Times New Roman" w:cs="Times New Roman"/>
          <w:color w:val="000000"/>
          <w:sz w:val="24"/>
          <w:szCs w:val="24"/>
          <w:lang w:val="bg-BG"/>
        </w:rPr>
        <w:t xml:space="preserve">минимум </w:t>
      </w:r>
      <w:r w:rsidR="00BD6702" w:rsidRPr="00DE1B4A">
        <w:rPr>
          <w:rFonts w:ascii="Times New Roman" w:hAnsi="Times New Roman" w:cs="Times New Roman"/>
          <w:color w:val="000000"/>
          <w:sz w:val="24"/>
          <w:szCs w:val="24"/>
          <w:lang w:val="bg-BG"/>
        </w:rPr>
        <w:t>2</w:t>
      </w:r>
      <w:r w:rsidR="00BD6702" w:rsidRPr="00BD6702">
        <w:rPr>
          <w:rFonts w:ascii="Times New Roman" w:hAnsi="Times New Roman" w:cs="Times New Roman"/>
          <w:color w:val="000000"/>
          <w:sz w:val="24"/>
          <w:szCs w:val="24"/>
          <w:lang w:val="bg-BG"/>
        </w:rPr>
        <w:t xml:space="preserve">0 </w:t>
      </w:r>
      <w:r w:rsidRPr="00BD6702">
        <w:rPr>
          <w:rFonts w:ascii="Times New Roman" w:hAnsi="Times New Roman" w:cs="Times New Roman"/>
          <w:color w:val="000000"/>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610597" w:rsidRPr="00BD6702" w:rsidRDefault="00610597" w:rsidP="00BD6702">
      <w:pPr>
        <w:spacing w:after="0" w:line="240" w:lineRule="auto"/>
        <w:ind w:left="-142" w:right="-328"/>
        <w:jc w:val="both"/>
        <w:rPr>
          <w:rFonts w:ascii="Times New Roman" w:hAnsi="Times New Roman" w:cs="Times New Roman"/>
          <w:color w:val="000000"/>
          <w:sz w:val="24"/>
          <w:szCs w:val="24"/>
          <w:lang w:val="bg-BG"/>
        </w:rPr>
      </w:pPr>
    </w:p>
    <w:p w:rsidR="00491E38" w:rsidRPr="00610597" w:rsidRDefault="00491E38" w:rsidP="00BD6702">
      <w:pPr>
        <w:spacing w:after="0" w:line="240" w:lineRule="auto"/>
        <w:ind w:left="-142" w:right="-328"/>
        <w:jc w:val="both"/>
        <w:rPr>
          <w:rFonts w:ascii="Times New Roman" w:hAnsi="Times New Roman" w:cs="Times New Roman"/>
          <w:color w:val="000000"/>
          <w:sz w:val="24"/>
          <w:szCs w:val="24"/>
          <w:lang w:val="bg-BG"/>
        </w:rPr>
      </w:pPr>
      <w:r w:rsidRPr="00BD6702">
        <w:rPr>
          <w:rFonts w:ascii="Times New Roman" w:hAnsi="Times New Roman" w:cs="Times New Roman"/>
          <w:color w:val="000000"/>
          <w:sz w:val="24"/>
          <w:szCs w:val="24"/>
          <w:lang w:val="bg-BG"/>
        </w:rPr>
        <w:t xml:space="preserve">В случай че проектното предложение получи по-малко от </w:t>
      </w:r>
      <w:r w:rsidR="00BD6702" w:rsidRPr="00DE1B4A">
        <w:rPr>
          <w:rFonts w:ascii="Times New Roman" w:hAnsi="Times New Roman" w:cs="Times New Roman"/>
          <w:color w:val="000000"/>
          <w:sz w:val="24"/>
          <w:szCs w:val="24"/>
          <w:lang w:val="bg-BG"/>
        </w:rPr>
        <w:t>20</w:t>
      </w:r>
      <w:r w:rsidRPr="00BD6702">
        <w:rPr>
          <w:rFonts w:ascii="Times New Roman" w:hAnsi="Times New Roman" w:cs="Times New Roman"/>
          <w:color w:val="000000"/>
          <w:sz w:val="24"/>
          <w:szCs w:val="24"/>
          <w:lang w:val="bg-BG"/>
        </w:rPr>
        <w:t xml:space="preserve"> точки, проектното</w:t>
      </w:r>
      <w:r w:rsidRPr="00610597">
        <w:rPr>
          <w:rFonts w:ascii="Times New Roman" w:hAnsi="Times New Roman" w:cs="Times New Roman"/>
          <w:color w:val="000000"/>
          <w:sz w:val="24"/>
          <w:szCs w:val="24"/>
          <w:lang w:val="bg-BG"/>
        </w:rPr>
        <w:t xml:space="preserve"> предложение се отхвърля.</w:t>
      </w:r>
    </w:p>
    <w:p w:rsidR="00CF751F" w:rsidRPr="002066F7" w:rsidRDefault="00491E38" w:rsidP="00BD6702">
      <w:pPr>
        <w:spacing w:after="0" w:line="240" w:lineRule="auto"/>
        <w:ind w:left="-142" w:right="-328"/>
        <w:jc w:val="both"/>
        <w:rPr>
          <w:rFonts w:ascii="Times New Roman" w:hAnsi="Times New Roman" w:cs="Times New Roman"/>
          <w:color w:val="000000"/>
          <w:sz w:val="24"/>
          <w:szCs w:val="24"/>
          <w:lang w:val="bg-BG"/>
        </w:rPr>
      </w:pPr>
      <w:r w:rsidRPr="00610597">
        <w:rPr>
          <w:rFonts w:ascii="Times New Roman" w:hAnsi="Times New Roman" w:cs="Times New Roman"/>
          <w:color w:val="000000"/>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2066F7" w:rsidSect="002066F7">
      <w:headerReference w:type="first" r:id="rId8"/>
      <w:pgSz w:w="15840" w:h="12240" w:orient="landscape"/>
      <w:pgMar w:top="1985" w:right="2981" w:bottom="1411" w:left="1138"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D17" w:rsidRDefault="00064D17" w:rsidP="00116291">
      <w:pPr>
        <w:spacing w:after="0" w:line="240" w:lineRule="auto"/>
      </w:pPr>
      <w:r>
        <w:separator/>
      </w:r>
    </w:p>
  </w:endnote>
  <w:endnote w:type="continuationSeparator" w:id="0">
    <w:p w:rsidR="00064D17" w:rsidRDefault="00064D17"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D17" w:rsidRDefault="00064D17" w:rsidP="00116291">
      <w:pPr>
        <w:spacing w:after="0" w:line="240" w:lineRule="auto"/>
      </w:pPr>
      <w:r>
        <w:separator/>
      </w:r>
    </w:p>
  </w:footnote>
  <w:footnote w:type="continuationSeparator" w:id="0">
    <w:p w:rsidR="00064D17" w:rsidRDefault="00064D17" w:rsidP="00116291">
      <w:pPr>
        <w:spacing w:after="0" w:line="240" w:lineRule="auto"/>
      </w:pPr>
      <w:r>
        <w:continuationSeparator/>
      </w:r>
    </w:p>
  </w:footnote>
  <w:footnote w:id="1">
    <w:p w:rsidR="00005471" w:rsidRPr="00005471" w:rsidRDefault="00005471" w:rsidP="00005471">
      <w:pPr>
        <w:pStyle w:val="FootnoteText"/>
        <w:jc w:val="both"/>
        <w:rPr>
          <w:lang w:val="bg-BG"/>
        </w:rPr>
      </w:pPr>
      <w:r>
        <w:rPr>
          <w:rStyle w:val="FootnoteReference"/>
        </w:rPr>
        <w:footnoteRef/>
      </w:r>
      <w:r>
        <w:t xml:space="preserve"> </w:t>
      </w:r>
      <w:r w:rsidRPr="00005471">
        <w:rPr>
          <w:rFonts w:ascii="Times New Roman" w:hAnsi="Times New Roman" w:cs="Times New Roman"/>
          <w:sz w:val="22"/>
          <w:szCs w:val="22"/>
        </w:rPr>
        <w:t>Балансът на сегментите от риболовния флот се определя в последния актуален Годишен доклад за флота към датата на обявяването на прием.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183" w:rsidRDefault="005A6312" w:rsidP="002066F7">
    <w:pPr>
      <w:pStyle w:val="Header"/>
      <w:tabs>
        <w:tab w:val="clear" w:pos="4536"/>
        <w:tab w:val="clear" w:pos="9072"/>
        <w:tab w:val="center" w:pos="5860"/>
      </w:tabs>
    </w:pPr>
    <w:r>
      <w:rPr>
        <w:rFonts w:eastAsia="Times New Roman"/>
        <w:noProof/>
      </w:rPr>
      <w:pict>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rsidR="0008236C" w:rsidRDefault="0008236C" w:rsidP="0008236C">
                <w:pPr>
                  <w:jc w:val="center"/>
                </w:pPr>
              </w:p>
            </w:txbxContent>
          </v:textbox>
          <w10:wrap anchorx="margin"/>
        </v:shape>
      </w:pict>
    </w:r>
    <w:r>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v:shape id="Picture 3" o:spid="_x0000_s2059" type="#_x0000_t75" style="position:absolute;margin-left:384.9pt;margin-top:-7.4pt;width:167.4pt;height:62.75pt;z-index:251656704;visibility:visible">
          <v:imagedata r:id="rId2" o:title=""/>
          <w10:wrap type="square"/>
        </v:shape>
      </w:pict>
    </w:r>
    <w:r>
      <w:rPr>
        <w:rFonts w:eastAsia="Times New Roman"/>
        <w:lang w:val="bg-BG"/>
      </w:rPr>
      <w:pict>
        <v:shape id="_x0000_i1025" type="#_x0000_t75" style="width:182.25pt;height:45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1" w15:restartNumberingAfterBreak="0">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15:restartNumberingAfterBreak="0">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1" w15:restartNumberingAfterBreak="0">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15"/>
  </w:num>
  <w:num w:numId="3">
    <w:abstractNumId w:val="0"/>
  </w:num>
  <w:num w:numId="4">
    <w:abstractNumId w:val="4"/>
  </w:num>
  <w:num w:numId="5">
    <w:abstractNumId w:val="2"/>
  </w:num>
  <w:num w:numId="6">
    <w:abstractNumId w:val="10"/>
  </w:num>
  <w:num w:numId="7">
    <w:abstractNumId w:val="6"/>
  </w:num>
  <w:num w:numId="8">
    <w:abstractNumId w:val="14"/>
  </w:num>
  <w:num w:numId="9">
    <w:abstractNumId w:val="12"/>
  </w:num>
  <w:num w:numId="10">
    <w:abstractNumId w:val="3"/>
  </w:num>
  <w:num w:numId="11">
    <w:abstractNumId w:val="7"/>
  </w:num>
  <w:num w:numId="12">
    <w:abstractNumId w:val="13"/>
  </w:num>
  <w:num w:numId="13">
    <w:abstractNumId w:val="8"/>
  </w:num>
  <w:num w:numId="14">
    <w:abstractNumId w:val="9"/>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5471"/>
    <w:rsid w:val="00024B4B"/>
    <w:rsid w:val="00033A56"/>
    <w:rsid w:val="00042983"/>
    <w:rsid w:val="000449ED"/>
    <w:rsid w:val="00056B64"/>
    <w:rsid w:val="00063E66"/>
    <w:rsid w:val="00064D17"/>
    <w:rsid w:val="00064E35"/>
    <w:rsid w:val="000775AB"/>
    <w:rsid w:val="0008189F"/>
    <w:rsid w:val="0008236C"/>
    <w:rsid w:val="0008464B"/>
    <w:rsid w:val="000A4984"/>
    <w:rsid w:val="000A4B9C"/>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1FBF"/>
    <w:rsid w:val="002066F7"/>
    <w:rsid w:val="002201A0"/>
    <w:rsid w:val="0022765B"/>
    <w:rsid w:val="00242EBC"/>
    <w:rsid w:val="00253B0A"/>
    <w:rsid w:val="002604A2"/>
    <w:rsid w:val="00272249"/>
    <w:rsid w:val="00277CA5"/>
    <w:rsid w:val="002979E2"/>
    <w:rsid w:val="002D4079"/>
    <w:rsid w:val="002E797B"/>
    <w:rsid w:val="00316B02"/>
    <w:rsid w:val="00316BB6"/>
    <w:rsid w:val="00325DC2"/>
    <w:rsid w:val="003334F5"/>
    <w:rsid w:val="00385428"/>
    <w:rsid w:val="00386AE3"/>
    <w:rsid w:val="00387CFF"/>
    <w:rsid w:val="003A6ECB"/>
    <w:rsid w:val="003B661F"/>
    <w:rsid w:val="003D4881"/>
    <w:rsid w:val="003F667D"/>
    <w:rsid w:val="0040085C"/>
    <w:rsid w:val="004233C2"/>
    <w:rsid w:val="004250E2"/>
    <w:rsid w:val="004331DE"/>
    <w:rsid w:val="00436ACC"/>
    <w:rsid w:val="00444E56"/>
    <w:rsid w:val="0048443E"/>
    <w:rsid w:val="00491E38"/>
    <w:rsid w:val="004A239A"/>
    <w:rsid w:val="004E01FE"/>
    <w:rsid w:val="004E4E2A"/>
    <w:rsid w:val="004E58EF"/>
    <w:rsid w:val="004E6C36"/>
    <w:rsid w:val="004E7B75"/>
    <w:rsid w:val="00505475"/>
    <w:rsid w:val="005118C1"/>
    <w:rsid w:val="00513678"/>
    <w:rsid w:val="00530C47"/>
    <w:rsid w:val="00531C13"/>
    <w:rsid w:val="005434B3"/>
    <w:rsid w:val="005506B5"/>
    <w:rsid w:val="0056607C"/>
    <w:rsid w:val="005A2184"/>
    <w:rsid w:val="005A5AA3"/>
    <w:rsid w:val="005A6312"/>
    <w:rsid w:val="005C42C2"/>
    <w:rsid w:val="005E01CF"/>
    <w:rsid w:val="005E0FD6"/>
    <w:rsid w:val="005F2907"/>
    <w:rsid w:val="00601211"/>
    <w:rsid w:val="00610597"/>
    <w:rsid w:val="0062578E"/>
    <w:rsid w:val="006409BE"/>
    <w:rsid w:val="0065484A"/>
    <w:rsid w:val="00660816"/>
    <w:rsid w:val="0066618D"/>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7256"/>
    <w:rsid w:val="007B138F"/>
    <w:rsid w:val="007B6362"/>
    <w:rsid w:val="007C2B1E"/>
    <w:rsid w:val="007C4AB1"/>
    <w:rsid w:val="007C4B30"/>
    <w:rsid w:val="007C6067"/>
    <w:rsid w:val="007D1416"/>
    <w:rsid w:val="007D6B19"/>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130D"/>
    <w:rsid w:val="008F28D1"/>
    <w:rsid w:val="008F2A77"/>
    <w:rsid w:val="00924306"/>
    <w:rsid w:val="00931E43"/>
    <w:rsid w:val="00934FE5"/>
    <w:rsid w:val="00943555"/>
    <w:rsid w:val="00951084"/>
    <w:rsid w:val="009564BB"/>
    <w:rsid w:val="00956C9D"/>
    <w:rsid w:val="0097048F"/>
    <w:rsid w:val="00987415"/>
    <w:rsid w:val="009A0C7D"/>
    <w:rsid w:val="009A3B6F"/>
    <w:rsid w:val="009A5C81"/>
    <w:rsid w:val="009F5500"/>
    <w:rsid w:val="00A11E33"/>
    <w:rsid w:val="00A34258"/>
    <w:rsid w:val="00A558E5"/>
    <w:rsid w:val="00A57D46"/>
    <w:rsid w:val="00A613C8"/>
    <w:rsid w:val="00A74D16"/>
    <w:rsid w:val="00A7559A"/>
    <w:rsid w:val="00AB323E"/>
    <w:rsid w:val="00AC57B3"/>
    <w:rsid w:val="00AD20AB"/>
    <w:rsid w:val="00AD6673"/>
    <w:rsid w:val="00AF7D42"/>
    <w:rsid w:val="00B02EC1"/>
    <w:rsid w:val="00B06FB6"/>
    <w:rsid w:val="00B14159"/>
    <w:rsid w:val="00B21433"/>
    <w:rsid w:val="00B37DBC"/>
    <w:rsid w:val="00B4309E"/>
    <w:rsid w:val="00B4442F"/>
    <w:rsid w:val="00B474E8"/>
    <w:rsid w:val="00B50C30"/>
    <w:rsid w:val="00B92345"/>
    <w:rsid w:val="00B94E72"/>
    <w:rsid w:val="00BA09C8"/>
    <w:rsid w:val="00BA0A8F"/>
    <w:rsid w:val="00BA1EF7"/>
    <w:rsid w:val="00BA3AA5"/>
    <w:rsid w:val="00BB1AC7"/>
    <w:rsid w:val="00BB2852"/>
    <w:rsid w:val="00BB4B91"/>
    <w:rsid w:val="00BD0312"/>
    <w:rsid w:val="00BD6702"/>
    <w:rsid w:val="00BE2DF7"/>
    <w:rsid w:val="00BE7065"/>
    <w:rsid w:val="00BE736E"/>
    <w:rsid w:val="00C062FD"/>
    <w:rsid w:val="00C06D3E"/>
    <w:rsid w:val="00C135F1"/>
    <w:rsid w:val="00C14864"/>
    <w:rsid w:val="00C15516"/>
    <w:rsid w:val="00C217C0"/>
    <w:rsid w:val="00C33B79"/>
    <w:rsid w:val="00C37DCC"/>
    <w:rsid w:val="00C50F72"/>
    <w:rsid w:val="00C7508B"/>
    <w:rsid w:val="00C76B96"/>
    <w:rsid w:val="00C77CC5"/>
    <w:rsid w:val="00C90649"/>
    <w:rsid w:val="00CC6E52"/>
    <w:rsid w:val="00CC6FD9"/>
    <w:rsid w:val="00CD16CC"/>
    <w:rsid w:val="00CE03F0"/>
    <w:rsid w:val="00CF751F"/>
    <w:rsid w:val="00D07800"/>
    <w:rsid w:val="00D13800"/>
    <w:rsid w:val="00D22ADD"/>
    <w:rsid w:val="00D2368C"/>
    <w:rsid w:val="00D3581F"/>
    <w:rsid w:val="00D82183"/>
    <w:rsid w:val="00D87B11"/>
    <w:rsid w:val="00D91728"/>
    <w:rsid w:val="00D96AC5"/>
    <w:rsid w:val="00DA3E79"/>
    <w:rsid w:val="00DC2B11"/>
    <w:rsid w:val="00DC68E0"/>
    <w:rsid w:val="00DE1B4A"/>
    <w:rsid w:val="00DE27ED"/>
    <w:rsid w:val="00DE5BE8"/>
    <w:rsid w:val="00E05CBD"/>
    <w:rsid w:val="00E153DD"/>
    <w:rsid w:val="00E15ACF"/>
    <w:rsid w:val="00E1691E"/>
    <w:rsid w:val="00E17D83"/>
    <w:rsid w:val="00E25021"/>
    <w:rsid w:val="00E25A90"/>
    <w:rsid w:val="00E57D8F"/>
    <w:rsid w:val="00E703B1"/>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41BB2"/>
    <w:rsid w:val="00F44FD3"/>
    <w:rsid w:val="00F508F9"/>
    <w:rsid w:val="00F560C3"/>
    <w:rsid w:val="00F621EA"/>
    <w:rsid w:val="00F64F4E"/>
    <w:rsid w:val="00F70226"/>
    <w:rsid w:val="00F84795"/>
    <w:rsid w:val="00F90DA8"/>
    <w:rsid w:val="00F91B09"/>
    <w:rsid w:val="00F935C3"/>
    <w:rsid w:val="00F95B8C"/>
    <w:rsid w:val="00F97DB4"/>
    <w:rsid w:val="00FB2B2E"/>
    <w:rsid w:val="00FB3B46"/>
    <w:rsid w:val="00FC03F8"/>
    <w:rsid w:val="00FC2A45"/>
    <w:rsid w:val="00FC72BE"/>
    <w:rsid w:val="00FE0EE5"/>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14:docId w14:val="6DBA9C8F"/>
  <w15:docId w15:val="{7F6CDD53-AC67-40EA-AD20-0F21EF38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BBF39-DC20-4070-83FD-4A21E9A4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5</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Stanislava Stoykova</cp:lastModifiedBy>
  <cp:revision>185</cp:revision>
  <cp:lastPrinted>2023-07-03T11:08:00Z</cp:lastPrinted>
  <dcterms:created xsi:type="dcterms:W3CDTF">2016-06-03T13:02:00Z</dcterms:created>
  <dcterms:modified xsi:type="dcterms:W3CDTF">2024-10-21T12:37:00Z</dcterms:modified>
</cp:coreProperties>
</file>