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9B331" w14:textId="77777777" w:rsidR="00EC3F32" w:rsidRDefault="00EC3F32" w:rsidP="008D7649">
      <w:pPr>
        <w:spacing w:after="0" w:line="276" w:lineRule="auto"/>
        <w:rPr>
          <w:rFonts w:ascii="Times New Roman" w:hAnsi="Times New Roman" w:cs="Times New Roman"/>
          <w:b/>
          <w:color w:val="333333"/>
          <w:sz w:val="28"/>
          <w:szCs w:val="28"/>
          <w:shd w:val="clear" w:color="auto" w:fill="FFFFFF"/>
        </w:rPr>
      </w:pPr>
    </w:p>
    <w:p w14:paraId="38AB912E" w14:textId="77777777" w:rsidR="008D7649" w:rsidRPr="008D7649" w:rsidRDefault="008D7649" w:rsidP="008D7649">
      <w:pPr>
        <w:tabs>
          <w:tab w:val="center" w:pos="4536"/>
          <w:tab w:val="right" w:pos="9072"/>
        </w:tabs>
        <w:spacing w:after="0" w:line="240" w:lineRule="auto"/>
        <w:jc w:val="right"/>
        <w:rPr>
          <w:rFonts w:ascii="Times New Roman" w:eastAsia="Calibri" w:hAnsi="Times New Roman" w:cs="Times New Roman"/>
          <w:b/>
          <w:bCs/>
        </w:rPr>
      </w:pPr>
      <w:r w:rsidRPr="008D7649">
        <w:rPr>
          <w:rFonts w:ascii="Times New Roman" w:eastAsia="Calibri" w:hAnsi="Times New Roman" w:cs="Times New Roman"/>
          <w:b/>
          <w:bCs/>
        </w:rPr>
        <w:t>Приложение № 6</w:t>
      </w:r>
    </w:p>
    <w:p w14:paraId="28ED6303" w14:textId="77777777" w:rsidR="008D7649" w:rsidRPr="008D7649" w:rsidRDefault="008D7649" w:rsidP="008D7649">
      <w:pPr>
        <w:spacing w:after="0" w:line="240" w:lineRule="auto"/>
        <w:rPr>
          <w:rFonts w:ascii="Times New Roman" w:eastAsia="Calibri" w:hAnsi="Times New Roman" w:cs="Times New Roman"/>
          <w:b/>
          <w:bCs/>
          <w:snapToGrid w:val="0"/>
          <w:kern w:val="28"/>
        </w:rPr>
      </w:pPr>
    </w:p>
    <w:p w14:paraId="35FC20A3" w14:textId="77777777" w:rsidR="008D7649" w:rsidRPr="008D7649" w:rsidRDefault="008D7649" w:rsidP="008D7649">
      <w:pPr>
        <w:spacing w:after="0" w:line="240" w:lineRule="auto"/>
        <w:rPr>
          <w:rFonts w:ascii="Times New Roman" w:eastAsia="Calibri" w:hAnsi="Times New Roman" w:cs="Times New Roman"/>
          <w:b/>
          <w:bCs/>
          <w:snapToGrid w:val="0"/>
          <w:kern w:val="28"/>
        </w:rPr>
      </w:pPr>
      <w:r w:rsidRPr="008D7649">
        <w:rPr>
          <w:rFonts w:ascii="Times New Roman" w:eastAsia="Calibri" w:hAnsi="Times New Roman" w:cs="Times New Roman"/>
          <w:b/>
          <w:bCs/>
          <w:snapToGrid w:val="0"/>
          <w:kern w:val="28"/>
          <w:lang w:val="en-US"/>
        </w:rPr>
        <w:t xml:space="preserve">I. </w:t>
      </w:r>
      <w:r w:rsidRPr="008D7649">
        <w:rPr>
          <w:rFonts w:ascii="Times New Roman" w:eastAsia="Calibri" w:hAnsi="Times New Roman" w:cs="Times New Roman"/>
          <w:b/>
          <w:bCs/>
          <w:snapToGrid w:val="0"/>
          <w:kern w:val="28"/>
        </w:rPr>
        <w:t>ИЗПОЛЗВАНИ СЪКРАЩЕНИЯ</w:t>
      </w:r>
    </w:p>
    <w:p w14:paraId="247CF00C" w14:textId="77777777" w:rsidR="008D7649" w:rsidRPr="008D7649" w:rsidRDefault="008D7649" w:rsidP="008D7649">
      <w:pPr>
        <w:spacing w:after="0" w:line="240" w:lineRule="auto"/>
        <w:rPr>
          <w:rFonts w:ascii="Times New Roman" w:eastAsia="Calibri" w:hAnsi="Times New Roman" w:cs="Times New Roman"/>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7640"/>
      </w:tblGrid>
      <w:tr w:rsidR="008D7649" w:rsidRPr="008D7649" w14:paraId="45704735" w14:textId="77777777" w:rsidTr="00F77353">
        <w:trPr>
          <w:jc w:val="center"/>
        </w:trPr>
        <w:tc>
          <w:tcPr>
            <w:tcW w:w="1124" w:type="pct"/>
            <w:shd w:val="clear" w:color="auto" w:fill="D9D9D9"/>
          </w:tcPr>
          <w:p w14:paraId="6811C63D"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ВЕИ</w:t>
            </w:r>
          </w:p>
        </w:tc>
        <w:tc>
          <w:tcPr>
            <w:tcW w:w="3876" w:type="pct"/>
            <w:shd w:val="clear" w:color="auto" w:fill="F3F3F3"/>
          </w:tcPr>
          <w:p w14:paraId="0CEEEFC0"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proofErr w:type="spellStart"/>
            <w:r w:rsidRPr="008D7649">
              <w:rPr>
                <w:rFonts w:ascii="Times New Roman" w:eastAsia="Calibri" w:hAnsi="Times New Roman" w:cs="Times New Roman"/>
                <w:b/>
                <w:bCs/>
                <w:snapToGrid w:val="0"/>
              </w:rPr>
              <w:t>Възобновяеми</w:t>
            </w:r>
            <w:proofErr w:type="spellEnd"/>
            <w:r w:rsidRPr="008D7649">
              <w:rPr>
                <w:rFonts w:ascii="Times New Roman" w:eastAsia="Calibri" w:hAnsi="Times New Roman" w:cs="Times New Roman"/>
                <w:b/>
                <w:bCs/>
                <w:snapToGrid w:val="0"/>
              </w:rPr>
              <w:t xml:space="preserve"> енергийни източници</w:t>
            </w:r>
          </w:p>
        </w:tc>
      </w:tr>
      <w:tr w:rsidR="008D7649" w:rsidRPr="008D7649" w14:paraId="1BC10B4D" w14:textId="77777777" w:rsidTr="00F77353">
        <w:trPr>
          <w:jc w:val="center"/>
        </w:trPr>
        <w:tc>
          <w:tcPr>
            <w:tcW w:w="1124" w:type="pct"/>
            <w:shd w:val="clear" w:color="auto" w:fill="D9D9D9"/>
          </w:tcPr>
          <w:p w14:paraId="7F68876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ДДС</w:t>
            </w:r>
          </w:p>
        </w:tc>
        <w:tc>
          <w:tcPr>
            <w:tcW w:w="3876" w:type="pct"/>
            <w:shd w:val="clear" w:color="auto" w:fill="F3F3F3"/>
          </w:tcPr>
          <w:p w14:paraId="681F81BD"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Данък добавена стойност</w:t>
            </w:r>
          </w:p>
        </w:tc>
      </w:tr>
      <w:tr w:rsidR="008D7649" w:rsidRPr="008D7649" w14:paraId="5405EFF7" w14:textId="77777777" w:rsidTr="00F77353">
        <w:trPr>
          <w:jc w:val="center"/>
        </w:trPr>
        <w:tc>
          <w:tcPr>
            <w:tcW w:w="1124" w:type="pct"/>
            <w:shd w:val="clear" w:color="auto" w:fill="D9D9D9"/>
          </w:tcPr>
          <w:p w14:paraId="57DB421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ДМА</w:t>
            </w:r>
          </w:p>
        </w:tc>
        <w:tc>
          <w:tcPr>
            <w:tcW w:w="3876" w:type="pct"/>
            <w:shd w:val="clear" w:color="auto" w:fill="F3F3F3"/>
          </w:tcPr>
          <w:p w14:paraId="11826FC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Дълготрайни материални активи</w:t>
            </w:r>
          </w:p>
        </w:tc>
      </w:tr>
      <w:tr w:rsidR="008D7649" w:rsidRPr="008D7649" w14:paraId="32D6F975" w14:textId="77777777" w:rsidTr="00F77353">
        <w:trPr>
          <w:trHeight w:val="463"/>
          <w:jc w:val="center"/>
        </w:trPr>
        <w:tc>
          <w:tcPr>
            <w:tcW w:w="1124" w:type="pct"/>
            <w:shd w:val="clear" w:color="auto" w:fill="D9D9D9"/>
          </w:tcPr>
          <w:p w14:paraId="02D3C10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lang w:val="en-US"/>
              </w:rPr>
            </w:pPr>
            <w:r w:rsidRPr="008D7649">
              <w:rPr>
                <w:rFonts w:ascii="Times New Roman" w:eastAsia="Calibri" w:hAnsi="Times New Roman" w:cs="Times New Roman"/>
                <w:b/>
                <w:bCs/>
                <w:snapToGrid w:val="0"/>
              </w:rPr>
              <w:t>ДНА</w:t>
            </w:r>
          </w:p>
        </w:tc>
        <w:tc>
          <w:tcPr>
            <w:tcW w:w="3876" w:type="pct"/>
            <w:shd w:val="clear" w:color="auto" w:fill="F3F3F3"/>
          </w:tcPr>
          <w:p w14:paraId="10A20643"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lang w:val="en-US"/>
              </w:rPr>
            </w:pPr>
            <w:r w:rsidRPr="008D7649">
              <w:rPr>
                <w:rFonts w:ascii="Times New Roman" w:eastAsia="Calibri" w:hAnsi="Times New Roman" w:cs="Times New Roman"/>
                <w:b/>
                <w:bCs/>
                <w:snapToGrid w:val="0"/>
              </w:rPr>
              <w:t>Дълготрайни нематериални активи</w:t>
            </w:r>
          </w:p>
        </w:tc>
      </w:tr>
      <w:tr w:rsidR="008D7649" w:rsidRPr="008D7649" w14:paraId="7C90202A" w14:textId="77777777" w:rsidTr="00F77353">
        <w:trPr>
          <w:jc w:val="center"/>
        </w:trPr>
        <w:tc>
          <w:tcPr>
            <w:tcW w:w="1124" w:type="pct"/>
            <w:shd w:val="clear" w:color="auto" w:fill="D9D9D9"/>
          </w:tcPr>
          <w:p w14:paraId="7C2CC20F" w14:textId="77777777" w:rsidR="008D7649" w:rsidRPr="008D7649" w:rsidDel="00C47DC3"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ДФЗ</w:t>
            </w:r>
          </w:p>
        </w:tc>
        <w:tc>
          <w:tcPr>
            <w:tcW w:w="3876" w:type="pct"/>
            <w:shd w:val="clear" w:color="auto" w:fill="F3F3F3"/>
          </w:tcPr>
          <w:p w14:paraId="5C1DC15E" w14:textId="77777777" w:rsidR="008D7649" w:rsidRPr="008D7649" w:rsidDel="00C47DC3" w:rsidRDefault="008D7649" w:rsidP="008D7649">
            <w:pPr>
              <w:spacing w:before="120" w:after="0" w:line="240" w:lineRule="auto"/>
              <w:ind w:left="289" w:right="289"/>
              <w:rPr>
                <w:rFonts w:ascii="Times New Roman" w:eastAsia="Calibri" w:hAnsi="Times New Roman" w:cs="Times New Roman"/>
                <w:b/>
                <w:bCs/>
                <w:snapToGrid w:val="0"/>
              </w:rPr>
            </w:pPr>
            <w:r w:rsidRPr="008D7649">
              <w:rPr>
                <w:rFonts w:ascii="Times New Roman" w:eastAsia="Calibri" w:hAnsi="Times New Roman" w:cs="Times New Roman"/>
                <w:b/>
                <w:bCs/>
                <w:snapToGrid w:val="0"/>
              </w:rPr>
              <w:t>Държавен фонд „Земеделие”</w:t>
            </w:r>
          </w:p>
        </w:tc>
      </w:tr>
      <w:tr w:rsidR="008D7649" w:rsidRPr="008D7649" w14:paraId="2C001831" w14:textId="77777777" w:rsidTr="00F77353">
        <w:trPr>
          <w:jc w:val="center"/>
        </w:trPr>
        <w:tc>
          <w:tcPr>
            <w:tcW w:w="1124" w:type="pct"/>
            <w:shd w:val="clear" w:color="auto" w:fill="D9D9D9"/>
          </w:tcPr>
          <w:p w14:paraId="402EF67A"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ДФЗ-РА</w:t>
            </w:r>
          </w:p>
        </w:tc>
        <w:tc>
          <w:tcPr>
            <w:tcW w:w="3876" w:type="pct"/>
            <w:shd w:val="clear" w:color="auto" w:fill="F3F3F3"/>
          </w:tcPr>
          <w:p w14:paraId="64B26CAD" w14:textId="77777777" w:rsidR="008D7649" w:rsidRPr="008D7649" w:rsidRDefault="008D7649" w:rsidP="008D7649">
            <w:pPr>
              <w:spacing w:before="120" w:after="0" w:line="240" w:lineRule="auto"/>
              <w:ind w:left="289" w:right="289"/>
              <w:rPr>
                <w:rFonts w:ascii="Times New Roman" w:eastAsia="Calibri" w:hAnsi="Times New Roman" w:cs="Times New Roman"/>
                <w:b/>
                <w:bCs/>
                <w:snapToGrid w:val="0"/>
              </w:rPr>
            </w:pPr>
            <w:r w:rsidRPr="008D7649">
              <w:rPr>
                <w:rFonts w:ascii="Times New Roman" w:eastAsia="Calibri" w:hAnsi="Times New Roman" w:cs="Times New Roman"/>
                <w:b/>
                <w:bCs/>
                <w:snapToGrid w:val="0"/>
              </w:rPr>
              <w:t>Държавен фонд „Земеделие”</w:t>
            </w:r>
            <w:r w:rsidRPr="008D7649">
              <w:rPr>
                <w:rFonts w:ascii="Times New Roman" w:eastAsia="Calibri" w:hAnsi="Times New Roman" w:cs="Times New Roman"/>
                <w:b/>
                <w:bCs/>
                <w:snapToGrid w:val="0"/>
                <w:lang w:val="en-US"/>
              </w:rPr>
              <w:t xml:space="preserve"> </w:t>
            </w:r>
            <w:r w:rsidRPr="008D7649">
              <w:rPr>
                <w:rFonts w:ascii="Times New Roman" w:eastAsia="Calibri" w:hAnsi="Times New Roman" w:cs="Times New Roman"/>
                <w:b/>
                <w:bCs/>
                <w:snapToGrid w:val="0"/>
              </w:rPr>
              <w:t>-</w:t>
            </w:r>
            <w:r w:rsidRPr="008D7649">
              <w:rPr>
                <w:rFonts w:ascii="Times New Roman" w:eastAsia="Calibri" w:hAnsi="Times New Roman" w:cs="Times New Roman"/>
                <w:b/>
                <w:bCs/>
                <w:snapToGrid w:val="0"/>
                <w:lang w:val="en-US"/>
              </w:rPr>
              <w:t xml:space="preserve"> </w:t>
            </w:r>
            <w:r w:rsidRPr="008D7649">
              <w:rPr>
                <w:rFonts w:ascii="Times New Roman" w:eastAsia="Calibri" w:hAnsi="Times New Roman" w:cs="Times New Roman"/>
                <w:b/>
                <w:bCs/>
                <w:snapToGrid w:val="0"/>
              </w:rPr>
              <w:t>Разплащателна агенция</w:t>
            </w:r>
          </w:p>
        </w:tc>
      </w:tr>
      <w:tr w:rsidR="008D7649" w:rsidRPr="008D7649" w14:paraId="5DE4B33B" w14:textId="77777777" w:rsidTr="00F77353">
        <w:trPr>
          <w:jc w:val="center"/>
        </w:trPr>
        <w:tc>
          <w:tcPr>
            <w:tcW w:w="1124" w:type="pct"/>
            <w:shd w:val="clear" w:color="auto" w:fill="D9D9D9"/>
          </w:tcPr>
          <w:p w14:paraId="1AACE67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ДОПК</w:t>
            </w:r>
          </w:p>
        </w:tc>
        <w:tc>
          <w:tcPr>
            <w:tcW w:w="3876" w:type="pct"/>
            <w:shd w:val="clear" w:color="auto" w:fill="F3F3F3"/>
          </w:tcPr>
          <w:p w14:paraId="76134FAE" w14:textId="77777777" w:rsidR="008D7649" w:rsidRPr="008D7649" w:rsidRDefault="008D7649" w:rsidP="008D7649">
            <w:pPr>
              <w:spacing w:before="120" w:after="0" w:line="240" w:lineRule="auto"/>
              <w:ind w:left="289" w:right="289"/>
              <w:rPr>
                <w:rFonts w:ascii="Times New Roman" w:eastAsia="Calibri" w:hAnsi="Times New Roman" w:cs="Times New Roman"/>
                <w:b/>
                <w:bCs/>
                <w:snapToGrid w:val="0"/>
              </w:rPr>
            </w:pPr>
            <w:r w:rsidRPr="008D7649">
              <w:rPr>
                <w:rFonts w:ascii="Times New Roman" w:eastAsia="Calibri" w:hAnsi="Times New Roman" w:cs="Times New Roman"/>
                <w:b/>
                <w:bCs/>
                <w:snapToGrid w:val="0"/>
              </w:rPr>
              <w:t>Данъчно-осигурител</w:t>
            </w:r>
            <w:r w:rsidRPr="008D7649">
              <w:rPr>
                <w:rFonts w:ascii="Times New Roman" w:eastAsia="Calibri" w:hAnsi="Times New Roman" w:cs="Times New Roman"/>
                <w:b/>
                <w:bCs/>
                <w:snapToGrid w:val="0"/>
                <w:lang w:val="en-US"/>
              </w:rPr>
              <w:t>e</w:t>
            </w:r>
            <w:r w:rsidRPr="008D7649">
              <w:rPr>
                <w:rFonts w:ascii="Times New Roman" w:eastAsia="Calibri" w:hAnsi="Times New Roman" w:cs="Times New Roman"/>
                <w:b/>
                <w:bCs/>
                <w:snapToGrid w:val="0"/>
              </w:rPr>
              <w:t>н процесуален кодекс</w:t>
            </w:r>
          </w:p>
        </w:tc>
      </w:tr>
      <w:tr w:rsidR="008D7649" w:rsidRPr="008D7649" w14:paraId="09FC21A8" w14:textId="77777777" w:rsidTr="00F77353">
        <w:trPr>
          <w:jc w:val="center"/>
        </w:trPr>
        <w:tc>
          <w:tcPr>
            <w:tcW w:w="1124" w:type="pct"/>
            <w:shd w:val="clear" w:color="auto" w:fill="D9D9D9"/>
          </w:tcPr>
          <w:p w14:paraId="29BCC35D"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ЕК</w:t>
            </w:r>
          </w:p>
        </w:tc>
        <w:tc>
          <w:tcPr>
            <w:tcW w:w="3876" w:type="pct"/>
            <w:shd w:val="clear" w:color="auto" w:fill="F3F3F3"/>
          </w:tcPr>
          <w:p w14:paraId="499F93F6"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Европейска комисия</w:t>
            </w:r>
          </w:p>
        </w:tc>
      </w:tr>
      <w:tr w:rsidR="008D7649" w:rsidRPr="008D7649" w14:paraId="7918A3F6" w14:textId="77777777" w:rsidTr="00F77353">
        <w:trPr>
          <w:jc w:val="center"/>
        </w:trPr>
        <w:tc>
          <w:tcPr>
            <w:tcW w:w="1124" w:type="pct"/>
            <w:shd w:val="clear" w:color="auto" w:fill="D9D9D9"/>
          </w:tcPr>
          <w:p w14:paraId="28A3E2FA"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ЕО</w:t>
            </w:r>
          </w:p>
        </w:tc>
        <w:tc>
          <w:tcPr>
            <w:tcW w:w="3876" w:type="pct"/>
            <w:shd w:val="clear" w:color="auto" w:fill="F3F3F3"/>
          </w:tcPr>
          <w:p w14:paraId="32476C75"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Европейска общност</w:t>
            </w:r>
          </w:p>
        </w:tc>
      </w:tr>
      <w:tr w:rsidR="008D7649" w:rsidRPr="008D7649" w14:paraId="09437267" w14:textId="77777777" w:rsidTr="00F77353">
        <w:trPr>
          <w:jc w:val="center"/>
        </w:trPr>
        <w:tc>
          <w:tcPr>
            <w:tcW w:w="1124" w:type="pct"/>
            <w:shd w:val="clear" w:color="auto" w:fill="D9D9D9"/>
          </w:tcPr>
          <w:p w14:paraId="4156FDF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ЕС</w:t>
            </w:r>
          </w:p>
        </w:tc>
        <w:tc>
          <w:tcPr>
            <w:tcW w:w="3876" w:type="pct"/>
            <w:shd w:val="clear" w:color="auto" w:fill="F3F3F3"/>
          </w:tcPr>
          <w:p w14:paraId="4158DDD8"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Европейски съюз</w:t>
            </w:r>
          </w:p>
        </w:tc>
      </w:tr>
      <w:tr w:rsidR="008D7649" w:rsidRPr="008D7649" w14:paraId="794F21F0" w14:textId="77777777" w:rsidTr="00F77353">
        <w:trPr>
          <w:jc w:val="center"/>
        </w:trPr>
        <w:tc>
          <w:tcPr>
            <w:tcW w:w="1124" w:type="pct"/>
            <w:shd w:val="clear" w:color="auto" w:fill="D9D9D9"/>
          </w:tcPr>
          <w:p w14:paraId="7B887F1B"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ЕФСУ</w:t>
            </w:r>
          </w:p>
        </w:tc>
        <w:tc>
          <w:tcPr>
            <w:tcW w:w="3876" w:type="pct"/>
            <w:shd w:val="clear" w:color="auto" w:fill="F3F3F3"/>
          </w:tcPr>
          <w:p w14:paraId="3E8116A9"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Европейските фондове при споделено управление</w:t>
            </w:r>
          </w:p>
        </w:tc>
      </w:tr>
      <w:tr w:rsidR="008D7649" w:rsidRPr="008D7649" w14:paraId="6802DA71" w14:textId="77777777" w:rsidTr="00F77353">
        <w:trPr>
          <w:jc w:val="center"/>
        </w:trPr>
        <w:tc>
          <w:tcPr>
            <w:tcW w:w="1124" w:type="pct"/>
            <w:shd w:val="clear" w:color="auto" w:fill="D9D9D9"/>
          </w:tcPr>
          <w:p w14:paraId="6BD5FE8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ЕФМДР</w:t>
            </w:r>
          </w:p>
        </w:tc>
        <w:tc>
          <w:tcPr>
            <w:tcW w:w="3876" w:type="pct"/>
            <w:shd w:val="clear" w:color="auto" w:fill="F3F3F3"/>
          </w:tcPr>
          <w:p w14:paraId="0B9180B2"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Европейски фонд за морско дело и рибарство</w:t>
            </w:r>
          </w:p>
        </w:tc>
      </w:tr>
      <w:tr w:rsidR="008D7649" w:rsidRPr="008D7649" w14:paraId="105BECE5" w14:textId="77777777" w:rsidTr="00F77353">
        <w:trPr>
          <w:trHeight w:val="418"/>
          <w:jc w:val="center"/>
        </w:trPr>
        <w:tc>
          <w:tcPr>
            <w:tcW w:w="1124" w:type="pct"/>
            <w:shd w:val="clear" w:color="auto" w:fill="D9D9D9"/>
          </w:tcPr>
          <w:p w14:paraId="50832094"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ЗЗД</w:t>
            </w:r>
          </w:p>
        </w:tc>
        <w:tc>
          <w:tcPr>
            <w:tcW w:w="3876" w:type="pct"/>
            <w:shd w:val="clear" w:color="auto" w:fill="F3F3F3"/>
          </w:tcPr>
          <w:p w14:paraId="5185AD73"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 за задълженията и договорите</w:t>
            </w:r>
          </w:p>
        </w:tc>
      </w:tr>
      <w:tr w:rsidR="008D7649" w:rsidRPr="008D7649" w14:paraId="42C32006" w14:textId="77777777" w:rsidTr="00F77353">
        <w:trPr>
          <w:jc w:val="center"/>
        </w:trPr>
        <w:tc>
          <w:tcPr>
            <w:tcW w:w="1124" w:type="pct"/>
            <w:shd w:val="clear" w:color="auto" w:fill="D9D9D9"/>
          </w:tcPr>
          <w:p w14:paraId="319BD80C"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ЗКПО</w:t>
            </w:r>
          </w:p>
        </w:tc>
        <w:tc>
          <w:tcPr>
            <w:tcW w:w="3876" w:type="pct"/>
            <w:shd w:val="clear" w:color="auto" w:fill="F3F3F3"/>
          </w:tcPr>
          <w:p w14:paraId="42BC0972"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 за корпоративното подоходно облагане</w:t>
            </w:r>
          </w:p>
        </w:tc>
      </w:tr>
      <w:tr w:rsidR="008D7649" w:rsidRPr="008D7649" w14:paraId="47E6721F" w14:textId="77777777" w:rsidTr="00F77353">
        <w:trPr>
          <w:jc w:val="center"/>
        </w:trPr>
        <w:tc>
          <w:tcPr>
            <w:tcW w:w="1124" w:type="pct"/>
            <w:shd w:val="clear" w:color="auto" w:fill="D9D9D9"/>
          </w:tcPr>
          <w:p w14:paraId="52B05634"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ЗМСП</w:t>
            </w:r>
          </w:p>
        </w:tc>
        <w:tc>
          <w:tcPr>
            <w:tcW w:w="3876" w:type="pct"/>
            <w:shd w:val="clear" w:color="auto" w:fill="F3F3F3"/>
          </w:tcPr>
          <w:p w14:paraId="51E7E26E"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 за малките и средните предприятия</w:t>
            </w:r>
          </w:p>
        </w:tc>
      </w:tr>
      <w:tr w:rsidR="008D7649" w:rsidRPr="008D7649" w14:paraId="6D3A48E3" w14:textId="77777777" w:rsidTr="00F77353">
        <w:trPr>
          <w:jc w:val="center"/>
        </w:trPr>
        <w:tc>
          <w:tcPr>
            <w:tcW w:w="1124" w:type="pct"/>
            <w:shd w:val="clear" w:color="auto" w:fill="D9D9D9"/>
          </w:tcPr>
          <w:p w14:paraId="6EB4F922"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ЗОП</w:t>
            </w:r>
          </w:p>
        </w:tc>
        <w:tc>
          <w:tcPr>
            <w:tcW w:w="3876" w:type="pct"/>
            <w:shd w:val="clear" w:color="auto" w:fill="F3F3F3"/>
          </w:tcPr>
          <w:p w14:paraId="2FC6807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 за обществените поръчки</w:t>
            </w:r>
          </w:p>
        </w:tc>
      </w:tr>
      <w:tr w:rsidR="008D7649" w:rsidRPr="008D7649" w14:paraId="453487DF" w14:textId="77777777" w:rsidTr="00F77353">
        <w:trPr>
          <w:jc w:val="center"/>
        </w:trPr>
        <w:tc>
          <w:tcPr>
            <w:tcW w:w="1124" w:type="pct"/>
            <w:shd w:val="clear" w:color="auto" w:fill="D9D9D9"/>
          </w:tcPr>
          <w:p w14:paraId="700B247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ЗТРРЮЛНЦ</w:t>
            </w:r>
          </w:p>
        </w:tc>
        <w:tc>
          <w:tcPr>
            <w:tcW w:w="3876" w:type="pct"/>
            <w:shd w:val="clear" w:color="auto" w:fill="F3F3F3"/>
          </w:tcPr>
          <w:p w14:paraId="76841C09" w14:textId="77777777" w:rsidR="008D7649" w:rsidRPr="008D7649" w:rsidRDefault="008D7649" w:rsidP="008D7649">
            <w:pPr>
              <w:spacing w:before="120" w:after="0" w:line="240" w:lineRule="auto"/>
              <w:ind w:left="289" w:right="289"/>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 за търговския регистър и регистъра на юридическите лица с нестопанска цел</w:t>
            </w:r>
          </w:p>
        </w:tc>
      </w:tr>
      <w:tr w:rsidR="008D7649" w:rsidRPr="008D7649" w14:paraId="3F05CF58" w14:textId="77777777" w:rsidTr="00F77353">
        <w:trPr>
          <w:trHeight w:val="695"/>
          <w:jc w:val="center"/>
        </w:trPr>
        <w:tc>
          <w:tcPr>
            <w:tcW w:w="1124" w:type="pct"/>
            <w:shd w:val="clear" w:color="auto" w:fill="D9D9D9"/>
          </w:tcPr>
          <w:p w14:paraId="0B4D4092"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ЗУСЕФСУ</w:t>
            </w:r>
          </w:p>
        </w:tc>
        <w:tc>
          <w:tcPr>
            <w:tcW w:w="3876" w:type="pct"/>
            <w:shd w:val="clear" w:color="auto" w:fill="F3F3F3"/>
          </w:tcPr>
          <w:p w14:paraId="2DB2CA40" w14:textId="77777777" w:rsidR="008D7649" w:rsidRPr="008D7649" w:rsidRDefault="008D7649" w:rsidP="008D7649">
            <w:pPr>
              <w:spacing w:before="120" w:after="0" w:line="240" w:lineRule="auto"/>
              <w:ind w:left="289" w:right="289"/>
              <w:rPr>
                <w:rFonts w:ascii="Times New Roman" w:eastAsia="Calibri" w:hAnsi="Times New Roman" w:cs="Times New Roman"/>
                <w:b/>
                <w:bCs/>
                <w:snapToGrid w:val="0"/>
              </w:rPr>
            </w:pPr>
            <w:r w:rsidRPr="008D7649">
              <w:rPr>
                <w:rFonts w:ascii="Times New Roman" w:eastAsia="Calibri" w:hAnsi="Times New Roman" w:cs="Times New Roman"/>
                <w:b/>
                <w:bCs/>
                <w:snapToGrid w:val="0"/>
              </w:rPr>
              <w:t>Закона за управление на средствата от Европейските фондове при споделено управление</w:t>
            </w:r>
          </w:p>
        </w:tc>
      </w:tr>
      <w:tr w:rsidR="008D7649" w:rsidRPr="008D7649" w14:paraId="0941A8EA" w14:textId="77777777" w:rsidTr="00F77353">
        <w:trPr>
          <w:jc w:val="center"/>
        </w:trPr>
        <w:tc>
          <w:tcPr>
            <w:tcW w:w="1124" w:type="pct"/>
            <w:shd w:val="clear" w:color="auto" w:fill="D9D9D9"/>
          </w:tcPr>
          <w:p w14:paraId="5CF0317E"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ИСУН</w:t>
            </w:r>
          </w:p>
        </w:tc>
        <w:tc>
          <w:tcPr>
            <w:tcW w:w="3876" w:type="pct"/>
            <w:shd w:val="clear" w:color="auto" w:fill="F3F3F3"/>
          </w:tcPr>
          <w:p w14:paraId="05A7966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Информационна система за управление и наблюдение</w:t>
            </w:r>
          </w:p>
        </w:tc>
      </w:tr>
      <w:tr w:rsidR="008D7649" w:rsidRPr="008D7649" w14:paraId="03CCCDC6" w14:textId="77777777" w:rsidTr="00F77353">
        <w:trPr>
          <w:jc w:val="center"/>
        </w:trPr>
        <w:tc>
          <w:tcPr>
            <w:tcW w:w="1124" w:type="pct"/>
            <w:shd w:val="clear" w:color="auto" w:fill="D9D9D9"/>
          </w:tcPr>
          <w:p w14:paraId="36F9D50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ИАРА</w:t>
            </w:r>
          </w:p>
        </w:tc>
        <w:tc>
          <w:tcPr>
            <w:tcW w:w="3876" w:type="pct"/>
            <w:shd w:val="clear" w:color="auto" w:fill="F3F3F3"/>
          </w:tcPr>
          <w:p w14:paraId="296E33FA"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Изпълнителна агенция по рибарство и </w:t>
            </w:r>
            <w:proofErr w:type="spellStart"/>
            <w:r w:rsidRPr="008D7649">
              <w:rPr>
                <w:rFonts w:ascii="Times New Roman" w:eastAsia="Calibri" w:hAnsi="Times New Roman" w:cs="Times New Roman"/>
                <w:b/>
                <w:bCs/>
                <w:snapToGrid w:val="0"/>
              </w:rPr>
              <w:t>аквакултури</w:t>
            </w:r>
            <w:proofErr w:type="spellEnd"/>
          </w:p>
        </w:tc>
      </w:tr>
      <w:tr w:rsidR="008D7649" w:rsidRPr="008D7649" w14:paraId="6A9B1F22" w14:textId="77777777" w:rsidTr="00F77353">
        <w:trPr>
          <w:jc w:val="center"/>
        </w:trPr>
        <w:tc>
          <w:tcPr>
            <w:tcW w:w="1124" w:type="pct"/>
            <w:shd w:val="clear" w:color="auto" w:fill="D9D9D9"/>
          </w:tcPr>
          <w:p w14:paraId="62FED123"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КЕП</w:t>
            </w:r>
          </w:p>
        </w:tc>
        <w:tc>
          <w:tcPr>
            <w:tcW w:w="3876" w:type="pct"/>
            <w:shd w:val="clear" w:color="auto" w:fill="F3F3F3"/>
          </w:tcPr>
          <w:p w14:paraId="64AA0BF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Квалифициран електронен подпис</w:t>
            </w:r>
          </w:p>
        </w:tc>
      </w:tr>
      <w:tr w:rsidR="008D7649" w:rsidRPr="008D7649" w14:paraId="3A27535D" w14:textId="77777777" w:rsidTr="00F77353">
        <w:trPr>
          <w:jc w:val="center"/>
        </w:trPr>
        <w:tc>
          <w:tcPr>
            <w:tcW w:w="1124" w:type="pct"/>
            <w:shd w:val="clear" w:color="auto" w:fill="D9D9D9"/>
          </w:tcPr>
          <w:p w14:paraId="5C0651F6"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КН</w:t>
            </w:r>
          </w:p>
        </w:tc>
        <w:tc>
          <w:tcPr>
            <w:tcW w:w="3876" w:type="pct"/>
            <w:shd w:val="clear" w:color="auto" w:fill="F3F3F3"/>
          </w:tcPr>
          <w:p w14:paraId="798338C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Комитет за наблюдение</w:t>
            </w:r>
          </w:p>
        </w:tc>
      </w:tr>
      <w:tr w:rsidR="008D7649" w:rsidRPr="008D7649" w14:paraId="3E23F555" w14:textId="77777777" w:rsidTr="00F77353">
        <w:trPr>
          <w:trHeight w:val="370"/>
          <w:jc w:val="center"/>
        </w:trPr>
        <w:tc>
          <w:tcPr>
            <w:tcW w:w="1124" w:type="pct"/>
            <w:shd w:val="clear" w:color="auto" w:fill="D9D9D9"/>
          </w:tcPr>
          <w:p w14:paraId="11B5DB7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МЗ</w:t>
            </w:r>
          </w:p>
        </w:tc>
        <w:tc>
          <w:tcPr>
            <w:tcW w:w="3876" w:type="pct"/>
            <w:shd w:val="clear" w:color="auto" w:fill="F3F3F3"/>
          </w:tcPr>
          <w:p w14:paraId="08B26045"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Междинно звено</w:t>
            </w:r>
          </w:p>
        </w:tc>
      </w:tr>
      <w:tr w:rsidR="008D7649" w:rsidRPr="008D7649" w14:paraId="4B9B8583" w14:textId="77777777" w:rsidTr="00F77353">
        <w:trPr>
          <w:jc w:val="center"/>
        </w:trPr>
        <w:tc>
          <w:tcPr>
            <w:tcW w:w="1124" w:type="pct"/>
            <w:shd w:val="clear" w:color="auto" w:fill="D9D9D9"/>
          </w:tcPr>
          <w:p w14:paraId="0487958D" w14:textId="77777777" w:rsidR="008D7649" w:rsidRPr="008D7649" w:rsidDel="00215B67"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МЗХ</w:t>
            </w:r>
          </w:p>
        </w:tc>
        <w:tc>
          <w:tcPr>
            <w:tcW w:w="3876" w:type="pct"/>
            <w:shd w:val="clear" w:color="auto" w:fill="F3F3F3"/>
          </w:tcPr>
          <w:p w14:paraId="6080E344" w14:textId="77777777" w:rsidR="008D7649" w:rsidRPr="008D7649" w:rsidDel="00215B67"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Министерство на земеделието и храните </w:t>
            </w:r>
          </w:p>
        </w:tc>
      </w:tr>
      <w:tr w:rsidR="008D7649" w:rsidRPr="008D7649" w14:paraId="45C8F610" w14:textId="77777777" w:rsidTr="00F77353">
        <w:trPr>
          <w:jc w:val="center"/>
        </w:trPr>
        <w:tc>
          <w:tcPr>
            <w:tcW w:w="1124" w:type="pct"/>
            <w:shd w:val="clear" w:color="auto" w:fill="D9D9D9"/>
          </w:tcPr>
          <w:p w14:paraId="285DDC5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МС</w:t>
            </w:r>
          </w:p>
        </w:tc>
        <w:tc>
          <w:tcPr>
            <w:tcW w:w="3876" w:type="pct"/>
            <w:shd w:val="clear" w:color="auto" w:fill="F3F3F3"/>
          </w:tcPr>
          <w:p w14:paraId="33D9CE3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Министерски съвет</w:t>
            </w:r>
          </w:p>
        </w:tc>
      </w:tr>
      <w:tr w:rsidR="008D7649" w:rsidRPr="008D7649" w14:paraId="73C66701" w14:textId="77777777" w:rsidTr="00F77353">
        <w:trPr>
          <w:jc w:val="center"/>
        </w:trPr>
        <w:tc>
          <w:tcPr>
            <w:tcW w:w="1124" w:type="pct"/>
            <w:shd w:val="clear" w:color="auto" w:fill="D9D9D9"/>
          </w:tcPr>
          <w:p w14:paraId="499494BC"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МСП</w:t>
            </w:r>
          </w:p>
        </w:tc>
        <w:tc>
          <w:tcPr>
            <w:tcW w:w="3876" w:type="pct"/>
            <w:shd w:val="clear" w:color="auto" w:fill="F3F3F3"/>
          </w:tcPr>
          <w:p w14:paraId="641AD0BA"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Малки и средни предприятия</w:t>
            </w:r>
          </w:p>
        </w:tc>
      </w:tr>
      <w:tr w:rsidR="008D7649" w:rsidRPr="008D7649" w14:paraId="4ED23510" w14:textId="77777777" w:rsidTr="00F77353">
        <w:trPr>
          <w:jc w:val="center"/>
        </w:trPr>
        <w:tc>
          <w:tcPr>
            <w:tcW w:w="1124" w:type="pct"/>
            <w:shd w:val="clear" w:color="auto" w:fill="D9D9D9"/>
          </w:tcPr>
          <w:p w14:paraId="1D6A7FBC"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МНСПА</w:t>
            </w:r>
          </w:p>
        </w:tc>
        <w:tc>
          <w:tcPr>
            <w:tcW w:w="3876" w:type="pct"/>
            <w:shd w:val="clear" w:color="auto" w:fill="F3F3F3"/>
          </w:tcPr>
          <w:p w14:paraId="19B31834"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Многогодишен национален стратегически план за </w:t>
            </w:r>
          </w:p>
          <w:p w14:paraId="06B4529E" w14:textId="77777777" w:rsidR="008D7649" w:rsidRPr="008D7649" w:rsidRDefault="008D7649" w:rsidP="008D7649">
            <w:pPr>
              <w:spacing w:before="120" w:after="0" w:line="240" w:lineRule="auto"/>
              <w:ind w:left="288" w:right="288"/>
              <w:rPr>
                <w:rFonts w:ascii="Times New Roman" w:eastAsia="Calibri" w:hAnsi="Times New Roman" w:cs="Times New Roman"/>
                <w:snapToGrid w:val="0"/>
              </w:rPr>
            </w:pPr>
            <w:proofErr w:type="spellStart"/>
            <w:r w:rsidRPr="008D7649">
              <w:rPr>
                <w:rFonts w:ascii="Times New Roman" w:eastAsia="Calibri" w:hAnsi="Times New Roman" w:cs="Times New Roman"/>
                <w:b/>
                <w:bCs/>
                <w:snapToGrid w:val="0"/>
              </w:rPr>
              <w:t>аквакултурите</w:t>
            </w:r>
            <w:proofErr w:type="spellEnd"/>
            <w:r w:rsidRPr="008D7649">
              <w:rPr>
                <w:rFonts w:ascii="Times New Roman" w:eastAsia="Calibri" w:hAnsi="Times New Roman" w:cs="Times New Roman"/>
                <w:b/>
                <w:bCs/>
                <w:snapToGrid w:val="0"/>
              </w:rPr>
              <w:t xml:space="preserve"> в Република България 2014-2020 г.</w:t>
            </w:r>
          </w:p>
        </w:tc>
      </w:tr>
      <w:tr w:rsidR="008D7649" w:rsidRPr="008D7649" w14:paraId="28F1ADA1" w14:textId="77777777" w:rsidTr="00F77353">
        <w:trPr>
          <w:jc w:val="center"/>
        </w:trPr>
        <w:tc>
          <w:tcPr>
            <w:tcW w:w="1124" w:type="pct"/>
            <w:shd w:val="clear" w:color="auto" w:fill="D9D9D9"/>
          </w:tcPr>
          <w:p w14:paraId="714A9375"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НСИ</w:t>
            </w:r>
          </w:p>
        </w:tc>
        <w:tc>
          <w:tcPr>
            <w:tcW w:w="3876" w:type="pct"/>
            <w:shd w:val="clear" w:color="auto" w:fill="F3F3F3"/>
          </w:tcPr>
          <w:p w14:paraId="5507D7E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Национален статистически институт</w:t>
            </w:r>
          </w:p>
        </w:tc>
      </w:tr>
      <w:tr w:rsidR="008D7649" w:rsidRPr="008D7649" w14:paraId="4DE19D54" w14:textId="77777777" w:rsidTr="00F77353">
        <w:trPr>
          <w:trHeight w:val="353"/>
          <w:jc w:val="center"/>
        </w:trPr>
        <w:tc>
          <w:tcPr>
            <w:tcW w:w="1124" w:type="pct"/>
            <w:shd w:val="clear" w:color="auto" w:fill="D9D9D9"/>
          </w:tcPr>
          <w:p w14:paraId="5A9EB9A0"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lang w:val="en-US"/>
              </w:rPr>
            </w:pPr>
            <w:r w:rsidRPr="008D7649">
              <w:rPr>
                <w:rFonts w:ascii="Times New Roman" w:eastAsia="Calibri" w:hAnsi="Times New Roman" w:cs="Times New Roman"/>
                <w:b/>
                <w:bCs/>
                <w:snapToGrid w:val="0"/>
              </w:rPr>
              <w:lastRenderedPageBreak/>
              <w:t>ПМС</w:t>
            </w:r>
          </w:p>
        </w:tc>
        <w:tc>
          <w:tcPr>
            <w:tcW w:w="3876" w:type="pct"/>
            <w:shd w:val="clear" w:color="auto" w:fill="F3F3F3"/>
          </w:tcPr>
          <w:p w14:paraId="16441B8D"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lang w:val="en-US"/>
              </w:rPr>
            </w:pPr>
            <w:r w:rsidRPr="008D7649">
              <w:rPr>
                <w:rFonts w:ascii="Times New Roman" w:eastAsia="Calibri" w:hAnsi="Times New Roman" w:cs="Times New Roman"/>
                <w:b/>
                <w:bCs/>
                <w:snapToGrid w:val="0"/>
              </w:rPr>
              <w:t>Постановление на Министерски съвет</w:t>
            </w:r>
          </w:p>
        </w:tc>
      </w:tr>
      <w:tr w:rsidR="008D7649" w:rsidRPr="008D7649" w14:paraId="5BABA4DC" w14:textId="77777777" w:rsidTr="00F77353">
        <w:trPr>
          <w:jc w:val="center"/>
        </w:trPr>
        <w:tc>
          <w:tcPr>
            <w:tcW w:w="1124" w:type="pct"/>
            <w:shd w:val="clear" w:color="auto" w:fill="D9D9D9"/>
          </w:tcPr>
          <w:p w14:paraId="635D86B1"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ПМДРА</w:t>
            </w:r>
          </w:p>
        </w:tc>
        <w:tc>
          <w:tcPr>
            <w:tcW w:w="3876" w:type="pct"/>
            <w:shd w:val="clear" w:color="auto" w:fill="F3F3F3"/>
          </w:tcPr>
          <w:p w14:paraId="160512B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Програма за морско дело, рибарство и </w:t>
            </w:r>
            <w:proofErr w:type="spellStart"/>
            <w:r w:rsidRPr="008D7649">
              <w:rPr>
                <w:rFonts w:ascii="Times New Roman" w:eastAsia="Calibri" w:hAnsi="Times New Roman" w:cs="Times New Roman"/>
                <w:b/>
                <w:bCs/>
                <w:snapToGrid w:val="0"/>
              </w:rPr>
              <w:t>аквакултури</w:t>
            </w:r>
            <w:proofErr w:type="spellEnd"/>
            <w:r w:rsidRPr="008D7649">
              <w:rPr>
                <w:rFonts w:ascii="Times New Roman" w:eastAsia="Calibri" w:hAnsi="Times New Roman" w:cs="Times New Roman"/>
                <w:b/>
                <w:bCs/>
                <w:snapToGrid w:val="0"/>
              </w:rPr>
              <w:t xml:space="preserve"> 2021 - 2027</w:t>
            </w:r>
          </w:p>
        </w:tc>
      </w:tr>
      <w:tr w:rsidR="008D7649" w:rsidRPr="008D7649" w14:paraId="6DF8A798" w14:textId="77777777" w:rsidTr="00F77353">
        <w:trPr>
          <w:jc w:val="center"/>
        </w:trPr>
        <w:tc>
          <w:tcPr>
            <w:tcW w:w="1124" w:type="pct"/>
            <w:shd w:val="clear" w:color="auto" w:fill="D9D9D9"/>
          </w:tcPr>
          <w:p w14:paraId="62E07678"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СМР</w:t>
            </w:r>
          </w:p>
        </w:tc>
        <w:tc>
          <w:tcPr>
            <w:tcW w:w="3876" w:type="pct"/>
            <w:shd w:val="clear" w:color="auto" w:fill="F3F3F3"/>
          </w:tcPr>
          <w:p w14:paraId="582DBEAC"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Строително-монтажни работи</w:t>
            </w:r>
          </w:p>
        </w:tc>
      </w:tr>
      <w:tr w:rsidR="008D7649" w:rsidRPr="008D7649" w14:paraId="7076869C" w14:textId="77777777" w:rsidTr="00F77353">
        <w:trPr>
          <w:jc w:val="center"/>
        </w:trPr>
        <w:tc>
          <w:tcPr>
            <w:tcW w:w="1124" w:type="pct"/>
            <w:shd w:val="clear" w:color="auto" w:fill="D9D9D9"/>
          </w:tcPr>
          <w:p w14:paraId="77426D9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СО</w:t>
            </w:r>
          </w:p>
        </w:tc>
        <w:tc>
          <w:tcPr>
            <w:tcW w:w="3876" w:type="pct"/>
            <w:shd w:val="clear" w:color="auto" w:fill="F3F3F3"/>
          </w:tcPr>
          <w:p w14:paraId="4A747342"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Сертифициращ орган</w:t>
            </w:r>
          </w:p>
        </w:tc>
      </w:tr>
      <w:tr w:rsidR="008D7649" w:rsidRPr="008D7649" w14:paraId="33B1604A" w14:textId="77777777" w:rsidTr="00F77353">
        <w:trPr>
          <w:jc w:val="center"/>
        </w:trPr>
        <w:tc>
          <w:tcPr>
            <w:tcW w:w="1124" w:type="pct"/>
            <w:shd w:val="clear" w:color="auto" w:fill="D9D9D9"/>
          </w:tcPr>
          <w:p w14:paraId="0E17147F"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УО</w:t>
            </w:r>
          </w:p>
        </w:tc>
        <w:tc>
          <w:tcPr>
            <w:tcW w:w="3876" w:type="pct"/>
            <w:shd w:val="clear" w:color="auto" w:fill="F3F3F3"/>
          </w:tcPr>
          <w:p w14:paraId="267A0F80"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Управляващ орган</w:t>
            </w:r>
          </w:p>
        </w:tc>
      </w:tr>
      <w:tr w:rsidR="008D7649" w:rsidRPr="008D7649" w14:paraId="1718831A" w14:textId="77777777" w:rsidTr="00F77353">
        <w:trPr>
          <w:trHeight w:val="418"/>
          <w:jc w:val="center"/>
        </w:trPr>
        <w:tc>
          <w:tcPr>
            <w:tcW w:w="1124" w:type="pct"/>
            <w:shd w:val="clear" w:color="auto" w:fill="D9D9D9"/>
          </w:tcPr>
          <w:p w14:paraId="36C7D8F7"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ФК</w:t>
            </w:r>
          </w:p>
        </w:tc>
        <w:tc>
          <w:tcPr>
            <w:tcW w:w="3876" w:type="pct"/>
            <w:shd w:val="clear" w:color="auto" w:fill="F3F3F3"/>
          </w:tcPr>
          <w:p w14:paraId="2BDB4CA8" w14:textId="77777777" w:rsidR="008D7649" w:rsidRPr="008D7649" w:rsidRDefault="008D7649" w:rsidP="008D7649">
            <w:pPr>
              <w:spacing w:before="120" w:after="0" w:line="240" w:lineRule="auto"/>
              <w:ind w:left="288" w:right="288"/>
              <w:rPr>
                <w:rFonts w:ascii="Times New Roman" w:eastAsia="Calibri" w:hAnsi="Times New Roman" w:cs="Times New Roman"/>
                <w:b/>
                <w:bCs/>
                <w:snapToGrid w:val="0"/>
              </w:rPr>
            </w:pPr>
            <w:r w:rsidRPr="008D7649">
              <w:rPr>
                <w:rFonts w:ascii="Times New Roman" w:eastAsia="Calibri" w:hAnsi="Times New Roman" w:cs="Times New Roman"/>
                <w:b/>
                <w:bCs/>
                <w:snapToGrid w:val="0"/>
              </w:rPr>
              <w:t>Формуляр за кандидатстване</w:t>
            </w:r>
          </w:p>
        </w:tc>
      </w:tr>
    </w:tbl>
    <w:p w14:paraId="226A4D85" w14:textId="77777777" w:rsidR="008D7649" w:rsidRPr="008D7649" w:rsidRDefault="008D7649" w:rsidP="008D7649">
      <w:pPr>
        <w:spacing w:after="200" w:line="276" w:lineRule="auto"/>
        <w:rPr>
          <w:rFonts w:ascii="Times New Roman" w:eastAsia="Calibri" w:hAnsi="Times New Roman" w:cs="Times New Roman"/>
        </w:rPr>
      </w:pPr>
    </w:p>
    <w:p w14:paraId="632CAF52" w14:textId="77777777" w:rsidR="008D7649" w:rsidRPr="008D7649" w:rsidRDefault="008D7649" w:rsidP="008D7649">
      <w:pPr>
        <w:tabs>
          <w:tab w:val="right" w:pos="9072"/>
        </w:tabs>
        <w:spacing w:after="0" w:line="240" w:lineRule="auto"/>
        <w:rPr>
          <w:rFonts w:ascii="Times New Roman" w:eastAsia="Calibri" w:hAnsi="Times New Roman" w:cs="Times New Roman"/>
          <w:b/>
          <w:bCs/>
          <w:snapToGrid w:val="0"/>
          <w:kern w:val="28"/>
        </w:rPr>
      </w:pPr>
      <w:r w:rsidRPr="008D7649">
        <w:rPr>
          <w:rFonts w:ascii="Times New Roman" w:eastAsia="Calibri" w:hAnsi="Times New Roman" w:cs="Times New Roman"/>
          <w:b/>
          <w:bCs/>
          <w:snapToGrid w:val="0"/>
          <w:kern w:val="28"/>
          <w:lang w:val="en-US"/>
        </w:rPr>
        <w:t xml:space="preserve">II. </w:t>
      </w:r>
      <w:r w:rsidRPr="008D7649">
        <w:rPr>
          <w:rFonts w:ascii="Times New Roman" w:eastAsia="Calibri" w:hAnsi="Times New Roman" w:cs="Times New Roman"/>
          <w:b/>
          <w:bCs/>
          <w:snapToGrid w:val="0"/>
          <w:kern w:val="28"/>
        </w:rPr>
        <w:t>ОСНОВНИ ДЕФИНИЦИИ</w:t>
      </w:r>
    </w:p>
    <w:p w14:paraId="444ECBFC" w14:textId="77777777" w:rsidR="008D7649" w:rsidRPr="008D7649" w:rsidRDefault="008D7649" w:rsidP="008D7649">
      <w:pPr>
        <w:spacing w:after="0" w:line="240" w:lineRule="auto"/>
        <w:rPr>
          <w:rFonts w:ascii="Times New Roman" w:eastAsia="Calibri" w:hAnsi="Times New Roman" w:cs="Times New Roman"/>
          <w:b/>
          <w:bCs/>
          <w:snapToGrid w:val="0"/>
          <w:kern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8D7649" w:rsidRPr="008D7649" w14:paraId="690CDE88" w14:textId="77777777" w:rsidTr="00F77353">
        <w:trPr>
          <w:jc w:val="center"/>
        </w:trPr>
        <w:tc>
          <w:tcPr>
            <w:tcW w:w="2248" w:type="dxa"/>
            <w:shd w:val="clear" w:color="auto" w:fill="E6E6E6"/>
          </w:tcPr>
          <w:p w14:paraId="1DF44B4E"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Безвъзмездна финансова помощ</w:t>
            </w:r>
          </w:p>
        </w:tc>
        <w:tc>
          <w:tcPr>
            <w:tcW w:w="6932" w:type="dxa"/>
            <w:shd w:val="clear" w:color="auto" w:fill="F3F3F3"/>
          </w:tcPr>
          <w:p w14:paraId="3FF9B120"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Средства, предоставени от ПМДРА, включително съответното национално </w:t>
            </w:r>
            <w:proofErr w:type="spellStart"/>
            <w:r w:rsidRPr="008D7649">
              <w:rPr>
                <w:rFonts w:ascii="Times New Roman" w:eastAsia="Calibri" w:hAnsi="Times New Roman" w:cs="Times New Roman"/>
                <w:snapToGrid w:val="0"/>
              </w:rPr>
              <w:t>съфинансиране</w:t>
            </w:r>
            <w:proofErr w:type="spellEnd"/>
            <w:r w:rsidRPr="008D7649">
              <w:rPr>
                <w:rFonts w:ascii="Times New Roman" w:eastAsia="Calibri" w:hAnsi="Times New Roman" w:cs="Times New Roman"/>
                <w:snapToGrid w:val="0"/>
              </w:rPr>
              <w:t>, с цел изпълнението на одобрен проект, насочен към постигане на определени резултати.</w:t>
            </w:r>
          </w:p>
        </w:tc>
      </w:tr>
      <w:tr w:rsidR="008D7649" w:rsidRPr="008D7649" w14:paraId="7FA499FC" w14:textId="77777777" w:rsidTr="00F77353">
        <w:trPr>
          <w:jc w:val="center"/>
        </w:trPr>
        <w:tc>
          <w:tcPr>
            <w:tcW w:w="2248" w:type="dxa"/>
            <w:shd w:val="clear" w:color="auto" w:fill="E6E6E6"/>
          </w:tcPr>
          <w:p w14:paraId="2DC1F34E"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Административен договор за безвъзмездна финансова помощ</w:t>
            </w:r>
          </w:p>
        </w:tc>
        <w:tc>
          <w:tcPr>
            <w:tcW w:w="6932" w:type="dxa"/>
            <w:shd w:val="clear" w:color="auto" w:fill="F3F3F3"/>
          </w:tcPr>
          <w:p w14:paraId="049FC065"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 </w:t>
            </w:r>
          </w:p>
        </w:tc>
      </w:tr>
      <w:tr w:rsidR="008D7649" w:rsidRPr="008D7649" w14:paraId="5B5D9CA7" w14:textId="77777777" w:rsidTr="00F77353">
        <w:trPr>
          <w:jc w:val="center"/>
        </w:trPr>
        <w:tc>
          <w:tcPr>
            <w:tcW w:w="2248" w:type="dxa"/>
            <w:shd w:val="clear" w:color="auto" w:fill="E6E6E6"/>
          </w:tcPr>
          <w:p w14:paraId="68B45AB2"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Програма</w:t>
            </w:r>
          </w:p>
        </w:tc>
        <w:tc>
          <w:tcPr>
            <w:tcW w:w="6932" w:type="dxa"/>
            <w:shd w:val="clear" w:color="auto" w:fill="F3F3F3"/>
          </w:tcPr>
          <w:p w14:paraId="6A084C22"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П</w:t>
            </w:r>
            <w:r w:rsidRPr="008D7649">
              <w:rPr>
                <w:rFonts w:ascii="Times New Roman" w:eastAsia="Calibri" w:hAnsi="Times New Roman" w:cs="Times New Roman"/>
                <w:snapToGrid w:val="0"/>
                <w:lang w:val="ru-RU"/>
              </w:rPr>
              <w:t>рограма е отделен документ, изготвен от държавата членка и одобрен от Комисията, съдържащ съгласуван пакет от приоритет</w:t>
            </w:r>
            <w:r w:rsidRPr="008D7649">
              <w:rPr>
                <w:rFonts w:ascii="Times New Roman" w:eastAsia="Calibri" w:hAnsi="Times New Roman" w:cs="Times New Roman"/>
                <w:snapToGrid w:val="0"/>
              </w:rPr>
              <w:t>и на Съюза</w:t>
            </w:r>
            <w:r w:rsidRPr="008D7649">
              <w:rPr>
                <w:rFonts w:ascii="Times New Roman" w:eastAsia="Calibri" w:hAnsi="Times New Roman" w:cs="Times New Roman"/>
                <w:snapToGrid w:val="0"/>
                <w:lang w:val="ru-RU"/>
              </w:rPr>
              <w:t xml:space="preserve">, които да бъдат постигнати с помощта от </w:t>
            </w:r>
            <w:r w:rsidRPr="008D7649">
              <w:rPr>
                <w:rFonts w:ascii="Times New Roman" w:eastAsia="Calibri" w:hAnsi="Times New Roman" w:cs="Times New Roman"/>
                <w:snapToGrid w:val="0"/>
              </w:rPr>
              <w:t>ЕФМДРА</w:t>
            </w:r>
            <w:r w:rsidRPr="008D7649">
              <w:rPr>
                <w:rFonts w:ascii="Times New Roman" w:eastAsia="Calibri" w:hAnsi="Times New Roman" w:cs="Times New Roman"/>
                <w:snapToGrid w:val="0"/>
                <w:lang w:val="ru-RU"/>
              </w:rPr>
              <w:t>.</w:t>
            </w:r>
          </w:p>
        </w:tc>
      </w:tr>
      <w:tr w:rsidR="008D7649" w:rsidRPr="008D7649" w14:paraId="3102C1B1" w14:textId="77777777" w:rsidTr="00F77353">
        <w:trPr>
          <w:jc w:val="center"/>
        </w:trPr>
        <w:tc>
          <w:tcPr>
            <w:tcW w:w="2248" w:type="dxa"/>
            <w:shd w:val="clear" w:color="auto" w:fill="E6E6E6"/>
          </w:tcPr>
          <w:p w14:paraId="314F8684"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Приоритет на Съюза</w:t>
            </w:r>
          </w:p>
        </w:tc>
        <w:tc>
          <w:tcPr>
            <w:tcW w:w="6932" w:type="dxa"/>
            <w:shd w:val="clear" w:color="auto" w:fill="F3F3F3"/>
          </w:tcPr>
          <w:p w14:paraId="52E8333E"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Приоритет</w:t>
            </w:r>
            <w:r w:rsidRPr="008D7649">
              <w:rPr>
                <w:rFonts w:ascii="Times New Roman" w:eastAsia="Calibri" w:hAnsi="Times New Roman" w:cs="Times New Roman"/>
                <w:snapToGrid w:val="0"/>
              </w:rPr>
              <w:t xml:space="preserve"> на</w:t>
            </w:r>
            <w:r w:rsidRPr="008D7649">
              <w:rPr>
                <w:rFonts w:ascii="Times New Roman" w:eastAsia="Calibri" w:hAnsi="Times New Roman" w:cs="Times New Roman"/>
                <w:snapToGrid w:val="0"/>
                <w:lang w:val="ru-RU"/>
              </w:rPr>
              <w:t xml:space="preserve"> </w:t>
            </w:r>
            <w:r w:rsidRPr="008D7649">
              <w:rPr>
                <w:rFonts w:ascii="Times New Roman" w:eastAsia="Calibri" w:hAnsi="Times New Roman" w:cs="Times New Roman"/>
                <w:snapToGrid w:val="0"/>
              </w:rPr>
              <w:t>Съюза</w:t>
            </w:r>
            <w:r w:rsidRPr="008D7649">
              <w:rPr>
                <w:rFonts w:ascii="Times New Roman" w:eastAsia="Calibri" w:hAnsi="Times New Roman" w:cs="Times New Roman"/>
                <w:snapToGrid w:val="0"/>
                <w:lang w:val="ru-RU"/>
              </w:rPr>
              <w:t xml:space="preserve"> е един от приоритетите в дадена програма, съставен от група мерки, които са свързани и имат конкретни измерими цели.</w:t>
            </w:r>
          </w:p>
        </w:tc>
      </w:tr>
      <w:tr w:rsidR="008D7649" w:rsidRPr="008D7649" w14:paraId="519798D7" w14:textId="77777777" w:rsidTr="00F77353">
        <w:trPr>
          <w:jc w:val="center"/>
        </w:trPr>
        <w:tc>
          <w:tcPr>
            <w:tcW w:w="2248" w:type="dxa"/>
            <w:shd w:val="clear" w:color="auto" w:fill="E6E6E6"/>
          </w:tcPr>
          <w:p w14:paraId="51CD79EB"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proofErr w:type="spellStart"/>
            <w:r w:rsidRPr="008D7649">
              <w:rPr>
                <w:rFonts w:ascii="Times New Roman" w:eastAsia="Calibri" w:hAnsi="Times New Roman" w:cs="Times New Roman"/>
                <w:b/>
                <w:bCs/>
                <w:snapToGrid w:val="0"/>
                <w:lang w:val="en-US"/>
              </w:rPr>
              <w:t>Мярка</w:t>
            </w:r>
            <w:proofErr w:type="spellEnd"/>
          </w:p>
        </w:tc>
        <w:tc>
          <w:tcPr>
            <w:tcW w:w="6932" w:type="dxa"/>
            <w:shd w:val="clear" w:color="auto" w:fill="F3F3F3"/>
          </w:tcPr>
          <w:p w14:paraId="52CB054F"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 xml:space="preserve">Мярка е набор от сектори, насочени към изпълнение на даден </w:t>
            </w:r>
            <w:r w:rsidRPr="008D7649">
              <w:rPr>
                <w:rFonts w:ascii="Times New Roman" w:eastAsia="Calibri" w:hAnsi="Times New Roman" w:cs="Times New Roman"/>
                <w:snapToGrid w:val="0"/>
              </w:rPr>
              <w:t>приоритет на Съюза</w:t>
            </w:r>
          </w:p>
        </w:tc>
      </w:tr>
      <w:tr w:rsidR="008D7649" w:rsidRPr="008D7649" w14:paraId="09CA025C" w14:textId="77777777" w:rsidTr="00F77353">
        <w:trPr>
          <w:trHeight w:val="643"/>
          <w:jc w:val="center"/>
        </w:trPr>
        <w:tc>
          <w:tcPr>
            <w:tcW w:w="2248" w:type="dxa"/>
            <w:shd w:val="clear" w:color="auto" w:fill="E6E6E6"/>
          </w:tcPr>
          <w:p w14:paraId="3FCF5496"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lang w:val="en-US"/>
              </w:rPr>
            </w:pPr>
            <w:proofErr w:type="spellStart"/>
            <w:r w:rsidRPr="008D7649">
              <w:rPr>
                <w:rFonts w:ascii="Times New Roman" w:eastAsia="Calibri" w:hAnsi="Times New Roman" w:cs="Times New Roman"/>
                <w:b/>
                <w:bCs/>
                <w:snapToGrid w:val="0"/>
                <w:lang w:val="en-US"/>
              </w:rPr>
              <w:t>Сектор</w:t>
            </w:r>
            <w:proofErr w:type="spellEnd"/>
          </w:p>
        </w:tc>
        <w:tc>
          <w:tcPr>
            <w:tcW w:w="6932" w:type="dxa"/>
            <w:shd w:val="clear" w:color="auto" w:fill="F3F3F3"/>
          </w:tcPr>
          <w:p w14:paraId="0FECC83A"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lang w:val="ru-RU"/>
              </w:rPr>
            </w:pPr>
            <w:r w:rsidRPr="008D7649">
              <w:rPr>
                <w:rFonts w:ascii="Times New Roman" w:eastAsia="Calibri" w:hAnsi="Times New Roman" w:cs="Times New Roman"/>
                <w:snapToGrid w:val="0"/>
                <w:lang w:val="ru-RU"/>
              </w:rPr>
              <w:t>Сектор е набор от дейности, насочени към изпълнение на дадена мярка</w:t>
            </w:r>
          </w:p>
        </w:tc>
      </w:tr>
      <w:tr w:rsidR="008D7649" w:rsidRPr="008D7649" w14:paraId="07C63EC3" w14:textId="77777777" w:rsidTr="00F77353">
        <w:trPr>
          <w:jc w:val="center"/>
        </w:trPr>
        <w:tc>
          <w:tcPr>
            <w:tcW w:w="2248" w:type="dxa"/>
            <w:shd w:val="clear" w:color="auto" w:fill="E6E6E6"/>
          </w:tcPr>
          <w:p w14:paraId="25C93A1F"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Група предприятия</w:t>
            </w:r>
          </w:p>
        </w:tc>
        <w:tc>
          <w:tcPr>
            <w:tcW w:w="6932" w:type="dxa"/>
            <w:shd w:val="clear" w:color="auto" w:fill="F3F3F3"/>
          </w:tcPr>
          <w:p w14:paraId="33C781AB"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8D7649" w:rsidRPr="008D7649" w14:paraId="7C75ECE8" w14:textId="77777777" w:rsidTr="00F77353">
        <w:trPr>
          <w:jc w:val="center"/>
        </w:trPr>
        <w:tc>
          <w:tcPr>
            <w:tcW w:w="2248" w:type="dxa"/>
            <w:shd w:val="clear" w:color="auto" w:fill="E6E6E6"/>
          </w:tcPr>
          <w:p w14:paraId="5B6276CF"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Дата на започване на работата</w:t>
            </w:r>
          </w:p>
        </w:tc>
        <w:tc>
          <w:tcPr>
            <w:tcW w:w="6932" w:type="dxa"/>
            <w:shd w:val="clear" w:color="auto" w:fill="F3F3F3"/>
          </w:tcPr>
          <w:p w14:paraId="6B74D756"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Означава първото от следните събития: започване на строителните работи, свързани с инвестицията, или поемане на първия </w:t>
            </w:r>
            <w:proofErr w:type="spellStart"/>
            <w:r w:rsidRPr="008D7649">
              <w:rPr>
                <w:rFonts w:ascii="Times New Roman" w:eastAsia="Calibri" w:hAnsi="Times New Roman" w:cs="Times New Roman"/>
                <w:snapToGrid w:val="0"/>
              </w:rPr>
              <w:t>правнообвързващ</w:t>
            </w:r>
            <w:proofErr w:type="spellEnd"/>
            <w:r w:rsidRPr="008D7649">
              <w:rPr>
                <w:rFonts w:ascii="Times New Roman" w:eastAsia="Calibri" w:hAnsi="Times New Roman" w:cs="Times New Roman"/>
                <w:snapToGrid w:val="0"/>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8D7649" w:rsidRPr="008D7649" w14:paraId="6DC23E23" w14:textId="77777777" w:rsidTr="00F77353">
        <w:trPr>
          <w:jc w:val="center"/>
        </w:trPr>
        <w:tc>
          <w:tcPr>
            <w:tcW w:w="2248" w:type="dxa"/>
            <w:shd w:val="clear" w:color="auto" w:fill="E6E6E6"/>
          </w:tcPr>
          <w:p w14:paraId="530E8B6C"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Дейност</w:t>
            </w:r>
            <w:bookmarkStart w:id="0" w:name="_GoBack"/>
            <w:bookmarkEnd w:id="0"/>
          </w:p>
        </w:tc>
        <w:tc>
          <w:tcPr>
            <w:tcW w:w="6932" w:type="dxa"/>
            <w:shd w:val="clear" w:color="auto" w:fill="F3F3F3"/>
          </w:tcPr>
          <w:p w14:paraId="700793E9"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Задача или група от задачи (действие или група от действия), които имат (водят до постигане на) конкретен резултат (</w:t>
            </w:r>
            <w:proofErr w:type="spellStart"/>
            <w:r w:rsidRPr="008D7649">
              <w:rPr>
                <w:rFonts w:ascii="Times New Roman" w:eastAsia="Calibri" w:hAnsi="Times New Roman" w:cs="Times New Roman"/>
                <w:snapToGrid w:val="0"/>
              </w:rPr>
              <w:t>резултат</w:t>
            </w:r>
            <w:proofErr w:type="spellEnd"/>
            <w:r w:rsidRPr="008D7649">
              <w:rPr>
                <w:rFonts w:ascii="Times New Roman" w:eastAsia="Calibri" w:hAnsi="Times New Roman" w:cs="Times New Roman"/>
                <w:snapToGrid w:val="0"/>
              </w:rPr>
              <w:t>/продукт) и чрез които се реализира изпълнението на съответния проект.</w:t>
            </w:r>
          </w:p>
        </w:tc>
      </w:tr>
      <w:tr w:rsidR="008D7649" w:rsidRPr="008D7649" w14:paraId="0961D763" w14:textId="77777777" w:rsidTr="00F77353">
        <w:trPr>
          <w:jc w:val="center"/>
        </w:trPr>
        <w:tc>
          <w:tcPr>
            <w:tcW w:w="2248" w:type="dxa"/>
            <w:shd w:val="clear" w:color="auto" w:fill="E6E6E6"/>
          </w:tcPr>
          <w:p w14:paraId="4FD6C584"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Административен договор за предоставяне на безвъзмездна финансова помощ</w:t>
            </w:r>
          </w:p>
        </w:tc>
        <w:tc>
          <w:tcPr>
            <w:tcW w:w="6932" w:type="dxa"/>
            <w:shd w:val="clear" w:color="auto" w:fill="F3F3F3"/>
          </w:tcPr>
          <w:p w14:paraId="7D643C14"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w:t>
            </w:r>
            <w:proofErr w:type="spellStart"/>
            <w:r w:rsidRPr="008D7649">
              <w:rPr>
                <w:rFonts w:ascii="Times New Roman" w:eastAsia="Calibri" w:hAnsi="Times New Roman" w:cs="Times New Roman"/>
                <w:snapToGrid w:val="0"/>
              </w:rPr>
              <w:t>бенефициера</w:t>
            </w:r>
            <w:proofErr w:type="spellEnd"/>
            <w:r w:rsidRPr="008D7649">
              <w:rPr>
                <w:rFonts w:ascii="Times New Roman" w:eastAsia="Calibri" w:hAnsi="Times New Roman" w:cs="Times New Roman"/>
                <w:snapToGrid w:val="0"/>
              </w:rPr>
              <w:t xml:space="preserve"> се създават за </w:t>
            </w:r>
            <w:proofErr w:type="spellStart"/>
            <w:r w:rsidRPr="008D7649">
              <w:rPr>
                <w:rFonts w:ascii="Times New Roman" w:eastAsia="Calibri" w:hAnsi="Times New Roman" w:cs="Times New Roman"/>
                <w:snapToGrid w:val="0"/>
              </w:rPr>
              <w:t>бенефициера</w:t>
            </w:r>
            <w:proofErr w:type="spellEnd"/>
            <w:r w:rsidRPr="008D7649">
              <w:rPr>
                <w:rFonts w:ascii="Times New Roman" w:eastAsia="Calibri" w:hAnsi="Times New Roman" w:cs="Times New Roman"/>
                <w:snapToGrid w:val="0"/>
              </w:rPr>
              <w:t xml:space="preserve"> права и задължения по изпълнението на одобрения проект. Административният договор се оформя в писмено споразумение между ръководителя на </w:t>
            </w:r>
            <w:r w:rsidRPr="008D7649">
              <w:rPr>
                <w:rFonts w:ascii="Times New Roman" w:eastAsia="Calibri" w:hAnsi="Times New Roman" w:cs="Times New Roman"/>
                <w:snapToGrid w:val="0"/>
              </w:rPr>
              <w:lastRenderedPageBreak/>
              <w:t xml:space="preserve">Управляващия орган и </w:t>
            </w:r>
            <w:proofErr w:type="spellStart"/>
            <w:r w:rsidRPr="008D7649">
              <w:rPr>
                <w:rFonts w:ascii="Times New Roman" w:eastAsia="Calibri" w:hAnsi="Times New Roman" w:cs="Times New Roman"/>
                <w:snapToGrid w:val="0"/>
              </w:rPr>
              <w:t>бенефициера</w:t>
            </w:r>
            <w:proofErr w:type="spellEnd"/>
            <w:r w:rsidRPr="008D7649">
              <w:rPr>
                <w:rFonts w:ascii="Times New Roman" w:eastAsia="Calibri" w:hAnsi="Times New Roman" w:cs="Times New Roman"/>
                <w:snapToGrid w:val="0"/>
              </w:rPr>
              <w:t>, заместващо издаването на административен акт.</w:t>
            </w:r>
          </w:p>
        </w:tc>
      </w:tr>
      <w:tr w:rsidR="008D7649" w:rsidRPr="008D7649" w14:paraId="28E698F8" w14:textId="77777777" w:rsidTr="00F77353">
        <w:trPr>
          <w:jc w:val="center"/>
        </w:trPr>
        <w:tc>
          <w:tcPr>
            <w:tcW w:w="2248" w:type="dxa"/>
            <w:shd w:val="clear" w:color="auto" w:fill="E6E6E6"/>
          </w:tcPr>
          <w:p w14:paraId="099097DB"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lastRenderedPageBreak/>
              <w:t xml:space="preserve">Изпълнител, определен от страна на </w:t>
            </w:r>
            <w:proofErr w:type="spellStart"/>
            <w:r w:rsidRPr="008D7649">
              <w:rPr>
                <w:rFonts w:ascii="Times New Roman" w:eastAsia="Calibri" w:hAnsi="Times New Roman" w:cs="Times New Roman"/>
                <w:b/>
                <w:bCs/>
                <w:snapToGrid w:val="0"/>
              </w:rPr>
              <w:t>бенефициера</w:t>
            </w:r>
            <w:proofErr w:type="spellEnd"/>
            <w:r w:rsidRPr="008D7649">
              <w:rPr>
                <w:rFonts w:ascii="Times New Roman" w:eastAsia="Calibri" w:hAnsi="Times New Roman" w:cs="Times New Roman"/>
                <w:b/>
                <w:bCs/>
                <w:snapToGrid w:val="0"/>
              </w:rPr>
              <w:t xml:space="preserve"> </w:t>
            </w:r>
          </w:p>
        </w:tc>
        <w:tc>
          <w:tcPr>
            <w:tcW w:w="6932" w:type="dxa"/>
            <w:shd w:val="clear" w:color="auto" w:fill="F3F3F3"/>
          </w:tcPr>
          <w:p w14:paraId="0B1E6A74" w14:textId="78E57E1B" w:rsidR="008D7649" w:rsidRPr="008D7649" w:rsidRDefault="008D7649" w:rsidP="006F7601">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Изпълнители на дейности по проекта, възложени им от </w:t>
            </w:r>
            <w:proofErr w:type="spellStart"/>
            <w:r w:rsidRPr="008D7649">
              <w:rPr>
                <w:rFonts w:ascii="Times New Roman" w:eastAsia="Calibri" w:hAnsi="Times New Roman" w:cs="Times New Roman"/>
                <w:snapToGrid w:val="0"/>
              </w:rPr>
              <w:t>бенефициерите</w:t>
            </w:r>
            <w:proofErr w:type="spellEnd"/>
            <w:r w:rsidRPr="008D7649">
              <w:rPr>
                <w:rFonts w:ascii="Times New Roman" w:eastAsia="Calibri" w:hAnsi="Times New Roman" w:cs="Times New Roman"/>
                <w:snapToGrid w:val="0"/>
              </w:rPr>
              <w:t xml:space="preserve"> на безвъзмездна финансова помощ. Изпълнителите от страна на </w:t>
            </w:r>
            <w:proofErr w:type="spellStart"/>
            <w:r w:rsidRPr="008D7649">
              <w:rPr>
                <w:rFonts w:ascii="Times New Roman" w:eastAsia="Calibri" w:hAnsi="Times New Roman" w:cs="Times New Roman"/>
                <w:snapToGrid w:val="0"/>
              </w:rPr>
              <w:t>бенефициера</w:t>
            </w:r>
            <w:proofErr w:type="spellEnd"/>
            <w:r w:rsidRPr="008D7649">
              <w:rPr>
                <w:rFonts w:ascii="Times New Roman" w:eastAsia="Calibri" w:hAnsi="Times New Roman" w:cs="Times New Roman"/>
                <w:snapToGrid w:val="0"/>
              </w:rPr>
              <w:t xml:space="preserve"> не са партньори и се определят в съответствие с реда за определяне на изп</w:t>
            </w:r>
            <w:r w:rsidR="006F7601">
              <w:rPr>
                <w:rFonts w:ascii="Times New Roman" w:eastAsia="Calibri" w:hAnsi="Times New Roman" w:cs="Times New Roman"/>
                <w:snapToGrid w:val="0"/>
              </w:rPr>
              <w:t>ълнител от страна на бенефициенти</w:t>
            </w:r>
            <w:r w:rsidRPr="008D7649">
              <w:rPr>
                <w:rFonts w:ascii="Times New Roman" w:eastAsia="Calibri" w:hAnsi="Times New Roman" w:cs="Times New Roman"/>
                <w:snapToGrid w:val="0"/>
              </w:rPr>
              <w:t xml:space="preserve"> на договорена безв</w:t>
            </w:r>
            <w:r w:rsidR="006F7601">
              <w:rPr>
                <w:rFonts w:ascii="Times New Roman" w:eastAsia="Calibri" w:hAnsi="Times New Roman" w:cs="Times New Roman"/>
                <w:snapToGrid w:val="0"/>
              </w:rPr>
              <w:t>ъзмездна финансова помощ от ЕФСУ</w:t>
            </w:r>
            <w:r w:rsidRPr="008D7649">
              <w:rPr>
                <w:rFonts w:ascii="Times New Roman" w:eastAsia="Calibri" w:hAnsi="Times New Roman" w:cs="Times New Roman"/>
                <w:snapToGrid w:val="0"/>
              </w:rPr>
              <w:t>, както и по реда на Закона за обществените поръчки и подзаконовите актове по прилагането му</w:t>
            </w:r>
            <w:r w:rsidR="006F7601">
              <w:rPr>
                <w:rFonts w:ascii="Times New Roman" w:eastAsia="Calibri" w:hAnsi="Times New Roman" w:cs="Times New Roman"/>
                <w:snapToGrid w:val="0"/>
              </w:rPr>
              <w:t>.</w:t>
            </w:r>
          </w:p>
        </w:tc>
      </w:tr>
      <w:tr w:rsidR="008D7649" w:rsidRPr="008D7649" w14:paraId="63B94556" w14:textId="77777777" w:rsidTr="00F77353">
        <w:trPr>
          <w:trHeight w:val="895"/>
          <w:jc w:val="center"/>
        </w:trPr>
        <w:tc>
          <w:tcPr>
            <w:tcW w:w="2248" w:type="dxa"/>
            <w:shd w:val="clear" w:color="auto" w:fill="E6E6E6"/>
          </w:tcPr>
          <w:p w14:paraId="318717BE"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Кандидати</w:t>
            </w:r>
          </w:p>
        </w:tc>
        <w:tc>
          <w:tcPr>
            <w:tcW w:w="6932" w:type="dxa"/>
            <w:shd w:val="clear" w:color="auto" w:fill="F3F3F3"/>
          </w:tcPr>
          <w:p w14:paraId="26A6AFF6"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8D7649" w:rsidRPr="008D7649" w14:paraId="5A13B974" w14:textId="77777777" w:rsidTr="00F77353">
        <w:trPr>
          <w:jc w:val="center"/>
        </w:trPr>
        <w:tc>
          <w:tcPr>
            <w:tcW w:w="2248" w:type="dxa"/>
            <w:shd w:val="clear" w:color="auto" w:fill="E6E6E6"/>
          </w:tcPr>
          <w:p w14:paraId="55A5CD55"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Материални активи</w:t>
            </w:r>
          </w:p>
        </w:tc>
        <w:tc>
          <w:tcPr>
            <w:tcW w:w="6932" w:type="dxa"/>
            <w:shd w:val="clear" w:color="auto" w:fill="F3F3F3"/>
          </w:tcPr>
          <w:p w14:paraId="54C30E98"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По смисъла на чл. 2, параграф 29 от Регламент (ЕО) № 651/2014 „материални активи" означава активи, състоящи се от земя, сгради, съоръжения, машини и оборудване.</w:t>
            </w:r>
          </w:p>
        </w:tc>
      </w:tr>
      <w:tr w:rsidR="008D7649" w:rsidRPr="008D7649" w14:paraId="7E7A8D61" w14:textId="77777777" w:rsidTr="00F77353">
        <w:trPr>
          <w:jc w:val="center"/>
        </w:trPr>
        <w:tc>
          <w:tcPr>
            <w:tcW w:w="2248" w:type="dxa"/>
            <w:shd w:val="clear" w:color="auto" w:fill="E6E6E6"/>
          </w:tcPr>
          <w:p w14:paraId="41BE87FC"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Място на изпълнение на проекта </w:t>
            </w:r>
          </w:p>
        </w:tc>
        <w:tc>
          <w:tcPr>
            <w:tcW w:w="6932" w:type="dxa"/>
            <w:shd w:val="clear" w:color="auto" w:fill="F3F3F3"/>
          </w:tcPr>
          <w:p w14:paraId="45739727" w14:textId="77777777" w:rsidR="008D7649" w:rsidRPr="008D7649" w:rsidRDefault="008D7649" w:rsidP="008D7649">
            <w:pPr>
              <w:spacing w:after="20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Мястото на физическото осъществяване на инвестицията.</w:t>
            </w:r>
          </w:p>
        </w:tc>
      </w:tr>
      <w:tr w:rsidR="008D7649" w:rsidRPr="008D7649" w14:paraId="6DE1FD85" w14:textId="77777777" w:rsidTr="00F77353">
        <w:trPr>
          <w:jc w:val="center"/>
        </w:trPr>
        <w:tc>
          <w:tcPr>
            <w:tcW w:w="2248" w:type="dxa"/>
            <w:shd w:val="clear" w:color="auto" w:fill="E6E6E6"/>
          </w:tcPr>
          <w:p w14:paraId="3E8EB6C1"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Нематериални активи</w:t>
            </w:r>
          </w:p>
        </w:tc>
        <w:tc>
          <w:tcPr>
            <w:tcW w:w="6932" w:type="dxa"/>
            <w:shd w:val="clear" w:color="auto" w:fill="F3F3F3"/>
          </w:tcPr>
          <w:p w14:paraId="0405CEFA"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Активи, които нямат физически или финансов израз, като патенти, лицензи, </w:t>
            </w:r>
            <w:proofErr w:type="spellStart"/>
            <w:r w:rsidRPr="008D7649">
              <w:rPr>
                <w:rFonts w:ascii="Times New Roman" w:eastAsia="Calibri" w:hAnsi="Times New Roman" w:cs="Times New Roman"/>
                <w:snapToGrid w:val="0"/>
              </w:rPr>
              <w:t>ноу</w:t>
            </w:r>
            <w:proofErr w:type="spellEnd"/>
            <w:r w:rsidRPr="008D7649">
              <w:rPr>
                <w:rFonts w:ascii="Times New Roman" w:eastAsia="Calibri" w:hAnsi="Times New Roman" w:cs="Times New Roman"/>
                <w:snapToGrid w:val="0"/>
              </w:rPr>
              <w:t xml:space="preserve">- </w:t>
            </w:r>
            <w:proofErr w:type="spellStart"/>
            <w:r w:rsidRPr="008D7649">
              <w:rPr>
                <w:rFonts w:ascii="Times New Roman" w:eastAsia="Calibri" w:hAnsi="Times New Roman" w:cs="Times New Roman"/>
                <w:snapToGrid w:val="0"/>
              </w:rPr>
              <w:t>хау</w:t>
            </w:r>
            <w:proofErr w:type="spellEnd"/>
            <w:r w:rsidRPr="008D7649">
              <w:rPr>
                <w:rFonts w:ascii="Times New Roman" w:eastAsia="Calibri" w:hAnsi="Times New Roman" w:cs="Times New Roman"/>
                <w:snapToGrid w:val="0"/>
              </w:rPr>
              <w:t xml:space="preserve"> или друга интелектуална собственост.</w:t>
            </w:r>
          </w:p>
        </w:tc>
      </w:tr>
      <w:tr w:rsidR="008D7649" w:rsidRPr="008D7649" w14:paraId="6071E574" w14:textId="77777777" w:rsidTr="00F77353">
        <w:trPr>
          <w:jc w:val="center"/>
        </w:trPr>
        <w:tc>
          <w:tcPr>
            <w:tcW w:w="2248" w:type="dxa"/>
            <w:shd w:val="clear" w:color="auto" w:fill="E6E6E6"/>
          </w:tcPr>
          <w:p w14:paraId="11C7DA12"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Предприятие</w:t>
            </w:r>
          </w:p>
        </w:tc>
        <w:tc>
          <w:tcPr>
            <w:tcW w:w="6932" w:type="dxa"/>
            <w:shd w:val="clear" w:color="auto" w:fill="F3F3F3"/>
          </w:tcPr>
          <w:p w14:paraId="3B0596AB"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8D7649" w:rsidRPr="008D7649" w14:paraId="7B3FE151" w14:textId="77777777" w:rsidTr="00F77353">
        <w:trPr>
          <w:trHeight w:val="1345"/>
          <w:jc w:val="center"/>
        </w:trPr>
        <w:tc>
          <w:tcPr>
            <w:tcW w:w="2248" w:type="dxa"/>
            <w:shd w:val="clear" w:color="auto" w:fill="E6E6E6"/>
          </w:tcPr>
          <w:p w14:paraId="0C7C69FC"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 xml:space="preserve">Проектно предложение </w:t>
            </w:r>
          </w:p>
        </w:tc>
        <w:tc>
          <w:tcPr>
            <w:tcW w:w="6932" w:type="dxa"/>
            <w:shd w:val="clear" w:color="auto" w:fill="F3F3F3"/>
          </w:tcPr>
          <w:p w14:paraId="1BFAB008"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w:t>
            </w:r>
            <w:proofErr w:type="spellStart"/>
            <w:r w:rsidRPr="008D7649">
              <w:rPr>
                <w:rFonts w:ascii="Times New Roman" w:eastAsia="Calibri" w:hAnsi="Times New Roman" w:cs="Times New Roman"/>
                <w:snapToGrid w:val="0"/>
              </w:rPr>
              <w:t>придружителни</w:t>
            </w:r>
            <w:proofErr w:type="spellEnd"/>
            <w:r w:rsidRPr="008D7649">
              <w:rPr>
                <w:rFonts w:ascii="Times New Roman" w:eastAsia="Calibri" w:hAnsi="Times New Roman" w:cs="Times New Roman"/>
                <w:snapToGrid w:val="0"/>
              </w:rPr>
              <w:t xml:space="preserve"> документи.</w:t>
            </w:r>
          </w:p>
        </w:tc>
      </w:tr>
      <w:tr w:rsidR="008D7649" w:rsidRPr="008D7649" w14:paraId="4A34B91E" w14:textId="77777777" w:rsidTr="00F77353">
        <w:trPr>
          <w:jc w:val="center"/>
        </w:trPr>
        <w:tc>
          <w:tcPr>
            <w:tcW w:w="2248" w:type="dxa"/>
            <w:shd w:val="clear" w:color="auto" w:fill="E6E6E6"/>
          </w:tcPr>
          <w:p w14:paraId="5CB3EC64"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Ръководител на Управляващия орган</w:t>
            </w:r>
          </w:p>
        </w:tc>
        <w:tc>
          <w:tcPr>
            <w:tcW w:w="6932" w:type="dxa"/>
            <w:shd w:val="clear" w:color="auto" w:fill="F3F3F3"/>
          </w:tcPr>
          <w:p w14:paraId="7D809DDA"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proofErr w:type="spellStart"/>
            <w:r w:rsidRPr="008D7649">
              <w:rPr>
                <w:rFonts w:ascii="Times New Roman" w:eastAsia="Calibri" w:hAnsi="Times New Roman" w:cs="Times New Roman"/>
                <w:snapToGrid w:val="0"/>
              </w:rPr>
              <w:t>оправомощено</w:t>
            </w:r>
            <w:proofErr w:type="spellEnd"/>
            <w:r w:rsidRPr="008D7649">
              <w:rPr>
                <w:rFonts w:ascii="Times New Roman" w:eastAsia="Calibri" w:hAnsi="Times New Roman" w:cs="Times New Roman"/>
                <w:snapToGrid w:val="0"/>
              </w:rPr>
              <w:t xml:space="preserve"> от него лице</w:t>
            </w:r>
            <w:r w:rsidRPr="008D7649">
              <w:rPr>
                <w:rFonts w:ascii="Times New Roman" w:eastAsia="Calibri" w:hAnsi="Times New Roman" w:cs="Times New Roman"/>
                <w:snapToGrid w:val="0"/>
                <w:lang w:val="ru-RU"/>
              </w:rPr>
              <w:t>.</w:t>
            </w:r>
          </w:p>
        </w:tc>
      </w:tr>
      <w:tr w:rsidR="008D7649" w:rsidRPr="008D7649" w14:paraId="1A8B0227" w14:textId="77777777" w:rsidTr="00F77353">
        <w:trPr>
          <w:jc w:val="center"/>
        </w:trPr>
        <w:tc>
          <w:tcPr>
            <w:tcW w:w="2248" w:type="dxa"/>
            <w:shd w:val="clear" w:color="auto" w:fill="E6E6E6"/>
          </w:tcPr>
          <w:p w14:paraId="63AE96BA"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Свързани лица</w:t>
            </w:r>
          </w:p>
        </w:tc>
        <w:tc>
          <w:tcPr>
            <w:tcW w:w="6932" w:type="dxa"/>
            <w:shd w:val="clear" w:color="auto" w:fill="F3F3F3"/>
          </w:tcPr>
          <w:p w14:paraId="3BD94DD0" w14:textId="77777777" w:rsidR="008D7649" w:rsidRPr="008D7649" w:rsidRDefault="008D7649" w:rsidP="008D7649">
            <w:pPr>
              <w:spacing w:before="100" w:beforeAutospacing="1" w:after="100" w:afterAutospacing="1" w:line="240" w:lineRule="auto"/>
              <w:jc w:val="both"/>
              <w:rPr>
                <w:rFonts w:ascii="Times New Roman" w:eastAsia="Calibri" w:hAnsi="Times New Roman" w:cs="Times New Roman"/>
                <w:snapToGrid w:val="0"/>
                <w:lang w:val="ru-RU"/>
              </w:rPr>
            </w:pPr>
            <w:r w:rsidRPr="008D7649">
              <w:rPr>
                <w:rFonts w:ascii="Times New Roman" w:eastAsia="Calibri" w:hAnsi="Times New Roman" w:cs="Times New Roman"/>
                <w:snapToGrid w:val="0"/>
              </w:rPr>
              <w:t xml:space="preserve"> Свързани лица са лицата съгласно </w:t>
            </w:r>
            <w:r w:rsidRPr="008D7649">
              <w:rPr>
                <w:rFonts w:ascii="Times New Roman" w:eastAsia="Calibri" w:hAnsi="Times New Roman" w:cs="Times New Roman"/>
              </w:rPr>
              <w:t>параграф 1, т.13 и 14 от допълнителните разпоредби на Закона за публичното предлагане на ценни книжа.</w:t>
            </w:r>
          </w:p>
        </w:tc>
      </w:tr>
      <w:tr w:rsidR="008D7649" w:rsidRPr="008D7649" w14:paraId="197155C1" w14:textId="77777777" w:rsidTr="00F77353">
        <w:trPr>
          <w:trHeight w:val="965"/>
          <w:jc w:val="center"/>
        </w:trPr>
        <w:tc>
          <w:tcPr>
            <w:tcW w:w="2248" w:type="dxa"/>
            <w:shd w:val="clear" w:color="auto" w:fill="E6E6E6"/>
          </w:tcPr>
          <w:p w14:paraId="61DE409F"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Допустими за финансиране разходи</w:t>
            </w:r>
          </w:p>
        </w:tc>
        <w:tc>
          <w:tcPr>
            <w:tcW w:w="6932" w:type="dxa"/>
            <w:shd w:val="clear" w:color="auto" w:fill="F3F3F3"/>
          </w:tcPr>
          <w:p w14:paraId="26620548" w14:textId="77777777" w:rsidR="008D7649" w:rsidRPr="008D7649" w:rsidRDefault="008D7649" w:rsidP="008D7649">
            <w:pPr>
              <w:spacing w:after="200" w:line="240" w:lineRule="auto"/>
              <w:jc w:val="both"/>
              <w:rPr>
                <w:rFonts w:ascii="Times New Roman" w:eastAsia="Calibri" w:hAnsi="Times New Roman" w:cs="Times New Roman"/>
              </w:rPr>
            </w:pPr>
            <w:r w:rsidRPr="008D7649">
              <w:rPr>
                <w:rFonts w:ascii="Times New Roman" w:eastAsia="Calibri" w:hAnsi="Times New Roman" w:cs="Times New Roman"/>
                <w:snapToGrid w:val="0"/>
                <w:lang w:val="ru-RU"/>
              </w:rPr>
              <w:t>Допустими за финансиране разходи е общата сума от всички плащания за одобрените на бенефициера инвестиции</w:t>
            </w:r>
          </w:p>
        </w:tc>
      </w:tr>
      <w:tr w:rsidR="008D7649" w:rsidRPr="008D7649" w14:paraId="7BAA1806" w14:textId="77777777" w:rsidTr="00F77353">
        <w:trPr>
          <w:jc w:val="center"/>
        </w:trPr>
        <w:tc>
          <w:tcPr>
            <w:tcW w:w="2248" w:type="dxa"/>
            <w:shd w:val="clear" w:color="auto" w:fill="E6E6E6"/>
          </w:tcPr>
          <w:p w14:paraId="2BF3823D"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Икономически оператор</w:t>
            </w:r>
          </w:p>
        </w:tc>
        <w:tc>
          <w:tcPr>
            <w:tcW w:w="6932" w:type="dxa"/>
            <w:shd w:val="clear" w:color="auto" w:fill="F3F3F3"/>
          </w:tcPr>
          <w:p w14:paraId="37D82FAF" w14:textId="6FF6F5AC" w:rsidR="008D7649" w:rsidRPr="008D7649" w:rsidRDefault="008D7649" w:rsidP="008D7649">
            <w:pPr>
              <w:spacing w:after="20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Всяко физическо или юридическо лице, както и другите органи, участващи в реализирането на помощта от ЕФ</w:t>
            </w:r>
            <w:r w:rsidRPr="008D7649">
              <w:rPr>
                <w:rFonts w:ascii="Times New Roman" w:eastAsia="Calibri" w:hAnsi="Times New Roman" w:cs="Times New Roman"/>
                <w:snapToGrid w:val="0"/>
              </w:rPr>
              <w:t>МД</w:t>
            </w:r>
            <w:r w:rsidRPr="008D7649">
              <w:rPr>
                <w:rFonts w:ascii="Times New Roman" w:eastAsia="Calibri" w:hAnsi="Times New Roman" w:cs="Times New Roman"/>
                <w:snapToGrid w:val="0"/>
                <w:lang w:val="ru-RU"/>
              </w:rPr>
              <w:t>Р</w:t>
            </w:r>
            <w:r w:rsidR="006F7601">
              <w:rPr>
                <w:rFonts w:ascii="Times New Roman" w:eastAsia="Calibri" w:hAnsi="Times New Roman" w:cs="Times New Roman"/>
                <w:snapToGrid w:val="0"/>
                <w:lang w:val="ru-RU"/>
              </w:rPr>
              <w:t>А</w:t>
            </w:r>
            <w:r w:rsidRPr="008D7649">
              <w:rPr>
                <w:rFonts w:ascii="Times New Roman" w:eastAsia="Calibri" w:hAnsi="Times New Roman" w:cs="Times New Roman"/>
                <w:snapToGrid w:val="0"/>
                <w:lang w:val="ru-RU"/>
              </w:rPr>
              <w:t>, с изключение на държавата при изпълнение на нейните правомощия на публична власт.</w:t>
            </w:r>
          </w:p>
        </w:tc>
      </w:tr>
      <w:tr w:rsidR="008D7649" w:rsidRPr="008D7649" w14:paraId="56AA647B" w14:textId="77777777" w:rsidTr="00F77353">
        <w:trPr>
          <w:trHeight w:val="593"/>
          <w:jc w:val="center"/>
        </w:trPr>
        <w:tc>
          <w:tcPr>
            <w:tcW w:w="2248" w:type="dxa"/>
            <w:shd w:val="clear" w:color="auto" w:fill="E6E6E6"/>
          </w:tcPr>
          <w:p w14:paraId="47689B03"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Авансово плащане</w:t>
            </w:r>
          </w:p>
        </w:tc>
        <w:tc>
          <w:tcPr>
            <w:tcW w:w="6932" w:type="dxa"/>
            <w:shd w:val="clear" w:color="auto" w:fill="F3F3F3"/>
          </w:tcPr>
          <w:p w14:paraId="130F8D3F" w14:textId="77777777" w:rsidR="008D7649" w:rsidRPr="008D7649" w:rsidRDefault="008D7649" w:rsidP="008D7649">
            <w:pPr>
              <w:spacing w:after="20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Плащане след одобрение на проекта и преди извършване на инвестиционните разходи.</w:t>
            </w:r>
          </w:p>
        </w:tc>
      </w:tr>
      <w:tr w:rsidR="008D7649" w:rsidRPr="008D7649" w14:paraId="296A79AE" w14:textId="77777777" w:rsidTr="00F77353">
        <w:trPr>
          <w:jc w:val="center"/>
        </w:trPr>
        <w:tc>
          <w:tcPr>
            <w:tcW w:w="2248" w:type="dxa"/>
            <w:shd w:val="clear" w:color="auto" w:fill="E6E6E6"/>
          </w:tcPr>
          <w:p w14:paraId="61DD9E2B"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Междинно плащане</w:t>
            </w:r>
          </w:p>
        </w:tc>
        <w:tc>
          <w:tcPr>
            <w:tcW w:w="6932" w:type="dxa"/>
            <w:shd w:val="clear" w:color="auto" w:fill="F3F3F3"/>
          </w:tcPr>
          <w:p w14:paraId="0E09CF82" w14:textId="77777777" w:rsidR="008D7649" w:rsidRPr="008D7649" w:rsidRDefault="008D7649" w:rsidP="008D7649">
            <w:pPr>
              <w:spacing w:after="20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Плащане за обособена част от одобрената и извършена инвестиция.</w:t>
            </w:r>
          </w:p>
        </w:tc>
      </w:tr>
      <w:tr w:rsidR="008D7649" w:rsidRPr="008D7649" w14:paraId="58560513" w14:textId="77777777" w:rsidTr="00F77353">
        <w:trPr>
          <w:jc w:val="center"/>
        </w:trPr>
        <w:tc>
          <w:tcPr>
            <w:tcW w:w="2248" w:type="dxa"/>
            <w:shd w:val="clear" w:color="auto" w:fill="E6E6E6"/>
          </w:tcPr>
          <w:p w14:paraId="74CADEAD"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Оперативни разходи</w:t>
            </w:r>
          </w:p>
        </w:tc>
        <w:tc>
          <w:tcPr>
            <w:tcW w:w="6932" w:type="dxa"/>
            <w:shd w:val="clear" w:color="auto" w:fill="F3F3F3"/>
          </w:tcPr>
          <w:p w14:paraId="25CD8437" w14:textId="77777777" w:rsidR="008D7649" w:rsidRPr="008D7649" w:rsidRDefault="008D7649" w:rsidP="008D7649">
            <w:pPr>
              <w:spacing w:after="200" w:line="240" w:lineRule="auto"/>
              <w:jc w:val="both"/>
              <w:rPr>
                <w:rFonts w:ascii="Times New Roman" w:eastAsia="Calibri" w:hAnsi="Times New Roman" w:cs="Times New Roman"/>
                <w:snapToGrid w:val="0"/>
                <w:lang w:val="ru-RU"/>
              </w:rPr>
            </w:pPr>
            <w:r w:rsidRPr="008D7649">
              <w:rPr>
                <w:rFonts w:ascii="Times New Roman" w:eastAsia="Calibri" w:hAnsi="Times New Roman" w:cs="Times New Roman"/>
                <w:snapToGrid w:val="0"/>
                <w:lang w:val="ru-RU"/>
              </w:rPr>
              <w:t>Административните разходи и разходите, свързани с поддръжка и експлоатация на активите.</w:t>
            </w:r>
          </w:p>
        </w:tc>
      </w:tr>
      <w:tr w:rsidR="008D7649" w:rsidRPr="008D7649" w14:paraId="36595487" w14:textId="77777777" w:rsidTr="00F77353">
        <w:trPr>
          <w:jc w:val="center"/>
        </w:trPr>
        <w:tc>
          <w:tcPr>
            <w:tcW w:w="2248" w:type="dxa"/>
            <w:shd w:val="clear" w:color="auto" w:fill="E6E6E6"/>
          </w:tcPr>
          <w:p w14:paraId="770D9499"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Рибарско пристанище</w:t>
            </w:r>
          </w:p>
        </w:tc>
        <w:tc>
          <w:tcPr>
            <w:tcW w:w="6932" w:type="dxa"/>
            <w:shd w:val="clear" w:color="auto" w:fill="F3F3F3"/>
          </w:tcPr>
          <w:p w14:paraId="5F0AA498" w14:textId="77777777" w:rsidR="008D7649" w:rsidRPr="008D7649" w:rsidRDefault="008D7649" w:rsidP="008D7649">
            <w:pPr>
              <w:spacing w:after="200" w:line="240" w:lineRule="auto"/>
              <w:jc w:val="both"/>
              <w:rPr>
                <w:rFonts w:ascii="Times New Roman" w:eastAsia="Calibri" w:hAnsi="Times New Roman" w:cs="Times New Roman"/>
                <w:snapToGrid w:val="0"/>
                <w:lang w:val="ru-RU"/>
              </w:rPr>
            </w:pPr>
            <w:r w:rsidRPr="008D7649">
              <w:rPr>
                <w:rFonts w:ascii="Times New Roman" w:eastAsia="Calibri" w:hAnsi="Times New Roman" w:cs="Times New Roman"/>
                <w:snapToGrid w:val="0"/>
                <w:lang w:val="ru-RU"/>
              </w:rPr>
              <w:t>Рибарско е всяко пристанище, предназначено за домуване или приставане на риболовни кораби с цел разтоварване на прясна риба, което не извършва обработка на други товари и поща и обслужване на пътници по смисъла на чл. 116 от Закона за морските пространства, вътрешните водни пътища и пристанищата на Република България.</w:t>
            </w:r>
          </w:p>
        </w:tc>
      </w:tr>
      <w:tr w:rsidR="008D7649" w:rsidRPr="008D7649" w14:paraId="6FEF920D" w14:textId="77777777" w:rsidTr="00F77353">
        <w:trPr>
          <w:jc w:val="center"/>
        </w:trPr>
        <w:tc>
          <w:tcPr>
            <w:tcW w:w="2248" w:type="dxa"/>
            <w:shd w:val="clear" w:color="auto" w:fill="E6E6E6"/>
          </w:tcPr>
          <w:p w14:paraId="1C0C9BCF"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Прилежаща инфраструктура</w:t>
            </w:r>
          </w:p>
        </w:tc>
        <w:tc>
          <w:tcPr>
            <w:tcW w:w="6932" w:type="dxa"/>
            <w:shd w:val="clear" w:color="auto" w:fill="F3F3F3"/>
          </w:tcPr>
          <w:p w14:paraId="2AC202BB" w14:textId="77777777" w:rsidR="008D7649" w:rsidRPr="008D7649" w:rsidRDefault="008D7649" w:rsidP="008D7649">
            <w:pPr>
              <w:spacing w:after="200" w:line="240" w:lineRule="auto"/>
              <w:jc w:val="both"/>
              <w:rPr>
                <w:rFonts w:ascii="Times New Roman" w:eastAsia="Calibri" w:hAnsi="Times New Roman" w:cs="Times New Roman"/>
                <w:snapToGrid w:val="0"/>
                <w:lang w:val="ru-RU"/>
              </w:rPr>
            </w:pPr>
            <w:r w:rsidRPr="008D7649">
              <w:rPr>
                <w:rFonts w:ascii="Times New Roman" w:eastAsia="Calibri" w:hAnsi="Times New Roman" w:cs="Times New Roman"/>
                <w:snapToGrid w:val="0"/>
                <w:lang w:val="ru-RU"/>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w:t>
            </w:r>
            <w:r w:rsidRPr="008D7649">
              <w:rPr>
                <w:rFonts w:ascii="Times New Roman" w:eastAsia="Calibri" w:hAnsi="Times New Roman" w:cs="Times New Roman"/>
                <w:snapToGrid w:val="0"/>
                <w:lang w:val="ru-RU"/>
              </w:rPr>
              <w:lastRenderedPageBreak/>
              <w:t>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8D7649" w:rsidRPr="008D7649" w14:paraId="687E8773" w14:textId="77777777" w:rsidTr="00F77353">
        <w:trPr>
          <w:jc w:val="center"/>
        </w:trPr>
        <w:tc>
          <w:tcPr>
            <w:tcW w:w="2248" w:type="dxa"/>
            <w:shd w:val="clear" w:color="auto" w:fill="E6E6E6"/>
          </w:tcPr>
          <w:p w14:paraId="54C2FFEC"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lang w:val="ru-RU"/>
              </w:rPr>
            </w:pPr>
            <w:r w:rsidRPr="008D7649">
              <w:rPr>
                <w:rFonts w:ascii="Times New Roman" w:eastAsia="Calibri" w:hAnsi="Times New Roman" w:cs="Times New Roman"/>
                <w:b/>
                <w:bCs/>
                <w:snapToGrid w:val="0"/>
                <w:lang w:val="ru-RU"/>
              </w:rPr>
              <w:lastRenderedPageBreak/>
              <w:t>Кейово място за разтоварване</w:t>
            </w:r>
          </w:p>
        </w:tc>
        <w:tc>
          <w:tcPr>
            <w:tcW w:w="6932" w:type="dxa"/>
            <w:shd w:val="clear" w:color="auto" w:fill="F3F3F3"/>
          </w:tcPr>
          <w:p w14:paraId="57E0DCAC" w14:textId="77777777" w:rsidR="008D7649" w:rsidRPr="008D7649" w:rsidRDefault="008D7649" w:rsidP="008D7649">
            <w:pPr>
              <w:widowControl w:val="0"/>
              <w:autoSpaceDE w:val="0"/>
              <w:autoSpaceDN w:val="0"/>
              <w:adjustRightInd w:val="0"/>
              <w:spacing w:after="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lang w:val="ru-RU"/>
              </w:rPr>
              <w:t>„Кейово място за разтоварване” е пристан за разтоварване на уловите от прясна риба или други водни организми е стационарно или плаващо съоръжение, или комплекс от такива съоръжения на брега и/или в акваторията на Черно море или р. Дунав, позволяващ безопасното приставане и швартоване на риболовни кораби и служещ единствено за разтоварване на уловите, разпределянето им по видове и за осъществяване на първа продажба.</w:t>
            </w:r>
          </w:p>
        </w:tc>
      </w:tr>
      <w:tr w:rsidR="008D7649" w:rsidRPr="008D7649" w14:paraId="2723947A" w14:textId="77777777" w:rsidTr="00F77353">
        <w:trPr>
          <w:jc w:val="center"/>
        </w:trPr>
        <w:tc>
          <w:tcPr>
            <w:tcW w:w="2248" w:type="dxa"/>
            <w:shd w:val="clear" w:color="auto" w:fill="E6E6E6"/>
          </w:tcPr>
          <w:p w14:paraId="591F463B"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proofErr w:type="spellStart"/>
            <w:r w:rsidRPr="008D7649">
              <w:rPr>
                <w:rFonts w:ascii="Times New Roman" w:eastAsia="Calibri" w:hAnsi="Times New Roman" w:cs="Times New Roman"/>
                <w:b/>
                <w:bCs/>
                <w:snapToGrid w:val="0"/>
              </w:rPr>
              <w:t>Лодкостоянка</w:t>
            </w:r>
            <w:proofErr w:type="spellEnd"/>
          </w:p>
          <w:p w14:paraId="1FD61E27"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p>
        </w:tc>
        <w:tc>
          <w:tcPr>
            <w:tcW w:w="6932" w:type="dxa"/>
            <w:shd w:val="clear" w:color="auto" w:fill="F3F3F3"/>
          </w:tcPr>
          <w:p w14:paraId="744F740A" w14:textId="77777777" w:rsidR="008D7649" w:rsidRPr="008D7649" w:rsidRDefault="008D7649" w:rsidP="008D7649">
            <w:pPr>
              <w:widowControl w:val="0"/>
              <w:autoSpaceDE w:val="0"/>
              <w:autoSpaceDN w:val="0"/>
              <w:adjustRightInd w:val="0"/>
              <w:spacing w:after="0" w:line="240" w:lineRule="auto"/>
              <w:jc w:val="both"/>
              <w:rPr>
                <w:rFonts w:ascii="Times New Roman" w:eastAsia="Calibri" w:hAnsi="Times New Roman" w:cs="Times New Roman"/>
                <w:snapToGrid w:val="0"/>
              </w:rPr>
            </w:pPr>
            <w:r w:rsidRPr="008D7649">
              <w:rPr>
                <w:rFonts w:ascii="Times New Roman" w:eastAsia="Calibri" w:hAnsi="Times New Roman" w:cs="Times New Roman"/>
                <w:snapToGrid w:val="0"/>
              </w:rPr>
              <w:t xml:space="preserve">Съгласно чл. 111а, ал. 3 от Закона за морските пространства, вътрешните водни пътища и пристанищата на Република България, </w:t>
            </w:r>
            <w:proofErr w:type="spellStart"/>
            <w:r w:rsidRPr="008D7649">
              <w:rPr>
                <w:rFonts w:ascii="Times New Roman" w:eastAsia="Calibri" w:hAnsi="Times New Roman" w:cs="Times New Roman"/>
                <w:snapToGrid w:val="0"/>
              </w:rPr>
              <w:t>лодкостоянка</w:t>
            </w:r>
            <w:proofErr w:type="spellEnd"/>
            <w:r w:rsidRPr="008D7649">
              <w:rPr>
                <w:rFonts w:ascii="Times New Roman" w:eastAsia="Calibri" w:hAnsi="Times New Roman" w:cs="Times New Roman"/>
                <w:snapToGrid w:val="0"/>
              </w:rPr>
              <w:t xml:space="preserve">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w:t>
            </w:r>
            <w:proofErr w:type="spellStart"/>
            <w:r w:rsidRPr="008D7649">
              <w:rPr>
                <w:rFonts w:ascii="Times New Roman" w:eastAsia="Calibri" w:hAnsi="Times New Roman" w:cs="Times New Roman"/>
                <w:snapToGrid w:val="0"/>
              </w:rPr>
              <w:t>дребномащабен</w:t>
            </w:r>
            <w:proofErr w:type="spellEnd"/>
            <w:r w:rsidRPr="008D7649">
              <w:rPr>
                <w:rFonts w:ascii="Times New Roman" w:eastAsia="Calibri" w:hAnsi="Times New Roman" w:cs="Times New Roman"/>
                <w:snapToGrid w:val="0"/>
              </w:rPr>
              <w:t xml:space="preserve"> крайбрежен риболов.</w:t>
            </w:r>
          </w:p>
        </w:tc>
      </w:tr>
      <w:tr w:rsidR="008D7649" w:rsidRPr="008D7649" w14:paraId="3BB138FF" w14:textId="77777777" w:rsidTr="00F77353">
        <w:trPr>
          <w:jc w:val="center"/>
        </w:trPr>
        <w:tc>
          <w:tcPr>
            <w:tcW w:w="2248" w:type="dxa"/>
            <w:shd w:val="clear" w:color="auto" w:fill="E6E6E6"/>
          </w:tcPr>
          <w:p w14:paraId="1B03D514"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Непреодолима сила (</w:t>
            </w:r>
            <w:proofErr w:type="spellStart"/>
            <w:r w:rsidRPr="008D7649">
              <w:rPr>
                <w:rFonts w:ascii="Times New Roman" w:eastAsia="Calibri" w:hAnsi="Times New Roman" w:cs="Times New Roman"/>
                <w:b/>
                <w:bCs/>
                <w:snapToGrid w:val="0"/>
              </w:rPr>
              <w:t>форсмажор</w:t>
            </w:r>
            <w:proofErr w:type="spellEnd"/>
            <w:r w:rsidRPr="008D7649">
              <w:rPr>
                <w:rFonts w:ascii="Times New Roman" w:eastAsia="Calibri" w:hAnsi="Times New Roman" w:cs="Times New Roman"/>
                <w:b/>
                <w:bCs/>
                <w:snapToGrid w:val="0"/>
              </w:rPr>
              <w:t>)</w:t>
            </w:r>
          </w:p>
        </w:tc>
        <w:tc>
          <w:tcPr>
            <w:tcW w:w="6932" w:type="dxa"/>
            <w:shd w:val="clear" w:color="auto" w:fill="F3F3F3"/>
          </w:tcPr>
          <w:p w14:paraId="7D12220D" w14:textId="77777777" w:rsidR="008D7649" w:rsidRPr="008D7649" w:rsidRDefault="008D7649" w:rsidP="008D7649">
            <w:pPr>
              <w:widowControl w:val="0"/>
              <w:autoSpaceDE w:val="0"/>
              <w:autoSpaceDN w:val="0"/>
              <w:adjustRightInd w:val="0"/>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D7649" w:rsidRPr="008D7649" w14:paraId="249A1FF6" w14:textId="77777777" w:rsidTr="00F77353">
        <w:trPr>
          <w:jc w:val="center"/>
        </w:trPr>
        <w:tc>
          <w:tcPr>
            <w:tcW w:w="2248" w:type="dxa"/>
            <w:shd w:val="clear" w:color="auto" w:fill="E6E6E6"/>
          </w:tcPr>
          <w:p w14:paraId="18E4543F"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lang w:val="ru-RU"/>
              </w:rPr>
              <w:t>Независими оферти</w:t>
            </w:r>
          </w:p>
        </w:tc>
        <w:tc>
          <w:tcPr>
            <w:tcW w:w="6932" w:type="dxa"/>
            <w:shd w:val="clear" w:color="auto" w:fill="F3F3F3"/>
          </w:tcPr>
          <w:p w14:paraId="0A80C4EA"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Оферти, подадени от лица, които не се намират в следната свързаност помежду си или спрямо кандидата: </w:t>
            </w:r>
          </w:p>
          <w:p w14:paraId="090EF830"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а) едното участва в управлението на дружеството на другото; </w:t>
            </w:r>
          </w:p>
          <w:p w14:paraId="1E53FF3D"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б) </w:t>
            </w:r>
            <w:proofErr w:type="spellStart"/>
            <w:r w:rsidRPr="008D7649">
              <w:rPr>
                <w:rFonts w:ascii="Times New Roman" w:eastAsia="Calibri" w:hAnsi="Times New Roman" w:cs="Times New Roman"/>
                <w:bCs/>
                <w:snapToGrid w:val="0"/>
              </w:rPr>
              <w:t>съдружници</w:t>
            </w:r>
            <w:proofErr w:type="spellEnd"/>
            <w:r w:rsidRPr="008D7649">
              <w:rPr>
                <w:rFonts w:ascii="Times New Roman" w:eastAsia="Calibri" w:hAnsi="Times New Roman" w:cs="Times New Roman"/>
                <w:bCs/>
                <w:snapToGrid w:val="0"/>
              </w:rPr>
              <w:t xml:space="preserve">; </w:t>
            </w:r>
          </w:p>
          <w:p w14:paraId="17738AAC"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в) съвместно контролират пряко трето лице; </w:t>
            </w:r>
          </w:p>
          <w:p w14:paraId="469BB536"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5E83B274"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д) едното лице притежава повече от половината от броя на гласовете в общото събрание на другото лице; </w:t>
            </w:r>
          </w:p>
          <w:p w14:paraId="7D62042C"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е) лицата, чиято дейност се контролира пряко или косвено от трето лице - физическо или юридическо; </w:t>
            </w:r>
          </w:p>
          <w:p w14:paraId="34470BBD"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ж) лицата, едното от които е търговски представител на другото.</w:t>
            </w:r>
          </w:p>
        </w:tc>
      </w:tr>
      <w:tr w:rsidR="008D7649" w:rsidRPr="008D7649" w14:paraId="14B02842" w14:textId="77777777" w:rsidTr="00F77353">
        <w:trPr>
          <w:jc w:val="center"/>
        </w:trPr>
        <w:tc>
          <w:tcPr>
            <w:tcW w:w="2248" w:type="dxa"/>
            <w:shd w:val="clear" w:color="auto" w:fill="E6E6E6"/>
          </w:tcPr>
          <w:p w14:paraId="47C8F316" w14:textId="77777777" w:rsidR="008D7649" w:rsidRPr="008D7649" w:rsidRDefault="008D7649" w:rsidP="008D7649">
            <w:pPr>
              <w:spacing w:before="100" w:beforeAutospacing="1" w:after="100" w:afterAutospacing="1" w:line="240" w:lineRule="auto"/>
              <w:rPr>
                <w:rFonts w:ascii="Times New Roman" w:eastAsia="Calibri" w:hAnsi="Times New Roman" w:cs="Times New Roman"/>
                <w:b/>
                <w:bCs/>
                <w:snapToGrid w:val="0"/>
              </w:rPr>
            </w:pPr>
            <w:r w:rsidRPr="008D7649">
              <w:rPr>
                <w:rFonts w:ascii="Times New Roman" w:eastAsia="Calibri" w:hAnsi="Times New Roman" w:cs="Times New Roman"/>
                <w:b/>
                <w:bCs/>
                <w:snapToGrid w:val="0"/>
              </w:rPr>
              <w:t>Съпоставими оферти</w:t>
            </w:r>
          </w:p>
        </w:tc>
        <w:tc>
          <w:tcPr>
            <w:tcW w:w="6932" w:type="dxa"/>
            <w:shd w:val="clear" w:color="auto" w:fill="F3F3F3"/>
          </w:tcPr>
          <w:p w14:paraId="03228137" w14:textId="77777777" w:rsidR="008D7649" w:rsidRPr="008D7649" w:rsidRDefault="008D7649" w:rsidP="008D7649">
            <w:pPr>
              <w:autoSpaceDE w:val="0"/>
              <w:autoSpaceDN w:val="0"/>
              <w:adjustRightInd w:val="0"/>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Оферти, които се сравняват на базата на:</w:t>
            </w:r>
          </w:p>
          <w:p w14:paraId="5DC3D5DF" w14:textId="77777777" w:rsidR="008D7649" w:rsidRPr="008D7649" w:rsidRDefault="008D7649" w:rsidP="008D7649">
            <w:pPr>
              <w:autoSpaceDE w:val="0"/>
              <w:autoSpaceDN w:val="0"/>
              <w:adjustRightInd w:val="0"/>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а) еднотипни основни технически характеристики; </w:t>
            </w:r>
          </w:p>
          <w:p w14:paraId="3CF0C360" w14:textId="77777777" w:rsidR="008D7649" w:rsidRPr="008D7649" w:rsidRDefault="008D7649" w:rsidP="008D7649">
            <w:pPr>
              <w:autoSpaceDE w:val="0"/>
              <w:autoSpaceDN w:val="0"/>
              <w:adjustRightInd w:val="0"/>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 xml:space="preserve">б) общ капацитет на оборудването; </w:t>
            </w:r>
          </w:p>
          <w:p w14:paraId="7B8411EA" w14:textId="77777777" w:rsidR="008D7649" w:rsidRPr="008D7649" w:rsidRDefault="008D7649" w:rsidP="008D7649">
            <w:pPr>
              <w:spacing w:after="0" w:line="240" w:lineRule="auto"/>
              <w:jc w:val="both"/>
              <w:rPr>
                <w:rFonts w:ascii="Times New Roman" w:eastAsia="Calibri" w:hAnsi="Times New Roman" w:cs="Times New Roman"/>
                <w:bCs/>
                <w:snapToGrid w:val="0"/>
              </w:rPr>
            </w:pPr>
            <w:r w:rsidRPr="008D7649">
              <w:rPr>
                <w:rFonts w:ascii="Times New Roman" w:eastAsia="Calibri" w:hAnsi="Times New Roman" w:cs="Times New Roman"/>
                <w:bCs/>
                <w:snapToGrid w:val="0"/>
              </w:rPr>
              <w:t>в) количествено-стойностни сметки.</w:t>
            </w:r>
          </w:p>
        </w:tc>
      </w:tr>
    </w:tbl>
    <w:p w14:paraId="45053555" w14:textId="77777777" w:rsidR="008D7649" w:rsidRPr="008D7649" w:rsidRDefault="008D7649" w:rsidP="008D7649">
      <w:pPr>
        <w:spacing w:after="200" w:line="276" w:lineRule="auto"/>
        <w:rPr>
          <w:rFonts w:ascii="Times New Roman" w:eastAsia="Calibri" w:hAnsi="Times New Roman" w:cs="Times New Roman"/>
          <w:lang w:val="ru-RU"/>
        </w:rPr>
      </w:pPr>
      <w:r w:rsidRPr="008D7649">
        <w:rPr>
          <w:rFonts w:ascii="Times New Roman" w:eastAsia="Calibri" w:hAnsi="Times New Roman" w:cs="Times New Roman"/>
          <w:lang w:val="ru-RU"/>
        </w:rPr>
        <w:t xml:space="preserve"> </w:t>
      </w:r>
    </w:p>
    <w:p w14:paraId="715EFD79" w14:textId="77777777" w:rsidR="00463F6E" w:rsidRPr="005F71D1" w:rsidRDefault="00463F6E" w:rsidP="005F71D1">
      <w:pPr>
        <w:spacing w:after="0" w:line="276" w:lineRule="auto"/>
        <w:jc w:val="center"/>
        <w:rPr>
          <w:rFonts w:ascii="Times New Roman" w:hAnsi="Times New Roman" w:cs="Times New Roman"/>
          <w:b/>
          <w:color w:val="333333"/>
          <w:sz w:val="28"/>
          <w:szCs w:val="28"/>
          <w:shd w:val="clear" w:color="auto" w:fill="FFFFFF"/>
        </w:rPr>
      </w:pPr>
    </w:p>
    <w:sectPr w:rsidR="00463F6E" w:rsidRPr="005F71D1" w:rsidSect="005F71D1">
      <w:headerReference w:type="default" r:id="rId9"/>
      <w:headerReference w:type="first" r:id="rId10"/>
      <w:pgSz w:w="11906" w:h="16838"/>
      <w:pgMar w:top="720" w:right="1133" w:bottom="720" w:left="1134" w:header="28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9B3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5450B" w14:textId="77777777" w:rsidR="00446C10" w:rsidRDefault="00446C10" w:rsidP="003A3083">
      <w:pPr>
        <w:spacing w:after="0" w:line="240" w:lineRule="auto"/>
      </w:pPr>
      <w:r>
        <w:separator/>
      </w:r>
    </w:p>
  </w:endnote>
  <w:endnote w:type="continuationSeparator" w:id="0">
    <w:p w14:paraId="4B85EDD0" w14:textId="77777777" w:rsidR="00446C10" w:rsidRDefault="00446C10" w:rsidP="003A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AB966" w14:textId="77777777" w:rsidR="00446C10" w:rsidRDefault="00446C10" w:rsidP="003A3083">
      <w:pPr>
        <w:spacing w:after="0" w:line="240" w:lineRule="auto"/>
      </w:pPr>
      <w:r>
        <w:separator/>
      </w:r>
    </w:p>
  </w:footnote>
  <w:footnote w:type="continuationSeparator" w:id="0">
    <w:p w14:paraId="62A01512" w14:textId="77777777" w:rsidR="00446C10" w:rsidRDefault="00446C10" w:rsidP="003A3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BCD4A" w14:textId="3C85AEC5" w:rsidR="003A3083" w:rsidRDefault="003A3083" w:rsidP="003A308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CB8D1" w14:textId="197C700C" w:rsidR="003A3083" w:rsidRDefault="003A3083" w:rsidP="003A3083">
    <w:pPr>
      <w:pStyle w:val="Header"/>
      <w:jc w:val="center"/>
      <w:rPr>
        <w:noProof/>
      </w:rPr>
    </w:pPr>
  </w:p>
  <w:p w14:paraId="6E4E6872" w14:textId="77777777" w:rsidR="00CF6C91" w:rsidRPr="00997EDD" w:rsidRDefault="00CF6C91" w:rsidP="00CF6C91">
    <w:pPr>
      <w:spacing w:after="0"/>
      <w:jc w:val="center"/>
      <w:rPr>
        <w:rFonts w:ascii="Verdana" w:hAnsi="Verdana"/>
        <w:b/>
        <w:sz w:val="28"/>
        <w:szCs w:val="28"/>
      </w:rPr>
    </w:pPr>
    <w:r w:rsidRPr="00997EDD">
      <w:rPr>
        <w:rFonts w:ascii="Verdana" w:hAnsi="Verdana"/>
        <w:b/>
        <w:noProof/>
        <w:sz w:val="28"/>
        <w:szCs w:val="28"/>
        <w:lang w:val="en-US"/>
      </w:rPr>
      <w:drawing>
        <wp:anchor distT="0" distB="0" distL="114300" distR="114300" simplePos="0" relativeHeight="251659264" behindDoc="1" locked="0" layoutInCell="1" allowOverlap="1" wp14:anchorId="5109C963" wp14:editId="7F7FAB0F">
          <wp:simplePos x="0" y="0"/>
          <wp:positionH relativeFrom="margin">
            <wp:align>center</wp:align>
          </wp:positionH>
          <wp:positionV relativeFrom="paragraph">
            <wp:posOffset>0</wp:posOffset>
          </wp:positionV>
          <wp:extent cx="6686550" cy="1141939"/>
          <wp:effectExtent l="0" t="0" r="0" b="1270"/>
          <wp:wrapThrough wrapText="bothSides">
            <wp:wrapPolygon edited="0">
              <wp:start x="0" y="0"/>
              <wp:lineTo x="0" y="21264"/>
              <wp:lineTo x="21538" y="21264"/>
              <wp:lineTo x="21538" y="0"/>
              <wp:lineTo x="0" y="0"/>
            </wp:wrapPolygon>
          </wp:wrapThrough>
          <wp:docPr id="2" name="Picture 2"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1141939"/>
                  </a:xfrm>
                  <a:prstGeom prst="rect">
                    <a:avLst/>
                  </a:prstGeom>
                  <a:noFill/>
                  <a:ln>
                    <a:noFill/>
                  </a:ln>
                </pic:spPr>
              </pic:pic>
            </a:graphicData>
          </a:graphic>
        </wp:anchor>
      </w:drawing>
    </w:r>
  </w:p>
  <w:p w14:paraId="55E3312F" w14:textId="77777777" w:rsidR="00CF6C91" w:rsidRDefault="00CF6C91" w:rsidP="003A3083">
    <w:pPr>
      <w:pStyle w:val="Header"/>
      <w:jc w:val="center"/>
      <w:rPr>
        <w:noProof/>
      </w:rPr>
    </w:pPr>
  </w:p>
  <w:p w14:paraId="07E2B417" w14:textId="77777777" w:rsidR="00CF6C91" w:rsidRDefault="00CF6C91" w:rsidP="003A3083">
    <w:pPr>
      <w:pStyle w:val="Header"/>
      <w:jc w:val="center"/>
      <w:rPr>
        <w:noProof/>
      </w:rPr>
    </w:pPr>
  </w:p>
  <w:p w14:paraId="1F238BEE" w14:textId="77777777" w:rsidR="00CF6C91" w:rsidRDefault="00CF6C91" w:rsidP="003A3083">
    <w:pPr>
      <w:pStyle w:val="Header"/>
      <w:jc w:val="center"/>
      <w:rPr>
        <w:noProof/>
      </w:rPr>
    </w:pPr>
  </w:p>
  <w:p w14:paraId="31BBFE6E" w14:textId="77777777" w:rsidR="00CF6C91" w:rsidRPr="00CF6C91" w:rsidRDefault="00CF6C91" w:rsidP="003A308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54A9E"/>
    <w:multiLevelType w:val="hybridMultilevel"/>
    <w:tmpl w:val="43BE3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33479"/>
    <w:multiLevelType w:val="hybridMultilevel"/>
    <w:tmpl w:val="BBFC267E"/>
    <w:lvl w:ilvl="0" w:tplc="F65EFF52">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297BDB"/>
    <w:multiLevelType w:val="hybridMultilevel"/>
    <w:tmpl w:val="B8460DD8"/>
    <w:lvl w:ilvl="0" w:tplc="032C2500">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056C3"/>
    <w:multiLevelType w:val="hybridMultilevel"/>
    <w:tmpl w:val="97261B54"/>
    <w:lvl w:ilvl="0" w:tplc="08090003">
      <w:start w:val="1"/>
      <w:numFmt w:val="bullet"/>
      <w:lvlText w:val="o"/>
      <w:lvlJc w:val="left"/>
      <w:pPr>
        <w:ind w:left="1037" w:hanging="360"/>
      </w:pPr>
      <w:rPr>
        <w:rFonts w:ascii="Courier New" w:hAnsi="Courier New" w:cs="Courier New" w:hint="default"/>
      </w:rPr>
    </w:lvl>
    <w:lvl w:ilvl="1" w:tplc="04020003" w:tentative="1">
      <w:start w:val="1"/>
      <w:numFmt w:val="bullet"/>
      <w:lvlText w:val="o"/>
      <w:lvlJc w:val="left"/>
      <w:pPr>
        <w:ind w:left="1757" w:hanging="360"/>
      </w:pPr>
      <w:rPr>
        <w:rFonts w:ascii="Courier New" w:hAnsi="Courier New" w:cs="Courier New" w:hint="default"/>
      </w:rPr>
    </w:lvl>
    <w:lvl w:ilvl="2" w:tplc="04020005" w:tentative="1">
      <w:start w:val="1"/>
      <w:numFmt w:val="bullet"/>
      <w:lvlText w:val=""/>
      <w:lvlJc w:val="left"/>
      <w:pPr>
        <w:ind w:left="2477" w:hanging="360"/>
      </w:pPr>
      <w:rPr>
        <w:rFonts w:ascii="Wingdings" w:hAnsi="Wingdings" w:hint="default"/>
      </w:rPr>
    </w:lvl>
    <w:lvl w:ilvl="3" w:tplc="04020001" w:tentative="1">
      <w:start w:val="1"/>
      <w:numFmt w:val="bullet"/>
      <w:lvlText w:val=""/>
      <w:lvlJc w:val="left"/>
      <w:pPr>
        <w:ind w:left="3197" w:hanging="360"/>
      </w:pPr>
      <w:rPr>
        <w:rFonts w:ascii="Symbol" w:hAnsi="Symbol" w:hint="default"/>
      </w:rPr>
    </w:lvl>
    <w:lvl w:ilvl="4" w:tplc="04020003" w:tentative="1">
      <w:start w:val="1"/>
      <w:numFmt w:val="bullet"/>
      <w:lvlText w:val="o"/>
      <w:lvlJc w:val="left"/>
      <w:pPr>
        <w:ind w:left="3917" w:hanging="360"/>
      </w:pPr>
      <w:rPr>
        <w:rFonts w:ascii="Courier New" w:hAnsi="Courier New" w:cs="Courier New" w:hint="default"/>
      </w:rPr>
    </w:lvl>
    <w:lvl w:ilvl="5" w:tplc="04020005" w:tentative="1">
      <w:start w:val="1"/>
      <w:numFmt w:val="bullet"/>
      <w:lvlText w:val=""/>
      <w:lvlJc w:val="left"/>
      <w:pPr>
        <w:ind w:left="4637" w:hanging="360"/>
      </w:pPr>
      <w:rPr>
        <w:rFonts w:ascii="Wingdings" w:hAnsi="Wingdings" w:hint="default"/>
      </w:rPr>
    </w:lvl>
    <w:lvl w:ilvl="6" w:tplc="04020001" w:tentative="1">
      <w:start w:val="1"/>
      <w:numFmt w:val="bullet"/>
      <w:lvlText w:val=""/>
      <w:lvlJc w:val="left"/>
      <w:pPr>
        <w:ind w:left="5357" w:hanging="360"/>
      </w:pPr>
      <w:rPr>
        <w:rFonts w:ascii="Symbol" w:hAnsi="Symbol" w:hint="default"/>
      </w:rPr>
    </w:lvl>
    <w:lvl w:ilvl="7" w:tplc="04020003" w:tentative="1">
      <w:start w:val="1"/>
      <w:numFmt w:val="bullet"/>
      <w:lvlText w:val="o"/>
      <w:lvlJc w:val="left"/>
      <w:pPr>
        <w:ind w:left="6077" w:hanging="360"/>
      </w:pPr>
      <w:rPr>
        <w:rFonts w:ascii="Courier New" w:hAnsi="Courier New" w:cs="Courier New" w:hint="default"/>
      </w:rPr>
    </w:lvl>
    <w:lvl w:ilvl="8" w:tplc="04020005" w:tentative="1">
      <w:start w:val="1"/>
      <w:numFmt w:val="bullet"/>
      <w:lvlText w:val=""/>
      <w:lvlJc w:val="left"/>
      <w:pPr>
        <w:ind w:left="6797" w:hanging="360"/>
      </w:pPr>
      <w:rPr>
        <w:rFonts w:ascii="Wingdings" w:hAnsi="Wingdings" w:hint="default"/>
      </w:rPr>
    </w:lvl>
  </w:abstractNum>
  <w:abstractNum w:abstractNumId="4">
    <w:nsid w:val="4C0822BC"/>
    <w:multiLevelType w:val="hybridMultilevel"/>
    <w:tmpl w:val="6A9675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F571CB3"/>
    <w:multiLevelType w:val="hybridMultilevel"/>
    <w:tmpl w:val="B7F81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577854"/>
    <w:multiLevelType w:val="hybridMultilevel"/>
    <w:tmpl w:val="E8F22B1C"/>
    <w:lvl w:ilvl="0" w:tplc="3A10D4CC">
      <w:start w:val="1"/>
      <w:numFmt w:val="decimal"/>
      <w:lvlText w:val="%1."/>
      <w:lvlJc w:val="left"/>
      <w:pPr>
        <w:ind w:left="720" w:hanging="360"/>
      </w:pPr>
      <w:rPr>
        <w:rFonts w:hint="default"/>
        <w:i w:val="0"/>
        <w:color w:val="333333"/>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4"/>
  </w:num>
  <w:num w:numId="6">
    <w:abstractNumId w:val="6"/>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Yordanov">
    <w15:presenceInfo w15:providerId="AD" w15:userId="S-1-5-21-3673932534-3318588094-701912851-8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185"/>
    <w:rsid w:val="00031602"/>
    <w:rsid w:val="0004176A"/>
    <w:rsid w:val="00071595"/>
    <w:rsid w:val="00074E1B"/>
    <w:rsid w:val="000778D2"/>
    <w:rsid w:val="0008117B"/>
    <w:rsid w:val="00085376"/>
    <w:rsid w:val="0009629F"/>
    <w:rsid w:val="000A0C5B"/>
    <w:rsid w:val="000D092D"/>
    <w:rsid w:val="00100743"/>
    <w:rsid w:val="00107BA8"/>
    <w:rsid w:val="00130F53"/>
    <w:rsid w:val="00146A66"/>
    <w:rsid w:val="00162109"/>
    <w:rsid w:val="001833F3"/>
    <w:rsid w:val="001B50E0"/>
    <w:rsid w:val="001F18C1"/>
    <w:rsid w:val="00214D07"/>
    <w:rsid w:val="002235B2"/>
    <w:rsid w:val="00240CA4"/>
    <w:rsid w:val="00246019"/>
    <w:rsid w:val="00283C57"/>
    <w:rsid w:val="002B3663"/>
    <w:rsid w:val="0032292A"/>
    <w:rsid w:val="003236F5"/>
    <w:rsid w:val="0032570E"/>
    <w:rsid w:val="00352C92"/>
    <w:rsid w:val="003A3083"/>
    <w:rsid w:val="003C6401"/>
    <w:rsid w:val="003C6A28"/>
    <w:rsid w:val="003E4C28"/>
    <w:rsid w:val="003F5023"/>
    <w:rsid w:val="00402877"/>
    <w:rsid w:val="00416373"/>
    <w:rsid w:val="00446C10"/>
    <w:rsid w:val="00453139"/>
    <w:rsid w:val="00463F6E"/>
    <w:rsid w:val="00464154"/>
    <w:rsid w:val="00465577"/>
    <w:rsid w:val="004715B0"/>
    <w:rsid w:val="00473EB0"/>
    <w:rsid w:val="00493A53"/>
    <w:rsid w:val="00496B01"/>
    <w:rsid w:val="004A0F27"/>
    <w:rsid w:val="004A5BFA"/>
    <w:rsid w:val="004B7490"/>
    <w:rsid w:val="004D33FE"/>
    <w:rsid w:val="004D6C6A"/>
    <w:rsid w:val="004E14C9"/>
    <w:rsid w:val="005170A8"/>
    <w:rsid w:val="005206FC"/>
    <w:rsid w:val="00535379"/>
    <w:rsid w:val="005402B8"/>
    <w:rsid w:val="00546813"/>
    <w:rsid w:val="005626DF"/>
    <w:rsid w:val="005776EB"/>
    <w:rsid w:val="00584A33"/>
    <w:rsid w:val="005B0185"/>
    <w:rsid w:val="005B3E75"/>
    <w:rsid w:val="005C0E67"/>
    <w:rsid w:val="005D74C9"/>
    <w:rsid w:val="005F4263"/>
    <w:rsid w:val="005F71D1"/>
    <w:rsid w:val="00651EF2"/>
    <w:rsid w:val="00652A06"/>
    <w:rsid w:val="00654933"/>
    <w:rsid w:val="00660048"/>
    <w:rsid w:val="006709FE"/>
    <w:rsid w:val="00673887"/>
    <w:rsid w:val="00674536"/>
    <w:rsid w:val="00674E96"/>
    <w:rsid w:val="006940BF"/>
    <w:rsid w:val="006A3F3A"/>
    <w:rsid w:val="006A5839"/>
    <w:rsid w:val="006D504B"/>
    <w:rsid w:val="006E1B3B"/>
    <w:rsid w:val="006F7601"/>
    <w:rsid w:val="00733103"/>
    <w:rsid w:val="00737092"/>
    <w:rsid w:val="00744D89"/>
    <w:rsid w:val="00771620"/>
    <w:rsid w:val="00780517"/>
    <w:rsid w:val="007A73B9"/>
    <w:rsid w:val="007B2A70"/>
    <w:rsid w:val="007B2B1D"/>
    <w:rsid w:val="007B4496"/>
    <w:rsid w:val="007C0BC9"/>
    <w:rsid w:val="007C26CD"/>
    <w:rsid w:val="007F2EFB"/>
    <w:rsid w:val="00813A65"/>
    <w:rsid w:val="008152DE"/>
    <w:rsid w:val="00823053"/>
    <w:rsid w:val="0084417D"/>
    <w:rsid w:val="008460DE"/>
    <w:rsid w:val="0086351A"/>
    <w:rsid w:val="008977D6"/>
    <w:rsid w:val="008A5B73"/>
    <w:rsid w:val="008A5B9C"/>
    <w:rsid w:val="008B0475"/>
    <w:rsid w:val="008D7649"/>
    <w:rsid w:val="009043AD"/>
    <w:rsid w:val="00910B6F"/>
    <w:rsid w:val="0091307E"/>
    <w:rsid w:val="00933CF2"/>
    <w:rsid w:val="00960861"/>
    <w:rsid w:val="0096092C"/>
    <w:rsid w:val="00967BC7"/>
    <w:rsid w:val="00991951"/>
    <w:rsid w:val="00994DD8"/>
    <w:rsid w:val="00997B56"/>
    <w:rsid w:val="009B0D43"/>
    <w:rsid w:val="009B37DC"/>
    <w:rsid w:val="009E70BD"/>
    <w:rsid w:val="00A07DF7"/>
    <w:rsid w:val="00A17F2E"/>
    <w:rsid w:val="00A30242"/>
    <w:rsid w:val="00A452B7"/>
    <w:rsid w:val="00A93A7C"/>
    <w:rsid w:val="00AA4D75"/>
    <w:rsid w:val="00AD0BEF"/>
    <w:rsid w:val="00B100F7"/>
    <w:rsid w:val="00B157DE"/>
    <w:rsid w:val="00B2503F"/>
    <w:rsid w:val="00B4169F"/>
    <w:rsid w:val="00B775B8"/>
    <w:rsid w:val="00BC62FF"/>
    <w:rsid w:val="00BF199E"/>
    <w:rsid w:val="00C574C2"/>
    <w:rsid w:val="00C704BF"/>
    <w:rsid w:val="00C75574"/>
    <w:rsid w:val="00C86826"/>
    <w:rsid w:val="00C951D5"/>
    <w:rsid w:val="00CB1093"/>
    <w:rsid w:val="00CC2335"/>
    <w:rsid w:val="00CF08F1"/>
    <w:rsid w:val="00CF6C91"/>
    <w:rsid w:val="00D04BC2"/>
    <w:rsid w:val="00D06153"/>
    <w:rsid w:val="00D35D45"/>
    <w:rsid w:val="00D71DCB"/>
    <w:rsid w:val="00D914AC"/>
    <w:rsid w:val="00DA48A4"/>
    <w:rsid w:val="00DC5497"/>
    <w:rsid w:val="00DE5B40"/>
    <w:rsid w:val="00DF0532"/>
    <w:rsid w:val="00DF163A"/>
    <w:rsid w:val="00DF21CD"/>
    <w:rsid w:val="00E0377D"/>
    <w:rsid w:val="00E26348"/>
    <w:rsid w:val="00E46950"/>
    <w:rsid w:val="00E75061"/>
    <w:rsid w:val="00E909FA"/>
    <w:rsid w:val="00EA0BC6"/>
    <w:rsid w:val="00EA3AC2"/>
    <w:rsid w:val="00EC3F32"/>
    <w:rsid w:val="00EC5754"/>
    <w:rsid w:val="00EE300F"/>
    <w:rsid w:val="00EF00D7"/>
    <w:rsid w:val="00EF2FF9"/>
    <w:rsid w:val="00F101D6"/>
    <w:rsid w:val="00F120A7"/>
    <w:rsid w:val="00F13C0C"/>
    <w:rsid w:val="00F21699"/>
    <w:rsid w:val="00F245CE"/>
    <w:rsid w:val="00F254B6"/>
    <w:rsid w:val="00F455C8"/>
    <w:rsid w:val="00F5411C"/>
    <w:rsid w:val="00FA7770"/>
    <w:rsid w:val="00FC112E"/>
    <w:rsid w:val="00FC32BC"/>
    <w:rsid w:val="00FD2583"/>
    <w:rsid w:val="00FD761C"/>
    <w:rsid w:val="00FE1089"/>
    <w:rsid w:val="00FF57DB"/>
    <w:rsid w:val="00FF73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F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paragraph" w:styleId="Heading2">
    <w:name w:val="heading 2"/>
    <w:basedOn w:val="Normal"/>
    <w:next w:val="Normal"/>
    <w:link w:val="Heading2Char"/>
    <w:uiPriority w:val="9"/>
    <w:semiHidden/>
    <w:unhideWhenUsed/>
    <w:qFormat/>
    <w:rsid w:val="007370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link w:val="Heading5Char"/>
    <w:uiPriority w:val="9"/>
    <w:qFormat/>
    <w:rsid w:val="005B0185"/>
    <w:pPr>
      <w:spacing w:before="100" w:beforeAutospacing="1" w:after="100" w:afterAutospacing="1" w:line="240" w:lineRule="auto"/>
      <w:outlineLvl w:val="4"/>
    </w:pPr>
    <w:rPr>
      <w:rFonts w:ascii="Times New Roman" w:eastAsia="Times New Roman" w:hAnsi="Times New Roman" w:cs="Times New Roman"/>
      <w:b/>
      <w:bCs/>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B0185"/>
    <w:rPr>
      <w:rFonts w:ascii="Times New Roman" w:eastAsia="Times New Roman" w:hAnsi="Times New Roman" w:cs="Times New Roman"/>
      <w:b/>
      <w:bCs/>
      <w:sz w:val="20"/>
      <w:szCs w:val="20"/>
      <w:lang w:val="bg-BG" w:eastAsia="bg-BG"/>
    </w:rPr>
  </w:style>
  <w:style w:type="character" w:customStyle="1" w:styleId="Heading2Char">
    <w:name w:val="Heading 2 Char"/>
    <w:basedOn w:val="DefaultParagraphFont"/>
    <w:link w:val="Heading2"/>
    <w:uiPriority w:val="9"/>
    <w:semiHidden/>
    <w:rsid w:val="00737092"/>
    <w:rPr>
      <w:rFonts w:asciiTheme="majorHAnsi" w:eastAsiaTheme="majorEastAsia" w:hAnsiTheme="majorHAnsi" w:cstheme="majorBidi"/>
      <w:color w:val="2F5496" w:themeColor="accent1" w:themeShade="BF"/>
      <w:sz w:val="26"/>
      <w:szCs w:val="26"/>
      <w:lang w:val="bg-BG"/>
    </w:rPr>
  </w:style>
  <w:style w:type="table" w:styleId="TableGrid">
    <w:name w:val="Table Grid"/>
    <w:basedOn w:val="TableNormal"/>
    <w:uiPriority w:val="39"/>
    <w:rsid w:val="00EA3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3AC2"/>
    <w:rPr>
      <w:color w:val="0563C1" w:themeColor="hyperlink"/>
      <w:u w:val="single"/>
    </w:rPr>
  </w:style>
  <w:style w:type="character" w:customStyle="1" w:styleId="UnresolvedMention1">
    <w:name w:val="Unresolved Mention1"/>
    <w:basedOn w:val="DefaultParagraphFont"/>
    <w:uiPriority w:val="99"/>
    <w:semiHidden/>
    <w:unhideWhenUsed/>
    <w:rsid w:val="00EA3AC2"/>
    <w:rPr>
      <w:color w:val="605E5C"/>
      <w:shd w:val="clear" w:color="auto" w:fill="E1DFDD"/>
    </w:rPr>
  </w:style>
  <w:style w:type="character" w:styleId="PlaceholderText">
    <w:name w:val="Placeholder Text"/>
    <w:basedOn w:val="DefaultParagraphFont"/>
    <w:uiPriority w:val="99"/>
    <w:semiHidden/>
    <w:rsid w:val="00EA3AC2"/>
    <w:rPr>
      <w:color w:val="808080"/>
    </w:rPr>
  </w:style>
  <w:style w:type="paragraph" w:styleId="Revision">
    <w:name w:val="Revision"/>
    <w:hidden/>
    <w:uiPriority w:val="99"/>
    <w:semiHidden/>
    <w:rsid w:val="00DC5497"/>
    <w:pPr>
      <w:spacing w:after="0" w:line="240" w:lineRule="auto"/>
    </w:pPr>
    <w:rPr>
      <w:lang w:val="bg-BG"/>
    </w:rPr>
  </w:style>
  <w:style w:type="paragraph" w:styleId="BalloonText">
    <w:name w:val="Balloon Text"/>
    <w:basedOn w:val="Normal"/>
    <w:link w:val="BalloonTextChar"/>
    <w:uiPriority w:val="99"/>
    <w:semiHidden/>
    <w:unhideWhenUsed/>
    <w:rsid w:val="00C9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51D5"/>
    <w:rPr>
      <w:rFonts w:ascii="Segoe UI" w:hAnsi="Segoe UI" w:cs="Segoe UI"/>
      <w:sz w:val="18"/>
      <w:szCs w:val="18"/>
      <w:lang w:val="bg-BG"/>
    </w:rPr>
  </w:style>
  <w:style w:type="character" w:styleId="CommentReference">
    <w:name w:val="annotation reference"/>
    <w:basedOn w:val="DefaultParagraphFont"/>
    <w:uiPriority w:val="99"/>
    <w:semiHidden/>
    <w:unhideWhenUsed/>
    <w:rsid w:val="00C951D5"/>
    <w:rPr>
      <w:sz w:val="16"/>
      <w:szCs w:val="16"/>
    </w:rPr>
  </w:style>
  <w:style w:type="paragraph" w:styleId="CommentText">
    <w:name w:val="annotation text"/>
    <w:basedOn w:val="Normal"/>
    <w:link w:val="CommentTextChar"/>
    <w:uiPriority w:val="99"/>
    <w:unhideWhenUsed/>
    <w:rsid w:val="00C951D5"/>
    <w:pPr>
      <w:spacing w:line="240" w:lineRule="auto"/>
    </w:pPr>
    <w:rPr>
      <w:sz w:val="20"/>
      <w:szCs w:val="20"/>
    </w:rPr>
  </w:style>
  <w:style w:type="character" w:customStyle="1" w:styleId="CommentTextChar">
    <w:name w:val="Comment Text Char"/>
    <w:basedOn w:val="DefaultParagraphFont"/>
    <w:link w:val="CommentText"/>
    <w:uiPriority w:val="99"/>
    <w:rsid w:val="00C951D5"/>
    <w:rPr>
      <w:sz w:val="20"/>
      <w:szCs w:val="20"/>
      <w:lang w:val="bg-BG"/>
    </w:rPr>
  </w:style>
  <w:style w:type="paragraph" w:styleId="CommentSubject">
    <w:name w:val="annotation subject"/>
    <w:basedOn w:val="CommentText"/>
    <w:next w:val="CommentText"/>
    <w:link w:val="CommentSubjectChar"/>
    <w:uiPriority w:val="99"/>
    <w:semiHidden/>
    <w:unhideWhenUsed/>
    <w:rsid w:val="00C951D5"/>
    <w:rPr>
      <w:b/>
      <w:bCs/>
    </w:rPr>
  </w:style>
  <w:style w:type="character" w:customStyle="1" w:styleId="CommentSubjectChar">
    <w:name w:val="Comment Subject Char"/>
    <w:basedOn w:val="CommentTextChar"/>
    <w:link w:val="CommentSubject"/>
    <w:uiPriority w:val="99"/>
    <w:semiHidden/>
    <w:rsid w:val="00C951D5"/>
    <w:rPr>
      <w:b/>
      <w:bCs/>
      <w:sz w:val="20"/>
      <w:szCs w:val="20"/>
      <w:lang w:val="bg-BG"/>
    </w:rPr>
  </w:style>
  <w:style w:type="paragraph" w:styleId="ListParagraph">
    <w:name w:val="List Paragraph"/>
    <w:basedOn w:val="Normal"/>
    <w:uiPriority w:val="34"/>
    <w:qFormat/>
    <w:rsid w:val="007B2A70"/>
    <w:pPr>
      <w:ind w:left="720"/>
      <w:contextualSpacing/>
    </w:pPr>
  </w:style>
  <w:style w:type="paragraph" w:styleId="Header">
    <w:name w:val="header"/>
    <w:basedOn w:val="Normal"/>
    <w:link w:val="HeaderChar"/>
    <w:uiPriority w:val="99"/>
    <w:unhideWhenUsed/>
    <w:rsid w:val="003A30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3083"/>
    <w:rPr>
      <w:lang w:val="bg-BG"/>
    </w:rPr>
  </w:style>
  <w:style w:type="paragraph" w:styleId="Footer">
    <w:name w:val="footer"/>
    <w:basedOn w:val="Normal"/>
    <w:link w:val="FooterChar"/>
    <w:uiPriority w:val="99"/>
    <w:unhideWhenUsed/>
    <w:rsid w:val="003A30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3083"/>
    <w:rPr>
      <w:lang w:val="bg-BG"/>
    </w:rPr>
  </w:style>
  <w:style w:type="table" w:customStyle="1" w:styleId="TableGrid1">
    <w:name w:val="Table Grid1"/>
    <w:basedOn w:val="TableNormal"/>
    <w:next w:val="TableGrid"/>
    <w:uiPriority w:val="39"/>
    <w:rsid w:val="005F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paragraph" w:styleId="Heading2">
    <w:name w:val="heading 2"/>
    <w:basedOn w:val="Normal"/>
    <w:next w:val="Normal"/>
    <w:link w:val="Heading2Char"/>
    <w:uiPriority w:val="9"/>
    <w:semiHidden/>
    <w:unhideWhenUsed/>
    <w:qFormat/>
    <w:rsid w:val="007370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link w:val="Heading5Char"/>
    <w:uiPriority w:val="9"/>
    <w:qFormat/>
    <w:rsid w:val="005B0185"/>
    <w:pPr>
      <w:spacing w:before="100" w:beforeAutospacing="1" w:after="100" w:afterAutospacing="1" w:line="240" w:lineRule="auto"/>
      <w:outlineLvl w:val="4"/>
    </w:pPr>
    <w:rPr>
      <w:rFonts w:ascii="Times New Roman" w:eastAsia="Times New Roman" w:hAnsi="Times New Roman" w:cs="Times New Roman"/>
      <w:b/>
      <w:bCs/>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B0185"/>
    <w:rPr>
      <w:rFonts w:ascii="Times New Roman" w:eastAsia="Times New Roman" w:hAnsi="Times New Roman" w:cs="Times New Roman"/>
      <w:b/>
      <w:bCs/>
      <w:sz w:val="20"/>
      <w:szCs w:val="20"/>
      <w:lang w:val="bg-BG" w:eastAsia="bg-BG"/>
    </w:rPr>
  </w:style>
  <w:style w:type="character" w:customStyle="1" w:styleId="Heading2Char">
    <w:name w:val="Heading 2 Char"/>
    <w:basedOn w:val="DefaultParagraphFont"/>
    <w:link w:val="Heading2"/>
    <w:uiPriority w:val="9"/>
    <w:semiHidden/>
    <w:rsid w:val="00737092"/>
    <w:rPr>
      <w:rFonts w:asciiTheme="majorHAnsi" w:eastAsiaTheme="majorEastAsia" w:hAnsiTheme="majorHAnsi" w:cstheme="majorBidi"/>
      <w:color w:val="2F5496" w:themeColor="accent1" w:themeShade="BF"/>
      <w:sz w:val="26"/>
      <w:szCs w:val="26"/>
      <w:lang w:val="bg-BG"/>
    </w:rPr>
  </w:style>
  <w:style w:type="table" w:styleId="TableGrid">
    <w:name w:val="Table Grid"/>
    <w:basedOn w:val="TableNormal"/>
    <w:uiPriority w:val="39"/>
    <w:rsid w:val="00EA3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3AC2"/>
    <w:rPr>
      <w:color w:val="0563C1" w:themeColor="hyperlink"/>
      <w:u w:val="single"/>
    </w:rPr>
  </w:style>
  <w:style w:type="character" w:customStyle="1" w:styleId="UnresolvedMention1">
    <w:name w:val="Unresolved Mention1"/>
    <w:basedOn w:val="DefaultParagraphFont"/>
    <w:uiPriority w:val="99"/>
    <w:semiHidden/>
    <w:unhideWhenUsed/>
    <w:rsid w:val="00EA3AC2"/>
    <w:rPr>
      <w:color w:val="605E5C"/>
      <w:shd w:val="clear" w:color="auto" w:fill="E1DFDD"/>
    </w:rPr>
  </w:style>
  <w:style w:type="character" w:styleId="PlaceholderText">
    <w:name w:val="Placeholder Text"/>
    <w:basedOn w:val="DefaultParagraphFont"/>
    <w:uiPriority w:val="99"/>
    <w:semiHidden/>
    <w:rsid w:val="00EA3AC2"/>
    <w:rPr>
      <w:color w:val="808080"/>
    </w:rPr>
  </w:style>
  <w:style w:type="paragraph" w:styleId="Revision">
    <w:name w:val="Revision"/>
    <w:hidden/>
    <w:uiPriority w:val="99"/>
    <w:semiHidden/>
    <w:rsid w:val="00DC5497"/>
    <w:pPr>
      <w:spacing w:after="0" w:line="240" w:lineRule="auto"/>
    </w:pPr>
    <w:rPr>
      <w:lang w:val="bg-BG"/>
    </w:rPr>
  </w:style>
  <w:style w:type="paragraph" w:styleId="BalloonText">
    <w:name w:val="Balloon Text"/>
    <w:basedOn w:val="Normal"/>
    <w:link w:val="BalloonTextChar"/>
    <w:uiPriority w:val="99"/>
    <w:semiHidden/>
    <w:unhideWhenUsed/>
    <w:rsid w:val="00C9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51D5"/>
    <w:rPr>
      <w:rFonts w:ascii="Segoe UI" w:hAnsi="Segoe UI" w:cs="Segoe UI"/>
      <w:sz w:val="18"/>
      <w:szCs w:val="18"/>
      <w:lang w:val="bg-BG"/>
    </w:rPr>
  </w:style>
  <w:style w:type="character" w:styleId="CommentReference">
    <w:name w:val="annotation reference"/>
    <w:basedOn w:val="DefaultParagraphFont"/>
    <w:uiPriority w:val="99"/>
    <w:semiHidden/>
    <w:unhideWhenUsed/>
    <w:rsid w:val="00C951D5"/>
    <w:rPr>
      <w:sz w:val="16"/>
      <w:szCs w:val="16"/>
    </w:rPr>
  </w:style>
  <w:style w:type="paragraph" w:styleId="CommentText">
    <w:name w:val="annotation text"/>
    <w:basedOn w:val="Normal"/>
    <w:link w:val="CommentTextChar"/>
    <w:uiPriority w:val="99"/>
    <w:unhideWhenUsed/>
    <w:rsid w:val="00C951D5"/>
    <w:pPr>
      <w:spacing w:line="240" w:lineRule="auto"/>
    </w:pPr>
    <w:rPr>
      <w:sz w:val="20"/>
      <w:szCs w:val="20"/>
    </w:rPr>
  </w:style>
  <w:style w:type="character" w:customStyle="1" w:styleId="CommentTextChar">
    <w:name w:val="Comment Text Char"/>
    <w:basedOn w:val="DefaultParagraphFont"/>
    <w:link w:val="CommentText"/>
    <w:uiPriority w:val="99"/>
    <w:rsid w:val="00C951D5"/>
    <w:rPr>
      <w:sz w:val="20"/>
      <w:szCs w:val="20"/>
      <w:lang w:val="bg-BG"/>
    </w:rPr>
  </w:style>
  <w:style w:type="paragraph" w:styleId="CommentSubject">
    <w:name w:val="annotation subject"/>
    <w:basedOn w:val="CommentText"/>
    <w:next w:val="CommentText"/>
    <w:link w:val="CommentSubjectChar"/>
    <w:uiPriority w:val="99"/>
    <w:semiHidden/>
    <w:unhideWhenUsed/>
    <w:rsid w:val="00C951D5"/>
    <w:rPr>
      <w:b/>
      <w:bCs/>
    </w:rPr>
  </w:style>
  <w:style w:type="character" w:customStyle="1" w:styleId="CommentSubjectChar">
    <w:name w:val="Comment Subject Char"/>
    <w:basedOn w:val="CommentTextChar"/>
    <w:link w:val="CommentSubject"/>
    <w:uiPriority w:val="99"/>
    <w:semiHidden/>
    <w:rsid w:val="00C951D5"/>
    <w:rPr>
      <w:b/>
      <w:bCs/>
      <w:sz w:val="20"/>
      <w:szCs w:val="20"/>
      <w:lang w:val="bg-BG"/>
    </w:rPr>
  </w:style>
  <w:style w:type="paragraph" w:styleId="ListParagraph">
    <w:name w:val="List Paragraph"/>
    <w:basedOn w:val="Normal"/>
    <w:uiPriority w:val="34"/>
    <w:qFormat/>
    <w:rsid w:val="007B2A70"/>
    <w:pPr>
      <w:ind w:left="720"/>
      <w:contextualSpacing/>
    </w:pPr>
  </w:style>
  <w:style w:type="paragraph" w:styleId="Header">
    <w:name w:val="header"/>
    <w:basedOn w:val="Normal"/>
    <w:link w:val="HeaderChar"/>
    <w:uiPriority w:val="99"/>
    <w:unhideWhenUsed/>
    <w:rsid w:val="003A30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3083"/>
    <w:rPr>
      <w:lang w:val="bg-BG"/>
    </w:rPr>
  </w:style>
  <w:style w:type="paragraph" w:styleId="Footer">
    <w:name w:val="footer"/>
    <w:basedOn w:val="Normal"/>
    <w:link w:val="FooterChar"/>
    <w:uiPriority w:val="99"/>
    <w:unhideWhenUsed/>
    <w:rsid w:val="003A30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3083"/>
    <w:rPr>
      <w:lang w:val="bg-BG"/>
    </w:rPr>
  </w:style>
  <w:style w:type="table" w:customStyle="1" w:styleId="TableGrid1">
    <w:name w:val="Table Grid1"/>
    <w:basedOn w:val="TableNormal"/>
    <w:next w:val="TableGrid"/>
    <w:uiPriority w:val="39"/>
    <w:rsid w:val="005F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59589">
      <w:bodyDiv w:val="1"/>
      <w:marLeft w:val="0"/>
      <w:marRight w:val="0"/>
      <w:marTop w:val="0"/>
      <w:marBottom w:val="0"/>
      <w:divBdr>
        <w:top w:val="none" w:sz="0" w:space="0" w:color="auto"/>
        <w:left w:val="none" w:sz="0" w:space="0" w:color="auto"/>
        <w:bottom w:val="none" w:sz="0" w:space="0" w:color="auto"/>
        <w:right w:val="none" w:sz="0" w:space="0" w:color="auto"/>
      </w:divBdr>
    </w:div>
    <w:div w:id="240220738">
      <w:bodyDiv w:val="1"/>
      <w:marLeft w:val="0"/>
      <w:marRight w:val="0"/>
      <w:marTop w:val="0"/>
      <w:marBottom w:val="0"/>
      <w:divBdr>
        <w:top w:val="none" w:sz="0" w:space="0" w:color="auto"/>
        <w:left w:val="none" w:sz="0" w:space="0" w:color="auto"/>
        <w:bottom w:val="none" w:sz="0" w:space="0" w:color="auto"/>
        <w:right w:val="none" w:sz="0" w:space="0" w:color="auto"/>
      </w:divBdr>
    </w:div>
    <w:div w:id="242304781">
      <w:bodyDiv w:val="1"/>
      <w:marLeft w:val="0"/>
      <w:marRight w:val="0"/>
      <w:marTop w:val="0"/>
      <w:marBottom w:val="0"/>
      <w:divBdr>
        <w:top w:val="none" w:sz="0" w:space="0" w:color="auto"/>
        <w:left w:val="none" w:sz="0" w:space="0" w:color="auto"/>
        <w:bottom w:val="none" w:sz="0" w:space="0" w:color="auto"/>
        <w:right w:val="none" w:sz="0" w:space="0" w:color="auto"/>
      </w:divBdr>
    </w:div>
    <w:div w:id="311522124">
      <w:bodyDiv w:val="1"/>
      <w:marLeft w:val="0"/>
      <w:marRight w:val="0"/>
      <w:marTop w:val="0"/>
      <w:marBottom w:val="0"/>
      <w:divBdr>
        <w:top w:val="none" w:sz="0" w:space="0" w:color="auto"/>
        <w:left w:val="none" w:sz="0" w:space="0" w:color="auto"/>
        <w:bottom w:val="none" w:sz="0" w:space="0" w:color="auto"/>
        <w:right w:val="none" w:sz="0" w:space="0" w:color="auto"/>
      </w:divBdr>
    </w:div>
    <w:div w:id="375203218">
      <w:bodyDiv w:val="1"/>
      <w:marLeft w:val="0"/>
      <w:marRight w:val="0"/>
      <w:marTop w:val="0"/>
      <w:marBottom w:val="0"/>
      <w:divBdr>
        <w:top w:val="none" w:sz="0" w:space="0" w:color="auto"/>
        <w:left w:val="none" w:sz="0" w:space="0" w:color="auto"/>
        <w:bottom w:val="none" w:sz="0" w:space="0" w:color="auto"/>
        <w:right w:val="none" w:sz="0" w:space="0" w:color="auto"/>
      </w:divBdr>
    </w:div>
    <w:div w:id="565146121">
      <w:bodyDiv w:val="1"/>
      <w:marLeft w:val="0"/>
      <w:marRight w:val="0"/>
      <w:marTop w:val="0"/>
      <w:marBottom w:val="0"/>
      <w:divBdr>
        <w:top w:val="none" w:sz="0" w:space="0" w:color="auto"/>
        <w:left w:val="none" w:sz="0" w:space="0" w:color="auto"/>
        <w:bottom w:val="none" w:sz="0" w:space="0" w:color="auto"/>
        <w:right w:val="none" w:sz="0" w:space="0" w:color="auto"/>
      </w:divBdr>
    </w:div>
    <w:div w:id="633869081">
      <w:bodyDiv w:val="1"/>
      <w:marLeft w:val="0"/>
      <w:marRight w:val="0"/>
      <w:marTop w:val="0"/>
      <w:marBottom w:val="0"/>
      <w:divBdr>
        <w:top w:val="none" w:sz="0" w:space="0" w:color="auto"/>
        <w:left w:val="none" w:sz="0" w:space="0" w:color="auto"/>
        <w:bottom w:val="none" w:sz="0" w:space="0" w:color="auto"/>
        <w:right w:val="none" w:sz="0" w:space="0" w:color="auto"/>
      </w:divBdr>
    </w:div>
    <w:div w:id="755976515">
      <w:bodyDiv w:val="1"/>
      <w:marLeft w:val="0"/>
      <w:marRight w:val="0"/>
      <w:marTop w:val="0"/>
      <w:marBottom w:val="0"/>
      <w:divBdr>
        <w:top w:val="none" w:sz="0" w:space="0" w:color="auto"/>
        <w:left w:val="none" w:sz="0" w:space="0" w:color="auto"/>
        <w:bottom w:val="none" w:sz="0" w:space="0" w:color="auto"/>
        <w:right w:val="none" w:sz="0" w:space="0" w:color="auto"/>
      </w:divBdr>
    </w:div>
    <w:div w:id="801582878">
      <w:bodyDiv w:val="1"/>
      <w:marLeft w:val="0"/>
      <w:marRight w:val="0"/>
      <w:marTop w:val="0"/>
      <w:marBottom w:val="0"/>
      <w:divBdr>
        <w:top w:val="none" w:sz="0" w:space="0" w:color="auto"/>
        <w:left w:val="none" w:sz="0" w:space="0" w:color="auto"/>
        <w:bottom w:val="none" w:sz="0" w:space="0" w:color="auto"/>
        <w:right w:val="none" w:sz="0" w:space="0" w:color="auto"/>
      </w:divBdr>
      <w:divsChild>
        <w:div w:id="726491541">
          <w:marLeft w:val="0"/>
          <w:marRight w:val="0"/>
          <w:marTop w:val="0"/>
          <w:marBottom w:val="0"/>
          <w:divBdr>
            <w:top w:val="none" w:sz="0" w:space="0" w:color="auto"/>
            <w:left w:val="none" w:sz="0" w:space="0" w:color="auto"/>
            <w:bottom w:val="none" w:sz="0" w:space="0" w:color="auto"/>
            <w:right w:val="none" w:sz="0" w:space="0" w:color="auto"/>
          </w:divBdr>
        </w:div>
      </w:divsChild>
    </w:div>
    <w:div w:id="816800234">
      <w:bodyDiv w:val="1"/>
      <w:marLeft w:val="0"/>
      <w:marRight w:val="0"/>
      <w:marTop w:val="0"/>
      <w:marBottom w:val="0"/>
      <w:divBdr>
        <w:top w:val="none" w:sz="0" w:space="0" w:color="auto"/>
        <w:left w:val="none" w:sz="0" w:space="0" w:color="auto"/>
        <w:bottom w:val="none" w:sz="0" w:space="0" w:color="auto"/>
        <w:right w:val="none" w:sz="0" w:space="0" w:color="auto"/>
      </w:divBdr>
    </w:div>
    <w:div w:id="914439831">
      <w:bodyDiv w:val="1"/>
      <w:marLeft w:val="0"/>
      <w:marRight w:val="0"/>
      <w:marTop w:val="0"/>
      <w:marBottom w:val="0"/>
      <w:divBdr>
        <w:top w:val="none" w:sz="0" w:space="0" w:color="auto"/>
        <w:left w:val="none" w:sz="0" w:space="0" w:color="auto"/>
        <w:bottom w:val="none" w:sz="0" w:space="0" w:color="auto"/>
        <w:right w:val="none" w:sz="0" w:space="0" w:color="auto"/>
      </w:divBdr>
    </w:div>
    <w:div w:id="988364881">
      <w:bodyDiv w:val="1"/>
      <w:marLeft w:val="0"/>
      <w:marRight w:val="0"/>
      <w:marTop w:val="0"/>
      <w:marBottom w:val="0"/>
      <w:divBdr>
        <w:top w:val="none" w:sz="0" w:space="0" w:color="auto"/>
        <w:left w:val="none" w:sz="0" w:space="0" w:color="auto"/>
        <w:bottom w:val="none" w:sz="0" w:space="0" w:color="auto"/>
        <w:right w:val="none" w:sz="0" w:space="0" w:color="auto"/>
      </w:divBdr>
    </w:div>
    <w:div w:id="1045527689">
      <w:bodyDiv w:val="1"/>
      <w:marLeft w:val="0"/>
      <w:marRight w:val="0"/>
      <w:marTop w:val="0"/>
      <w:marBottom w:val="0"/>
      <w:divBdr>
        <w:top w:val="none" w:sz="0" w:space="0" w:color="auto"/>
        <w:left w:val="none" w:sz="0" w:space="0" w:color="auto"/>
        <w:bottom w:val="none" w:sz="0" w:space="0" w:color="auto"/>
        <w:right w:val="none" w:sz="0" w:space="0" w:color="auto"/>
      </w:divBdr>
    </w:div>
    <w:div w:id="1115708558">
      <w:bodyDiv w:val="1"/>
      <w:marLeft w:val="0"/>
      <w:marRight w:val="0"/>
      <w:marTop w:val="0"/>
      <w:marBottom w:val="0"/>
      <w:divBdr>
        <w:top w:val="none" w:sz="0" w:space="0" w:color="auto"/>
        <w:left w:val="none" w:sz="0" w:space="0" w:color="auto"/>
        <w:bottom w:val="none" w:sz="0" w:space="0" w:color="auto"/>
        <w:right w:val="none" w:sz="0" w:space="0" w:color="auto"/>
      </w:divBdr>
    </w:div>
    <w:div w:id="1133207277">
      <w:bodyDiv w:val="1"/>
      <w:marLeft w:val="0"/>
      <w:marRight w:val="0"/>
      <w:marTop w:val="0"/>
      <w:marBottom w:val="0"/>
      <w:divBdr>
        <w:top w:val="none" w:sz="0" w:space="0" w:color="auto"/>
        <w:left w:val="none" w:sz="0" w:space="0" w:color="auto"/>
        <w:bottom w:val="none" w:sz="0" w:space="0" w:color="auto"/>
        <w:right w:val="none" w:sz="0" w:space="0" w:color="auto"/>
      </w:divBdr>
    </w:div>
    <w:div w:id="1133904100">
      <w:bodyDiv w:val="1"/>
      <w:marLeft w:val="0"/>
      <w:marRight w:val="0"/>
      <w:marTop w:val="0"/>
      <w:marBottom w:val="0"/>
      <w:divBdr>
        <w:top w:val="none" w:sz="0" w:space="0" w:color="auto"/>
        <w:left w:val="none" w:sz="0" w:space="0" w:color="auto"/>
        <w:bottom w:val="none" w:sz="0" w:space="0" w:color="auto"/>
        <w:right w:val="none" w:sz="0" w:space="0" w:color="auto"/>
      </w:divBdr>
    </w:div>
    <w:div w:id="1911840879">
      <w:bodyDiv w:val="1"/>
      <w:marLeft w:val="0"/>
      <w:marRight w:val="0"/>
      <w:marTop w:val="0"/>
      <w:marBottom w:val="0"/>
      <w:divBdr>
        <w:top w:val="none" w:sz="0" w:space="0" w:color="auto"/>
        <w:left w:val="none" w:sz="0" w:space="0" w:color="auto"/>
        <w:bottom w:val="none" w:sz="0" w:space="0" w:color="auto"/>
        <w:right w:val="none" w:sz="0" w:space="0" w:color="auto"/>
      </w:divBdr>
    </w:div>
    <w:div w:id="2024478016">
      <w:bodyDiv w:val="1"/>
      <w:marLeft w:val="0"/>
      <w:marRight w:val="0"/>
      <w:marTop w:val="0"/>
      <w:marBottom w:val="0"/>
      <w:divBdr>
        <w:top w:val="none" w:sz="0" w:space="0" w:color="auto"/>
        <w:left w:val="none" w:sz="0" w:space="0" w:color="auto"/>
        <w:bottom w:val="none" w:sz="0" w:space="0" w:color="auto"/>
        <w:right w:val="none" w:sz="0" w:space="0" w:color="auto"/>
      </w:divBdr>
    </w:div>
    <w:div w:id="203156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8E8B8-FBE8-47A5-8159-258914B0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1491</Words>
  <Characters>8504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Zhasmina Avramova</cp:lastModifiedBy>
  <cp:revision>27</cp:revision>
  <dcterms:created xsi:type="dcterms:W3CDTF">2024-01-29T14:00:00Z</dcterms:created>
  <dcterms:modified xsi:type="dcterms:W3CDTF">2024-10-15T12:38:00Z</dcterms:modified>
</cp:coreProperties>
</file>