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B37" w:rsidRDefault="00EB1B37" w:rsidP="00D97F8A">
      <w:pPr>
        <w:spacing w:line="276" w:lineRule="auto"/>
        <w:jc w:val="center"/>
        <w:rPr>
          <w:b/>
          <w:lang w:val="bg-BG"/>
        </w:rPr>
      </w:pPr>
    </w:p>
    <w:p w:rsidR="00D97F8A" w:rsidRDefault="005F44E0" w:rsidP="00D97F8A">
      <w:pPr>
        <w:spacing w:line="276" w:lineRule="auto"/>
        <w:jc w:val="center"/>
        <w:rPr>
          <w:b/>
          <w:lang w:val="bg-BG"/>
        </w:rPr>
      </w:pPr>
      <w:r w:rsidRPr="005F44E0">
        <w:rPr>
          <w:b/>
          <w:lang w:val="bg-BG"/>
        </w:rPr>
        <w:t xml:space="preserve">СПИСЪК НА ПРОЕКТНИТЕ ПРЕДЛОЖЕНИЯ, КОИТО НЕ СЕ ДОПУСКАТ ДО </w:t>
      </w:r>
      <w:r w:rsidR="00D97F8A" w:rsidRPr="005F44E0">
        <w:rPr>
          <w:b/>
          <w:lang w:val="bg-BG"/>
        </w:rPr>
        <w:t>ТЕХНИЧЕСКА И ФИНАНСОВА ОЦЕНКА</w:t>
      </w:r>
      <w:r w:rsidR="00D97F8A">
        <w:rPr>
          <w:b/>
          <w:lang w:val="bg-BG"/>
        </w:rPr>
        <w:t xml:space="preserve"> </w:t>
      </w:r>
      <w:r w:rsidR="00D97F8A" w:rsidRPr="00CC762D">
        <w:rPr>
          <w:b/>
          <w:lang w:val="bg-BG"/>
        </w:rPr>
        <w:t xml:space="preserve">ПО </w:t>
      </w:r>
      <w:r w:rsidR="00D97F8A">
        <w:rPr>
          <w:b/>
          <w:lang w:val="bg-BG"/>
        </w:rPr>
        <w:t xml:space="preserve">ПРОЦЕДУРА </w:t>
      </w:r>
      <w:r w:rsidR="00D97F8A" w:rsidRPr="00CC762D">
        <w:rPr>
          <w:b/>
          <w:lang w:val="bg-BG"/>
        </w:rPr>
        <w:t>ЗА ПРЕДОСТАВЯНЕ НА БЕЗВЪЗМ</w:t>
      </w:r>
      <w:r w:rsidR="00D97F8A">
        <w:rPr>
          <w:b/>
          <w:lang w:val="bg-BG"/>
        </w:rPr>
        <w:t>Е</w:t>
      </w:r>
      <w:r w:rsidR="00D97F8A" w:rsidRPr="00CC762D">
        <w:rPr>
          <w:b/>
          <w:lang w:val="bg-BG"/>
        </w:rPr>
        <w:t>ЗДНА ФИНАНСОВА ПОМОЩ</w:t>
      </w:r>
      <w:r w:rsidR="00F8225D" w:rsidRPr="00D4145E">
        <w:rPr>
          <w:b/>
          <w:lang w:val="bg-BG"/>
        </w:rPr>
        <w:t xml:space="preserve"> </w:t>
      </w:r>
      <w:bookmarkStart w:id="0" w:name="_GoBack"/>
      <w:r w:rsidR="00D97F8A">
        <w:rPr>
          <w:b/>
          <w:lang w:val="bg-BG"/>
        </w:rPr>
        <w:t>№</w:t>
      </w:r>
      <w:r w:rsidR="009E369F">
        <w:rPr>
          <w:b/>
          <w:lang w:val="bg-BG"/>
        </w:rPr>
        <w:t xml:space="preserve"> </w:t>
      </w:r>
      <w:r w:rsidR="00710DE8">
        <w:rPr>
          <w:b/>
          <w:lang w:val="bg-BG"/>
        </w:rPr>
        <w:t>BG14MFPR001-2.002-</w:t>
      </w:r>
      <w:r w:rsidR="00D7495B" w:rsidRPr="002D643D">
        <w:rPr>
          <w:b/>
          <w:lang w:val="bg-BG"/>
        </w:rPr>
        <w:t>S</w:t>
      </w:r>
      <w:r w:rsidR="00D7495B">
        <w:rPr>
          <w:b/>
          <w:lang w:val="en-US"/>
        </w:rPr>
        <w:t>2</w:t>
      </w:r>
      <w:r w:rsidR="00781AF4">
        <w:rPr>
          <w:b/>
          <w:lang w:val="en-US"/>
        </w:rPr>
        <w:t xml:space="preserve"> </w:t>
      </w:r>
      <w:r w:rsidR="00781AF4" w:rsidRPr="002D643D">
        <w:rPr>
          <w:b/>
          <w:lang w:val="bg-BG"/>
        </w:rPr>
        <w:t>„ПРОДУКТИВНИ ИНВЕСТИ</w:t>
      </w:r>
      <w:r w:rsidR="00781AF4">
        <w:rPr>
          <w:b/>
          <w:lang w:val="bg-BG"/>
        </w:rPr>
        <w:t>ЦИИ И ИНОВАЦИИ В АКВАКУЛТУРИТЕ“</w:t>
      </w:r>
      <w:r w:rsidR="00781AF4" w:rsidRPr="00D4145E">
        <w:rPr>
          <w:b/>
          <w:lang w:val="bg-BG"/>
        </w:rPr>
        <w:t xml:space="preserve"> </w:t>
      </w:r>
      <w:bookmarkEnd w:id="0"/>
      <w:r w:rsidR="00D97F8A" w:rsidRPr="00D97F8A">
        <w:rPr>
          <w:b/>
          <w:lang w:val="bg-BG"/>
        </w:rPr>
        <w:t>ПО ПРОГРАМАТА ЗА МОРСКО ДЕЛО, РИБАРСТВО И АКВАКУЛТУРИ 2021-2027 (ПМДРА)</w:t>
      </w:r>
    </w:p>
    <w:p w:rsidR="00EB1B37" w:rsidRDefault="00EB1B37" w:rsidP="00D97F8A">
      <w:pPr>
        <w:spacing w:line="276" w:lineRule="auto"/>
        <w:jc w:val="center"/>
        <w:rPr>
          <w:b/>
          <w:lang w:val="bg-BG"/>
        </w:rPr>
      </w:pPr>
    </w:p>
    <w:p w:rsidR="00877A5F" w:rsidRDefault="00877A5F" w:rsidP="00A940B8">
      <w:pPr>
        <w:jc w:val="center"/>
        <w:rPr>
          <w:b/>
          <w:lang w:val="bg-BG"/>
        </w:rPr>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269"/>
        <w:gridCol w:w="1984"/>
        <w:gridCol w:w="2410"/>
        <w:gridCol w:w="8788"/>
      </w:tblGrid>
      <w:tr w:rsidR="00D7495B" w:rsidRPr="00D7495B" w:rsidTr="00452D77">
        <w:tc>
          <w:tcPr>
            <w:tcW w:w="567" w:type="dxa"/>
            <w:shd w:val="clear" w:color="auto" w:fill="auto"/>
          </w:tcPr>
          <w:p w:rsidR="00091A0B" w:rsidRPr="00542E98" w:rsidRDefault="00091A0B" w:rsidP="00E76FC7">
            <w:pPr>
              <w:jc w:val="center"/>
              <w:rPr>
                <w:b/>
                <w:sz w:val="20"/>
                <w:szCs w:val="20"/>
                <w:lang w:val="bg-BG"/>
              </w:rPr>
            </w:pPr>
            <w:r w:rsidRPr="00542E98">
              <w:rPr>
                <w:b/>
                <w:sz w:val="20"/>
                <w:szCs w:val="20"/>
                <w:lang w:val="bg-BG"/>
              </w:rPr>
              <w:t>№</w:t>
            </w:r>
          </w:p>
        </w:tc>
        <w:tc>
          <w:tcPr>
            <w:tcW w:w="2269" w:type="dxa"/>
            <w:shd w:val="clear" w:color="auto" w:fill="auto"/>
          </w:tcPr>
          <w:p w:rsidR="00091A0B" w:rsidRPr="00542E98" w:rsidRDefault="004A41E4" w:rsidP="004A41E4">
            <w:pPr>
              <w:jc w:val="center"/>
              <w:rPr>
                <w:b/>
                <w:sz w:val="20"/>
                <w:szCs w:val="20"/>
                <w:lang w:val="bg-BG"/>
              </w:rPr>
            </w:pPr>
            <w:r w:rsidRPr="00542E98">
              <w:rPr>
                <w:b/>
                <w:sz w:val="20"/>
                <w:szCs w:val="20"/>
                <w:lang w:val="bg-BG"/>
              </w:rPr>
              <w:t>Рег. № на п</w:t>
            </w:r>
            <w:r w:rsidR="00091A0B" w:rsidRPr="00542E98">
              <w:rPr>
                <w:b/>
                <w:sz w:val="20"/>
                <w:szCs w:val="20"/>
                <w:lang w:val="bg-BG"/>
              </w:rPr>
              <w:t>роектно</w:t>
            </w:r>
            <w:r w:rsidRPr="00542E98">
              <w:rPr>
                <w:b/>
                <w:sz w:val="20"/>
                <w:szCs w:val="20"/>
                <w:lang w:val="bg-BG"/>
              </w:rPr>
              <w:t>то</w:t>
            </w:r>
            <w:r w:rsidR="00091A0B" w:rsidRPr="00542E98">
              <w:rPr>
                <w:b/>
                <w:sz w:val="20"/>
                <w:szCs w:val="20"/>
                <w:lang w:val="bg-BG"/>
              </w:rPr>
              <w:t xml:space="preserve"> предложение </w:t>
            </w:r>
          </w:p>
        </w:tc>
        <w:tc>
          <w:tcPr>
            <w:tcW w:w="1984" w:type="dxa"/>
            <w:shd w:val="clear" w:color="auto" w:fill="auto"/>
          </w:tcPr>
          <w:p w:rsidR="00091A0B" w:rsidRPr="00542E98" w:rsidRDefault="00992D76" w:rsidP="00E76FC7">
            <w:pPr>
              <w:jc w:val="center"/>
              <w:rPr>
                <w:b/>
                <w:sz w:val="20"/>
                <w:szCs w:val="20"/>
                <w:lang w:val="bg-BG"/>
              </w:rPr>
            </w:pPr>
            <w:r w:rsidRPr="00542E98">
              <w:rPr>
                <w:b/>
                <w:sz w:val="20"/>
                <w:szCs w:val="20"/>
                <w:lang w:val="bg-BG"/>
              </w:rPr>
              <w:t>Наименование на кандидата</w:t>
            </w:r>
          </w:p>
        </w:tc>
        <w:tc>
          <w:tcPr>
            <w:tcW w:w="2410" w:type="dxa"/>
            <w:shd w:val="clear" w:color="auto" w:fill="auto"/>
          </w:tcPr>
          <w:p w:rsidR="00091A0B" w:rsidRPr="00542E98" w:rsidRDefault="00992D76" w:rsidP="00E76FC7">
            <w:pPr>
              <w:jc w:val="center"/>
              <w:rPr>
                <w:b/>
                <w:sz w:val="20"/>
                <w:szCs w:val="20"/>
                <w:lang w:val="bg-BG"/>
              </w:rPr>
            </w:pPr>
            <w:r w:rsidRPr="00542E98">
              <w:rPr>
                <w:b/>
                <w:sz w:val="20"/>
                <w:szCs w:val="20"/>
                <w:lang w:val="bg-BG"/>
              </w:rPr>
              <w:t>Наименование на проектното предложение</w:t>
            </w:r>
          </w:p>
        </w:tc>
        <w:tc>
          <w:tcPr>
            <w:tcW w:w="8788" w:type="dxa"/>
            <w:shd w:val="clear" w:color="auto" w:fill="auto"/>
          </w:tcPr>
          <w:p w:rsidR="00091A0B" w:rsidRPr="00542E98" w:rsidRDefault="002D157D" w:rsidP="00E76FC7">
            <w:pPr>
              <w:jc w:val="center"/>
              <w:rPr>
                <w:b/>
                <w:sz w:val="20"/>
                <w:szCs w:val="20"/>
                <w:lang w:val="bg-BG"/>
              </w:rPr>
            </w:pPr>
            <w:r w:rsidRPr="00542E98">
              <w:rPr>
                <w:b/>
                <w:sz w:val="20"/>
                <w:szCs w:val="20"/>
                <w:lang w:val="bg-BG"/>
              </w:rPr>
              <w:t>Основание за отхвър</w:t>
            </w:r>
            <w:r w:rsidR="00992D76" w:rsidRPr="00542E98">
              <w:rPr>
                <w:b/>
                <w:sz w:val="20"/>
                <w:szCs w:val="20"/>
                <w:lang w:val="bg-BG"/>
              </w:rPr>
              <w:t>ляне</w:t>
            </w:r>
          </w:p>
          <w:p w:rsidR="00331586" w:rsidRPr="00542E98" w:rsidRDefault="00331586" w:rsidP="00E76FC7">
            <w:pPr>
              <w:jc w:val="center"/>
              <w:rPr>
                <w:b/>
                <w:i/>
                <w:sz w:val="20"/>
                <w:szCs w:val="20"/>
                <w:lang w:val="bg-BG"/>
              </w:rPr>
            </w:pPr>
            <w:r w:rsidRPr="00542E98">
              <w:rPr>
                <w:b/>
                <w:i/>
                <w:sz w:val="20"/>
                <w:szCs w:val="20"/>
                <w:lang w:val="bg-BG"/>
              </w:rPr>
              <w:t xml:space="preserve">(посочват се конкретните основания, а не само препратки към документите и условията, които не са изпълнени) </w:t>
            </w:r>
          </w:p>
        </w:tc>
      </w:tr>
      <w:tr w:rsidR="00D7495B" w:rsidRPr="00D7495B" w:rsidTr="00452D77">
        <w:tc>
          <w:tcPr>
            <w:tcW w:w="567" w:type="dxa"/>
            <w:shd w:val="clear" w:color="auto" w:fill="auto"/>
          </w:tcPr>
          <w:p w:rsidR="00091A0B" w:rsidRPr="00452D77" w:rsidRDefault="00091A0B" w:rsidP="00E76FC7">
            <w:pPr>
              <w:jc w:val="center"/>
              <w:rPr>
                <w:b/>
                <w:color w:val="FF0000"/>
                <w:lang w:val="bg-BG"/>
              </w:rPr>
            </w:pPr>
          </w:p>
        </w:tc>
        <w:tc>
          <w:tcPr>
            <w:tcW w:w="2269" w:type="dxa"/>
            <w:shd w:val="clear" w:color="auto" w:fill="auto"/>
          </w:tcPr>
          <w:p w:rsidR="00091A0B" w:rsidRPr="00452D77" w:rsidRDefault="00091A0B" w:rsidP="00E76FC7">
            <w:pPr>
              <w:jc w:val="center"/>
              <w:rPr>
                <w:b/>
                <w:color w:val="FF0000"/>
                <w:lang w:val="bg-BG"/>
              </w:rPr>
            </w:pPr>
          </w:p>
        </w:tc>
        <w:tc>
          <w:tcPr>
            <w:tcW w:w="1984" w:type="dxa"/>
            <w:shd w:val="clear" w:color="auto" w:fill="auto"/>
          </w:tcPr>
          <w:p w:rsidR="00091A0B" w:rsidRPr="00452D77" w:rsidRDefault="00091A0B" w:rsidP="00E76FC7">
            <w:pPr>
              <w:jc w:val="center"/>
              <w:rPr>
                <w:b/>
                <w:color w:val="FF0000"/>
                <w:lang w:val="bg-BG"/>
              </w:rPr>
            </w:pPr>
          </w:p>
        </w:tc>
        <w:tc>
          <w:tcPr>
            <w:tcW w:w="2410" w:type="dxa"/>
            <w:shd w:val="clear" w:color="auto" w:fill="auto"/>
          </w:tcPr>
          <w:p w:rsidR="00091A0B" w:rsidRPr="00452D77" w:rsidRDefault="00091A0B" w:rsidP="00E76FC7">
            <w:pPr>
              <w:jc w:val="center"/>
              <w:rPr>
                <w:b/>
                <w:color w:val="FF0000"/>
                <w:lang w:val="bg-BG"/>
              </w:rPr>
            </w:pPr>
          </w:p>
        </w:tc>
        <w:tc>
          <w:tcPr>
            <w:tcW w:w="8788" w:type="dxa"/>
            <w:shd w:val="clear" w:color="auto" w:fill="auto"/>
          </w:tcPr>
          <w:p w:rsidR="00091A0B" w:rsidRPr="00452D77" w:rsidRDefault="00091A0B" w:rsidP="00AF1D14">
            <w:pPr>
              <w:spacing w:after="160" w:line="259" w:lineRule="auto"/>
              <w:ind w:firstLine="720"/>
              <w:jc w:val="both"/>
              <w:rPr>
                <w:rFonts w:eastAsia="Calibri"/>
                <w:color w:val="FF0000"/>
                <w:lang w:val="en-US"/>
              </w:rPr>
            </w:pPr>
          </w:p>
        </w:tc>
      </w:tr>
      <w:tr w:rsidR="001C4B26" w:rsidRPr="00D7495B" w:rsidTr="00452D77">
        <w:tc>
          <w:tcPr>
            <w:tcW w:w="567" w:type="dxa"/>
            <w:shd w:val="clear" w:color="auto" w:fill="auto"/>
          </w:tcPr>
          <w:p w:rsidR="001C4B26" w:rsidRDefault="001C4B26" w:rsidP="001C4B26">
            <w:pPr>
              <w:jc w:val="center"/>
              <w:rPr>
                <w:b/>
                <w:color w:val="FF0000"/>
                <w:lang w:val="bg-BG"/>
              </w:rPr>
            </w:pPr>
          </w:p>
          <w:p w:rsidR="00542E98" w:rsidRDefault="00542E98" w:rsidP="001C4B26">
            <w:pPr>
              <w:jc w:val="center"/>
              <w:rPr>
                <w:b/>
                <w:color w:val="FF0000"/>
                <w:lang w:val="bg-BG"/>
              </w:rPr>
            </w:pPr>
          </w:p>
          <w:p w:rsidR="00542E98" w:rsidRDefault="00542E98" w:rsidP="001C4B26">
            <w:pPr>
              <w:jc w:val="center"/>
              <w:rPr>
                <w:b/>
                <w:color w:val="FF0000"/>
                <w:lang w:val="bg-BG"/>
              </w:rPr>
            </w:pPr>
          </w:p>
          <w:p w:rsidR="00542E98" w:rsidRDefault="00542E98" w:rsidP="001C4B26">
            <w:pPr>
              <w:jc w:val="center"/>
              <w:rPr>
                <w:b/>
                <w:color w:val="FF0000"/>
                <w:lang w:val="bg-BG"/>
              </w:rPr>
            </w:pPr>
          </w:p>
          <w:p w:rsidR="00542E98" w:rsidRPr="001C4B26" w:rsidRDefault="00542E98" w:rsidP="001C4B26">
            <w:pPr>
              <w:jc w:val="center"/>
              <w:rPr>
                <w:b/>
                <w:color w:val="FF0000"/>
                <w:lang w:val="bg-BG"/>
              </w:rPr>
            </w:pPr>
            <w:r w:rsidRPr="00542E98">
              <w:rPr>
                <w:b/>
                <w:lang w:val="bg-BG"/>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1C4B26" w:rsidRDefault="001C4B26" w:rsidP="001C4B26">
            <w:pPr>
              <w:rPr>
                <w:color w:val="000000"/>
                <w:lang w:val="en-US"/>
              </w:rPr>
            </w:pPr>
            <w:r>
              <w:rPr>
                <w:color w:val="000000"/>
              </w:rPr>
              <w:t>BG14MFPR001-2.002-0013</w:t>
            </w:r>
          </w:p>
        </w:tc>
        <w:tc>
          <w:tcPr>
            <w:tcW w:w="1984" w:type="dxa"/>
            <w:tcBorders>
              <w:top w:val="single" w:sz="4" w:space="0" w:color="auto"/>
              <w:left w:val="nil"/>
              <w:bottom w:val="single" w:sz="4" w:space="0" w:color="auto"/>
              <w:right w:val="single" w:sz="4" w:space="0" w:color="auto"/>
            </w:tcBorders>
            <w:shd w:val="clear" w:color="auto" w:fill="auto"/>
            <w:vAlign w:val="center"/>
          </w:tcPr>
          <w:p w:rsidR="001C4B26" w:rsidRDefault="001C4B26" w:rsidP="001C4B26">
            <w:pPr>
              <w:rPr>
                <w:color w:val="000000"/>
              </w:rPr>
            </w:pPr>
            <w:r>
              <w:rPr>
                <w:color w:val="000000"/>
                <w:lang w:val="bg-BG"/>
              </w:rPr>
              <w:t>„НОТЕВИ ГРУП“ ЕООД</w:t>
            </w:r>
          </w:p>
        </w:tc>
        <w:tc>
          <w:tcPr>
            <w:tcW w:w="2410" w:type="dxa"/>
            <w:tcBorders>
              <w:top w:val="single" w:sz="4" w:space="0" w:color="auto"/>
              <w:left w:val="nil"/>
              <w:bottom w:val="single" w:sz="4" w:space="0" w:color="auto"/>
              <w:right w:val="single" w:sz="4" w:space="0" w:color="auto"/>
            </w:tcBorders>
            <w:shd w:val="clear" w:color="auto" w:fill="auto"/>
            <w:vAlign w:val="center"/>
          </w:tcPr>
          <w:p w:rsidR="001C4B26" w:rsidRDefault="001C4B26" w:rsidP="001C4B26">
            <w:pPr>
              <w:rPr>
                <w:color w:val="333333"/>
                <w:sz w:val="23"/>
                <w:szCs w:val="23"/>
              </w:rPr>
            </w:pPr>
            <w:r>
              <w:rPr>
                <w:color w:val="333333"/>
                <w:sz w:val="23"/>
                <w:szCs w:val="23"/>
                <w:lang w:val="bg-BG"/>
              </w:rPr>
              <w:t>„Продуктивни инвестиции и иновации в рибното стопанство на "НОТЕВИ ГРУП" ЕООД“</w:t>
            </w:r>
          </w:p>
        </w:tc>
        <w:tc>
          <w:tcPr>
            <w:tcW w:w="8788" w:type="dxa"/>
            <w:shd w:val="clear" w:color="auto" w:fill="auto"/>
          </w:tcPr>
          <w:p w:rsidR="007126CE" w:rsidRPr="007126CE" w:rsidRDefault="007126CE" w:rsidP="007126CE">
            <w:pPr>
              <w:spacing w:after="160" w:line="259" w:lineRule="auto"/>
              <w:ind w:firstLine="720"/>
              <w:jc w:val="both"/>
              <w:rPr>
                <w:rFonts w:eastAsia="Calibri"/>
                <w:lang w:val="bg-BG"/>
              </w:rPr>
            </w:pPr>
            <w:r w:rsidRPr="007126CE">
              <w:rPr>
                <w:rFonts w:eastAsia="Calibri"/>
                <w:lang w:val="bg-BG"/>
              </w:rPr>
              <w:t xml:space="preserve">След извършване на оценка за административно съответствие и допустимост на проектно </w:t>
            </w:r>
            <w:r w:rsidRPr="007126CE">
              <w:rPr>
                <w:rFonts w:eastAsia="Calibri"/>
                <w:color w:val="000000"/>
                <w:lang w:val="bg-BG"/>
              </w:rPr>
              <w:t>предложение №</w:t>
            </w:r>
            <w:r w:rsidRPr="007126CE">
              <w:rPr>
                <w:color w:val="000000"/>
                <w:lang w:val="bg-BG"/>
              </w:rPr>
              <w:t xml:space="preserve"> </w:t>
            </w:r>
            <w:r w:rsidRPr="007126CE">
              <w:rPr>
                <w:rFonts w:eastAsia="Calibri"/>
                <w:color w:val="000000"/>
                <w:lang w:val="bg-BG"/>
              </w:rPr>
              <w:t xml:space="preserve">BG14MFPR001-2.002-0013 </w:t>
            </w:r>
            <w:r w:rsidRPr="007126CE">
              <w:rPr>
                <w:rFonts w:eastAsia="Calibri"/>
                <w:lang w:val="bg-BG"/>
              </w:rPr>
              <w:t xml:space="preserve">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7126CE" w:rsidRPr="007126CE" w:rsidRDefault="007126CE" w:rsidP="007126CE">
            <w:pPr>
              <w:spacing w:line="259" w:lineRule="auto"/>
              <w:ind w:firstLine="720"/>
              <w:jc w:val="both"/>
              <w:rPr>
                <w:rFonts w:eastAsia="Calibri"/>
                <w:lang w:val="bg-BG"/>
              </w:rPr>
            </w:pPr>
            <w:r w:rsidRPr="007126CE">
              <w:rPr>
                <w:rFonts w:eastAsia="Calibri"/>
                <w:lang w:val="bg-BG"/>
              </w:rPr>
              <w:t xml:space="preserve">Проектното предложение не отговаря на Критерий № 13: „Представен е технологичен проект разработен в съответствие с изискванията на Ръководство на </w:t>
            </w:r>
            <w:r w:rsidRPr="007126CE">
              <w:rPr>
                <w:rFonts w:eastAsia="Calibri"/>
                <w:lang w:val="bg-BG"/>
              </w:rPr>
              <w:lastRenderedPageBreak/>
              <w:t>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и на Критерий № 14: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представените Експертни заключения за технологичния проект.“</w:t>
            </w:r>
          </w:p>
          <w:p w:rsidR="007126CE" w:rsidRPr="007126CE" w:rsidRDefault="007126CE" w:rsidP="007126CE">
            <w:pPr>
              <w:spacing w:line="259" w:lineRule="auto"/>
              <w:ind w:firstLine="720"/>
              <w:jc w:val="both"/>
              <w:rPr>
                <w:rFonts w:eastAsia="Calibri"/>
                <w:lang w:val="bg-BG"/>
              </w:rPr>
            </w:pPr>
            <w:r w:rsidRPr="007126CE">
              <w:rPr>
                <w:rFonts w:eastAsia="Calibri"/>
                <w:lang w:val="bg-BG"/>
              </w:rPr>
              <w:t>След извършена оценка за съответствието на технологичния проект с „Ръководство на УО на ПМДРА за изискванията към технологичния проект при инвестиции в обекти за аквакултури“ (Приложение № 22 от настоящите условия за кандидатстване), от определените помощник-оценители е констатирано следното:</w:t>
            </w:r>
          </w:p>
          <w:p w:rsidR="007126CE" w:rsidRPr="007126CE" w:rsidRDefault="007126CE" w:rsidP="007126CE">
            <w:pPr>
              <w:spacing w:line="259" w:lineRule="auto"/>
              <w:ind w:firstLine="720"/>
              <w:jc w:val="both"/>
              <w:rPr>
                <w:rFonts w:eastAsia="Calibri"/>
                <w:lang w:val="bg-BG"/>
              </w:rPr>
            </w:pPr>
            <w:r w:rsidRPr="007126CE">
              <w:rPr>
                <w:rFonts w:eastAsia="Calibri"/>
                <w:lang w:val="bg-BG"/>
              </w:rPr>
              <w:t>Технологичният проект не е изготвен/подписан от експерт с образователна степен и професионален опит, съгласно изискванията на т. 14.1 и т. 25 на Условията за кандидатстване и приложение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p>
          <w:p w:rsidR="007126CE" w:rsidRPr="007126CE" w:rsidRDefault="007126CE" w:rsidP="007126CE">
            <w:pPr>
              <w:spacing w:line="259" w:lineRule="auto"/>
              <w:ind w:firstLine="720"/>
              <w:jc w:val="both"/>
              <w:rPr>
                <w:rFonts w:eastAsia="Calibri"/>
                <w:lang w:val="bg-BG"/>
              </w:rPr>
            </w:pPr>
            <w:r w:rsidRPr="007126CE">
              <w:rPr>
                <w:rFonts w:eastAsia="Calibri"/>
                <w:lang w:val="bg-BG"/>
              </w:rPr>
              <w:lastRenderedPageBreak/>
              <w:t>Технологичният проект на кандидат Нотеви груп ЕООД е изготвен от лице с образователна степен магистър по специалност „Технология на продуктите от месо, яйца и риба“. Също така, предоставеното удостоверение от ФИШ ЕКСПРЕС ЕООД за лицето, изготвило технологичния проект, удостоверява стаж като инженер-технолог в хранително-вкусовата промишленост, но липсва информация за опит в рибовъдството (съответно аквакултурите).</w:t>
            </w:r>
          </w:p>
          <w:p w:rsidR="007126CE" w:rsidRPr="007126CE" w:rsidRDefault="007126CE" w:rsidP="007126CE">
            <w:pPr>
              <w:spacing w:line="259" w:lineRule="auto"/>
              <w:ind w:firstLine="720"/>
              <w:jc w:val="both"/>
              <w:rPr>
                <w:rFonts w:eastAsia="Calibri"/>
                <w:i/>
                <w:lang w:val="bg-BG"/>
              </w:rPr>
            </w:pPr>
            <w:r w:rsidRPr="007126CE">
              <w:rPr>
                <w:rFonts w:eastAsia="Calibri"/>
                <w:lang w:val="bg-BG"/>
              </w:rPr>
              <w:t>Съгласно Раздел 14.1 (Поле Изисквания относно технологичния проект), Раздел 25 на Условията за кандидатстване (УК) и Приложение №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r w:rsidRPr="007126CE">
              <w:rPr>
                <w:rFonts w:eastAsia="Calibri"/>
                <w:i/>
                <w:lang w:val="bg-BG"/>
              </w:rPr>
              <w:t xml:space="preserve"> </w:t>
            </w:r>
            <w:r w:rsidRPr="007126CE">
              <w:rPr>
                <w:rFonts w:eastAsia="Calibri"/>
                <w:lang w:val="bg-BG"/>
              </w:rPr>
              <w:t>технологичният проект следва да бъде съобразен с Ръководството на УО на ПМДРА за изискванията към технологичния проект при инвестиции в обекти за аквакултури.</w:t>
            </w:r>
            <w:r w:rsidRPr="007126CE">
              <w:rPr>
                <w:rFonts w:eastAsia="Calibri"/>
                <w:i/>
                <w:lang w:val="bg-BG"/>
              </w:rPr>
              <w:t xml:space="preserve"> </w:t>
            </w:r>
            <w:r w:rsidRPr="007126CE">
              <w:rPr>
                <w:rFonts w:eastAsia="Calibri"/>
                <w:lang w:val="bg-BG"/>
              </w:rPr>
              <w:t xml:space="preserve">Технологичният проект се изготвя (или съгласува) от експерт с образователна степен „магистър“ или по-висока научна степен (звание) по някоя от следните специалности: рибно стопанство, рибовъдство, аквакултури, ихтиология или друга еквивалентна на изброените, или заемащи академична длъжност в изброените области със стаж по специалността не по-малък от 2 (две) години и специалности хидробиология, зоология и ветеринарна медицина, с образователна </w:t>
            </w:r>
            <w:r w:rsidRPr="007126CE">
              <w:rPr>
                <w:rFonts w:eastAsia="Calibri"/>
                <w:lang w:val="bg-BG"/>
              </w:rPr>
              <w:lastRenderedPageBreak/>
              <w:t>степен „магистър“, които могат да удостоверят професионален опит и трудов стаж в областта на рибарството, не по-малък от 5 (пет) години.</w:t>
            </w:r>
            <w:r w:rsidRPr="007126CE">
              <w:rPr>
                <w:rFonts w:eastAsia="Calibri"/>
                <w:i/>
                <w:lang w:val="bg-BG"/>
              </w:rPr>
              <w:t xml:space="preserve"> </w:t>
            </w:r>
          </w:p>
          <w:p w:rsidR="007126CE" w:rsidRPr="007126CE" w:rsidRDefault="007126CE" w:rsidP="00031306">
            <w:pPr>
              <w:spacing w:line="259" w:lineRule="auto"/>
              <w:ind w:firstLine="720"/>
              <w:jc w:val="both"/>
              <w:rPr>
                <w:rFonts w:eastAsia="Calibri"/>
                <w:lang w:val="bg-BG"/>
              </w:rPr>
            </w:pPr>
            <w:r w:rsidRPr="007126CE">
              <w:rPr>
                <w:rFonts w:eastAsia="Calibri"/>
                <w:lang w:val="bg-BG"/>
              </w:rPr>
              <w:t>Също така, технологичният проект не съдържа цялата изискуема информация по отношение на съдържание, посочена в Приложение №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Липсва основна информация за режима на ползване на водата, за техническото описание на обекта, за профилактика на заболяванията, за санитарно-хигиенни мерки като сериозни пропуски се наблюдават и в технологията на отглеждане. Не е налице информация за храненето, началната посадка, нарастването, единично и крайно тегло, смъртност по етапи на производство за всички от предвидените за отглеждане видове. Сериозно съмнение буди достигането на крайно тегло от 2.5 кг индивидуално тегло за европейския сом при двулетен цикъл на производство само на база естествената рибопродуктивност на водоема.</w:t>
            </w:r>
          </w:p>
          <w:p w:rsidR="007126CE" w:rsidRPr="007126CE" w:rsidRDefault="007126CE" w:rsidP="00031306">
            <w:pPr>
              <w:spacing w:line="259" w:lineRule="auto"/>
              <w:ind w:firstLine="720"/>
              <w:jc w:val="both"/>
              <w:rPr>
                <w:rFonts w:eastAsia="Calibri"/>
                <w:lang w:val="bg-BG"/>
              </w:rPr>
            </w:pPr>
            <w:r w:rsidRPr="007126CE">
              <w:rPr>
                <w:rFonts w:eastAsia="Calibri"/>
                <w:lang w:val="bg-BG"/>
              </w:rPr>
              <w:t xml:space="preserve">Във връзка с горепосоченото, проектното предложение не отговаря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w:t>
            </w:r>
            <w:r w:rsidRPr="007126CE">
              <w:rPr>
                <w:rFonts w:eastAsia="Calibri"/>
                <w:lang w:val="bg-BG"/>
              </w:rPr>
              <w:lastRenderedPageBreak/>
              <w:t>проектни предложения по процедура за подбор на проекти BG14MFPR001-2.002, дейност „Продуктивни инвестиции и иновации в аквакултурите“, по ПМДРА.</w:t>
            </w:r>
          </w:p>
          <w:p w:rsidR="007126CE" w:rsidRPr="007126CE" w:rsidRDefault="007126CE" w:rsidP="00031306">
            <w:pPr>
              <w:spacing w:line="259" w:lineRule="auto"/>
              <w:ind w:firstLine="720"/>
              <w:jc w:val="both"/>
              <w:rPr>
                <w:rFonts w:eastAsia="Calibri"/>
                <w:lang w:val="bg-BG"/>
              </w:rPr>
            </w:pPr>
            <w:r w:rsidRPr="007126CE">
              <w:rPr>
                <w:rFonts w:eastAsia="Calibri"/>
                <w:lang w:val="bg-BG"/>
              </w:rPr>
              <w:t xml:space="preserve">Във връзка с гореописаното, съгласно чл. 34, ал. 2 от ЗУСЕФСУ на кандидата </w:t>
            </w:r>
            <w:r w:rsidRPr="007126CE">
              <w:rPr>
                <w:rFonts w:eastAsia="Calibri"/>
                <w:lang w:val="en-US"/>
              </w:rPr>
              <w:t>e</w:t>
            </w:r>
            <w:r w:rsidRPr="007126CE">
              <w:rPr>
                <w:rFonts w:eastAsia="Calibri"/>
                <w:lang w:val="bg-BG"/>
              </w:rPr>
              <w:t xml:space="preserve"> изпратена комуникация с № BG14MFPR001-2.002-0013-M001/28.05.2025 г., в която от кандидата е изискано да предостави допълнителна информация/документи, които доказват наличието на образование и опит съгласно УК, както и кандидатът е уведомен, че представения Технологичен проект не съдържа цялата информация изисквана от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p>
          <w:p w:rsidR="007126CE" w:rsidRPr="007126CE" w:rsidRDefault="007126CE" w:rsidP="007126CE">
            <w:pPr>
              <w:spacing w:line="259" w:lineRule="auto"/>
              <w:ind w:firstLine="720"/>
              <w:jc w:val="both"/>
              <w:rPr>
                <w:rFonts w:eastAsia="Calibri"/>
                <w:lang w:val="bg-BG"/>
              </w:rPr>
            </w:pPr>
            <w:r w:rsidRPr="007126CE">
              <w:rPr>
                <w:rFonts w:eastAsia="Calibri"/>
                <w:lang w:val="bg-BG"/>
              </w:rPr>
              <w:t>В отговора си от 07.06.2025 г. „Нотеви Груп“ ЕООД не е предоставил изисканите документи, които доказват наличието на образование и опит съгласно УК, и твърди, че „</w:t>
            </w:r>
            <w:r w:rsidRPr="007126CE">
              <w:rPr>
                <w:rFonts w:eastAsia="Calibri"/>
                <w:i/>
                <w:lang w:val="bg-BG"/>
              </w:rPr>
              <w:t xml:space="preserve">Завършилите специалност ”Технология на продуктите от месо, риба и яйца” с ОКС ”МАГИСТЪР – ИНЖЕНЕР” могат да ръководят редица подотрасли на месната и рибната промишленост, каквито са: месодобива и птицедобива, месопреработката – преработка на месо от топлокръвни кланични животни и/или птиче месо, самостоятелно или съвместно, зайцедобива, добивът и обработката на месо от зайци и дивеч, </w:t>
            </w:r>
            <w:r w:rsidRPr="007126CE">
              <w:rPr>
                <w:rFonts w:eastAsia="Calibri"/>
                <w:b/>
                <w:i/>
                <w:lang w:val="bg-BG"/>
              </w:rPr>
              <w:t>риболовното дело</w:t>
            </w:r>
            <w:r w:rsidRPr="007126CE">
              <w:rPr>
                <w:rFonts w:eastAsia="Calibri"/>
                <w:i/>
                <w:lang w:val="bg-BG"/>
              </w:rPr>
              <w:t xml:space="preserve"> и </w:t>
            </w:r>
            <w:r w:rsidRPr="007126CE">
              <w:rPr>
                <w:rFonts w:eastAsia="Calibri"/>
                <w:b/>
                <w:i/>
                <w:lang w:val="bg-BG"/>
              </w:rPr>
              <w:t>рибопреработката,</w:t>
            </w:r>
            <w:r w:rsidRPr="007126CE">
              <w:rPr>
                <w:rFonts w:eastAsia="Calibri"/>
                <w:i/>
                <w:lang w:val="bg-BG"/>
              </w:rPr>
              <w:t xml:space="preserve"> а също така и съпътстващи безотпадни производства, каквито се явяват </w:t>
            </w:r>
            <w:r w:rsidRPr="007126CE">
              <w:rPr>
                <w:rFonts w:eastAsia="Calibri"/>
                <w:i/>
                <w:lang w:val="bg-BG"/>
              </w:rPr>
              <w:lastRenderedPageBreak/>
              <w:t>обработката на хранителни субпродукти, кръв, кожи, черва, хранителни и технически мазнини, продукти за фуражни цели и др.</w:t>
            </w:r>
            <w:r w:rsidRPr="007126CE">
              <w:rPr>
                <w:rFonts w:eastAsia="Calibri"/>
                <w:lang w:val="bg-BG"/>
              </w:rPr>
              <w:t>"</w:t>
            </w:r>
          </w:p>
          <w:p w:rsidR="007126CE" w:rsidRPr="007126CE" w:rsidRDefault="007126CE" w:rsidP="007126CE">
            <w:pPr>
              <w:spacing w:line="259" w:lineRule="auto"/>
              <w:ind w:firstLine="720"/>
              <w:jc w:val="both"/>
              <w:rPr>
                <w:rFonts w:eastAsia="Calibri"/>
                <w:lang w:val="bg-BG"/>
              </w:rPr>
            </w:pPr>
            <w:r w:rsidRPr="007126CE">
              <w:rPr>
                <w:rFonts w:eastAsia="Calibri"/>
                <w:lang w:val="bg-BG"/>
              </w:rPr>
              <w:t>Съгласно чл. 4, параграф 1, от Регламент (ЕС) № 1380/2013 на Европейския парламент и на Съвета от 11 декември 2013 година относно общата политика в областта на рибарството (Регламент №1380/2013):</w:t>
            </w:r>
          </w:p>
          <w:p w:rsidR="007126CE" w:rsidRPr="007126CE" w:rsidRDefault="007126CE" w:rsidP="007126CE">
            <w:pPr>
              <w:spacing w:line="259" w:lineRule="auto"/>
              <w:ind w:firstLine="720"/>
              <w:jc w:val="both"/>
              <w:rPr>
                <w:rFonts w:eastAsia="Calibri"/>
                <w:i/>
                <w:lang w:val="bg-BG"/>
              </w:rPr>
            </w:pPr>
            <w:r w:rsidRPr="007126CE">
              <w:rPr>
                <w:rFonts w:eastAsia="Calibri"/>
                <w:i/>
                <w:lang w:val="bg-BG"/>
              </w:rPr>
              <w:t>„25) „аквакултури“ означава развъждането или отглеждането на водни организми с помощта на технологии за повишаване на производството на въпросните организми над естествения капацитет на околната среда, при което организмите остават собственост на физическо или юридическо лице през целия етап на развъждането и отглеждането, включително до улова;</w:t>
            </w:r>
          </w:p>
          <w:p w:rsidR="007126CE" w:rsidRPr="007126CE" w:rsidRDefault="007126CE" w:rsidP="007126CE">
            <w:pPr>
              <w:spacing w:line="259" w:lineRule="auto"/>
              <w:ind w:firstLine="720"/>
              <w:jc w:val="both"/>
              <w:rPr>
                <w:rFonts w:eastAsia="Calibri"/>
                <w:i/>
                <w:lang w:val="bg-BG"/>
              </w:rPr>
            </w:pPr>
            <w:r w:rsidRPr="007126CE">
              <w:rPr>
                <w:rFonts w:eastAsia="Calibri"/>
                <w:i/>
                <w:lang w:val="bg-BG"/>
              </w:rPr>
              <w:t>28) „риболовна дейност“ означава търсене на риба, хвърляне, поставяне, теглене и влачене на риболовен уред, качване на улова на борда, трансбордиране, задържане на борда, преработка на борда, прехвърляне, поставяне в клетки, угояване и разтоварване на сушата на риба и продукти от риболов;“</w:t>
            </w:r>
          </w:p>
          <w:p w:rsidR="007126CE" w:rsidRPr="007126CE" w:rsidRDefault="007126CE" w:rsidP="007126CE">
            <w:pPr>
              <w:spacing w:line="259" w:lineRule="auto"/>
              <w:ind w:firstLine="720"/>
              <w:jc w:val="both"/>
              <w:rPr>
                <w:rFonts w:eastAsia="Calibri"/>
                <w:lang w:val="bg-BG"/>
              </w:rPr>
            </w:pPr>
            <w:r w:rsidRPr="007126CE">
              <w:rPr>
                <w:rFonts w:eastAsia="Calibri"/>
                <w:lang w:val="bg-BG"/>
              </w:rPr>
              <w:t xml:space="preserve">Европейското законодателство в областта на храните (Регламент (ЕО) № 852/2004 на Европейския парламент и на Съвета от 29 април 2004 година относно хигиената на храните и Регламент (ЕО) № 853/2004 на Европейския парламент и на Съвета от 29 април 2004 година относно определяне на специфични хигиенни правила за храните от животински произход) също разделя дейностите в тази област </w:t>
            </w:r>
            <w:r w:rsidRPr="007126CE">
              <w:rPr>
                <w:rFonts w:eastAsia="Calibri"/>
                <w:lang w:val="bg-BG"/>
              </w:rPr>
              <w:lastRenderedPageBreak/>
              <w:t>на три категории: първично производство (в рибарството съответстващо на аквакултури/риболов), преработка (съответно рибопреработка) и разпространение. Съгласно чл. 2, пар. 1, буква м) от Регламент 852/2004:</w:t>
            </w:r>
          </w:p>
          <w:p w:rsidR="007126CE" w:rsidRPr="007126CE" w:rsidRDefault="007126CE" w:rsidP="007126CE">
            <w:pPr>
              <w:spacing w:line="259" w:lineRule="auto"/>
              <w:ind w:firstLine="720"/>
              <w:jc w:val="both"/>
              <w:rPr>
                <w:rFonts w:eastAsia="Calibri"/>
                <w:i/>
                <w:lang w:val="bg-BG"/>
              </w:rPr>
            </w:pPr>
            <w:r w:rsidRPr="007126CE">
              <w:rPr>
                <w:rFonts w:eastAsia="Calibri"/>
                <w:i/>
                <w:lang w:val="bg-BG"/>
              </w:rPr>
              <w:t>„преработка“ означава всяко действие, което променя значително изходния продукт, включително нагряване, опушване, консервиране, узряване, изсушаване, мариноване, екстрахиране, екструдиране или комбинация от тези процеси;“</w:t>
            </w:r>
          </w:p>
          <w:p w:rsidR="007126CE" w:rsidRPr="007126CE" w:rsidRDefault="007126CE" w:rsidP="007126CE">
            <w:pPr>
              <w:spacing w:line="259" w:lineRule="auto"/>
              <w:ind w:firstLine="720"/>
              <w:jc w:val="both"/>
              <w:rPr>
                <w:rFonts w:eastAsia="Calibri"/>
                <w:lang w:val="bg-BG"/>
              </w:rPr>
            </w:pPr>
            <w:r w:rsidRPr="007126CE">
              <w:rPr>
                <w:rFonts w:eastAsia="Calibri"/>
                <w:lang w:val="bg-BG"/>
              </w:rPr>
              <w:t>В заключение, лицето, изготвило технологичния проект, притежаващо диплома за магистър по специалност Технология на продуктите от месо, яйца и риба, не отговаря на изискванията за образователна степен и професионален опит на лицето изготвило/съгласувало технологичния проект, съгласно Раздел. 14.1, Раздел 25 от Условията за кандидатстване и Приложение №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p>
          <w:p w:rsidR="007126CE" w:rsidRPr="007126CE" w:rsidRDefault="007126CE" w:rsidP="007126CE">
            <w:pPr>
              <w:spacing w:line="259" w:lineRule="auto"/>
              <w:ind w:firstLine="720"/>
              <w:jc w:val="both"/>
              <w:rPr>
                <w:rFonts w:eastAsia="Calibri"/>
                <w:lang w:val="bg-BG"/>
              </w:rPr>
            </w:pPr>
            <w:r w:rsidRPr="007126CE">
              <w:rPr>
                <w:rFonts w:eastAsia="Calibri"/>
                <w:lang w:val="bg-BG"/>
              </w:rPr>
              <w:t xml:space="preserve">В осъществената комуникация чрез ИСУН е обърнато внимание на кандидата, че технологичният проект не отговаря на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w:t>
            </w:r>
            <w:r w:rsidRPr="007126CE">
              <w:rPr>
                <w:rFonts w:eastAsia="Calibri"/>
                <w:lang w:val="bg-BG"/>
              </w:rPr>
              <w:lastRenderedPageBreak/>
              <w:t>аквакултури“. Предоставеният втори технологичен проект съдържа значително повече информация в сравнение с първия и може да се счете, че същият представлява съществено подобрение на проектното предложение спрямо първоначалното състояние.</w:t>
            </w:r>
          </w:p>
          <w:p w:rsidR="007126CE" w:rsidRPr="007126CE" w:rsidRDefault="007126CE" w:rsidP="007126CE">
            <w:pPr>
              <w:spacing w:line="259" w:lineRule="auto"/>
              <w:ind w:firstLine="720"/>
              <w:jc w:val="both"/>
              <w:rPr>
                <w:rFonts w:eastAsia="Calibri"/>
                <w:lang w:val="bg-BG"/>
              </w:rPr>
            </w:pPr>
            <w:r w:rsidRPr="007126CE">
              <w:rPr>
                <w:rFonts w:eastAsia="Calibri"/>
                <w:lang w:val="bg-BG"/>
              </w:rPr>
              <w:t>Съгласно УК: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rsidR="007126CE" w:rsidRPr="007126CE" w:rsidRDefault="007126CE" w:rsidP="007126CE">
            <w:pPr>
              <w:spacing w:line="259" w:lineRule="auto"/>
              <w:ind w:firstLine="720"/>
              <w:jc w:val="both"/>
              <w:rPr>
                <w:rFonts w:eastAsia="Calibri"/>
                <w:lang w:val="bg-BG"/>
              </w:rPr>
            </w:pPr>
            <w:r w:rsidRPr="007126CE">
              <w:rPr>
                <w:rFonts w:eastAsia="Calibri"/>
                <w:lang w:val="bg-BG"/>
              </w:rPr>
              <w:t>Във връзка с гореизложеното, може да се направи обосновано заключение, че технологичният проект не е разработен в съответствие с изискванията на УО на ПМДРА.</w:t>
            </w:r>
          </w:p>
          <w:p w:rsidR="007126CE" w:rsidRPr="007126CE" w:rsidRDefault="007126CE" w:rsidP="007126CE">
            <w:pPr>
              <w:spacing w:line="259" w:lineRule="auto"/>
              <w:ind w:firstLine="720"/>
              <w:jc w:val="both"/>
              <w:rPr>
                <w:rFonts w:eastAsia="Calibri"/>
                <w:lang w:val="bg-BG"/>
              </w:rPr>
            </w:pPr>
            <w:r w:rsidRPr="007126CE">
              <w:rPr>
                <w:rFonts w:eastAsia="Calibri"/>
                <w:lang w:val="bg-BG"/>
              </w:rPr>
              <w:t>По отношение на оценката дали предвидената за производство продукция е в съответствие с разходите и приходите заложени в бизнес плана (БП) и е налице пряка връзка между технологичния проект и бизнес плана, се установи следното несъответствие:</w:t>
            </w:r>
          </w:p>
          <w:p w:rsidR="007126CE" w:rsidRPr="007126CE" w:rsidRDefault="007126CE" w:rsidP="007126CE">
            <w:pPr>
              <w:spacing w:line="259" w:lineRule="auto"/>
              <w:ind w:firstLine="720"/>
              <w:jc w:val="both"/>
              <w:rPr>
                <w:rFonts w:eastAsia="Calibri"/>
                <w:lang w:val="bg-BG"/>
              </w:rPr>
            </w:pPr>
            <w:r w:rsidRPr="007126CE">
              <w:rPr>
                <w:rFonts w:eastAsia="Calibri"/>
                <w:lang w:val="bg-BG"/>
              </w:rPr>
              <w:t xml:space="preserve">В лист Т 4 „Производствена програма“ от БП е установено несъответствие с данни от Изпълнителна агенция по рибарство и аквакултури (ИАРА) за годишното производство през 2024 г., предоставени с писмо с рег. № 13-1199/29.05.2025 г. Съгласно информацията от ИАРА за 2024 г. в РС „Нотеви груп“, собственост на Нотеви груп ЕООД е произведено 10 т. продукция, разпределени както следва: </w:t>
            </w:r>
            <w:r w:rsidRPr="007126CE">
              <w:rPr>
                <w:rFonts w:eastAsia="Calibri"/>
                <w:lang w:val="bg-BG"/>
              </w:rPr>
              <w:lastRenderedPageBreak/>
              <w:t xml:space="preserve">шаран 7 т., бял амур 1 т., толстолоб 1 т. и сом 1 т. В лист Т 4 „Производствена програма“ от БП за предходната година е посочено 4560 кг шаран и „препродажба на риба“, без да са посочени видовете и количествата. Също така в лист Т 6 „Себестойност“ не е изчислена себестойност на единица продукция за всеки вид, предвиден за отглеждане (липсва бяла амур, толстолоб и европейски сом). </w:t>
            </w:r>
          </w:p>
          <w:p w:rsidR="007126CE" w:rsidRPr="007126CE" w:rsidRDefault="007126CE" w:rsidP="007126CE">
            <w:pPr>
              <w:spacing w:line="259" w:lineRule="auto"/>
              <w:ind w:firstLine="720"/>
              <w:jc w:val="both"/>
              <w:rPr>
                <w:rFonts w:eastAsia="Calibri"/>
                <w:lang w:val="bg-BG"/>
              </w:rPr>
            </w:pPr>
            <w:r w:rsidRPr="007126CE">
              <w:rPr>
                <w:rFonts w:eastAsia="Calibri"/>
                <w:lang w:val="bg-BG"/>
              </w:rPr>
              <w:t xml:space="preserve">Във връзка с установеното, предвидената за производство продукция не е в съответствие с разходите и приходите, заложени в бизнес плана (БП) и не е налице пряка връзка между технологичния проект и бизнес плана. </w:t>
            </w:r>
          </w:p>
          <w:p w:rsidR="007126CE" w:rsidRPr="007126CE" w:rsidRDefault="007126CE" w:rsidP="007126CE">
            <w:pPr>
              <w:spacing w:after="160" w:line="259" w:lineRule="auto"/>
              <w:ind w:firstLine="720"/>
              <w:jc w:val="both"/>
              <w:rPr>
                <w:rFonts w:eastAsia="Calibri"/>
                <w:lang w:val="bg-BG"/>
              </w:rPr>
            </w:pPr>
            <w:r w:rsidRPr="007126CE">
              <w:rPr>
                <w:rFonts w:eastAsia="Calibri"/>
                <w:lang w:val="bg-BG"/>
              </w:rPr>
              <w:t xml:space="preserve">С оглед гореописаните мотиви и съгласно експертните заключения, изложени в Работен лист от помощник оценителите относно проверка и оценка на технологичен проект на проектно предложение BG14MFPR001-2.002-0013 „Продуктивни инвестиции и иновации в рибното стопанство на "НОТЕВИ ГРУП" ЕООД“, кандидат "Нотеви груп" ЕООД гласи, че: Технологичният проект не съответства на всички изисквания в Приложение № 22 към Условията за кандидатстване. Следователно проектното предложение не отговаря Критерий № 13: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w:t>
            </w:r>
            <w:r w:rsidRPr="007126CE">
              <w:rPr>
                <w:rFonts w:eastAsia="Calibri"/>
                <w:lang w:val="bg-BG"/>
              </w:rPr>
              <w:lastRenderedPageBreak/>
              <w:t>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на Критерий № 14: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представеното Експертното заключение за технологичния проект.“, както и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проектни предложения по процедура за подбор на проекти BG14MFPR001-2.002, дейност „Продуктивни инвестиции и иновации в аквакултурите“, по ПМДРА.</w:t>
            </w:r>
          </w:p>
          <w:p w:rsidR="007126CE" w:rsidRPr="007126CE" w:rsidRDefault="007126CE" w:rsidP="007126CE">
            <w:pPr>
              <w:spacing w:after="200" w:line="276" w:lineRule="auto"/>
              <w:ind w:firstLine="720"/>
              <w:jc w:val="both"/>
              <w:rPr>
                <w:rFonts w:eastAsia="Calibri"/>
                <w:lang w:val="bg-BG"/>
              </w:rPr>
            </w:pPr>
            <w:r w:rsidRPr="007126CE">
              <w:rPr>
                <w:rFonts w:eastAsia="Calibri"/>
                <w:lang w:val="bg-BG"/>
              </w:rPr>
              <w:t>Съгласно инструкциите в Приложение № 4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1C4B26" w:rsidRPr="00452D77" w:rsidRDefault="007126CE" w:rsidP="00452D77">
            <w:pPr>
              <w:spacing w:after="200" w:line="276" w:lineRule="auto"/>
              <w:ind w:firstLine="720"/>
              <w:jc w:val="both"/>
              <w:rPr>
                <w:rFonts w:eastAsia="Calibri"/>
                <w:lang w:val="bg-BG"/>
              </w:rPr>
            </w:pPr>
            <w:r w:rsidRPr="007126CE">
              <w:rPr>
                <w:rFonts w:eastAsia="Calibri"/>
                <w:lang w:val="bg-BG"/>
              </w:rPr>
              <w:t>Поради изложените по-горе аргументи, проектно предложение с рег. № BG14MFPR001-2.002-001</w:t>
            </w:r>
            <w:r w:rsidRPr="007126CE">
              <w:rPr>
                <w:rFonts w:eastAsia="Calibri"/>
                <w:lang w:val="en-US"/>
              </w:rPr>
              <w:t>3</w:t>
            </w:r>
            <w:r w:rsidRPr="007126CE">
              <w:rPr>
                <w:rFonts w:eastAsia="Calibri"/>
                <w:lang w:val="bg-BG"/>
              </w:rPr>
              <w:t xml:space="preserve"> е включено в Списъка на проектните предложения, </w:t>
            </w:r>
            <w:r w:rsidRPr="007126CE">
              <w:rPr>
                <w:rFonts w:eastAsia="Calibri"/>
                <w:lang w:val="bg-BG"/>
              </w:rPr>
              <w:lastRenderedPageBreak/>
              <w:t>които не се допускат до етап Техническа и финансова оценка по настоящата процедура.</w:t>
            </w:r>
          </w:p>
        </w:tc>
      </w:tr>
      <w:tr w:rsidR="001C4B26" w:rsidRPr="00D7495B" w:rsidTr="00452D77">
        <w:tc>
          <w:tcPr>
            <w:tcW w:w="567" w:type="dxa"/>
            <w:shd w:val="clear" w:color="auto" w:fill="auto"/>
          </w:tcPr>
          <w:p w:rsidR="001C4B26" w:rsidRDefault="001C4B26" w:rsidP="00452D77">
            <w:pPr>
              <w:rPr>
                <w:b/>
                <w:color w:val="FF0000"/>
                <w:lang w:val="bg-BG"/>
              </w:rPr>
            </w:pPr>
          </w:p>
          <w:p w:rsidR="00452D77" w:rsidRDefault="00452D77" w:rsidP="00452D77">
            <w:pPr>
              <w:rPr>
                <w:b/>
                <w:color w:val="FF0000"/>
                <w:lang w:val="bg-BG"/>
              </w:rPr>
            </w:pPr>
          </w:p>
          <w:p w:rsidR="00452D77" w:rsidRDefault="00452D77" w:rsidP="00452D77">
            <w:pPr>
              <w:rPr>
                <w:b/>
                <w:color w:val="FF0000"/>
                <w:lang w:val="bg-BG"/>
              </w:rPr>
            </w:pPr>
          </w:p>
          <w:p w:rsidR="00452D77" w:rsidRDefault="00452D77" w:rsidP="00452D77">
            <w:pPr>
              <w:rPr>
                <w:b/>
                <w:color w:val="FF0000"/>
                <w:lang w:val="bg-BG"/>
              </w:rPr>
            </w:pPr>
          </w:p>
          <w:p w:rsidR="00452D77" w:rsidRDefault="00452D77" w:rsidP="00452D77">
            <w:pPr>
              <w:rPr>
                <w:b/>
                <w:color w:val="FF0000"/>
                <w:lang w:val="bg-BG"/>
              </w:rPr>
            </w:pPr>
          </w:p>
          <w:p w:rsidR="00452D77" w:rsidRPr="001C4B26" w:rsidRDefault="00452D77" w:rsidP="00452D77">
            <w:pPr>
              <w:rPr>
                <w:b/>
                <w:color w:val="FF0000"/>
                <w:lang w:val="bg-BG"/>
              </w:rPr>
            </w:pPr>
            <w:r w:rsidRPr="00452D77">
              <w:rPr>
                <w:b/>
                <w:lang w:val="bg-BG"/>
              </w:rPr>
              <w:t>2.</w:t>
            </w:r>
          </w:p>
        </w:tc>
        <w:tc>
          <w:tcPr>
            <w:tcW w:w="2269" w:type="dxa"/>
            <w:tcBorders>
              <w:top w:val="nil"/>
              <w:left w:val="single" w:sz="4" w:space="0" w:color="auto"/>
              <w:bottom w:val="single" w:sz="4" w:space="0" w:color="auto"/>
              <w:right w:val="single" w:sz="4" w:space="0" w:color="auto"/>
            </w:tcBorders>
            <w:shd w:val="clear" w:color="auto" w:fill="auto"/>
            <w:vAlign w:val="center"/>
          </w:tcPr>
          <w:p w:rsidR="001C4B26" w:rsidRDefault="001C4B26" w:rsidP="001C4B26">
            <w:pPr>
              <w:rPr>
                <w:color w:val="000000"/>
              </w:rPr>
            </w:pPr>
            <w:r>
              <w:rPr>
                <w:color w:val="000000"/>
              </w:rPr>
              <w:t>BG14MFPR001-2.002-0016</w:t>
            </w:r>
          </w:p>
        </w:tc>
        <w:tc>
          <w:tcPr>
            <w:tcW w:w="1984" w:type="dxa"/>
            <w:tcBorders>
              <w:top w:val="nil"/>
              <w:left w:val="nil"/>
              <w:bottom w:val="single" w:sz="4" w:space="0" w:color="auto"/>
              <w:right w:val="single" w:sz="4" w:space="0" w:color="auto"/>
            </w:tcBorders>
            <w:shd w:val="clear" w:color="auto" w:fill="auto"/>
            <w:vAlign w:val="center"/>
          </w:tcPr>
          <w:p w:rsidR="001C4B26" w:rsidRDefault="001C4B26" w:rsidP="001C4B26">
            <w:pPr>
              <w:rPr>
                <w:color w:val="000000"/>
              </w:rPr>
            </w:pPr>
            <w:r>
              <w:rPr>
                <w:color w:val="000000"/>
              </w:rPr>
              <w:t>РИБА И РИБНИ ПРОДУКТИ ЕООД</w:t>
            </w:r>
          </w:p>
        </w:tc>
        <w:tc>
          <w:tcPr>
            <w:tcW w:w="2410" w:type="dxa"/>
            <w:tcBorders>
              <w:top w:val="nil"/>
              <w:left w:val="nil"/>
              <w:bottom w:val="single" w:sz="4" w:space="0" w:color="auto"/>
              <w:right w:val="single" w:sz="4" w:space="0" w:color="auto"/>
            </w:tcBorders>
            <w:shd w:val="clear" w:color="auto" w:fill="auto"/>
            <w:vAlign w:val="center"/>
          </w:tcPr>
          <w:p w:rsidR="001C4B26" w:rsidRDefault="001C4B26" w:rsidP="001C4B26">
            <w:pPr>
              <w:rPr>
                <w:color w:val="333333"/>
                <w:sz w:val="23"/>
                <w:szCs w:val="23"/>
              </w:rPr>
            </w:pPr>
            <w:r>
              <w:rPr>
                <w:color w:val="333333"/>
                <w:sz w:val="23"/>
                <w:szCs w:val="23"/>
                <w:lang w:val="bg-BG"/>
              </w:rPr>
              <w:t>„Инвестиции в стопанство за европейски сом“</w:t>
            </w:r>
          </w:p>
        </w:tc>
        <w:tc>
          <w:tcPr>
            <w:tcW w:w="8788" w:type="dxa"/>
            <w:shd w:val="clear" w:color="auto" w:fill="auto"/>
          </w:tcPr>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След извършване на оценка за административно съответствие и допустимост на проектно предложение BG14MFPR001-2.002-00016, „Инвестиции в стопанство за европейски сом“, с кандидат „РИБА И РИБНИ ПРОДУКТИ ЕООД“,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Проектното предложение не отговаря на следните критерии от Приложение № 4 „Критерии и методология за оценка на проектните предложения по Процедура за подбор на проекти № процедура за подбор на проекти BG14MFPR001-2.002 „Преработване на продуктите от риболов и аквакултури”, дейност „Продуктивни инвестиции и иновации в аквакултурите”: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w:t>
            </w:r>
            <w:r w:rsidRPr="00452D77">
              <w:rPr>
                <w:rFonts w:eastAsia="Calibri"/>
                <w:lang w:val="bg-BG"/>
              </w:rPr>
              <w:tab/>
              <w:t>Критерий № 4 „Налице са всички изискуеми документи и са попълнени съгласно изискванията, посочени в т. 24 от Условията за кандидатстване по настоящата процедура.“;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lastRenderedPageBreak/>
              <w:t>•</w:t>
            </w:r>
            <w:r w:rsidRPr="00452D77">
              <w:rPr>
                <w:rFonts w:eastAsia="Calibri"/>
                <w:lang w:val="bg-BG"/>
              </w:rPr>
              <w:tab/>
              <w:t>Критерий № 13: „Представен е технологичен проект разработен в съответствие с изискванията на Ръководство на Управляващия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w:t>
            </w:r>
            <w:r w:rsidRPr="00452D77">
              <w:rPr>
                <w:rFonts w:eastAsia="Calibri"/>
                <w:lang w:val="bg-BG"/>
              </w:rPr>
              <w:tab/>
              <w:t>Критерий № 14: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представените Експертни заключения за технологичния проект.“;</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w:t>
            </w:r>
            <w:r w:rsidRPr="00452D77">
              <w:rPr>
                <w:rFonts w:eastAsia="Calibri"/>
                <w:lang w:val="bg-BG"/>
              </w:rPr>
              <w:tab/>
              <w:t>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След извършена проверка на предоставените документи и съгласно чл. 34, ал. 2 от ЗУСЕФСУ: „Когато при проверката по ал. 1 се установи липса на документи и/или друга нередовност, комисията изпраща на кандидата уведомление за установените нередовности и определя разумен срок за тяхното отстраняване, който </w:t>
            </w:r>
            <w:r w:rsidRPr="00452D77">
              <w:rPr>
                <w:rFonts w:eastAsia="Calibri"/>
                <w:lang w:val="bg-BG"/>
              </w:rPr>
              <w:lastRenderedPageBreak/>
              <w:t xml:space="preserve">не може да бъде по-кратък от една седмица.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Във връзка с точка 24 „Списък на документите, които се подават на етап кандидатстване“ от Условия за кандидатстване (УК), на 28.05.2025 г. чрез Модул „Комуникация“ в ИСУН е изпратено уведомление с регистрационен номер BG14MFPR001-2.002-0016-M002, с което е поискана допълнителна информация от кандидата. Указан е срок до 07.06.2025 г., в който да бъдат предоставени долуописаните липсващи документи и информация, а именно: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w:t>
            </w:r>
            <w:r w:rsidRPr="00452D77">
              <w:rPr>
                <w:rFonts w:eastAsia="Calibri"/>
                <w:lang w:val="bg-BG"/>
              </w:rPr>
              <w:tab/>
              <w:t xml:space="preserve">Не са представени/ прикачени в Информационната система за управление и наблюдение (ИСУН) документи за собственост на земята/сградата, където ще се извършват строително-монтажните работи или учредено право на строеж за срок не по-малък от 8 години от датата на кандидатстване и/или копие от документ за собственост или договор за наем на сградите/помещенията, които ще се обновяват и/или в които ще се монтират машините, съоръженията, оборудването – за инвестиции за закупуване и/или инсталиране на нови машини, оборудване и </w:t>
            </w:r>
            <w:r w:rsidRPr="00452D77">
              <w:rPr>
                <w:rFonts w:eastAsia="Calibri"/>
                <w:lang w:val="bg-BG"/>
              </w:rPr>
              <w:lastRenderedPageBreak/>
              <w:t xml:space="preserve">съоръжения и/или обновяване на сгради и/или помещения, за които не се изисква разрешение за строеж съгласно ЗУТ.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В ИСУН е приложен нотариален акт от 2020 г. с отстъпено право на строеж на „РИБА И РИБНИ ПРОДУКТИ“ ЕООД за построяване на обект „Стопанство за отглеждане на риба по рециркулационен метод“ със застроена площ от 432 кв.м в поземлен имот с идентификатор 10971.157.13, собственост на Петър Пенков Иванов. Липсва разрешение за строеж на сградата – производствения обект, документ за въвеждане в експлоатация, както и документ за собственост.</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2.</w:t>
            </w:r>
            <w:r w:rsidRPr="00452D77">
              <w:rPr>
                <w:rFonts w:eastAsia="Calibri"/>
                <w:lang w:val="bg-BG"/>
              </w:rPr>
              <w:tab/>
              <w:t>Съгласно т. 4 от раздел 24 на Условията за кандидатстване (УК), следва да се представи актуална скица на имота. В ИСУН е налична скица на поземления имот, но липсва актуална скица на сградата – производствен обект.</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3.</w:t>
            </w:r>
            <w:r w:rsidRPr="00452D77">
              <w:rPr>
                <w:rFonts w:eastAsia="Calibri"/>
                <w:lang w:val="bg-BG"/>
              </w:rPr>
              <w:tab/>
              <w:t xml:space="preserve">За дейностите „Обучение за подобряване професионалните знания и умения на заетите“ и „Разходи за видимост, прозрачност и комуникация“ не са представени окомплектовани запитванията до фирми (вкл. заданието), независими съпоставими оферти и сключени договори.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4.</w:t>
            </w:r>
            <w:r w:rsidRPr="00452D77">
              <w:rPr>
                <w:rFonts w:eastAsia="Calibri"/>
                <w:lang w:val="bg-BG"/>
              </w:rPr>
              <w:tab/>
              <w:t xml:space="preserve">„РИБА И РИБНИ ПРОДУКТИ“ ЕООД е бенефициер и по други проекти по предходни програмни периоди, но това обстоятелство не е посочено в </w:t>
            </w:r>
            <w:r w:rsidRPr="00452D77">
              <w:rPr>
                <w:rFonts w:eastAsia="Calibri"/>
                <w:lang w:val="bg-BG"/>
              </w:rPr>
              <w:lastRenderedPageBreak/>
              <w:t>приложената документация. В тази връзка е изискано прилагането на коректно изготвен бизнес план, който отчита реализираните предходни проекти.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5.</w:t>
            </w:r>
            <w:r w:rsidRPr="00452D77">
              <w:rPr>
                <w:rFonts w:eastAsia="Calibri"/>
                <w:lang w:val="bg-BG"/>
              </w:rPr>
              <w:tab/>
              <w:t>В технологичния проект са констатирани следните несъответствия и неясноти: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5.1.</w:t>
            </w:r>
            <w:r w:rsidRPr="00452D77">
              <w:rPr>
                <w:rFonts w:eastAsia="Calibri"/>
                <w:lang w:val="bg-BG"/>
              </w:rPr>
              <w:tab/>
              <w:t xml:space="preserve">В проектното предложение е посочено, че стопанството е пълносистемно. Съгласно Наредба 18 от 4 ноември 2016 г. пълносистемно стопанство е това, при което рибите или другите водни организми се отглеждат във всички стадии от жизнения им цикъл и производствените процеси включват всички технологични етапи от размножаване до отглеждането им до консумативни размери. В технологичният проект никъде не е показано стопанството разполага ли с маточни и ремонтни стада и провежда ли люпилни кампании.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5.2.</w:t>
            </w:r>
            <w:r w:rsidRPr="00452D77">
              <w:rPr>
                <w:rFonts w:eastAsia="Calibri"/>
                <w:lang w:val="bg-BG"/>
              </w:rPr>
              <w:tab/>
              <w:t>Не е приложена схема в по-голям читаем мащаб на рециркулационната система и такава, на която са означени водните потоци от водовземното съоръжение, през производствените басейни до заустването на водата („пътят на водата“).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5.3.</w:t>
            </w:r>
            <w:r w:rsidRPr="00452D77">
              <w:rPr>
                <w:rFonts w:eastAsia="Calibri"/>
                <w:lang w:val="bg-BG"/>
              </w:rPr>
              <w:tab/>
              <w:t xml:space="preserve">Във формуляра за кандидатстване е посочено, че ще бъдат закупени „Автоматизирана линия за гранулиран фураж“, „Система за автоматично дозиране </w:t>
            </w:r>
            <w:r w:rsidRPr="00452D77">
              <w:rPr>
                <w:rFonts w:eastAsia="Calibri"/>
                <w:lang w:val="bg-BG"/>
              </w:rPr>
              <w:lastRenderedPageBreak/>
              <w:t xml:space="preserve">на храна“ и „Барабанен филтър“, но никъде в технологичния проект не е обосновано тяхното използване и експлоатация. Изискано е представяне на подробна обосновка за закупуването на посоченото оборудване, включително количествата гранулиран фураж, които ще се произвеждат и икономическите ползи от използването на автоматизираната линия.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6.</w:t>
            </w:r>
            <w:r w:rsidRPr="00452D77">
              <w:rPr>
                <w:rFonts w:eastAsia="Calibri"/>
                <w:lang w:val="bg-BG"/>
              </w:rPr>
              <w:tab/>
              <w:t xml:space="preserve">Не е представена обосновка във връзка с разход, заявен в бюджетен ред 6.2. „Термопомпена инсталация за затопляне на вода“ – необходимо е да се докаже необходимостта от закупуване на посоченото оборудване, предвид наличното такова, придобито на 17.11.2023 г. и описано с инвентарен номер 4 в прикачената инвентарна книга към 01.01.2025 г.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7.</w:t>
            </w:r>
            <w:r w:rsidRPr="00452D77">
              <w:rPr>
                <w:rFonts w:eastAsia="Calibri"/>
                <w:lang w:val="bg-BG"/>
              </w:rPr>
              <w:tab/>
              <w:t>Налице е съществено разминаване по отношение на информацията за производствения капацитет – в технологичния проект е посочено като средно годишно производство 70 тона европейски сом за консумация, а в бизнес плана е посочено, че ще се произвеждат 350 тона.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8.</w:t>
            </w:r>
            <w:r w:rsidRPr="00452D77">
              <w:rPr>
                <w:rFonts w:eastAsia="Calibri"/>
                <w:lang w:val="bg-BG"/>
              </w:rPr>
              <w:tab/>
              <w:t xml:space="preserve">Съгласно т. 8. от раздел 24 на УК, е необходимо представянето на актуално разрешително за водовземане и/или ползване на повърхностен воден обект, съгласно изискванията и разпоредбите на Закона за водите. В ИСУН е приложено разрешително за водовземане от подземни води, чрез нови водовземни </w:t>
            </w:r>
            <w:r w:rsidRPr="00452D77">
              <w:rPr>
                <w:rFonts w:eastAsia="Calibri"/>
                <w:lang w:val="bg-BG"/>
              </w:rPr>
              <w:lastRenderedPageBreak/>
              <w:t xml:space="preserve">съоръжения с № 11520365/13.07.2020 г. издадено от Басейнова дирекция Дунавски район, с макс дебит 1 л/с за 2,4 часа, издадено на 13.07.2020 г., на което срокът му е до 13.07.2026 г.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9.</w:t>
            </w:r>
            <w:r w:rsidRPr="00452D77">
              <w:rPr>
                <w:rFonts w:eastAsia="Calibri"/>
                <w:lang w:val="bg-BG"/>
              </w:rPr>
              <w:tab/>
              <w:t>Технологичният проект при инвестиции в обекти за аквакултури не е в съответствие с Ръководство на УО на ПМДРА 2021-2027 по отношение изискването същият да бъде изготвен от експерт с образователна степен „магистър“ или по-висока научна степен (звание) по някоя от следните специалности: рибно стопанство, рибовъдство, аквакултури, ихтиология или друга еквивалентна на изброените, или заемащи академична длъжност в изброените области със стаж по специалността не по-малък от 2 (две) години и специалности хидробиология, зоология и ветеринарна медицина, с образователна степен „магистър“, които могат да удостоверят професионален опит и трудов стаж в областта на рибарството, не по-малък от 5 (пет) години. В ИСУН е приложен технологичен проект, за който е посочено, че е изготвен от управителя на дружеството – г-жа Катя Кръстева и съгласуван от г-н Георги Георгиев, квалифициран доктор по ветеринарна медицина, като липсват документи, доказващи правоспособност на лицето, изготвило технологичния проект.</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lastRenderedPageBreak/>
              <w:t>10.</w:t>
            </w:r>
            <w:r w:rsidRPr="00452D77">
              <w:rPr>
                <w:rFonts w:eastAsia="Calibri"/>
                <w:lang w:val="bg-BG"/>
              </w:rPr>
              <w:tab/>
              <w:t>Не е спазена разпоредбата на т. 32 от раздел 24 на УК, като не е представено разрешение за поставяне за преместваем обект, съгласно разпоредбите на ЗУТ, касаещ предвиденото поставяне на контейнер/помещение за охрана/ до входа на обекта.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w:t>
            </w:r>
            <w:r w:rsidRPr="00452D77">
              <w:rPr>
                <w:rFonts w:eastAsia="Calibri"/>
                <w:lang w:val="bg-BG"/>
              </w:rPr>
              <w:tab/>
              <w:t>С оглед определяне на произхода на цените на предвидените за закупуване активи липсват приложени оферти за следните разходи от бюджета на проектното предложение: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11.1.</w:t>
            </w:r>
            <w:r w:rsidRPr="00452D77">
              <w:rPr>
                <w:rFonts w:eastAsia="Calibri"/>
                <w:lang w:val="bg-BG"/>
              </w:rPr>
              <w:tab/>
              <w:t>Бюджетен ред 2.3. „Пластмасови каси за съхранение на риба 100 броя“.</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11.2.</w:t>
            </w:r>
            <w:r w:rsidRPr="00452D77">
              <w:rPr>
                <w:rFonts w:eastAsia="Calibri"/>
                <w:lang w:val="bg-BG"/>
              </w:rPr>
              <w:tab/>
              <w:t>Бюджетен ред 2.4. „Плътен палетен бокс 10 броя“.</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11.3.</w:t>
            </w:r>
            <w:r w:rsidRPr="00452D77">
              <w:rPr>
                <w:rFonts w:eastAsia="Calibri"/>
                <w:lang w:val="bg-BG"/>
              </w:rPr>
              <w:tab/>
              <w:t>Бюджетен ред 2.5. „Каси с отвори 25 броя“.</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11.4.</w:t>
            </w:r>
            <w:r w:rsidRPr="00452D77">
              <w:rPr>
                <w:rFonts w:eastAsia="Calibri"/>
                <w:lang w:val="bg-BG"/>
              </w:rPr>
              <w:tab/>
              <w:t>Бюджетен ред 2.6. „Подсилени метални стелажи 10 броя“.</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11.5.</w:t>
            </w:r>
            <w:r w:rsidRPr="00452D77">
              <w:rPr>
                <w:rFonts w:eastAsia="Calibri"/>
                <w:lang w:val="bg-BG"/>
              </w:rPr>
              <w:tab/>
              <w:t>Бюджетен ред 9.4. „Ватиран гащеризон - 3 бр.</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11.6.</w:t>
            </w:r>
            <w:r w:rsidRPr="00452D77">
              <w:rPr>
                <w:rFonts w:eastAsia="Calibri"/>
                <w:lang w:val="bg-BG"/>
              </w:rPr>
              <w:tab/>
              <w:t>Бюджетен ред 9.5. „Ботуши с пълна S3 защита и стоманено бомбе – 3 комплекта“.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lastRenderedPageBreak/>
              <w:t>11.7.</w:t>
            </w:r>
            <w:r w:rsidRPr="00452D77">
              <w:rPr>
                <w:rFonts w:eastAsia="Calibri"/>
                <w:lang w:val="bg-BG"/>
              </w:rPr>
              <w:tab/>
              <w:t>Бюджетен ред 9.6. „Работни обувки - 3 комплекта“.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11.8.</w:t>
            </w:r>
            <w:r w:rsidRPr="00452D77">
              <w:rPr>
                <w:rFonts w:eastAsia="Calibri"/>
                <w:lang w:val="bg-BG"/>
              </w:rPr>
              <w:tab/>
              <w:t>Бюджетен ред 9.7. „Полугащеризон - 3 бр.“.</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11.9.</w:t>
            </w:r>
            <w:r w:rsidRPr="00452D77">
              <w:rPr>
                <w:rFonts w:eastAsia="Calibri"/>
                <w:lang w:val="bg-BG"/>
              </w:rPr>
              <w:tab/>
              <w:t>Бюджетен ред 9.8. „Калцуни - 2 пакета“.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12.</w:t>
            </w:r>
            <w:r w:rsidRPr="00452D77">
              <w:rPr>
                <w:rFonts w:eastAsia="Calibri"/>
                <w:lang w:val="bg-BG"/>
              </w:rPr>
              <w:tab/>
              <w:t>След извършена служебна проверка е установено, че кандидатът „РИБА И РИБНИ ПРОДУКТИ“ ЕООД има задължения към Нац</w:t>
            </w:r>
            <w:r>
              <w:rPr>
                <w:rFonts w:eastAsia="Calibri"/>
                <w:lang w:val="bg-BG"/>
              </w:rPr>
              <w:t>ионалната агенция за приходите.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Кандидатът не е отговорил на комуникацията в регламентирания срок, не е предоставил изисканите допълнително информация и документи, което прави невъзможно извършването на оценка на проектното предложение. Съгласно изискванията, посочени в Условията за кандидатстване на процедурата, раздел 24: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След извършена оценка за съответствието на технологичния проект с „Ръководство на УО на ПМДРА за изискванията към технологичния проект при </w:t>
            </w:r>
            <w:r w:rsidRPr="00452D77">
              <w:rPr>
                <w:rFonts w:eastAsia="Calibri"/>
                <w:lang w:val="bg-BG"/>
              </w:rPr>
              <w:lastRenderedPageBreak/>
              <w:t>инвестиции в обекти за аквакултури“ (Приложение № 22 от настоящите условия за кандидатстване), от определените помощник-оценители е констатирано следното:</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Технологичният проект не е изготвен/подписан от експерт с образователна степен и професионален опит, съгласно изискванията на т. 14.1 и т. 25 на Условията за кандидатстване и приложение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Технологичният проект не съответства на всички изисквания в Ръководство на Управляващия орган на ПМДРА за изискванията към технологичния проект при инвестиции в обекти за аквакултури (Приложение № 22 към Условията за кандидатстване), поради следните мотиви: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Технологичният проект на кандидат „Риба и рибни продукти“ ЕООД е изготвен от управителя на дружеството и е посочено, че е съгласуван от лице с квалификация „доктор по ветеринарна медицина“, но не е приложена диплома, удостоверяваща съответната научна и образователна степен/професионална квалификация. Не са предоставени данни, удостоверяващи професионален опит и стаж в областта на рибарството (по-конкретно аквакултурите).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lastRenderedPageBreak/>
              <w:t>Съгласно Раздел 14.1 (Поле: Изисквания относно технологичния проект), Раздел 25 на Условията за кандидатстване (УК) и Приложение №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„Технологичният проект следва да бъде съобразен с Ръководство на УО на ПМДРА за изискванията към технологичния проект при инвестиции в обекти за аквакултури. Технологичният проект се изготвя (или съгласува) от експерт с образователна степен „магистър“ или по-висока научна степен (звание) по някоя от следните специалности: рибно стопанство, рибовъдство, аквакултури, ихтиология или друга еквивалентна на изброените, или заемащи академична длъжност в изброените области със стаж по специалността не по-малък от 2 (две) години и специалности хидробиология, зоология и ветеринарна медицина, с образователна степен „магистър“, които могат да удостоверят професионален опит и трудов стаж в областта на рибарството, не по-малък от 5 (пет) години. Като доказателство се изисква прилагането към технологичния проект на копие на документи, удостоверяващи наличието на съответното образование (диплома) и документи удостоверяващи трудовият стаж в областта на рибарството. Когато спецификата на </w:t>
            </w:r>
            <w:r w:rsidRPr="00452D77">
              <w:rPr>
                <w:rFonts w:eastAsia="Calibri"/>
                <w:lang w:val="bg-BG"/>
              </w:rPr>
              <w:lastRenderedPageBreak/>
              <w:t>технологията налага включването и на експерти от други области, същите може да бъдат включени като съавтори на проекта“.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Поради липса на отговор от страна на кандидата при осъществена комуникация в ИСУН, не са налице доказателства, че лицето изготвило/съгласувало Технологичния проект притежава необходимите образователна степен, професионален опит и/или трудов стаж в съответствие с изискванията на УК и Приложение № 22 към УК.</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В допълнение, представеният Технологичен проект не съдържа цялата изискуема информация по отношение на съдържание, посочена в Приложение №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Липсва информация за вида и количествата на използваната храна, размерите на всички басейни в стопанството, информация за санитарно-хигиенни мерки и за профилактика на заболяванията. Не е ясно дали кандидатът притежава маточно стадо с разплодници, а стопанството е определено като пълносистемно. В технологичния проект липсват данни за размножителни кампании и цялата подготовка и реализация на процеса, вкл. последващата люпилна кампания. Няма данни за отглеждането на личинки и малки рибки (не са посочени </w:t>
            </w:r>
            <w:r w:rsidRPr="00452D77">
              <w:rPr>
                <w:rFonts w:eastAsia="Calibri"/>
                <w:lang w:val="bg-BG"/>
              </w:rPr>
              <w:lastRenderedPageBreak/>
              <w:t>площ на басейните, водни количества, водообмен, хранене, посадки, смъртност и др.).</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В допълнение, в технологичния проект е посочено, че водата ще се обогатява с кислород с помощта на кислороден генератор, но съгласно направената справка в инвентарната книга, дружеството не разполага с генератор на кислород. Кандидатът не е предвидил в бюджета си закупуването на генератор, нито го е посочил в Таблица 3 Инвестиционни разходи, за които не се кандидатства за подпомагане, но са част от цялостния обект на инвестицията и без тях обектът не може да бъде завършен и/или да функционира самостоятелно в Бизнес плана си. Същото се отнася и за цялото оборудване в люпилнята (ако съществува такова), за наличието на маточно стадо с разплодници. В тази връзка няма доказателства, че средата може да се аерира допълнително, което е от голямо значение при използването на гъсти посадки, каквато е практиката в отглеждането на риба в рециркулационни системи. Няма достатъчно информация за наличието на функциониращи механични и биологични филтри в стопанството, за да се прецени дали рециркулационната система функционира при оптимални условия. За използването на интензивни и суперинтензивни технологии на отглеждане е задължително наличието на подробни данни за възможностите за контрол и регулиране на основните физико-химични параметри на водата (кислород, температура, въглероден диоксид, рН, азотни и </w:t>
            </w:r>
            <w:r w:rsidRPr="00452D77">
              <w:rPr>
                <w:rFonts w:eastAsia="Calibri"/>
                <w:lang w:val="bg-BG"/>
              </w:rPr>
              <w:lastRenderedPageBreak/>
              <w:t>фосфорни съединения). Не е налице категорична информация за съществуването на люпилня и маточно стадо, без които инвестицията би била невъзможна за осъществяване.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Поради липса на отговор от страна на кандидата при осъществена комуникация в ИСУН, не са налице данни, доказващи наличието на маточни и ремонтни стада, възможностите и начинът на провеждане на размножителна и люпилня кампания. Установената допълнително липсваща информация, наред с останалото води до обективна невъзможност за осъществяване на цялостна оценка на избраната технология и за постигането на производствените цели.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По отношение на връзката между технологичния проект и бизнес плана (БП), е констатирано следното: По отношение на информацията в лист Т 4 „Производствена програма“ от бизнес плана (БП) е установено несъответствие с данните от Изпълнителна агенция по рибарство и аквакултури (ИАРА) за годишното производство на стопанството през 2024 г. (предоставени с писмо с рег. № 13-1199/29.05.2025 г.). Съгласно информация от ИАРА за 2024 г. РС „Шуговец“, собственост на „РИБА И РИБНИ ПРОДУКТИ“ ЕООД е произвело 80 кг зарибителен материал от сом. В БП за предходната година е посочено производство от 33 тона европейски сом. Също така е установено съществено несъответствие </w:t>
            </w:r>
            <w:r w:rsidRPr="00452D77">
              <w:rPr>
                <w:rFonts w:eastAsia="Calibri"/>
                <w:lang w:val="bg-BG"/>
              </w:rPr>
              <w:lastRenderedPageBreak/>
              <w:t>между бизнес плана и технологичния проект по отношение на производствената цел на стопанството. В технологичния проект е посочено, че за период от 1 година стопанството ще произведе 70 тона европейски сом, докато в БП е заложено 350 тона продукция от същия вид за 1 година в периода на изпълнение и мониторинг на проектното предложение.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В допълнение, за да бъде осъществена инвестицията съгласно производствената цел в определеното като пълносистемно стопанство, е необходимо да съществува изградена функционираща люпилня, налично маточно стадо с подходящи (по пол, размер/тегло, брой, възраст, кондиция, и др.) разплодници и условия за подготовка на производителите за осъществяване на размножителна кампания, последваща люпилна кампания, отглеждане на личинки и малки рибки.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В Таблица 3 „Инвестиционни разходи“, за които не се кандидатства за подпомагане, но са част от цялостния обект на инвестицията и без тях обектът не може да бъде завършен и/или да функционира самостоятелно на Бизнес плана липсва свързана с горепосочените обстоятелства информация. Не е включена дори рециркулационната система (с изброено пълно оборудване към нея), която е в основата на производствената дейност на стопанството и избраната технология.</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lastRenderedPageBreak/>
              <w:t>Поради липса на отговор от страна на кандидата при осъществена комуникация в ИСУН, не е предоставена обосновка или коригиран бизнес план във връзка с констатираните несъответствия.</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Във връзка с гореизложеното, може да се направи обосновано заключение, че технологичният проект не е разработен в съответствие с изискванията на УО на ПМДРА и не отговаря на изискванията на Приложение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В изпълнение на разпоредбата на чл. 34, ал. 2 на ЗУСЕФСУ и когато след допълнително изискване по установения ред, на задължително изискуеми по процедурата документи, и информация, същите не бъдат предоставени от кандидата или са представени, но не съгласно изискванията, посочени в Условията за кандидатстване на процедурата, проектното предложение не отговаря на Условията, поради което производството по него се прекратява.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С оглед гореописаните мотиви и съгласно експертните заключения, изложени в Работен лист от помощник оценителите относно проверка и оценка на технологичен проект на проектно предложение BG14MFPR001-2.002-0016 </w:t>
            </w:r>
            <w:r w:rsidRPr="00452D77">
              <w:rPr>
                <w:rFonts w:eastAsia="Calibri"/>
                <w:lang w:val="bg-BG"/>
              </w:rPr>
              <w:lastRenderedPageBreak/>
              <w:t>„Инвестиции в стопанство за европейски сом“, РС „Шуговец“, местност Шуговец, гр. Видин, кандидат „РИБА И РИБНИ ПРОДУКТИ" ЕООД: Технологичният проект не съответства на всички изисквания в Приложение № 22 към Условията за кандидатстване. Следователно проектното предложение не отговаря и на Критерий № 13: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на Критерий № 14: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представеното Експертното заключение за технологичния проект.“, както и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проектни предложения по процедура за подбор на проекти BG14MFPR001-2.002, дейност „Продуктивни инвестиции и иновации в аквакултурите“, по ПМДРА.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lastRenderedPageBreak/>
              <w:t>Съгласно инструкциите в Приложение № 4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1C4B26" w:rsidRPr="00452D77" w:rsidRDefault="00452D77" w:rsidP="00452D77">
            <w:pPr>
              <w:spacing w:after="160" w:line="259" w:lineRule="auto"/>
              <w:ind w:firstLine="720"/>
              <w:jc w:val="both"/>
              <w:rPr>
                <w:rFonts w:eastAsia="Calibri"/>
                <w:lang w:val="bg-BG"/>
              </w:rPr>
            </w:pPr>
            <w:r w:rsidRPr="00452D77">
              <w:rPr>
                <w:rFonts w:eastAsia="Calibri"/>
                <w:lang w:val="bg-BG"/>
              </w:rPr>
              <w:t>Поради изложените по-горе аргументи, проектно предложение с рег. № BG14MFPR001-2.002-0016, „Инвестиции в стопанство з</w:t>
            </w:r>
            <w:r w:rsidR="0081745E">
              <w:rPr>
                <w:rFonts w:eastAsia="Calibri"/>
                <w:lang w:val="bg-BG"/>
              </w:rPr>
              <w:t>а европейски сом“, с кандидат „</w:t>
            </w:r>
            <w:r w:rsidRPr="00452D77">
              <w:rPr>
                <w:rFonts w:eastAsia="Calibri"/>
                <w:lang w:val="bg-BG"/>
              </w:rPr>
              <w:t>РИБА И РИБНИ ПРОДУКТИ“ ЕООД е включено в Списъка на проектните предложения, които не се допускат до етап Техническа и финансова оценка по настоящата процедура.</w:t>
            </w:r>
          </w:p>
        </w:tc>
      </w:tr>
    </w:tbl>
    <w:p w:rsidR="00EB1B37" w:rsidRDefault="00EB1B37" w:rsidP="00877A5F">
      <w:pPr>
        <w:rPr>
          <w:snapToGrid w:val="0"/>
          <w:lang w:val="bg-BG"/>
        </w:rPr>
      </w:pPr>
    </w:p>
    <w:p w:rsidR="00877A5F" w:rsidRPr="009E369F" w:rsidRDefault="00877A5F" w:rsidP="009E369F">
      <w:pPr>
        <w:spacing w:line="360" w:lineRule="auto"/>
        <w:rPr>
          <w:snapToGrid w:val="0"/>
          <w:lang w:val="bg-BG"/>
        </w:rPr>
      </w:pPr>
    </w:p>
    <w:sectPr w:rsidR="00877A5F" w:rsidRPr="009E369F" w:rsidSect="00EB1B37">
      <w:headerReference w:type="default" r:id="rId8"/>
      <w:footerReference w:type="default" r:id="rId9"/>
      <w:pgSz w:w="16838" w:h="11906" w:orient="landscape"/>
      <w:pgMar w:top="1418" w:right="1134" w:bottom="851" w:left="1134" w:header="709"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A96" w:rsidRDefault="00187A96">
      <w:r>
        <w:separator/>
      </w:r>
    </w:p>
  </w:endnote>
  <w:endnote w:type="continuationSeparator" w:id="0">
    <w:p w:rsidR="00187A96" w:rsidRDefault="0018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520512"/>
      <w:docPartObj>
        <w:docPartGallery w:val="Page Numbers (Bottom of Page)"/>
        <w:docPartUnique/>
      </w:docPartObj>
    </w:sdtPr>
    <w:sdtEndPr>
      <w:rPr>
        <w:noProof/>
      </w:rPr>
    </w:sdtEndPr>
    <w:sdtContent>
      <w:p w:rsidR="00C21CB8" w:rsidRDefault="00C21CB8">
        <w:pPr>
          <w:pStyle w:val="Footer"/>
          <w:jc w:val="right"/>
        </w:pPr>
        <w:r>
          <w:fldChar w:fldCharType="begin"/>
        </w:r>
        <w:r>
          <w:instrText xml:space="preserve"> PAGE   \* MERGEFORMAT </w:instrText>
        </w:r>
        <w:r>
          <w:fldChar w:fldCharType="separate"/>
        </w:r>
        <w:r w:rsidR="004F2CCA">
          <w:rPr>
            <w:noProof/>
          </w:rPr>
          <w:t>2</w:t>
        </w:r>
        <w:r>
          <w:rPr>
            <w:noProof/>
          </w:rPr>
          <w:fldChar w:fldCharType="end"/>
        </w:r>
      </w:p>
    </w:sdtContent>
  </w:sdt>
  <w:p w:rsidR="00C21CB8" w:rsidRDefault="00C21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A96" w:rsidRDefault="00187A96">
      <w:r>
        <w:separator/>
      </w:r>
    </w:p>
  </w:footnote>
  <w:footnote w:type="continuationSeparator" w:id="0">
    <w:p w:rsidR="00187A96" w:rsidRDefault="00187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84" w:type="dxa"/>
      <w:tblInd w:w="-141" w:type="dxa"/>
      <w:tblLayout w:type="fixed"/>
      <w:tblCellMar>
        <w:left w:w="0" w:type="dxa"/>
        <w:right w:w="0" w:type="dxa"/>
      </w:tblCellMar>
      <w:tblLook w:val="0000" w:firstRow="0" w:lastRow="0" w:firstColumn="0" w:lastColumn="0" w:noHBand="0" w:noVBand="0"/>
    </w:tblPr>
    <w:tblGrid>
      <w:gridCol w:w="5078"/>
      <w:gridCol w:w="1217"/>
      <w:gridCol w:w="6463"/>
      <w:gridCol w:w="2126"/>
    </w:tblGrid>
    <w:tr w:rsidR="00F95F33" w:rsidRPr="00144A1F" w:rsidTr="001B4A73">
      <w:trPr>
        <w:trHeight w:val="1256"/>
        <w:tblHeader/>
      </w:trPr>
      <w:tc>
        <w:tcPr>
          <w:tcW w:w="5078" w:type="dxa"/>
          <w:vMerge w:val="restart"/>
          <w:tcBorders>
            <w:top w:val="single" w:sz="1" w:space="0" w:color="000000"/>
            <w:left w:val="single" w:sz="1" w:space="0" w:color="000000"/>
          </w:tcBorders>
          <w:vAlign w:val="center"/>
        </w:tcPr>
        <w:p w:rsidR="00144A1F" w:rsidRPr="00144A1F" w:rsidRDefault="00144A1F"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 xml:space="preserve">Министерство на </w:t>
          </w:r>
          <w:r w:rsidR="00A6323E">
            <w:rPr>
              <w:rFonts w:eastAsia="HG Mincho Light J"/>
              <w:b/>
              <w:color w:val="000000"/>
              <w:sz w:val="20"/>
              <w:szCs w:val="20"/>
              <w:lang w:val="bg-BG"/>
            </w:rPr>
            <w:t>земеделието</w:t>
          </w:r>
          <w:r w:rsidR="00006334">
            <w:rPr>
              <w:rFonts w:eastAsia="HG Mincho Light J"/>
              <w:b/>
              <w:color w:val="000000"/>
              <w:sz w:val="20"/>
              <w:szCs w:val="20"/>
              <w:lang w:val="bg-BG"/>
            </w:rPr>
            <w:t xml:space="preserve"> и храните</w:t>
          </w:r>
        </w:p>
        <w:p w:rsidR="00F95F33" w:rsidRPr="006B2ABC" w:rsidRDefault="001D7924" w:rsidP="00274FD3">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Д</w:t>
          </w:r>
          <w:r w:rsidR="009E369F">
            <w:rPr>
              <w:rFonts w:eastAsia="HG Mincho Light J"/>
              <w:b/>
              <w:color w:val="000000"/>
              <w:sz w:val="20"/>
              <w:szCs w:val="20"/>
              <w:lang w:val="bg-BG"/>
            </w:rPr>
            <w:t>ирекция „</w:t>
          </w:r>
          <w:r>
            <w:rPr>
              <w:rFonts w:eastAsia="HG Mincho Light J"/>
              <w:b/>
              <w:color w:val="000000"/>
              <w:sz w:val="20"/>
              <w:szCs w:val="20"/>
              <w:lang w:val="bg-BG"/>
            </w:rPr>
            <w:t>Морско дело и рибарство</w:t>
          </w:r>
          <w:r w:rsidR="00144A1F" w:rsidRPr="00144A1F">
            <w:rPr>
              <w:rFonts w:eastAsia="HG Mincho Light J"/>
              <w:b/>
              <w:color w:val="000000"/>
              <w:sz w:val="20"/>
              <w:szCs w:val="20"/>
              <w:lang w:val="bg-BG"/>
            </w:rPr>
            <w:t xml:space="preserve">” – Управляващ орган на </w:t>
          </w:r>
          <w:r>
            <w:rPr>
              <w:rFonts w:eastAsia="HG Mincho Light J"/>
              <w:b/>
              <w:color w:val="000000"/>
              <w:sz w:val="20"/>
              <w:szCs w:val="20"/>
              <w:lang w:val="bg-BG"/>
            </w:rPr>
            <w:t>ПМДР</w:t>
          </w:r>
          <w:r w:rsidR="00E14F0B">
            <w:rPr>
              <w:rFonts w:eastAsia="HG Mincho Light J"/>
              <w:b/>
              <w:color w:val="000000"/>
              <w:sz w:val="20"/>
              <w:szCs w:val="20"/>
              <w:lang w:val="bg-BG"/>
            </w:rPr>
            <w:t>А</w:t>
          </w:r>
          <w:r w:rsidR="00877A5F" w:rsidRPr="006B2ABC">
            <w:rPr>
              <w:rFonts w:eastAsia="HG Mincho Light J"/>
              <w:b/>
              <w:color w:val="000000"/>
              <w:sz w:val="20"/>
              <w:szCs w:val="20"/>
              <w:lang w:val="bg-BG"/>
            </w:rPr>
            <w:t xml:space="preserve"> 20</w:t>
          </w:r>
          <w:r w:rsidR="00274FD3">
            <w:rPr>
              <w:rFonts w:eastAsia="HG Mincho Light J"/>
              <w:b/>
              <w:color w:val="000000"/>
              <w:sz w:val="20"/>
              <w:szCs w:val="20"/>
              <w:lang w:val="bg-BG"/>
            </w:rPr>
            <w:t>21 - 2027</w:t>
          </w:r>
        </w:p>
      </w:tc>
      <w:tc>
        <w:tcPr>
          <w:tcW w:w="7680" w:type="dxa"/>
          <w:gridSpan w:val="2"/>
          <w:tcBorders>
            <w:top w:val="single" w:sz="1" w:space="0" w:color="000000"/>
            <w:left w:val="single" w:sz="1" w:space="0" w:color="000000"/>
            <w:bottom w:val="single" w:sz="1" w:space="0" w:color="000000"/>
          </w:tcBorders>
          <w:vAlign w:val="center"/>
        </w:tcPr>
        <w:p w:rsidR="00F95F33" w:rsidRPr="00144A1F" w:rsidRDefault="003213FB" w:rsidP="003C6C1D">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НАРЪЧНИК </w:t>
          </w:r>
          <w:r w:rsidR="00D4220F">
            <w:rPr>
              <w:rFonts w:eastAsia="HG Mincho Light J"/>
              <w:b/>
              <w:color w:val="000000"/>
              <w:sz w:val="20"/>
              <w:szCs w:val="20"/>
              <w:lang w:val="bg-BG"/>
            </w:rPr>
            <w:t>ПО</w:t>
          </w:r>
          <w:r>
            <w:rPr>
              <w:rFonts w:eastAsia="HG Mincho Light J"/>
              <w:b/>
              <w:color w:val="000000"/>
              <w:sz w:val="20"/>
              <w:szCs w:val="20"/>
              <w:lang w:val="bg-BG"/>
            </w:rPr>
            <w:t xml:space="preserve"> </w:t>
          </w:r>
          <w:r w:rsidR="009E1864">
            <w:rPr>
              <w:rFonts w:eastAsia="HG Mincho Light J"/>
              <w:b/>
              <w:color w:val="000000"/>
              <w:sz w:val="20"/>
              <w:szCs w:val="20"/>
              <w:lang w:val="bg-BG"/>
            </w:rPr>
            <w:t>ПРОГРАМА ЗА МОРСКО ДЕЛО, РИБАРСТВО И  АКВАКУЛТУРИ</w:t>
          </w:r>
          <w:r w:rsidR="00C36EA9">
            <w:rPr>
              <w:rFonts w:eastAsia="HG Mincho Light J"/>
              <w:b/>
              <w:color w:val="000000"/>
              <w:sz w:val="20"/>
              <w:szCs w:val="20"/>
              <w:lang w:val="bg-BG"/>
            </w:rPr>
            <w:t xml:space="preserve"> 2021 -2027</w:t>
          </w:r>
          <w:r w:rsidR="00F95F33" w:rsidRPr="00144A1F">
            <w:rPr>
              <w:rFonts w:eastAsia="HG Mincho Light J"/>
              <w:b/>
              <w:color w:val="000000"/>
              <w:sz w:val="20"/>
              <w:szCs w:val="20"/>
              <w:lang w:val="bg-BG"/>
            </w:rPr>
            <w:t xml:space="preserve"> (</w:t>
          </w:r>
          <w:r w:rsidR="001D7924">
            <w:rPr>
              <w:rFonts w:eastAsia="HG Mincho Light J"/>
              <w:b/>
              <w:color w:val="000000"/>
              <w:sz w:val="20"/>
              <w:szCs w:val="20"/>
              <w:lang w:val="bg-BG"/>
            </w:rPr>
            <w:t>ПМДР</w:t>
          </w:r>
          <w:r w:rsidR="00C36EA9">
            <w:rPr>
              <w:rFonts w:eastAsia="HG Mincho Light J"/>
              <w:b/>
              <w:color w:val="000000"/>
              <w:sz w:val="20"/>
              <w:szCs w:val="20"/>
              <w:lang w:val="bg-BG"/>
            </w:rPr>
            <w:t>А</w:t>
          </w:r>
          <w:r w:rsidR="00F95F33" w:rsidRPr="00144A1F">
            <w:rPr>
              <w:rFonts w:eastAsia="HG Mincho Light J"/>
              <w:b/>
              <w:color w:val="000000"/>
              <w:sz w:val="20"/>
              <w:szCs w:val="20"/>
              <w:lang w:val="bg-BG"/>
            </w:rPr>
            <w:t>)</w:t>
          </w:r>
        </w:p>
      </w:tc>
      <w:tc>
        <w:tcPr>
          <w:tcW w:w="2126" w:type="dxa"/>
          <w:tcBorders>
            <w:top w:val="single" w:sz="1" w:space="0" w:color="000000"/>
            <w:left w:val="single" w:sz="1" w:space="0" w:color="000000"/>
            <w:bottom w:val="single" w:sz="1" w:space="0" w:color="000000"/>
            <w:right w:val="single" w:sz="1" w:space="0" w:color="000000"/>
          </w:tcBorders>
          <w:vAlign w:val="center"/>
        </w:tcPr>
        <w:p w:rsidR="00F95F33" w:rsidRPr="00144A1F" w:rsidRDefault="00144A1F" w:rsidP="009054CD">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lang w:val="bg-BG"/>
            </w:rPr>
            <w:t xml:space="preserve">Вариант </w:t>
          </w:r>
          <w:r w:rsidR="00006334">
            <w:rPr>
              <w:rFonts w:eastAsia="HG Mincho Light J"/>
              <w:b/>
              <w:color w:val="000000"/>
              <w:sz w:val="20"/>
              <w:lang w:val="bg-BG"/>
            </w:rPr>
            <w:t>1</w:t>
          </w:r>
        </w:p>
      </w:tc>
    </w:tr>
    <w:tr w:rsidR="00F95F33" w:rsidRPr="00144A1F" w:rsidTr="001B4A73">
      <w:trPr>
        <w:trHeight w:val="747"/>
      </w:trPr>
      <w:tc>
        <w:tcPr>
          <w:tcW w:w="5078" w:type="dxa"/>
          <w:vMerge/>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p>
      </w:tc>
      <w:tc>
        <w:tcPr>
          <w:tcW w:w="1217" w:type="dxa"/>
          <w:tcBorders>
            <w:left w:val="single" w:sz="1" w:space="0" w:color="000000"/>
            <w:bottom w:val="single" w:sz="1" w:space="0" w:color="000000"/>
            <w:right w:val="single" w:sz="1" w:space="0" w:color="000000"/>
          </w:tcBorders>
          <w:vAlign w:val="center"/>
        </w:tcPr>
        <w:p w:rsidR="00F95F33" w:rsidRPr="00144A1F" w:rsidRDefault="006C23EE" w:rsidP="00144A1F">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Глава 4, раздел 2, </w:t>
          </w:r>
          <w:r w:rsidR="00F95F33" w:rsidRPr="00144A1F">
            <w:rPr>
              <w:rFonts w:eastAsia="HG Mincho Light J"/>
              <w:b/>
              <w:color w:val="000000"/>
              <w:sz w:val="20"/>
              <w:szCs w:val="20"/>
              <w:lang w:val="bg-BG"/>
            </w:rPr>
            <w:t xml:space="preserve">Приложение </w:t>
          </w:r>
        </w:p>
        <w:p w:rsidR="00F95F33" w:rsidRPr="00144A1F" w:rsidRDefault="00F95F33" w:rsidP="002D643D">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4.II.</w:t>
          </w:r>
          <w:r w:rsidR="00BE3CC1" w:rsidRPr="00144A1F">
            <w:rPr>
              <w:rFonts w:eastAsia="HG Mincho Light J"/>
              <w:b/>
              <w:color w:val="000000"/>
              <w:sz w:val="20"/>
              <w:szCs w:val="20"/>
              <w:lang w:val="bg-BG"/>
            </w:rPr>
            <w:t>1</w:t>
          </w:r>
          <w:r w:rsidRPr="00144A1F">
            <w:rPr>
              <w:rFonts w:eastAsia="HG Mincho Light J"/>
              <w:b/>
              <w:color w:val="000000"/>
              <w:sz w:val="20"/>
              <w:szCs w:val="20"/>
              <w:lang w:val="bg-BG"/>
            </w:rPr>
            <w:t>.</w:t>
          </w:r>
          <w:r w:rsidR="002D643D">
            <w:rPr>
              <w:rFonts w:eastAsia="HG Mincho Light J"/>
              <w:b/>
              <w:color w:val="000000"/>
              <w:sz w:val="20"/>
              <w:szCs w:val="20"/>
              <w:lang w:val="bg-BG"/>
            </w:rPr>
            <w:t>13</w:t>
          </w:r>
          <w:r w:rsidRPr="00144A1F">
            <w:rPr>
              <w:rFonts w:eastAsia="HG Mincho Light J"/>
              <w:b/>
              <w:color w:val="000000"/>
              <w:sz w:val="20"/>
              <w:szCs w:val="20"/>
              <w:lang w:val="bg-BG"/>
            </w:rPr>
            <w:t>.</w:t>
          </w:r>
        </w:p>
      </w:tc>
      <w:tc>
        <w:tcPr>
          <w:tcW w:w="6463" w:type="dxa"/>
          <w:tcBorders>
            <w:left w:val="single" w:sz="1" w:space="0" w:color="000000"/>
            <w:bottom w:val="single" w:sz="1" w:space="0" w:color="000000"/>
            <w:right w:val="single" w:sz="1" w:space="0" w:color="000000"/>
          </w:tcBorders>
          <w:vAlign w:val="center"/>
        </w:tcPr>
        <w:p w:rsidR="00F95F33" w:rsidRPr="00144A1F" w:rsidRDefault="00F95F33" w:rsidP="00144A1F">
          <w:pPr>
            <w:widowControl w:val="0"/>
            <w:suppressLineNumbers/>
            <w:suppressAutoHyphens/>
            <w:jc w:val="center"/>
            <w:rPr>
              <w:b/>
              <w:sz w:val="20"/>
              <w:szCs w:val="20"/>
              <w:lang w:val="bg-BG"/>
            </w:rPr>
          </w:pPr>
          <w:r w:rsidRPr="00144A1F">
            <w:rPr>
              <w:b/>
              <w:sz w:val="20"/>
              <w:szCs w:val="20"/>
              <w:lang w:val="bg-BG"/>
            </w:rPr>
            <w:t>ПРОЦЕДУРИ ЗА ПРЕДОСТАВЯНЕ НА БЕЗВЪЗМЕЗДНА ФИНАНСОВА ПОМОЩ</w:t>
          </w:r>
        </w:p>
        <w:p w:rsidR="00F95F33" w:rsidRPr="00144A1F" w:rsidRDefault="00F95F33" w:rsidP="00144A1F">
          <w:pPr>
            <w:widowControl w:val="0"/>
            <w:suppressLineNumbers/>
            <w:suppressAutoHyphens/>
            <w:jc w:val="center"/>
            <w:rPr>
              <w:b/>
              <w:iCs/>
              <w:sz w:val="20"/>
              <w:szCs w:val="20"/>
              <w:lang w:val="bg-BG"/>
            </w:rPr>
          </w:pPr>
        </w:p>
        <w:p w:rsidR="00F95F33" w:rsidRPr="00144A1F" w:rsidRDefault="00F95F33" w:rsidP="00144A1F">
          <w:pPr>
            <w:widowControl w:val="0"/>
            <w:suppressLineNumbers/>
            <w:suppressAutoHyphens/>
            <w:jc w:val="center"/>
            <w:rPr>
              <w:b/>
              <w:iCs/>
              <w:sz w:val="20"/>
              <w:szCs w:val="20"/>
              <w:lang w:val="bg-BG"/>
            </w:rPr>
          </w:pPr>
        </w:p>
        <w:p w:rsidR="00F95F33" w:rsidRPr="00F609C8" w:rsidRDefault="002D643D" w:rsidP="00F609C8">
          <w:pPr>
            <w:widowControl w:val="0"/>
            <w:suppressLineNumbers/>
            <w:suppressAutoHyphens/>
            <w:jc w:val="center"/>
            <w:rPr>
              <w:rFonts w:eastAsia="HG Mincho Light J"/>
              <w:b/>
              <w:color w:val="000000"/>
              <w:sz w:val="20"/>
              <w:szCs w:val="20"/>
              <w:lang w:val="bg-BG"/>
            </w:rPr>
          </w:pPr>
          <w:r w:rsidRPr="002D643D">
            <w:rPr>
              <w:b/>
              <w:iCs/>
              <w:sz w:val="20"/>
              <w:szCs w:val="20"/>
              <w:lang w:val="bg-BG"/>
            </w:rPr>
            <w:t>Образец на Списък на предложените за отхвърляне проектни предложения</w:t>
          </w:r>
        </w:p>
      </w:tc>
      <w:tc>
        <w:tcPr>
          <w:tcW w:w="2126" w:type="dxa"/>
          <w:tcBorders>
            <w:left w:val="single" w:sz="1" w:space="0" w:color="000000"/>
            <w:bottom w:val="single" w:sz="1" w:space="0" w:color="000000"/>
            <w:righ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b/>
              <w:sz w:val="20"/>
              <w:szCs w:val="20"/>
              <w:lang w:val="bg-BG"/>
            </w:rPr>
            <w:t xml:space="preserve">страница: </w:t>
          </w:r>
          <w:r w:rsidR="00C438E3" w:rsidRPr="00144A1F">
            <w:rPr>
              <w:rStyle w:val="PageNumber"/>
              <w:sz w:val="20"/>
              <w:szCs w:val="20"/>
              <w:lang w:val="bg-BG"/>
            </w:rPr>
            <w:fldChar w:fldCharType="begin"/>
          </w:r>
          <w:r w:rsidRPr="00144A1F">
            <w:rPr>
              <w:rStyle w:val="PageNumber"/>
              <w:sz w:val="20"/>
              <w:szCs w:val="20"/>
              <w:lang w:val="bg-BG"/>
            </w:rPr>
            <w:instrText xml:space="preserve"> PAGE </w:instrText>
          </w:r>
          <w:r w:rsidR="00C438E3" w:rsidRPr="00144A1F">
            <w:rPr>
              <w:rStyle w:val="PageNumber"/>
              <w:sz w:val="20"/>
              <w:szCs w:val="20"/>
              <w:lang w:val="bg-BG"/>
            </w:rPr>
            <w:fldChar w:fldCharType="separate"/>
          </w:r>
          <w:r w:rsidR="004F2CCA">
            <w:rPr>
              <w:rStyle w:val="PageNumber"/>
              <w:noProof/>
              <w:sz w:val="20"/>
              <w:szCs w:val="20"/>
              <w:lang w:val="bg-BG"/>
            </w:rPr>
            <w:t>2</w:t>
          </w:r>
          <w:r w:rsidR="00C438E3" w:rsidRPr="00144A1F">
            <w:rPr>
              <w:rStyle w:val="PageNumber"/>
              <w:sz w:val="20"/>
              <w:szCs w:val="20"/>
              <w:lang w:val="bg-BG"/>
            </w:rPr>
            <w:fldChar w:fldCharType="end"/>
          </w:r>
          <w:r w:rsidRPr="00144A1F">
            <w:rPr>
              <w:rStyle w:val="PageNumber"/>
              <w:sz w:val="20"/>
              <w:szCs w:val="20"/>
              <w:lang w:val="bg-BG"/>
            </w:rPr>
            <w:t>/</w:t>
          </w:r>
          <w:r w:rsidR="00C438E3" w:rsidRPr="00144A1F">
            <w:rPr>
              <w:rStyle w:val="PageNumber"/>
              <w:sz w:val="20"/>
              <w:szCs w:val="20"/>
              <w:lang w:val="bg-BG"/>
            </w:rPr>
            <w:fldChar w:fldCharType="begin"/>
          </w:r>
          <w:r w:rsidRPr="00144A1F">
            <w:rPr>
              <w:rStyle w:val="PageNumber"/>
              <w:sz w:val="20"/>
              <w:szCs w:val="20"/>
              <w:lang w:val="bg-BG"/>
            </w:rPr>
            <w:instrText xml:space="preserve"> NUMPAGES </w:instrText>
          </w:r>
          <w:r w:rsidR="00C438E3" w:rsidRPr="00144A1F">
            <w:rPr>
              <w:rStyle w:val="PageNumber"/>
              <w:sz w:val="20"/>
              <w:szCs w:val="20"/>
              <w:lang w:val="bg-BG"/>
            </w:rPr>
            <w:fldChar w:fldCharType="separate"/>
          </w:r>
          <w:r w:rsidR="004F2CCA">
            <w:rPr>
              <w:rStyle w:val="PageNumber"/>
              <w:noProof/>
              <w:sz w:val="20"/>
              <w:szCs w:val="20"/>
              <w:lang w:val="bg-BG"/>
            </w:rPr>
            <w:t>28</w:t>
          </w:r>
          <w:r w:rsidR="00C438E3" w:rsidRPr="00144A1F">
            <w:rPr>
              <w:rStyle w:val="PageNumber"/>
              <w:sz w:val="20"/>
              <w:szCs w:val="20"/>
              <w:lang w:val="bg-BG"/>
            </w:rPr>
            <w:fldChar w:fldCharType="end"/>
          </w:r>
        </w:p>
      </w:tc>
    </w:tr>
    <w:tr w:rsidR="00F95F33" w:rsidRPr="00144A1F" w:rsidTr="001B4A73">
      <w:trPr>
        <w:trHeight w:val="697"/>
      </w:trPr>
      <w:tc>
        <w:tcPr>
          <w:tcW w:w="5078" w:type="dxa"/>
          <w:vMerge/>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p>
      </w:tc>
      <w:tc>
        <w:tcPr>
          <w:tcW w:w="7680" w:type="dxa"/>
          <w:gridSpan w:val="2"/>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Одобрен от: Ръководител на Управляващия орган</w:t>
          </w:r>
        </w:p>
      </w:tc>
      <w:tc>
        <w:tcPr>
          <w:tcW w:w="2126" w:type="dxa"/>
          <w:tcBorders>
            <w:left w:val="single" w:sz="1" w:space="0" w:color="000000"/>
            <w:bottom w:val="single" w:sz="4" w:space="0" w:color="auto"/>
            <w:right w:val="single" w:sz="1" w:space="0" w:color="000000"/>
          </w:tcBorders>
          <w:vAlign w:val="center"/>
        </w:tcPr>
        <w:p w:rsidR="00144A1F" w:rsidRPr="00144A1F" w:rsidRDefault="00144A1F"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Дата:</w:t>
          </w:r>
        </w:p>
        <w:p w:rsidR="00F95F33" w:rsidRPr="00144A1F" w:rsidRDefault="00244742" w:rsidP="00A6323E">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Ноември </w:t>
          </w:r>
          <w:r w:rsidR="00006334">
            <w:rPr>
              <w:rFonts w:eastAsia="HG Mincho Light J"/>
              <w:b/>
              <w:color w:val="000000"/>
              <w:sz w:val="20"/>
              <w:szCs w:val="20"/>
              <w:lang w:val="bg-BG"/>
            </w:rPr>
            <w:t>2023</w:t>
          </w:r>
        </w:p>
      </w:tc>
    </w:tr>
    <w:tr w:rsidR="00D4220F" w:rsidRPr="00144A1F" w:rsidTr="001B4A73">
      <w:trPr>
        <w:trHeight w:val="697"/>
      </w:trPr>
      <w:tc>
        <w:tcPr>
          <w:tcW w:w="5078" w:type="dxa"/>
          <w:tcBorders>
            <w:left w:val="single" w:sz="1" w:space="0" w:color="000000"/>
            <w:bottom w:val="single" w:sz="1" w:space="0" w:color="000000"/>
          </w:tcBorders>
          <w:vAlign w:val="center"/>
        </w:tcPr>
        <w:p w:rsidR="00D4220F" w:rsidRPr="00144A1F" w:rsidRDefault="00D4220F" w:rsidP="00144A1F">
          <w:pPr>
            <w:widowControl w:val="0"/>
            <w:suppressLineNumbers/>
            <w:suppressAutoHyphens/>
            <w:jc w:val="center"/>
            <w:rPr>
              <w:rFonts w:eastAsia="HG Mincho Light J"/>
              <w:b/>
              <w:color w:val="000000"/>
              <w:sz w:val="20"/>
              <w:szCs w:val="20"/>
              <w:lang w:val="bg-BG"/>
            </w:rPr>
          </w:pPr>
        </w:p>
      </w:tc>
      <w:tc>
        <w:tcPr>
          <w:tcW w:w="7680" w:type="dxa"/>
          <w:gridSpan w:val="2"/>
          <w:tcBorders>
            <w:left w:val="single" w:sz="1" w:space="0" w:color="000000"/>
            <w:bottom w:val="single" w:sz="1" w:space="0" w:color="000000"/>
            <w:right w:val="single" w:sz="4" w:space="0" w:color="auto"/>
          </w:tcBorders>
          <w:vAlign w:val="center"/>
        </w:tcPr>
        <w:p w:rsidR="00D4220F" w:rsidRPr="00144A1F" w:rsidRDefault="00D4220F" w:rsidP="00144A1F">
          <w:pPr>
            <w:widowControl w:val="0"/>
            <w:suppressLineNumbers/>
            <w:suppressAutoHyphens/>
            <w:jc w:val="center"/>
            <w:rPr>
              <w:rFonts w:eastAsia="HG Mincho Light J"/>
              <w:b/>
              <w:color w:val="000000"/>
              <w:sz w:val="20"/>
              <w:szCs w:val="20"/>
              <w:lang w:val="bg-BG"/>
            </w:rPr>
          </w:pPr>
        </w:p>
      </w:tc>
      <w:tc>
        <w:tcPr>
          <w:tcW w:w="2126" w:type="dxa"/>
          <w:tcBorders>
            <w:top w:val="single" w:sz="4" w:space="0" w:color="auto"/>
            <w:left w:val="single" w:sz="4" w:space="0" w:color="auto"/>
            <w:bottom w:val="single" w:sz="4" w:space="0" w:color="auto"/>
            <w:right w:val="single" w:sz="4" w:space="0" w:color="auto"/>
          </w:tcBorders>
          <w:vAlign w:val="center"/>
        </w:tcPr>
        <w:p w:rsidR="00D4220F" w:rsidRPr="00D4220F" w:rsidRDefault="00D4220F" w:rsidP="00D4220F">
          <w:pPr>
            <w:widowControl w:val="0"/>
            <w:suppressLineNumbers/>
            <w:suppressAutoHyphens/>
            <w:jc w:val="center"/>
            <w:rPr>
              <w:rFonts w:eastAsia="HG Mincho Light J"/>
              <w:b/>
              <w:color w:val="000000"/>
              <w:sz w:val="20"/>
              <w:szCs w:val="20"/>
              <w:lang w:val="bg-BG"/>
            </w:rPr>
          </w:pPr>
          <w:r w:rsidRPr="00D4220F">
            <w:rPr>
              <w:rFonts w:eastAsia="HG Mincho Light J"/>
              <w:b/>
              <w:color w:val="000000"/>
              <w:sz w:val="20"/>
              <w:szCs w:val="20"/>
              <w:lang w:val="bg-BG"/>
            </w:rPr>
            <w:t>Версия:</w:t>
          </w:r>
        </w:p>
        <w:p w:rsidR="00D4220F" w:rsidRPr="00144A1F" w:rsidRDefault="00244742" w:rsidP="00006334">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Ноември </w:t>
          </w:r>
          <w:r w:rsidR="00006334">
            <w:rPr>
              <w:rFonts w:eastAsia="HG Mincho Light J"/>
              <w:b/>
              <w:color w:val="000000"/>
              <w:sz w:val="20"/>
              <w:szCs w:val="20"/>
              <w:lang w:val="bg-BG"/>
            </w:rPr>
            <w:t>2023</w:t>
          </w:r>
        </w:p>
      </w:tc>
    </w:tr>
  </w:tbl>
  <w:p w:rsidR="003F4A60" w:rsidRDefault="003F4A60" w:rsidP="00561E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15BB4"/>
    <w:multiLevelType w:val="hybridMultilevel"/>
    <w:tmpl w:val="52C0DFF6"/>
    <w:lvl w:ilvl="0" w:tplc="681C8144">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1021D9"/>
    <w:multiLevelType w:val="hybridMultilevel"/>
    <w:tmpl w:val="51FEF1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F1"/>
    <w:rsid w:val="00002EA4"/>
    <w:rsid w:val="00006334"/>
    <w:rsid w:val="00011405"/>
    <w:rsid w:val="000129B7"/>
    <w:rsid w:val="00025790"/>
    <w:rsid w:val="00027265"/>
    <w:rsid w:val="00031306"/>
    <w:rsid w:val="000608C3"/>
    <w:rsid w:val="00091A0B"/>
    <w:rsid w:val="00093853"/>
    <w:rsid w:val="000955C9"/>
    <w:rsid w:val="000A3A7D"/>
    <w:rsid w:val="000D7ED9"/>
    <w:rsid w:val="000E5E0B"/>
    <w:rsid w:val="000F2441"/>
    <w:rsid w:val="001047BE"/>
    <w:rsid w:val="00111412"/>
    <w:rsid w:val="001245DD"/>
    <w:rsid w:val="00132DEE"/>
    <w:rsid w:val="00144A1F"/>
    <w:rsid w:val="00173702"/>
    <w:rsid w:val="00187A96"/>
    <w:rsid w:val="00193A7A"/>
    <w:rsid w:val="001959F7"/>
    <w:rsid w:val="001B4A73"/>
    <w:rsid w:val="001C0B6A"/>
    <w:rsid w:val="001C3BE2"/>
    <w:rsid w:val="001C4B26"/>
    <w:rsid w:val="001D594D"/>
    <w:rsid w:val="001D7924"/>
    <w:rsid w:val="001F0DA3"/>
    <w:rsid w:val="00244742"/>
    <w:rsid w:val="0024716F"/>
    <w:rsid w:val="00252824"/>
    <w:rsid w:val="00267933"/>
    <w:rsid w:val="00273151"/>
    <w:rsid w:val="00274FD3"/>
    <w:rsid w:val="002765CC"/>
    <w:rsid w:val="0028464A"/>
    <w:rsid w:val="0029326B"/>
    <w:rsid w:val="002D157D"/>
    <w:rsid w:val="002D643D"/>
    <w:rsid w:val="002E4382"/>
    <w:rsid w:val="002F75E1"/>
    <w:rsid w:val="0030728B"/>
    <w:rsid w:val="00311A88"/>
    <w:rsid w:val="003213FB"/>
    <w:rsid w:val="00331586"/>
    <w:rsid w:val="00335DE0"/>
    <w:rsid w:val="00347D47"/>
    <w:rsid w:val="00364692"/>
    <w:rsid w:val="00376A60"/>
    <w:rsid w:val="003941DC"/>
    <w:rsid w:val="003A624D"/>
    <w:rsid w:val="003B27AC"/>
    <w:rsid w:val="003B5A55"/>
    <w:rsid w:val="003B5F2E"/>
    <w:rsid w:val="003C6C1D"/>
    <w:rsid w:val="003E0D49"/>
    <w:rsid w:val="003E2D2E"/>
    <w:rsid w:val="003F4A60"/>
    <w:rsid w:val="003F7B45"/>
    <w:rsid w:val="00411D7A"/>
    <w:rsid w:val="004322ED"/>
    <w:rsid w:val="00436A9D"/>
    <w:rsid w:val="00444D18"/>
    <w:rsid w:val="00452D77"/>
    <w:rsid w:val="0047120E"/>
    <w:rsid w:val="004953B3"/>
    <w:rsid w:val="004A41E4"/>
    <w:rsid w:val="004A7303"/>
    <w:rsid w:val="004C574A"/>
    <w:rsid w:val="004E121F"/>
    <w:rsid w:val="004E4CA9"/>
    <w:rsid w:val="004F2CCA"/>
    <w:rsid w:val="004F3330"/>
    <w:rsid w:val="004F42DA"/>
    <w:rsid w:val="004F5C87"/>
    <w:rsid w:val="005253D1"/>
    <w:rsid w:val="00542E98"/>
    <w:rsid w:val="00545706"/>
    <w:rsid w:val="00561E4F"/>
    <w:rsid w:val="00586F61"/>
    <w:rsid w:val="005912C0"/>
    <w:rsid w:val="00592769"/>
    <w:rsid w:val="005A17D3"/>
    <w:rsid w:val="005A6A46"/>
    <w:rsid w:val="005B5466"/>
    <w:rsid w:val="005C2D40"/>
    <w:rsid w:val="005C6F96"/>
    <w:rsid w:val="005D0C34"/>
    <w:rsid w:val="005D29B2"/>
    <w:rsid w:val="005D311A"/>
    <w:rsid w:val="005D6211"/>
    <w:rsid w:val="005D7EDC"/>
    <w:rsid w:val="005E52BD"/>
    <w:rsid w:val="005E678C"/>
    <w:rsid w:val="005F44E0"/>
    <w:rsid w:val="005F5ADF"/>
    <w:rsid w:val="00614F78"/>
    <w:rsid w:val="006439D5"/>
    <w:rsid w:val="0065252C"/>
    <w:rsid w:val="00654495"/>
    <w:rsid w:val="0068349E"/>
    <w:rsid w:val="00685D9D"/>
    <w:rsid w:val="006B2ABC"/>
    <w:rsid w:val="006B4949"/>
    <w:rsid w:val="006C23EE"/>
    <w:rsid w:val="00704F48"/>
    <w:rsid w:val="00710DE8"/>
    <w:rsid w:val="007126CE"/>
    <w:rsid w:val="0071717D"/>
    <w:rsid w:val="007315F2"/>
    <w:rsid w:val="00751517"/>
    <w:rsid w:val="00775769"/>
    <w:rsid w:val="00781AF4"/>
    <w:rsid w:val="007A1130"/>
    <w:rsid w:val="007A1946"/>
    <w:rsid w:val="007D081C"/>
    <w:rsid w:val="0081745E"/>
    <w:rsid w:val="00830920"/>
    <w:rsid w:val="008445E2"/>
    <w:rsid w:val="00845433"/>
    <w:rsid w:val="00861D8E"/>
    <w:rsid w:val="00877A5F"/>
    <w:rsid w:val="00886106"/>
    <w:rsid w:val="0088738B"/>
    <w:rsid w:val="008B15BD"/>
    <w:rsid w:val="008D0692"/>
    <w:rsid w:val="008E150A"/>
    <w:rsid w:val="008E1661"/>
    <w:rsid w:val="0090223F"/>
    <w:rsid w:val="009054CD"/>
    <w:rsid w:val="00932C29"/>
    <w:rsid w:val="0095005A"/>
    <w:rsid w:val="00954F89"/>
    <w:rsid w:val="00955C51"/>
    <w:rsid w:val="00960B4D"/>
    <w:rsid w:val="00963DF6"/>
    <w:rsid w:val="00970769"/>
    <w:rsid w:val="00980B41"/>
    <w:rsid w:val="00982377"/>
    <w:rsid w:val="00992D76"/>
    <w:rsid w:val="009A06E8"/>
    <w:rsid w:val="009A530C"/>
    <w:rsid w:val="009B26E1"/>
    <w:rsid w:val="009B334E"/>
    <w:rsid w:val="009C273A"/>
    <w:rsid w:val="009D5B0E"/>
    <w:rsid w:val="009D7E36"/>
    <w:rsid w:val="009E1864"/>
    <w:rsid w:val="009E369F"/>
    <w:rsid w:val="009E4C13"/>
    <w:rsid w:val="009F7AFB"/>
    <w:rsid w:val="00A15B65"/>
    <w:rsid w:val="00A25AE5"/>
    <w:rsid w:val="00A33334"/>
    <w:rsid w:val="00A339F3"/>
    <w:rsid w:val="00A40AC5"/>
    <w:rsid w:val="00A44549"/>
    <w:rsid w:val="00A6323E"/>
    <w:rsid w:val="00A6428E"/>
    <w:rsid w:val="00A70381"/>
    <w:rsid w:val="00A70F60"/>
    <w:rsid w:val="00A80ED9"/>
    <w:rsid w:val="00A940B8"/>
    <w:rsid w:val="00AA0DE1"/>
    <w:rsid w:val="00AC2ACC"/>
    <w:rsid w:val="00AC460E"/>
    <w:rsid w:val="00AC78E1"/>
    <w:rsid w:val="00AD048E"/>
    <w:rsid w:val="00AF1D14"/>
    <w:rsid w:val="00B03339"/>
    <w:rsid w:val="00B1699E"/>
    <w:rsid w:val="00B208BE"/>
    <w:rsid w:val="00B31E34"/>
    <w:rsid w:val="00B43EF2"/>
    <w:rsid w:val="00B45BDD"/>
    <w:rsid w:val="00B46079"/>
    <w:rsid w:val="00B5142E"/>
    <w:rsid w:val="00B776C7"/>
    <w:rsid w:val="00BB2C87"/>
    <w:rsid w:val="00BB5A62"/>
    <w:rsid w:val="00BD146C"/>
    <w:rsid w:val="00BE019F"/>
    <w:rsid w:val="00BE3CC1"/>
    <w:rsid w:val="00C21491"/>
    <w:rsid w:val="00C21CB8"/>
    <w:rsid w:val="00C36EA9"/>
    <w:rsid w:val="00C438E3"/>
    <w:rsid w:val="00C565C8"/>
    <w:rsid w:val="00C674EA"/>
    <w:rsid w:val="00C740F1"/>
    <w:rsid w:val="00CC762D"/>
    <w:rsid w:val="00CD5FF4"/>
    <w:rsid w:val="00CF7E34"/>
    <w:rsid w:val="00D0052E"/>
    <w:rsid w:val="00D1159D"/>
    <w:rsid w:val="00D1516E"/>
    <w:rsid w:val="00D215E9"/>
    <w:rsid w:val="00D34D64"/>
    <w:rsid w:val="00D4145E"/>
    <w:rsid w:val="00D4220F"/>
    <w:rsid w:val="00D42CDF"/>
    <w:rsid w:val="00D51D24"/>
    <w:rsid w:val="00D73123"/>
    <w:rsid w:val="00D7495B"/>
    <w:rsid w:val="00D86372"/>
    <w:rsid w:val="00D874BF"/>
    <w:rsid w:val="00D97F8A"/>
    <w:rsid w:val="00DA1A24"/>
    <w:rsid w:val="00E071FD"/>
    <w:rsid w:val="00E12C88"/>
    <w:rsid w:val="00E14840"/>
    <w:rsid w:val="00E14F0B"/>
    <w:rsid w:val="00E639FE"/>
    <w:rsid w:val="00E700E3"/>
    <w:rsid w:val="00E7591F"/>
    <w:rsid w:val="00E76FC7"/>
    <w:rsid w:val="00E8791C"/>
    <w:rsid w:val="00E97664"/>
    <w:rsid w:val="00EA04AD"/>
    <w:rsid w:val="00EA416D"/>
    <w:rsid w:val="00EB135C"/>
    <w:rsid w:val="00EB1B37"/>
    <w:rsid w:val="00EB286A"/>
    <w:rsid w:val="00EC46AC"/>
    <w:rsid w:val="00F03EDF"/>
    <w:rsid w:val="00F1198E"/>
    <w:rsid w:val="00F21616"/>
    <w:rsid w:val="00F55D58"/>
    <w:rsid w:val="00F564F2"/>
    <w:rsid w:val="00F609C8"/>
    <w:rsid w:val="00F62177"/>
    <w:rsid w:val="00F8225D"/>
    <w:rsid w:val="00F824A8"/>
    <w:rsid w:val="00F95F33"/>
    <w:rsid w:val="00FA66FF"/>
    <w:rsid w:val="00FA70DD"/>
    <w:rsid w:val="00FB10E4"/>
    <w:rsid w:val="00FC20F7"/>
    <w:rsid w:val="00FD3D91"/>
    <w:rsid w:val="00FD746D"/>
    <w:rsid w:val="00FE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17191"/>
  <w15:docId w15:val="{EC592F3A-DC4F-42B3-B87A-30DAC6D2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A46"/>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CharCharCharCharCharCharCharCharChar">
    <w:name w:val="Char Char1 Char Char Char Char Char Char Char Char Char Char Char Char Char Char Char Char"/>
    <w:basedOn w:val="Normal"/>
    <w:rsid w:val="005A6A46"/>
    <w:pPr>
      <w:tabs>
        <w:tab w:val="left" w:pos="709"/>
      </w:tabs>
      <w:spacing w:before="120" w:after="120"/>
      <w:ind w:left="360"/>
      <w:jc w:val="center"/>
    </w:pPr>
    <w:rPr>
      <w:rFonts w:ascii="Tahoma" w:hAnsi="Tahoma"/>
      <w:b/>
      <w:bCs/>
      <w:szCs w:val="28"/>
      <w:lang w:val="pl-PL" w:eastAsia="pl-PL"/>
    </w:rPr>
  </w:style>
  <w:style w:type="paragraph" w:customStyle="1" w:styleId="TableContents">
    <w:name w:val="Table Contents"/>
    <w:basedOn w:val="BodyText"/>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customStyle="1" w:styleId="Index">
    <w:name w:val="Index"/>
    <w:basedOn w:val="Normal"/>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styleId="BodyText">
    <w:name w:val="Body Text"/>
    <w:basedOn w:val="Normal"/>
    <w:rsid w:val="005A6A46"/>
    <w:pPr>
      <w:spacing w:after="120"/>
    </w:pPr>
  </w:style>
  <w:style w:type="paragraph" w:styleId="BalloonText">
    <w:name w:val="Balloon Text"/>
    <w:basedOn w:val="Normal"/>
    <w:semiHidden/>
    <w:rsid w:val="00A940B8"/>
    <w:rPr>
      <w:rFonts w:ascii="Tahoma" w:hAnsi="Tahoma" w:cs="Tahoma"/>
      <w:sz w:val="16"/>
      <w:szCs w:val="16"/>
    </w:rPr>
  </w:style>
  <w:style w:type="table" w:styleId="TableGrid">
    <w:name w:val="Table Grid"/>
    <w:basedOn w:val="TableNormal"/>
    <w:rsid w:val="0009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C574A"/>
    <w:rPr>
      <w:sz w:val="16"/>
      <w:szCs w:val="16"/>
    </w:rPr>
  </w:style>
  <w:style w:type="paragraph" w:styleId="CommentText">
    <w:name w:val="annotation text"/>
    <w:basedOn w:val="Normal"/>
    <w:semiHidden/>
    <w:rsid w:val="004C574A"/>
    <w:rPr>
      <w:sz w:val="20"/>
      <w:szCs w:val="20"/>
    </w:rPr>
  </w:style>
  <w:style w:type="paragraph" w:styleId="CommentSubject">
    <w:name w:val="annotation subject"/>
    <w:basedOn w:val="CommentText"/>
    <w:next w:val="CommentText"/>
    <w:semiHidden/>
    <w:rsid w:val="004C574A"/>
    <w:rPr>
      <w:b/>
      <w:bCs/>
    </w:rPr>
  </w:style>
  <w:style w:type="paragraph" w:styleId="Header">
    <w:name w:val="header"/>
    <w:basedOn w:val="Normal"/>
    <w:rsid w:val="00561E4F"/>
    <w:pPr>
      <w:tabs>
        <w:tab w:val="center" w:pos="4536"/>
        <w:tab w:val="right" w:pos="9072"/>
      </w:tabs>
    </w:pPr>
  </w:style>
  <w:style w:type="paragraph" w:styleId="Footer">
    <w:name w:val="footer"/>
    <w:basedOn w:val="Normal"/>
    <w:link w:val="FooterChar"/>
    <w:uiPriority w:val="99"/>
    <w:rsid w:val="00561E4F"/>
    <w:pPr>
      <w:tabs>
        <w:tab w:val="center" w:pos="4536"/>
        <w:tab w:val="right" w:pos="9072"/>
      </w:tabs>
    </w:pPr>
  </w:style>
  <w:style w:type="character" w:styleId="PageNumber">
    <w:name w:val="page number"/>
    <w:basedOn w:val="DefaultParagraphFont"/>
    <w:rsid w:val="00561E4F"/>
  </w:style>
  <w:style w:type="paragraph" w:customStyle="1" w:styleId="Char">
    <w:name w:val="Char"/>
    <w:basedOn w:val="Normal"/>
    <w:rsid w:val="00561E4F"/>
    <w:pPr>
      <w:tabs>
        <w:tab w:val="left" w:pos="709"/>
      </w:tabs>
    </w:pPr>
    <w:rPr>
      <w:rFonts w:ascii="Tahoma" w:hAnsi="Tahoma"/>
      <w:lang w:val="pl-PL" w:eastAsia="pl-PL"/>
    </w:rPr>
  </w:style>
  <w:style w:type="paragraph" w:styleId="BodyTextIndent">
    <w:name w:val="Body Text Indent"/>
    <w:basedOn w:val="Normal"/>
    <w:link w:val="BodyTextIndentChar"/>
    <w:semiHidden/>
    <w:unhideWhenUsed/>
    <w:rsid w:val="00D97F8A"/>
    <w:pPr>
      <w:spacing w:after="120"/>
      <w:ind w:left="283"/>
    </w:pPr>
  </w:style>
  <w:style w:type="character" w:customStyle="1" w:styleId="BodyTextIndentChar">
    <w:name w:val="Body Text Indent Char"/>
    <w:basedOn w:val="DefaultParagraphFont"/>
    <w:link w:val="BodyTextIndent"/>
    <w:semiHidden/>
    <w:rsid w:val="00D97F8A"/>
    <w:rPr>
      <w:sz w:val="24"/>
      <w:szCs w:val="24"/>
      <w:lang w:val="en-GB"/>
    </w:rPr>
  </w:style>
  <w:style w:type="paragraph" w:styleId="ListParagraph">
    <w:name w:val="List Paragraph"/>
    <w:basedOn w:val="Normal"/>
    <w:uiPriority w:val="34"/>
    <w:qFormat/>
    <w:rsid w:val="00D97F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C21CB8"/>
    <w:rPr>
      <w:sz w:val="24"/>
      <w:szCs w:val="24"/>
      <w:lang w:val="en-GB"/>
    </w:rPr>
  </w:style>
  <w:style w:type="paragraph" w:styleId="BodyTextIndent2">
    <w:name w:val="Body Text Indent 2"/>
    <w:basedOn w:val="Normal"/>
    <w:link w:val="BodyTextIndent2Char"/>
    <w:semiHidden/>
    <w:unhideWhenUsed/>
    <w:rsid w:val="005F5ADF"/>
    <w:pPr>
      <w:spacing w:after="120" w:line="480" w:lineRule="auto"/>
      <w:ind w:left="283"/>
    </w:pPr>
  </w:style>
  <w:style w:type="character" w:customStyle="1" w:styleId="BodyTextIndent2Char">
    <w:name w:val="Body Text Indent 2 Char"/>
    <w:basedOn w:val="DefaultParagraphFont"/>
    <w:link w:val="BodyTextIndent2"/>
    <w:semiHidden/>
    <w:rsid w:val="005F5ADF"/>
    <w:rPr>
      <w:sz w:val="24"/>
      <w:szCs w:val="24"/>
      <w:lang w:val="en-GB"/>
    </w:rPr>
  </w:style>
  <w:style w:type="character" w:customStyle="1" w:styleId="filled-value">
    <w:name w:val="filled-value"/>
    <w:basedOn w:val="DefaultParagraphFont"/>
    <w:rsid w:val="009E3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4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FEE45-6AB7-48FB-884E-BF37F3D6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28</Pages>
  <Words>5025</Words>
  <Characters>28645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MEE</Company>
  <LinksUpToDate>false</LinksUpToDate>
  <CharactersWithSpaces>33603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Krasimira Dankova</cp:lastModifiedBy>
  <cp:revision>23</cp:revision>
  <cp:lastPrinted>2016-12-14T14:51:00Z</cp:lastPrinted>
  <dcterms:created xsi:type="dcterms:W3CDTF">2025-08-22T14:16:00Z</dcterms:created>
  <dcterms:modified xsi:type="dcterms:W3CDTF">2025-08-28T08:15:00Z</dcterms:modified>
</cp:coreProperties>
</file>