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B37" w:rsidRDefault="00EB1B37" w:rsidP="00D97F8A">
      <w:pPr>
        <w:spacing w:line="276" w:lineRule="auto"/>
        <w:jc w:val="center"/>
        <w:rPr>
          <w:b/>
          <w:lang w:val="bg-BG"/>
        </w:rPr>
      </w:pPr>
    </w:p>
    <w:p w:rsidR="00D97F8A" w:rsidRDefault="005F44E0" w:rsidP="00D97F8A">
      <w:pPr>
        <w:spacing w:line="276" w:lineRule="auto"/>
        <w:jc w:val="center"/>
        <w:rPr>
          <w:b/>
          <w:lang w:val="bg-BG"/>
        </w:rPr>
      </w:pPr>
      <w:r w:rsidRPr="005F44E0">
        <w:rPr>
          <w:b/>
          <w:lang w:val="bg-BG"/>
        </w:rPr>
        <w:t xml:space="preserve">СПИСЪК НА ПРОЕКТНИТЕ ПРЕДЛОЖЕНИЯ, КОИТО НЕ СЕ ДОПУСКАТ ДО </w:t>
      </w:r>
      <w:r w:rsidR="00D97F8A" w:rsidRPr="005F44E0">
        <w:rPr>
          <w:b/>
          <w:lang w:val="bg-BG"/>
        </w:rPr>
        <w:t>ТЕХНИЧЕСКА И ФИНАНСОВА ОЦЕНКА</w:t>
      </w:r>
      <w:r w:rsidR="00D97F8A">
        <w:rPr>
          <w:b/>
          <w:lang w:val="bg-BG"/>
        </w:rPr>
        <w:t xml:space="preserve"> </w:t>
      </w:r>
      <w:r w:rsidR="00D97F8A" w:rsidRPr="00CC762D">
        <w:rPr>
          <w:b/>
          <w:lang w:val="bg-BG"/>
        </w:rPr>
        <w:t xml:space="preserve">ПО </w:t>
      </w:r>
      <w:r w:rsidR="00D97F8A">
        <w:rPr>
          <w:b/>
          <w:lang w:val="bg-BG"/>
        </w:rPr>
        <w:t xml:space="preserve">ПРОЦЕДУРА </w:t>
      </w:r>
      <w:r w:rsidR="00D97F8A" w:rsidRPr="00CC762D">
        <w:rPr>
          <w:b/>
          <w:lang w:val="bg-BG"/>
        </w:rPr>
        <w:t>ЗА ПРЕДОСТАВЯНЕ НА БЕЗВЪЗМ</w:t>
      </w:r>
      <w:r w:rsidR="00D97F8A">
        <w:rPr>
          <w:b/>
          <w:lang w:val="bg-BG"/>
        </w:rPr>
        <w:t>Е</w:t>
      </w:r>
      <w:r w:rsidR="00D97F8A" w:rsidRPr="00CC762D">
        <w:rPr>
          <w:b/>
          <w:lang w:val="bg-BG"/>
        </w:rPr>
        <w:t>ЗДНА ФИНАНСОВА ПОМОЩ</w:t>
      </w:r>
      <w:r w:rsidR="00F8225D" w:rsidRPr="00D4145E">
        <w:rPr>
          <w:b/>
          <w:lang w:val="bg-BG"/>
        </w:rPr>
        <w:t xml:space="preserve"> </w:t>
      </w:r>
      <w:r w:rsidR="00D97F8A">
        <w:rPr>
          <w:b/>
          <w:lang w:val="bg-BG"/>
        </w:rPr>
        <w:t>№</w:t>
      </w:r>
      <w:r w:rsidR="009E369F">
        <w:rPr>
          <w:b/>
          <w:lang w:val="bg-BG"/>
        </w:rPr>
        <w:t xml:space="preserve"> </w:t>
      </w:r>
      <w:r w:rsidR="008A34BA" w:rsidRPr="008A34BA">
        <w:rPr>
          <w:b/>
          <w:lang w:val="bg-BG"/>
        </w:rPr>
        <w:t xml:space="preserve">BG14MFPR001-1.010-S1 </w:t>
      </w:r>
      <w:r w:rsidR="002D643D" w:rsidRPr="002D643D">
        <w:rPr>
          <w:b/>
          <w:lang w:val="bg-BG"/>
        </w:rPr>
        <w:t>„</w:t>
      </w:r>
      <w:r w:rsidR="008A34BA" w:rsidRPr="008A34BA">
        <w:rPr>
          <w:b/>
          <w:lang w:val="bg-BG"/>
        </w:rPr>
        <w:t>Специфично оборудване на риболовния кораб, дейности и иновации, целящи опазването на околната среда и на биоразнообразието</w:t>
      </w:r>
      <w:r w:rsidR="002D643D">
        <w:rPr>
          <w:b/>
          <w:lang w:val="bg-BG"/>
        </w:rPr>
        <w:t>“</w:t>
      </w:r>
      <w:r w:rsidR="00F8225D" w:rsidRPr="00D4145E">
        <w:rPr>
          <w:b/>
          <w:lang w:val="bg-BG"/>
        </w:rPr>
        <w:t xml:space="preserve"> </w:t>
      </w:r>
      <w:r w:rsidR="00D97F8A" w:rsidRPr="00D97F8A">
        <w:rPr>
          <w:b/>
          <w:lang w:val="bg-BG"/>
        </w:rPr>
        <w:t>ПО ПРОГРАМАТА ЗА МОРСКО ДЕЛО, РИБАРСТВО И АКВАКУЛТУРИ 2021-2027 (ПМДРА)</w:t>
      </w:r>
    </w:p>
    <w:p w:rsidR="00EB1B37" w:rsidRDefault="00EB1B37" w:rsidP="00D97F8A">
      <w:pPr>
        <w:spacing w:line="276" w:lineRule="auto"/>
        <w:jc w:val="center"/>
        <w:rPr>
          <w:b/>
          <w:lang w:val="bg-BG"/>
        </w:rPr>
      </w:pPr>
    </w:p>
    <w:p w:rsidR="00877A5F" w:rsidRDefault="00877A5F" w:rsidP="00A940B8">
      <w:pPr>
        <w:jc w:val="center"/>
        <w:rPr>
          <w:b/>
          <w:lang w:val="bg-BG"/>
        </w:rPr>
      </w:pP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269"/>
        <w:gridCol w:w="1984"/>
        <w:gridCol w:w="2410"/>
        <w:gridCol w:w="8788"/>
      </w:tblGrid>
      <w:tr w:rsidR="00D7495B" w:rsidRPr="00D7495B" w:rsidTr="00452D77">
        <w:tc>
          <w:tcPr>
            <w:tcW w:w="567" w:type="dxa"/>
            <w:shd w:val="clear" w:color="auto" w:fill="auto"/>
          </w:tcPr>
          <w:p w:rsidR="00091A0B" w:rsidRPr="00542E98" w:rsidRDefault="00091A0B" w:rsidP="00E76FC7">
            <w:pPr>
              <w:jc w:val="center"/>
              <w:rPr>
                <w:b/>
                <w:sz w:val="20"/>
                <w:szCs w:val="20"/>
                <w:lang w:val="bg-BG"/>
              </w:rPr>
            </w:pPr>
            <w:r w:rsidRPr="00542E98">
              <w:rPr>
                <w:b/>
                <w:sz w:val="20"/>
                <w:szCs w:val="20"/>
                <w:lang w:val="bg-BG"/>
              </w:rPr>
              <w:t>№</w:t>
            </w:r>
          </w:p>
        </w:tc>
        <w:tc>
          <w:tcPr>
            <w:tcW w:w="2269" w:type="dxa"/>
            <w:shd w:val="clear" w:color="auto" w:fill="auto"/>
          </w:tcPr>
          <w:p w:rsidR="00091A0B" w:rsidRPr="00542E98" w:rsidRDefault="004A41E4" w:rsidP="004A41E4">
            <w:pPr>
              <w:jc w:val="center"/>
              <w:rPr>
                <w:b/>
                <w:sz w:val="20"/>
                <w:szCs w:val="20"/>
                <w:lang w:val="bg-BG"/>
              </w:rPr>
            </w:pPr>
            <w:r w:rsidRPr="00542E98">
              <w:rPr>
                <w:b/>
                <w:sz w:val="20"/>
                <w:szCs w:val="20"/>
                <w:lang w:val="bg-BG"/>
              </w:rPr>
              <w:t>Рег. № на п</w:t>
            </w:r>
            <w:r w:rsidR="00091A0B" w:rsidRPr="00542E98">
              <w:rPr>
                <w:b/>
                <w:sz w:val="20"/>
                <w:szCs w:val="20"/>
                <w:lang w:val="bg-BG"/>
              </w:rPr>
              <w:t>роектно</w:t>
            </w:r>
            <w:r w:rsidRPr="00542E98">
              <w:rPr>
                <w:b/>
                <w:sz w:val="20"/>
                <w:szCs w:val="20"/>
                <w:lang w:val="bg-BG"/>
              </w:rPr>
              <w:t>то</w:t>
            </w:r>
            <w:r w:rsidR="00091A0B" w:rsidRPr="00542E98">
              <w:rPr>
                <w:b/>
                <w:sz w:val="20"/>
                <w:szCs w:val="20"/>
                <w:lang w:val="bg-BG"/>
              </w:rPr>
              <w:t xml:space="preserve"> предложение </w:t>
            </w:r>
          </w:p>
        </w:tc>
        <w:tc>
          <w:tcPr>
            <w:tcW w:w="1984" w:type="dxa"/>
            <w:shd w:val="clear" w:color="auto" w:fill="auto"/>
          </w:tcPr>
          <w:p w:rsidR="00091A0B" w:rsidRPr="00542E98" w:rsidRDefault="00992D76" w:rsidP="00E76FC7">
            <w:pPr>
              <w:jc w:val="center"/>
              <w:rPr>
                <w:b/>
                <w:sz w:val="20"/>
                <w:szCs w:val="20"/>
                <w:lang w:val="bg-BG"/>
              </w:rPr>
            </w:pPr>
            <w:r w:rsidRPr="00542E98">
              <w:rPr>
                <w:b/>
                <w:sz w:val="20"/>
                <w:szCs w:val="20"/>
                <w:lang w:val="bg-BG"/>
              </w:rPr>
              <w:t>Наименование на кандидата</w:t>
            </w:r>
          </w:p>
        </w:tc>
        <w:tc>
          <w:tcPr>
            <w:tcW w:w="2410" w:type="dxa"/>
            <w:shd w:val="clear" w:color="auto" w:fill="auto"/>
          </w:tcPr>
          <w:p w:rsidR="00091A0B" w:rsidRPr="00542E98" w:rsidRDefault="00992D76" w:rsidP="00E76FC7">
            <w:pPr>
              <w:jc w:val="center"/>
              <w:rPr>
                <w:b/>
                <w:sz w:val="20"/>
                <w:szCs w:val="20"/>
                <w:lang w:val="bg-BG"/>
              </w:rPr>
            </w:pPr>
            <w:r w:rsidRPr="00542E98">
              <w:rPr>
                <w:b/>
                <w:sz w:val="20"/>
                <w:szCs w:val="20"/>
                <w:lang w:val="bg-BG"/>
              </w:rPr>
              <w:t>Наименование на проектното предложение</w:t>
            </w:r>
          </w:p>
        </w:tc>
        <w:tc>
          <w:tcPr>
            <w:tcW w:w="8788" w:type="dxa"/>
            <w:shd w:val="clear" w:color="auto" w:fill="auto"/>
          </w:tcPr>
          <w:p w:rsidR="00091A0B" w:rsidRPr="00542E98" w:rsidRDefault="002D157D" w:rsidP="00E76FC7">
            <w:pPr>
              <w:jc w:val="center"/>
              <w:rPr>
                <w:b/>
                <w:sz w:val="20"/>
                <w:szCs w:val="20"/>
                <w:lang w:val="bg-BG"/>
              </w:rPr>
            </w:pPr>
            <w:r w:rsidRPr="00542E98">
              <w:rPr>
                <w:b/>
                <w:sz w:val="20"/>
                <w:szCs w:val="20"/>
                <w:lang w:val="bg-BG"/>
              </w:rPr>
              <w:t>Основание за отхвър</w:t>
            </w:r>
            <w:r w:rsidR="00992D76" w:rsidRPr="00542E98">
              <w:rPr>
                <w:b/>
                <w:sz w:val="20"/>
                <w:szCs w:val="20"/>
                <w:lang w:val="bg-BG"/>
              </w:rPr>
              <w:t>ляне</w:t>
            </w:r>
          </w:p>
          <w:p w:rsidR="00331586" w:rsidRPr="00542E98" w:rsidRDefault="00331586" w:rsidP="00E76FC7">
            <w:pPr>
              <w:jc w:val="center"/>
              <w:rPr>
                <w:b/>
                <w:i/>
                <w:sz w:val="20"/>
                <w:szCs w:val="20"/>
                <w:lang w:val="bg-BG"/>
              </w:rPr>
            </w:pPr>
            <w:r w:rsidRPr="00542E98">
              <w:rPr>
                <w:b/>
                <w:i/>
                <w:sz w:val="20"/>
                <w:szCs w:val="20"/>
                <w:lang w:val="bg-BG"/>
              </w:rPr>
              <w:t xml:space="preserve">(посочват се конкретните основания, а не само препратки към документите и условията, които не са изпълнени) </w:t>
            </w:r>
          </w:p>
        </w:tc>
      </w:tr>
      <w:tr w:rsidR="00D7495B" w:rsidRPr="00D7495B" w:rsidTr="00452D77">
        <w:tc>
          <w:tcPr>
            <w:tcW w:w="567" w:type="dxa"/>
            <w:shd w:val="clear" w:color="auto" w:fill="auto"/>
          </w:tcPr>
          <w:p w:rsidR="00091A0B" w:rsidRPr="00851B29" w:rsidRDefault="00851B29" w:rsidP="00E76FC7">
            <w:pPr>
              <w:jc w:val="center"/>
              <w:rPr>
                <w:b/>
                <w:lang w:val="en-US"/>
              </w:rPr>
            </w:pPr>
            <w:r>
              <w:rPr>
                <w:b/>
                <w:lang w:val="en-US"/>
              </w:rPr>
              <w:t>1</w:t>
            </w:r>
          </w:p>
        </w:tc>
        <w:tc>
          <w:tcPr>
            <w:tcW w:w="2269" w:type="dxa"/>
            <w:shd w:val="clear" w:color="auto" w:fill="auto"/>
          </w:tcPr>
          <w:p w:rsidR="00091A0B" w:rsidRPr="00851B29" w:rsidRDefault="00851B29" w:rsidP="00E76FC7">
            <w:pPr>
              <w:jc w:val="center"/>
              <w:rPr>
                <w:b/>
                <w:lang w:val="bg-BG"/>
              </w:rPr>
            </w:pPr>
            <w:r w:rsidRPr="00851B29">
              <w:rPr>
                <w:b/>
                <w:lang w:val="bg-BG"/>
              </w:rPr>
              <w:t>BG14MFPR001-1.010-0001</w:t>
            </w:r>
          </w:p>
        </w:tc>
        <w:tc>
          <w:tcPr>
            <w:tcW w:w="1984" w:type="dxa"/>
            <w:shd w:val="clear" w:color="auto" w:fill="auto"/>
          </w:tcPr>
          <w:p w:rsidR="00091A0B" w:rsidRPr="00851B29" w:rsidRDefault="00851B29" w:rsidP="00E76FC7">
            <w:pPr>
              <w:jc w:val="center"/>
              <w:rPr>
                <w:b/>
                <w:lang w:val="bg-BG"/>
              </w:rPr>
            </w:pPr>
            <w:r w:rsidRPr="00851B29">
              <w:rPr>
                <w:b/>
                <w:lang w:val="bg-BG"/>
              </w:rPr>
              <w:t>„СДРУЖЕНИЕ „ПРИЯТЕЛИ НА МОРЕТО – БУРГАС“</w:t>
            </w:r>
          </w:p>
        </w:tc>
        <w:tc>
          <w:tcPr>
            <w:tcW w:w="2410" w:type="dxa"/>
            <w:shd w:val="clear" w:color="auto" w:fill="auto"/>
          </w:tcPr>
          <w:p w:rsidR="00091A0B" w:rsidRPr="00851B29" w:rsidRDefault="00851B29" w:rsidP="00E76FC7">
            <w:pPr>
              <w:jc w:val="center"/>
              <w:rPr>
                <w:b/>
                <w:lang w:val="bg-BG"/>
              </w:rPr>
            </w:pPr>
            <w:r w:rsidRPr="00851B29">
              <w:rPr>
                <w:b/>
                <w:lang w:val="bg-BG"/>
              </w:rPr>
              <w:t>„Изграждане на изкуствен риф за възстановяване на морското биоразнообразие в акваторията на остров Света Анастасия“</w:t>
            </w:r>
          </w:p>
        </w:tc>
        <w:tc>
          <w:tcPr>
            <w:tcW w:w="8788" w:type="dxa"/>
            <w:shd w:val="clear" w:color="auto" w:fill="auto"/>
          </w:tcPr>
          <w:p w:rsidR="00851B29" w:rsidRPr="00851B29" w:rsidRDefault="00851B29" w:rsidP="00851B29">
            <w:pPr>
              <w:spacing w:after="160" w:line="259" w:lineRule="auto"/>
              <w:ind w:firstLine="720"/>
              <w:jc w:val="both"/>
              <w:rPr>
                <w:rFonts w:eastAsia="Calibri"/>
                <w:lang w:val="en-US"/>
              </w:rPr>
            </w:pPr>
            <w:r w:rsidRPr="00851B29">
              <w:rPr>
                <w:rFonts w:eastAsia="Calibri"/>
                <w:lang w:val="en-US"/>
              </w:rPr>
              <w:t>След извършване на оценка за административно съответствие и допустимост на проектно предложение BG14MFPR001-1.010-0001, „Изграждане на изкуствен риф за възстановяване на морското биоразнообразие в акваторията на остров Света Анастасия“</w:t>
            </w:r>
            <w:proofErr w:type="gramStart"/>
            <w:r w:rsidRPr="00851B29">
              <w:rPr>
                <w:rFonts w:eastAsia="Calibri"/>
                <w:lang w:val="en-US"/>
              </w:rPr>
              <w:t>,  съгласно</w:t>
            </w:r>
            <w:proofErr w:type="gramEnd"/>
            <w:r w:rsidRPr="00851B29">
              <w:rPr>
                <w:rFonts w:eastAsia="Calibri"/>
                <w:lang w:val="en-US"/>
              </w:rPr>
              <w:t xml:space="preserve"> чл. 29, ал. 2, т. 1, б. „а“ от Закона за управление на средствата от Европейските фондове при споделено управление (Загл. изм. - ДВ, бр. 51 от 2022 г., в сила от 01.07.2022 г.) (ЗУСЕФСУ), е установено следното: </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 xml:space="preserve">Проектното предложение не отговаря на следните критерии от Приложение № 4 „Критерии и методология за оценка на проектните предложения по процедура за подбор на проекти BG14MFPR001-1.010 „Специфично оборудване на </w:t>
            </w:r>
            <w:r w:rsidRPr="00851B29">
              <w:rPr>
                <w:rFonts w:eastAsia="Calibri"/>
                <w:lang w:val="en-US"/>
              </w:rPr>
              <w:lastRenderedPageBreak/>
              <w:t>риболовния кораб, дейности и иновации, целящи опазването на околната среда и на биоразнообразието”, дейност 1.6.1. „Специфично оборудване на риболовния кораб, дейности и иновации, целящи опазването на околната среда и на биоразнообразието”:</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w:t>
            </w:r>
            <w:r w:rsidRPr="00851B29">
              <w:rPr>
                <w:rFonts w:eastAsia="Calibri"/>
                <w:lang w:val="en-US"/>
              </w:rPr>
              <w:tab/>
              <w:t>Критерий № 3: „Налице са всички изискуеми документи и са попълнени съгласно изискванията, посочени в т. 24 от Условията за кандидатстване по настоящата процедура</w:t>
            </w:r>
            <w:proofErr w:type="gramStart"/>
            <w:r w:rsidRPr="00851B29">
              <w:rPr>
                <w:rFonts w:eastAsia="Calibri"/>
                <w:lang w:val="en-US"/>
              </w:rPr>
              <w:t>.“</w:t>
            </w:r>
            <w:proofErr w:type="gramEnd"/>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След извършена проверка на предоставените документи и съгласно чл. 34, ал. 2 от ЗУСЕФСУ, чрез Модул „Комуникация“ в ИСУН е изпратено уведомление с регистрационен номер BG14MFPR001-1.010-0001-M001/27.05.2026 г. с краен срок за отговор 06.06.2026 г., с което е поискана допълнителна информация от кандидата. В рамките на указаните срокове от кандидата е изискано да бъдат предоставени долуописаните липсващи документи и информация, а именно:</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1.</w:t>
            </w:r>
            <w:r w:rsidRPr="00851B29">
              <w:rPr>
                <w:rFonts w:eastAsia="Calibri"/>
                <w:lang w:val="en-US"/>
              </w:rPr>
              <w:tab/>
              <w:t xml:space="preserve">Заявили сте интензитет на безвъзмездна финансова помощ от 100% за проектното ви предложение. Представете обяснителна записка в подкрепа на това как покривате допустимостта по т. 10. Процент на съфинансиране от УК, а именно: </w:t>
            </w:r>
            <w:r w:rsidRPr="00851B29">
              <w:rPr>
                <w:rFonts w:eastAsia="Calibri"/>
                <w:lang w:val="en-US"/>
              </w:rPr>
              <w:lastRenderedPageBreak/>
              <w:t>до 100% от общите допустими разходи на проекта, за операции които отговарят на всички от следните критерии:</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„Максимален интензитет на БФП:</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a.</w:t>
            </w:r>
            <w:r w:rsidRPr="00851B29">
              <w:rPr>
                <w:rFonts w:eastAsia="Calibri"/>
                <w:lang w:val="en-US"/>
              </w:rPr>
              <w:tab/>
              <w:t>до 100% от общите допустими разходи за проекта за проекти, изпълнявани за риболовен кораб от дребномащабния крайбрежен риболов;</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b.</w:t>
            </w:r>
            <w:r w:rsidRPr="00851B29">
              <w:rPr>
                <w:rFonts w:eastAsia="Calibri"/>
                <w:lang w:val="en-US"/>
              </w:rPr>
              <w:tab/>
              <w:t>до 50 % от общите допустими разходи за проекта - за проекти, които не са свързани с подобряване на селективността на риболовните уреди и/или не се изпълняват за риболовен кораб от дребномащабния крайбрежен риболов;</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c.</w:t>
            </w:r>
            <w:r w:rsidRPr="00851B29">
              <w:rPr>
                <w:rFonts w:eastAsia="Calibri"/>
                <w:lang w:val="en-US"/>
              </w:rPr>
              <w:tab/>
              <w:t>до 100% от общите допустими разходи на проекта, за операции които отговарят на всички от следните критерии:</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w:t>
            </w:r>
            <w:r w:rsidRPr="00851B29">
              <w:rPr>
                <w:rFonts w:eastAsia="Calibri"/>
                <w:lang w:val="en-US"/>
              </w:rPr>
              <w:tab/>
              <w:t>те са колективен интерес;</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w:t>
            </w:r>
            <w:r w:rsidRPr="00851B29">
              <w:rPr>
                <w:rFonts w:eastAsia="Calibri"/>
                <w:lang w:val="en-US"/>
              </w:rPr>
              <w:tab/>
              <w:t>кандидатът е колективен орган;</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w:t>
            </w:r>
            <w:r w:rsidRPr="00851B29">
              <w:rPr>
                <w:rFonts w:eastAsia="Calibri"/>
                <w:lang w:val="en-US"/>
              </w:rPr>
              <w:tab/>
            </w:r>
            <w:proofErr w:type="gramStart"/>
            <w:r w:rsidRPr="00851B29">
              <w:rPr>
                <w:rFonts w:eastAsia="Calibri"/>
                <w:lang w:val="en-US"/>
              </w:rPr>
              <w:t>дейностите</w:t>
            </w:r>
            <w:proofErr w:type="gramEnd"/>
            <w:r w:rsidRPr="00851B29">
              <w:rPr>
                <w:rFonts w:eastAsia="Calibri"/>
                <w:lang w:val="en-US"/>
              </w:rPr>
              <w:t xml:space="preserve"> по проекта имат новаторски характеристики или кандидатът осигурява публичен достъп до своите резултати. </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lastRenderedPageBreak/>
              <w:t>За да получи даден кандидат максимален интензитет на БФП (100%), дейностите, за които кандидатства, трябва да са в „колективен интерес“ за неговите членове, за група заинтересовани страни или за широката общественост. Тези действия следва да надхвърлят индивидуалните интереси на членовете на този колективен кандидат и да имат по-широк обхват от тези, които обикновено се предприемат от частните предприятия.</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Терминът „колективен орган</w:t>
            </w:r>
            <w:proofErr w:type="gramStart"/>
            <w:r w:rsidRPr="00851B29">
              <w:rPr>
                <w:rFonts w:eastAsia="Calibri"/>
                <w:lang w:val="en-US"/>
              </w:rPr>
              <w:t>“ следва</w:t>
            </w:r>
            <w:proofErr w:type="gramEnd"/>
            <w:r w:rsidRPr="00851B29">
              <w:rPr>
                <w:rFonts w:eastAsia="Calibri"/>
                <w:lang w:val="en-US"/>
              </w:rPr>
              <w:t xml:space="preserve"> да се разбира за организация, която представлява интересите на своите членове, на група заинтересовани страни или на широката общественост. Кандидат следва да бъде самата колективна организация, а не един или повече от нейните членове.</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Значението на понятието „публичен достъп</w:t>
            </w:r>
            <w:proofErr w:type="gramStart"/>
            <w:r w:rsidRPr="00851B29">
              <w:rPr>
                <w:rFonts w:eastAsia="Calibri"/>
                <w:lang w:val="en-US"/>
              </w:rPr>
              <w:t>“ до</w:t>
            </w:r>
            <w:proofErr w:type="gramEnd"/>
            <w:r w:rsidRPr="00851B29">
              <w:rPr>
                <w:rFonts w:eastAsia="Calibri"/>
                <w:lang w:val="en-US"/>
              </w:rPr>
              <w:t xml:space="preserve"> резултатите от проект, финансиран по ЕФМДРА, се разбира така, че широката общественост следва да има достъп до резултатите от дейностите по проекта. Самото информиране на обществеността за проекта и за дейностите по проекта не е достатъчно, а е необходимо да се предостави достъп до общите резултати от проекта за обществеността, да се гарантира, че и обществеността (включително подобни оператори) може в крайна сметка да се възползва от резултата от операцията, което е причината за възможността за предоставяне на пълна подкрепа.“ </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lastRenderedPageBreak/>
              <w:t>2.</w:t>
            </w:r>
            <w:r w:rsidRPr="00851B29">
              <w:rPr>
                <w:rFonts w:eastAsia="Calibri"/>
                <w:lang w:val="en-US"/>
              </w:rPr>
              <w:tab/>
              <w:t xml:space="preserve">В т. 5 Индикатори от Формуляра за кандидатстване сте посочили Целева стойност 2 за индикатор - CR 10 „Действия, допринасящи за добро екологично състояние, включително възстановяването на природата, опазването, защитата на екосистемите, биологичното разнообразие, здравето на животните и хуманното отношение към тях“. Индикаторът е задължителен за всички проектни предложения. Във Формуляра за кандидатстване като базова стойност се попълва 0, като целева стойност се посочват съответния бр. </w:t>
            </w:r>
            <w:proofErr w:type="gramStart"/>
            <w:r w:rsidRPr="00851B29">
              <w:rPr>
                <w:rFonts w:eastAsia="Calibri"/>
                <w:lang w:val="en-US"/>
              </w:rPr>
              <w:t>дейности</w:t>
            </w:r>
            <w:proofErr w:type="gramEnd"/>
            <w:r w:rsidRPr="00851B29">
              <w:rPr>
                <w:rFonts w:eastAsia="Calibri"/>
                <w:lang w:val="en-US"/>
              </w:rPr>
              <w:t>, заложени в проектните предложения.</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В един проект може да има повече от една дейност. Всяка една дейност, която води до постигане на индикатора трябва да бъде включена като целева стойност.</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Индикаторът се доказва с изпълнение на съответната дейност, заложена в проектното предложение на етап окончателното искане за плащане.  Следва да представите обяснителна записка в подкрепа на решението да заложите целева стойност „2</w:t>
            </w:r>
            <w:proofErr w:type="gramStart"/>
            <w:r w:rsidRPr="00851B29">
              <w:rPr>
                <w:rFonts w:eastAsia="Calibri"/>
                <w:lang w:val="en-US"/>
              </w:rPr>
              <w:t>“ за</w:t>
            </w:r>
            <w:proofErr w:type="gramEnd"/>
            <w:r w:rsidRPr="00851B29">
              <w:rPr>
                <w:rFonts w:eastAsia="Calibri"/>
                <w:lang w:val="en-US"/>
              </w:rPr>
              <w:t xml:space="preserve"> отчитане на индикатора към настоящето проектно предложение.</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3.</w:t>
            </w:r>
            <w:r w:rsidRPr="00851B29">
              <w:rPr>
                <w:rFonts w:eastAsia="Calibri"/>
                <w:lang w:val="en-US"/>
              </w:rPr>
              <w:tab/>
              <w:t>В т .15 „Прикачени документи</w:t>
            </w:r>
            <w:proofErr w:type="gramStart"/>
            <w:r w:rsidRPr="00851B29">
              <w:rPr>
                <w:rFonts w:eastAsia="Calibri"/>
                <w:lang w:val="en-US"/>
              </w:rPr>
              <w:t>“ от</w:t>
            </w:r>
            <w:proofErr w:type="gramEnd"/>
            <w:r w:rsidRPr="00851B29">
              <w:rPr>
                <w:rFonts w:eastAsia="Calibri"/>
                <w:lang w:val="en-US"/>
              </w:rPr>
              <w:t xml:space="preserve"> Формуляра за кандидатстване на проекта, в Финансовия план сте отбелязали, че искате да се възползвате от авансово плащане по проекта. В случай че желаете да се възползвате и от междинно плащане </w:t>
            </w:r>
            <w:r w:rsidRPr="00851B29">
              <w:rPr>
                <w:rFonts w:eastAsia="Calibri"/>
                <w:lang w:val="en-US"/>
              </w:rPr>
              <w:lastRenderedPageBreak/>
              <w:t xml:space="preserve">необходимо е да предоставите информация за размера на сумите по горните искания и дейностите, които ще бъдат включени за авансово, междинно плащане и окончателно плащане, като имате предвид, че междинното плащане следва да бъде заявено съгласно чл.78, ал.1, б) от Приложение 9 Общи условия към Условията за изпълнение (УИ). </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„Общият размер на междинното плащане, в което са включени изплатени аванси от бенефициента към избраните изпълнители не може да надвишава 40% от БФП</w:t>
            </w:r>
            <w:proofErr w:type="gramStart"/>
            <w:r w:rsidRPr="00851B29">
              <w:rPr>
                <w:rFonts w:eastAsia="Calibri"/>
                <w:lang w:val="en-US"/>
              </w:rPr>
              <w:t>.“</w:t>
            </w:r>
            <w:proofErr w:type="gramEnd"/>
            <w:r w:rsidRPr="00851B29">
              <w:rPr>
                <w:rFonts w:eastAsia="Calibri"/>
                <w:lang w:val="en-US"/>
              </w:rPr>
              <w:t xml:space="preserve"> </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„Общият размер на авансовите (в случай, че има такива) и междинните плащания не може да надхвърля 80% от стойността на БФП</w:t>
            </w:r>
            <w:proofErr w:type="gramStart"/>
            <w:r w:rsidRPr="00851B29">
              <w:rPr>
                <w:rFonts w:eastAsia="Calibri"/>
                <w:lang w:val="en-US"/>
              </w:rPr>
              <w:t>.“</w:t>
            </w:r>
            <w:proofErr w:type="gramEnd"/>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Следва да представите попълнен приложеният файл с таблица към настоящата комуникация с попълнени авансово плащане, междинен и окончателен етап на изпълнение на инвестицията в проектното предложение.</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4.</w:t>
            </w:r>
            <w:r w:rsidRPr="00851B29">
              <w:rPr>
                <w:rFonts w:eastAsia="Calibri"/>
                <w:lang w:val="en-US"/>
              </w:rPr>
              <w:tab/>
              <w:t>Съгласно раздел 24, т. 14 от УК: „С оглед определяне на произхода на цените на предвидените разходи за доставка, услуга или строителство, кандидатът следва да приложи към Формуляра за кандидатстване:</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lastRenderedPageBreak/>
              <w:t>А/ Официален каталог на производител или оторизиран представител или</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Б/ Една оферта</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В случай че за доказване произхода на цените на предвидените разходи за доставка, услуга или строителство, кандидатът е приложил към Формуляра за кандидатстване оферта, то УО на ПМДРА извършва проверка дали е изпълнено следното условие:</w:t>
            </w:r>
          </w:p>
          <w:p w:rsidR="00851B29" w:rsidRPr="00851B29" w:rsidRDefault="00851B29" w:rsidP="00851B29">
            <w:pPr>
              <w:spacing w:after="160" w:line="259" w:lineRule="auto"/>
              <w:ind w:firstLine="720"/>
              <w:jc w:val="both"/>
              <w:rPr>
                <w:rFonts w:eastAsia="Calibri"/>
                <w:lang w:val="en-US"/>
              </w:rPr>
            </w:pPr>
            <w:proofErr w:type="gramStart"/>
            <w:r w:rsidRPr="00851B29">
              <w:rPr>
                <w:rFonts w:eastAsia="Calibri"/>
                <w:lang w:val="en-US"/>
              </w:rPr>
              <w:t>a</w:t>
            </w:r>
            <w:proofErr w:type="gramEnd"/>
            <w:r w:rsidRPr="00851B29">
              <w:rPr>
                <w:rFonts w:eastAsia="Calibri"/>
                <w:lang w:val="en-US"/>
              </w:rPr>
              <w:t>.</w:t>
            </w:r>
            <w:r w:rsidRPr="00851B29">
              <w:rPr>
                <w:rFonts w:eastAsia="Calibri"/>
                <w:lang w:val="en-US"/>
              </w:rPr>
              <w:tab/>
              <w:t>предметът на дейност на оферента да е идентичен или сходен с посочената в офертата доставка, услуга или строителство. Проверката за предмета на дейност на оферента се извършва чрез справка в Търговския регистър към Агенцията по вписванията/Регистър БУЛСТАТ/Правно информационна система (АПИС, СИЕЛА или др.). В случай че оферентът е чуждестранно лице – проверката ще се извърши въз основа на представения документ за регистрация съгласно националното му законодателство</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Оферентите – строители, трябва да бъдат вписани в регистъра на Камарата на строителите или еквивалентен</w:t>
            </w:r>
            <w:proofErr w:type="gramStart"/>
            <w:r w:rsidRPr="00851B29">
              <w:rPr>
                <w:rFonts w:eastAsia="Calibri"/>
                <w:lang w:val="en-US"/>
              </w:rPr>
              <w:t>.“</w:t>
            </w:r>
            <w:proofErr w:type="gramEnd"/>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lastRenderedPageBreak/>
              <w:t>„Офертите трябва да съдържат минимум името на оферента, ЕИК/БУЛСТАТ, кратко описание на предложението/характеристика/функционалност, предложена цена, срок на валидност на офертата, датата на издаване на офертата. Цената трябва да бъде определена в лева или в евро с описан ДДС. Оферентите, трябва да са вписани в Търговския регистър и регистъра на юридическите лица с нестопанска цел към Агенцията по вписванията или в Регистър БУЛСТАТ, в случаите, в които е приложимо, а оферентите - чуждестранни лица, трябва да представят документ за регистрация съгласно националното си законодателство</w:t>
            </w:r>
            <w:proofErr w:type="gramStart"/>
            <w:r w:rsidRPr="00851B29">
              <w:rPr>
                <w:rFonts w:eastAsia="Calibri"/>
                <w:lang w:val="en-US"/>
              </w:rPr>
              <w:t>.“</w:t>
            </w:r>
            <w:proofErr w:type="gramEnd"/>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С оглед определяне на произхода на цените следва да предоставите оферта за всеки заявен от Вас разход от бюджета на проектното предложение.</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5.</w:t>
            </w:r>
            <w:r w:rsidRPr="00851B29">
              <w:rPr>
                <w:rFonts w:eastAsia="Calibri"/>
                <w:lang w:val="en-US"/>
              </w:rPr>
              <w:tab/>
              <w:t xml:space="preserve">Във връзка с принципа на икономичност, ефикасност и ефективност е необходимо да се направи подробна разбивка на сумите на заявените от Вас разходи от бюджета на проектното предложение, за които кандидатствате, от която да става ясно какво включва заложената в бюджета сума за всички бюджетни редове от бюджета на проектното предложение. </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lastRenderedPageBreak/>
              <w:t>6.</w:t>
            </w:r>
            <w:r w:rsidRPr="00851B29">
              <w:rPr>
                <w:rFonts w:eastAsia="Calibri"/>
                <w:lang w:val="en-US"/>
              </w:rPr>
              <w:tab/>
              <w:t>Съгласно разписаните правила на т. 10 от раздел 24 от УК следва да представите проект за изкуствен риф, който съдържа документите по член 39 ал.1 от Наредбата за ползването на повърхностните води.</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7.</w:t>
            </w:r>
            <w:r w:rsidRPr="00851B29">
              <w:rPr>
                <w:rFonts w:eastAsia="Calibri"/>
                <w:lang w:val="en-US"/>
              </w:rPr>
              <w:tab/>
              <w:t xml:space="preserve">Представете Приложение № 2 – Декларации към условията за </w:t>
            </w:r>
            <w:proofErr w:type="gramStart"/>
            <w:r w:rsidRPr="00851B29">
              <w:rPr>
                <w:rFonts w:eastAsia="Calibri"/>
                <w:lang w:val="en-US"/>
              </w:rPr>
              <w:t>кандидатстване  –</w:t>
            </w:r>
            <w:proofErr w:type="gramEnd"/>
            <w:r w:rsidRPr="00851B29">
              <w:rPr>
                <w:rFonts w:eastAsia="Calibri"/>
                <w:lang w:val="en-US"/>
              </w:rPr>
              <w:t xml:space="preserve"> попълнена по образец, подписана с КЕП. </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Декларациите, част от Приложение № 2, се попълват и подписват от лице с право да представляват кандидата. В случай че кандидатът се представлява само заедно от няколко лица, декларацията се попълва и подписва от всички тях.</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8.</w:t>
            </w:r>
            <w:r w:rsidRPr="00851B29">
              <w:rPr>
                <w:rFonts w:eastAsia="Calibri"/>
                <w:lang w:val="en-US"/>
              </w:rPr>
              <w:tab/>
              <w:t>Съгласно разписаните правила на т. 16 от раздел 24 от УК следва да представите Приложение № 1- Декларация за държавни помощи – попълнена по образец, подписана с КЕП.</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При подаване на проектното предложение посочените декларации трябва да бъдат с дата след обявяване на процедурата и предхождаща или съответстваща на датата на подаване на проектното предложение.</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9.</w:t>
            </w:r>
            <w:r w:rsidRPr="00851B29">
              <w:rPr>
                <w:rFonts w:eastAsia="Calibri"/>
                <w:lang w:val="en-US"/>
              </w:rPr>
              <w:tab/>
              <w:t>Представете разрешително за ползване на повърхностен воден обект за изграждане на изкуствен риф в Черно море.</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lastRenderedPageBreak/>
              <w:t>10.</w:t>
            </w:r>
            <w:r w:rsidRPr="00851B29">
              <w:rPr>
                <w:rFonts w:eastAsia="Calibri"/>
                <w:lang w:val="en-US"/>
              </w:rPr>
              <w:tab/>
              <w:t>Съгласно разписаните правила на т. 19 от раздел 24 от УК следва да представите Решение за преценяване на необходимостта от извършване на оценка на въздействието върху околната среда или решение по оценка на въздействие върху околната среда във връзка с инвестицията обект на проектното предложение.</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11.</w:t>
            </w:r>
            <w:r w:rsidRPr="00851B29">
              <w:rPr>
                <w:rFonts w:eastAsia="Calibri"/>
                <w:lang w:val="en-US"/>
              </w:rPr>
              <w:tab/>
              <w:t xml:space="preserve">Представете обосновка в подкрепа на това, как дейностите за които кандидатствате в настоящето проектно предложение отговарят на целите на дейността, посочени в т. 6 „Цели на предоставяната безвъзмездна финансова помощ по процедурата и очаквани резултати“ от Условията за кандидатстване. </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12.</w:t>
            </w:r>
            <w:r w:rsidRPr="00851B29">
              <w:rPr>
                <w:rFonts w:eastAsia="Calibri"/>
                <w:lang w:val="en-US"/>
              </w:rPr>
              <w:tab/>
              <w:t>В т.11 „План за външно възлагане</w:t>
            </w:r>
            <w:proofErr w:type="gramStart"/>
            <w:r w:rsidRPr="00851B29">
              <w:rPr>
                <w:rFonts w:eastAsia="Calibri"/>
                <w:lang w:val="en-US"/>
              </w:rPr>
              <w:t>“ от</w:t>
            </w:r>
            <w:proofErr w:type="gramEnd"/>
            <w:r w:rsidRPr="00851B29">
              <w:rPr>
                <w:rFonts w:eastAsia="Calibri"/>
                <w:lang w:val="en-US"/>
              </w:rPr>
              <w:t xml:space="preserve"> ФК сте посочили за тип на процедурата избор с публична покана. В същото време обаче във т. 15 „Прикачени документи</w:t>
            </w:r>
            <w:proofErr w:type="gramStart"/>
            <w:r w:rsidRPr="00851B29">
              <w:rPr>
                <w:rFonts w:eastAsia="Calibri"/>
                <w:lang w:val="en-US"/>
              </w:rPr>
              <w:t>“ от</w:t>
            </w:r>
            <w:proofErr w:type="gramEnd"/>
            <w:r w:rsidRPr="00851B29">
              <w:rPr>
                <w:rFonts w:eastAsia="Calibri"/>
                <w:lang w:val="en-US"/>
              </w:rPr>
              <w:t xml:space="preserve"> ФК в приложения Финансов план сте отбелязали следното: „…Заложените стойности във финансовия план са прогнозни. След </w:t>
            </w:r>
            <w:proofErr w:type="gramStart"/>
            <w:r w:rsidRPr="00851B29">
              <w:rPr>
                <w:rFonts w:eastAsia="Calibri"/>
                <w:lang w:val="en-US"/>
              </w:rPr>
              <w:t>сключване  на</w:t>
            </w:r>
            <w:proofErr w:type="gramEnd"/>
            <w:r w:rsidRPr="00851B29">
              <w:rPr>
                <w:rFonts w:eastAsia="Calibri"/>
                <w:lang w:val="en-US"/>
              </w:rPr>
              <w:t xml:space="preserve"> договори с избрани изпълнители по реда на ЗОП, ще станат ясни точните стойности.“ Представете обяснителна записка за констатираното несъответствие и допълнителна информация от която да става ясно какъв тип процедура е предвиден за отделните разходи от бюджета на проектното предложение.</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 xml:space="preserve">С оглед определяне на произхода на цените на предвидените разходи и в зависимост от типа на избраната процедура за избор на изпълнител, следва да </w:t>
            </w:r>
            <w:r w:rsidRPr="00851B29">
              <w:rPr>
                <w:rFonts w:eastAsia="Calibri"/>
                <w:lang w:val="en-US"/>
              </w:rPr>
              <w:lastRenderedPageBreak/>
              <w:t>предоставите необходимите документи съгласно разписаните правила в раздел 24 от УК (Например: оферти, предварителни или окончателни договори и т.н).</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Всички разходи следва да бъдат надлежно обосновани. Управляващият орган на ПМДРА няма да финансира разходи, за които не е представена подробна обосновка.</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Кандидатът е отговорил на комуникацията в регламентирания срок, но не е предоставил в цялост изисканите допълнително информация и документи, което прави невъзможно извършването на оценка на проектното предложение. Съгласно изискванията, посочени в Условията за кандидатстване на процедурата, раздел 24: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предоставена извън официално изисканата от Оценителната комисия, няма да бъде вземана под внимание</w:t>
            </w:r>
            <w:proofErr w:type="gramStart"/>
            <w:r w:rsidRPr="00851B29">
              <w:rPr>
                <w:rFonts w:eastAsia="Calibri"/>
                <w:lang w:val="en-US"/>
              </w:rPr>
              <w:t>.“</w:t>
            </w:r>
            <w:proofErr w:type="gramEnd"/>
          </w:p>
          <w:p w:rsidR="00851B29" w:rsidRPr="00851B29" w:rsidRDefault="00851B29" w:rsidP="00851B29">
            <w:pPr>
              <w:spacing w:after="160" w:line="259" w:lineRule="auto"/>
              <w:ind w:firstLine="720"/>
              <w:jc w:val="both"/>
              <w:rPr>
                <w:rFonts w:eastAsia="Calibri"/>
                <w:lang w:val="en-US"/>
              </w:rPr>
            </w:pP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 xml:space="preserve">В отговор на първа комуникация и предвид липсата на основни изискуеми документи по т. 24 от УК кандидата през модул Обща комуникация в ИСУН е </w:t>
            </w:r>
            <w:r w:rsidRPr="00851B29">
              <w:rPr>
                <w:rFonts w:eastAsia="Calibri"/>
                <w:lang w:val="en-US"/>
              </w:rPr>
              <w:lastRenderedPageBreak/>
              <w:t>изпратил искане с регистрационен № BG14MFPR001-1.010-0001-R001 29.05.2026 г. В което е посочил, че желае спиране на разглеждането на ПП на основание чл. 54, ал. 1, т. 5 от Административнопроцесуалния кодекс. В Условията за кандидатстване изрично е посочено, че „Не се приемат писмени доказателства (с приложени входящи номера) за заявено искането от кандидата към държавен и/или общински орган или институция за издаване на съответния документ</w:t>
            </w:r>
            <w:proofErr w:type="gramStart"/>
            <w:r w:rsidRPr="00851B29">
              <w:rPr>
                <w:rFonts w:eastAsia="Calibri"/>
                <w:lang w:val="en-US"/>
              </w:rPr>
              <w:t>.“</w:t>
            </w:r>
            <w:proofErr w:type="gramEnd"/>
            <w:r w:rsidRPr="00851B29">
              <w:rPr>
                <w:rFonts w:eastAsia="Calibri"/>
                <w:lang w:val="en-US"/>
              </w:rPr>
              <w:t>. Процедурата по оценка е ясно разписана в Условията за кандидатстване, с определените срокове и всяко тяхно нарушаване би накърнило правата на всички останали участници в нея.</w:t>
            </w:r>
          </w:p>
          <w:p w:rsidR="00851B29" w:rsidRPr="00851B29" w:rsidRDefault="00851B29" w:rsidP="00851B29">
            <w:pPr>
              <w:spacing w:after="160" w:line="259" w:lineRule="auto"/>
              <w:ind w:firstLine="720"/>
              <w:jc w:val="both"/>
              <w:rPr>
                <w:rFonts w:eastAsia="Calibri"/>
                <w:lang w:val="en-US"/>
              </w:rPr>
            </w:pP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 xml:space="preserve">В допълнение, на кандидатът е изпратено второ писмо за допълнителна информация с рег. № BG14MFPR001-1.010-0001-M003/ 11.06.2026 г. с което са изискани отново липсващите документи и информация във връзка с оценката на проектното предложение. Кандидатът е отговорил в регламентираният срок и на второто писмо, но не е предоставил разрешително за водовземане и/или ползване на повърхностен воден обект, издадено съгласно изискванията и разпоредбите на Закона за водите, задължителен за всички проектни предложения документ съгласно т. 24.18. </w:t>
            </w:r>
            <w:proofErr w:type="gramStart"/>
            <w:r w:rsidRPr="00851B29">
              <w:rPr>
                <w:rFonts w:eastAsia="Calibri"/>
                <w:lang w:val="en-US"/>
              </w:rPr>
              <w:t>от</w:t>
            </w:r>
            <w:proofErr w:type="gramEnd"/>
            <w:r w:rsidRPr="00851B29">
              <w:rPr>
                <w:rFonts w:eastAsia="Calibri"/>
                <w:lang w:val="en-US"/>
              </w:rPr>
              <w:t xml:space="preserve"> УК.</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lastRenderedPageBreak/>
              <w:t>Кандидатът заявява намерението си да предостави в даден бъдещ момент горепосоченият документ. „Поемаме ангажимент да представим разрешителното за ползване на повърхностен воден обект веднага след неговото издаване</w:t>
            </w:r>
            <w:proofErr w:type="gramStart"/>
            <w:r w:rsidRPr="00851B29">
              <w:rPr>
                <w:rFonts w:eastAsia="Calibri"/>
                <w:lang w:val="en-US"/>
              </w:rPr>
              <w:t>.“</w:t>
            </w:r>
            <w:proofErr w:type="gramEnd"/>
          </w:p>
          <w:p w:rsidR="00851B29" w:rsidRPr="00851B29" w:rsidRDefault="00851B29" w:rsidP="00851B29">
            <w:pPr>
              <w:spacing w:after="160" w:line="259" w:lineRule="auto"/>
              <w:ind w:firstLine="720"/>
              <w:jc w:val="both"/>
              <w:rPr>
                <w:rFonts w:eastAsia="Calibri"/>
                <w:lang w:val="en-US"/>
              </w:rPr>
            </w:pP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Във връзка с гореизложеното, проектното предложение не отговаря на следният критерии от Приложение № 4 „Критерии и методология за оценка на проектни предложения по процедура за подбор на проекти BG14MFPR001-1.010 „Специфично оборудване на риболовния кораб, дейности и иновации, целящи опазването на околната среда и на биоразнообразието“:</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w:t>
            </w:r>
            <w:r w:rsidRPr="00851B29">
              <w:rPr>
                <w:rFonts w:eastAsia="Calibri"/>
                <w:lang w:val="en-US"/>
              </w:rPr>
              <w:tab/>
              <w:t>Критерий № 3: „Налице са всички изискуеми документи и са попълнени съгласно изискванията, посочени в т. 24 от Условията за кандидатстване по настоящата процедура</w:t>
            </w:r>
            <w:proofErr w:type="gramStart"/>
            <w:r w:rsidRPr="00851B29">
              <w:rPr>
                <w:rFonts w:eastAsia="Calibri"/>
                <w:lang w:val="en-US"/>
              </w:rPr>
              <w:t>.“</w:t>
            </w:r>
            <w:proofErr w:type="gramEnd"/>
            <w:r w:rsidRPr="00851B29">
              <w:rPr>
                <w:rFonts w:eastAsia="Calibri"/>
                <w:lang w:val="en-US"/>
              </w:rPr>
              <w:t>;</w:t>
            </w:r>
          </w:p>
          <w:p w:rsidR="00851B29" w:rsidRPr="00851B29" w:rsidRDefault="00851B29" w:rsidP="00851B29">
            <w:pPr>
              <w:spacing w:after="160" w:line="259" w:lineRule="auto"/>
              <w:ind w:firstLine="720"/>
              <w:jc w:val="both"/>
              <w:rPr>
                <w:rFonts w:eastAsia="Calibri"/>
                <w:lang w:val="en-US"/>
              </w:rPr>
            </w:pPr>
            <w:r w:rsidRPr="00851B29">
              <w:rPr>
                <w:rFonts w:eastAsia="Calibri"/>
                <w:lang w:val="en-US"/>
              </w:rPr>
              <w:t>Съгласно инструкциите в Приложение № 4 към УК, т. II. Критерии за оценка, т. 1. Административно съответствие и допустимост: При несъответствие с някое от посочените изисквания, проектното предложение се отхвърля!</w:t>
            </w:r>
          </w:p>
          <w:p w:rsidR="00851B29" w:rsidRPr="00851B29" w:rsidRDefault="00851B29" w:rsidP="00851B29">
            <w:pPr>
              <w:spacing w:after="160" w:line="259" w:lineRule="auto"/>
              <w:ind w:firstLine="720"/>
              <w:jc w:val="both"/>
              <w:rPr>
                <w:rFonts w:eastAsia="Calibri"/>
                <w:lang w:val="en-US"/>
              </w:rPr>
            </w:pPr>
          </w:p>
          <w:p w:rsidR="00091A0B" w:rsidRPr="00851B29" w:rsidRDefault="00851B29" w:rsidP="00851B29">
            <w:pPr>
              <w:spacing w:after="160" w:line="259" w:lineRule="auto"/>
              <w:ind w:firstLine="720"/>
              <w:jc w:val="both"/>
              <w:rPr>
                <w:rFonts w:eastAsia="Calibri"/>
                <w:lang w:val="en-US"/>
              </w:rPr>
            </w:pPr>
            <w:r w:rsidRPr="00851B29">
              <w:rPr>
                <w:rFonts w:eastAsia="Calibri"/>
                <w:lang w:val="en-US"/>
              </w:rPr>
              <w:lastRenderedPageBreak/>
              <w:t>Поради изложените по-горе аргументи, проектно предложение с рег. № BG14MFPR001-1.010-0001 „Изграждане на изкуствен риф за възстановяване на морското биоразнообразие в акваторията на остров Света Анастасия“, на кандидат Сдружение „Приятели на морето Бургас Сдружение“, ЕИК: 176475359, е включено в Списъка на проектните предложения, които не се допускат до етап Техническа и финансова оценка по настоящата процедура.</w:t>
            </w:r>
            <w:bookmarkStart w:id="0" w:name="_GoBack"/>
            <w:bookmarkEnd w:id="0"/>
          </w:p>
        </w:tc>
      </w:tr>
    </w:tbl>
    <w:p w:rsidR="00877A5F" w:rsidRPr="009E369F" w:rsidRDefault="00877A5F" w:rsidP="009E369F">
      <w:pPr>
        <w:spacing w:line="360" w:lineRule="auto"/>
        <w:rPr>
          <w:snapToGrid w:val="0"/>
          <w:lang w:val="bg-BG"/>
        </w:rPr>
      </w:pPr>
    </w:p>
    <w:sectPr w:rsidR="00877A5F" w:rsidRPr="009E369F" w:rsidSect="00EB1B37">
      <w:headerReference w:type="default" r:id="rId8"/>
      <w:footerReference w:type="default" r:id="rId9"/>
      <w:pgSz w:w="16838" w:h="11906" w:orient="landscape"/>
      <w:pgMar w:top="1418" w:right="1134" w:bottom="851" w:left="1134" w:header="709" w:footer="4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1A5" w:rsidRDefault="007A41A5">
      <w:r>
        <w:separator/>
      </w:r>
    </w:p>
  </w:endnote>
  <w:endnote w:type="continuationSeparator" w:id="0">
    <w:p w:rsidR="007A41A5" w:rsidRDefault="007A4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520512"/>
      <w:docPartObj>
        <w:docPartGallery w:val="Page Numbers (Bottom of Page)"/>
        <w:docPartUnique/>
      </w:docPartObj>
    </w:sdtPr>
    <w:sdtEndPr>
      <w:rPr>
        <w:noProof/>
      </w:rPr>
    </w:sdtEndPr>
    <w:sdtContent>
      <w:p w:rsidR="00C21CB8" w:rsidRDefault="00C21CB8">
        <w:pPr>
          <w:pStyle w:val="Footer"/>
          <w:jc w:val="right"/>
        </w:pPr>
        <w:r>
          <w:fldChar w:fldCharType="begin"/>
        </w:r>
        <w:r>
          <w:instrText xml:space="preserve"> PAGE   \* MERGEFORMAT </w:instrText>
        </w:r>
        <w:r>
          <w:fldChar w:fldCharType="separate"/>
        </w:r>
        <w:r w:rsidR="00851B29">
          <w:rPr>
            <w:noProof/>
          </w:rPr>
          <w:t>14</w:t>
        </w:r>
        <w:r>
          <w:rPr>
            <w:noProof/>
          </w:rPr>
          <w:fldChar w:fldCharType="end"/>
        </w:r>
      </w:p>
    </w:sdtContent>
  </w:sdt>
  <w:p w:rsidR="00C21CB8" w:rsidRDefault="00C21C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1A5" w:rsidRDefault="007A41A5">
      <w:r>
        <w:separator/>
      </w:r>
    </w:p>
  </w:footnote>
  <w:footnote w:type="continuationSeparator" w:id="0">
    <w:p w:rsidR="007A41A5" w:rsidRDefault="007A4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884" w:type="dxa"/>
      <w:tblInd w:w="-141" w:type="dxa"/>
      <w:tblLayout w:type="fixed"/>
      <w:tblCellMar>
        <w:left w:w="0" w:type="dxa"/>
        <w:right w:w="0" w:type="dxa"/>
      </w:tblCellMar>
      <w:tblLook w:val="0000" w:firstRow="0" w:lastRow="0" w:firstColumn="0" w:lastColumn="0" w:noHBand="0" w:noVBand="0"/>
    </w:tblPr>
    <w:tblGrid>
      <w:gridCol w:w="5078"/>
      <w:gridCol w:w="1217"/>
      <w:gridCol w:w="6463"/>
      <w:gridCol w:w="2126"/>
    </w:tblGrid>
    <w:tr w:rsidR="00F95F33" w:rsidRPr="00144A1F" w:rsidTr="001B4A73">
      <w:trPr>
        <w:trHeight w:val="1256"/>
        <w:tblHeader/>
      </w:trPr>
      <w:tc>
        <w:tcPr>
          <w:tcW w:w="5078" w:type="dxa"/>
          <w:vMerge w:val="restart"/>
          <w:tcBorders>
            <w:top w:val="single" w:sz="1" w:space="0" w:color="000000"/>
            <w:left w:val="single" w:sz="1" w:space="0" w:color="000000"/>
          </w:tcBorders>
          <w:vAlign w:val="center"/>
        </w:tcPr>
        <w:p w:rsidR="00144A1F" w:rsidRPr="00144A1F" w:rsidRDefault="00144A1F"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 xml:space="preserve">Министерство на </w:t>
          </w:r>
          <w:r w:rsidR="00A6323E">
            <w:rPr>
              <w:rFonts w:eastAsia="HG Mincho Light J"/>
              <w:b/>
              <w:color w:val="000000"/>
              <w:sz w:val="20"/>
              <w:szCs w:val="20"/>
              <w:lang w:val="bg-BG"/>
            </w:rPr>
            <w:t>земеделието</w:t>
          </w:r>
          <w:r w:rsidR="00006334">
            <w:rPr>
              <w:rFonts w:eastAsia="HG Mincho Light J"/>
              <w:b/>
              <w:color w:val="000000"/>
              <w:sz w:val="20"/>
              <w:szCs w:val="20"/>
              <w:lang w:val="bg-BG"/>
            </w:rPr>
            <w:t xml:space="preserve"> и храните</w:t>
          </w:r>
        </w:p>
        <w:p w:rsidR="00F95F33" w:rsidRPr="006B2ABC" w:rsidRDefault="001D7924" w:rsidP="00274FD3">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Д</w:t>
          </w:r>
          <w:r w:rsidR="009E369F">
            <w:rPr>
              <w:rFonts w:eastAsia="HG Mincho Light J"/>
              <w:b/>
              <w:color w:val="000000"/>
              <w:sz w:val="20"/>
              <w:szCs w:val="20"/>
              <w:lang w:val="bg-BG"/>
            </w:rPr>
            <w:t>ирекция „</w:t>
          </w:r>
          <w:r>
            <w:rPr>
              <w:rFonts w:eastAsia="HG Mincho Light J"/>
              <w:b/>
              <w:color w:val="000000"/>
              <w:sz w:val="20"/>
              <w:szCs w:val="20"/>
              <w:lang w:val="bg-BG"/>
            </w:rPr>
            <w:t>Морско дело и рибарство</w:t>
          </w:r>
          <w:r w:rsidR="00144A1F" w:rsidRPr="00144A1F">
            <w:rPr>
              <w:rFonts w:eastAsia="HG Mincho Light J"/>
              <w:b/>
              <w:color w:val="000000"/>
              <w:sz w:val="20"/>
              <w:szCs w:val="20"/>
              <w:lang w:val="bg-BG"/>
            </w:rPr>
            <w:t xml:space="preserve">” – Управляващ орган на </w:t>
          </w:r>
          <w:r>
            <w:rPr>
              <w:rFonts w:eastAsia="HG Mincho Light J"/>
              <w:b/>
              <w:color w:val="000000"/>
              <w:sz w:val="20"/>
              <w:szCs w:val="20"/>
              <w:lang w:val="bg-BG"/>
            </w:rPr>
            <w:t>ПМДР</w:t>
          </w:r>
          <w:r w:rsidR="00E14F0B">
            <w:rPr>
              <w:rFonts w:eastAsia="HG Mincho Light J"/>
              <w:b/>
              <w:color w:val="000000"/>
              <w:sz w:val="20"/>
              <w:szCs w:val="20"/>
              <w:lang w:val="bg-BG"/>
            </w:rPr>
            <w:t>А</w:t>
          </w:r>
          <w:r w:rsidR="00877A5F" w:rsidRPr="006B2ABC">
            <w:rPr>
              <w:rFonts w:eastAsia="HG Mincho Light J"/>
              <w:b/>
              <w:color w:val="000000"/>
              <w:sz w:val="20"/>
              <w:szCs w:val="20"/>
              <w:lang w:val="bg-BG"/>
            </w:rPr>
            <w:t xml:space="preserve"> 20</w:t>
          </w:r>
          <w:r w:rsidR="00274FD3">
            <w:rPr>
              <w:rFonts w:eastAsia="HG Mincho Light J"/>
              <w:b/>
              <w:color w:val="000000"/>
              <w:sz w:val="20"/>
              <w:szCs w:val="20"/>
              <w:lang w:val="bg-BG"/>
            </w:rPr>
            <w:t>21 - 2027</w:t>
          </w:r>
        </w:p>
      </w:tc>
      <w:tc>
        <w:tcPr>
          <w:tcW w:w="7680" w:type="dxa"/>
          <w:gridSpan w:val="2"/>
          <w:tcBorders>
            <w:top w:val="single" w:sz="1" w:space="0" w:color="000000"/>
            <w:left w:val="single" w:sz="1" w:space="0" w:color="000000"/>
            <w:bottom w:val="single" w:sz="1" w:space="0" w:color="000000"/>
          </w:tcBorders>
          <w:vAlign w:val="center"/>
        </w:tcPr>
        <w:p w:rsidR="00F95F33" w:rsidRPr="00144A1F" w:rsidRDefault="003213FB" w:rsidP="003C6C1D">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НАРЪЧНИК </w:t>
          </w:r>
          <w:r w:rsidR="00D4220F">
            <w:rPr>
              <w:rFonts w:eastAsia="HG Mincho Light J"/>
              <w:b/>
              <w:color w:val="000000"/>
              <w:sz w:val="20"/>
              <w:szCs w:val="20"/>
              <w:lang w:val="bg-BG"/>
            </w:rPr>
            <w:t>ПО</w:t>
          </w:r>
          <w:r>
            <w:rPr>
              <w:rFonts w:eastAsia="HG Mincho Light J"/>
              <w:b/>
              <w:color w:val="000000"/>
              <w:sz w:val="20"/>
              <w:szCs w:val="20"/>
              <w:lang w:val="bg-BG"/>
            </w:rPr>
            <w:t xml:space="preserve"> </w:t>
          </w:r>
          <w:r w:rsidR="009E1864">
            <w:rPr>
              <w:rFonts w:eastAsia="HG Mincho Light J"/>
              <w:b/>
              <w:color w:val="000000"/>
              <w:sz w:val="20"/>
              <w:szCs w:val="20"/>
              <w:lang w:val="bg-BG"/>
            </w:rPr>
            <w:t>ПРОГРАМА ЗА МОРСКО ДЕЛО, РИБАРСТВО И  АКВАКУЛТУРИ</w:t>
          </w:r>
          <w:r w:rsidR="00C36EA9">
            <w:rPr>
              <w:rFonts w:eastAsia="HG Mincho Light J"/>
              <w:b/>
              <w:color w:val="000000"/>
              <w:sz w:val="20"/>
              <w:szCs w:val="20"/>
              <w:lang w:val="bg-BG"/>
            </w:rPr>
            <w:t xml:space="preserve"> 2021 -2027</w:t>
          </w:r>
          <w:r w:rsidR="00F95F33" w:rsidRPr="00144A1F">
            <w:rPr>
              <w:rFonts w:eastAsia="HG Mincho Light J"/>
              <w:b/>
              <w:color w:val="000000"/>
              <w:sz w:val="20"/>
              <w:szCs w:val="20"/>
              <w:lang w:val="bg-BG"/>
            </w:rPr>
            <w:t xml:space="preserve"> (</w:t>
          </w:r>
          <w:r w:rsidR="001D7924">
            <w:rPr>
              <w:rFonts w:eastAsia="HG Mincho Light J"/>
              <w:b/>
              <w:color w:val="000000"/>
              <w:sz w:val="20"/>
              <w:szCs w:val="20"/>
              <w:lang w:val="bg-BG"/>
            </w:rPr>
            <w:t>ПМДР</w:t>
          </w:r>
          <w:r w:rsidR="00C36EA9">
            <w:rPr>
              <w:rFonts w:eastAsia="HG Mincho Light J"/>
              <w:b/>
              <w:color w:val="000000"/>
              <w:sz w:val="20"/>
              <w:szCs w:val="20"/>
              <w:lang w:val="bg-BG"/>
            </w:rPr>
            <w:t>А</w:t>
          </w:r>
          <w:r w:rsidR="00F95F33" w:rsidRPr="00144A1F">
            <w:rPr>
              <w:rFonts w:eastAsia="HG Mincho Light J"/>
              <w:b/>
              <w:color w:val="000000"/>
              <w:sz w:val="20"/>
              <w:szCs w:val="20"/>
              <w:lang w:val="bg-BG"/>
            </w:rPr>
            <w:t>)</w:t>
          </w:r>
        </w:p>
      </w:tc>
      <w:tc>
        <w:tcPr>
          <w:tcW w:w="2126" w:type="dxa"/>
          <w:tcBorders>
            <w:top w:val="single" w:sz="1" w:space="0" w:color="000000"/>
            <w:left w:val="single" w:sz="1" w:space="0" w:color="000000"/>
            <w:bottom w:val="single" w:sz="1" w:space="0" w:color="000000"/>
            <w:right w:val="single" w:sz="1" w:space="0" w:color="000000"/>
          </w:tcBorders>
          <w:vAlign w:val="center"/>
        </w:tcPr>
        <w:p w:rsidR="00F95F33" w:rsidRPr="00144A1F" w:rsidRDefault="00144A1F" w:rsidP="009054CD">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lang w:val="bg-BG"/>
            </w:rPr>
            <w:t xml:space="preserve">Вариант </w:t>
          </w:r>
          <w:r w:rsidR="00006334">
            <w:rPr>
              <w:rFonts w:eastAsia="HG Mincho Light J"/>
              <w:b/>
              <w:color w:val="000000"/>
              <w:sz w:val="20"/>
              <w:lang w:val="bg-BG"/>
            </w:rPr>
            <w:t>1</w:t>
          </w:r>
        </w:p>
      </w:tc>
    </w:tr>
    <w:tr w:rsidR="00F95F33" w:rsidRPr="00144A1F" w:rsidTr="001B4A73">
      <w:trPr>
        <w:trHeight w:val="747"/>
      </w:trPr>
      <w:tc>
        <w:tcPr>
          <w:tcW w:w="5078" w:type="dxa"/>
          <w:vMerge/>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p>
      </w:tc>
      <w:tc>
        <w:tcPr>
          <w:tcW w:w="1217" w:type="dxa"/>
          <w:tcBorders>
            <w:left w:val="single" w:sz="1" w:space="0" w:color="000000"/>
            <w:bottom w:val="single" w:sz="1" w:space="0" w:color="000000"/>
            <w:right w:val="single" w:sz="1" w:space="0" w:color="000000"/>
          </w:tcBorders>
          <w:vAlign w:val="center"/>
        </w:tcPr>
        <w:p w:rsidR="00F95F33" w:rsidRPr="00144A1F" w:rsidRDefault="006C23EE" w:rsidP="00144A1F">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Глава 4, раздел 2, </w:t>
          </w:r>
          <w:r w:rsidR="00F95F33" w:rsidRPr="00144A1F">
            <w:rPr>
              <w:rFonts w:eastAsia="HG Mincho Light J"/>
              <w:b/>
              <w:color w:val="000000"/>
              <w:sz w:val="20"/>
              <w:szCs w:val="20"/>
              <w:lang w:val="bg-BG"/>
            </w:rPr>
            <w:t xml:space="preserve">Приложение </w:t>
          </w:r>
        </w:p>
        <w:p w:rsidR="00F95F33" w:rsidRPr="00144A1F" w:rsidRDefault="00F95F33" w:rsidP="002D643D">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4.II.</w:t>
          </w:r>
          <w:r w:rsidR="00BE3CC1" w:rsidRPr="00144A1F">
            <w:rPr>
              <w:rFonts w:eastAsia="HG Mincho Light J"/>
              <w:b/>
              <w:color w:val="000000"/>
              <w:sz w:val="20"/>
              <w:szCs w:val="20"/>
              <w:lang w:val="bg-BG"/>
            </w:rPr>
            <w:t>1</w:t>
          </w:r>
          <w:r w:rsidRPr="00144A1F">
            <w:rPr>
              <w:rFonts w:eastAsia="HG Mincho Light J"/>
              <w:b/>
              <w:color w:val="000000"/>
              <w:sz w:val="20"/>
              <w:szCs w:val="20"/>
              <w:lang w:val="bg-BG"/>
            </w:rPr>
            <w:t>.</w:t>
          </w:r>
          <w:r w:rsidR="002D643D">
            <w:rPr>
              <w:rFonts w:eastAsia="HG Mincho Light J"/>
              <w:b/>
              <w:color w:val="000000"/>
              <w:sz w:val="20"/>
              <w:szCs w:val="20"/>
              <w:lang w:val="bg-BG"/>
            </w:rPr>
            <w:t>13</w:t>
          </w:r>
          <w:r w:rsidRPr="00144A1F">
            <w:rPr>
              <w:rFonts w:eastAsia="HG Mincho Light J"/>
              <w:b/>
              <w:color w:val="000000"/>
              <w:sz w:val="20"/>
              <w:szCs w:val="20"/>
              <w:lang w:val="bg-BG"/>
            </w:rPr>
            <w:t>.</w:t>
          </w:r>
        </w:p>
      </w:tc>
      <w:tc>
        <w:tcPr>
          <w:tcW w:w="6463" w:type="dxa"/>
          <w:tcBorders>
            <w:left w:val="single" w:sz="1" w:space="0" w:color="000000"/>
            <w:bottom w:val="single" w:sz="1" w:space="0" w:color="000000"/>
            <w:right w:val="single" w:sz="1" w:space="0" w:color="000000"/>
          </w:tcBorders>
          <w:vAlign w:val="center"/>
        </w:tcPr>
        <w:p w:rsidR="00F95F33" w:rsidRPr="00144A1F" w:rsidRDefault="00F95F33" w:rsidP="00144A1F">
          <w:pPr>
            <w:widowControl w:val="0"/>
            <w:suppressLineNumbers/>
            <w:suppressAutoHyphens/>
            <w:jc w:val="center"/>
            <w:rPr>
              <w:b/>
              <w:sz w:val="20"/>
              <w:szCs w:val="20"/>
              <w:lang w:val="bg-BG"/>
            </w:rPr>
          </w:pPr>
          <w:r w:rsidRPr="00144A1F">
            <w:rPr>
              <w:b/>
              <w:sz w:val="20"/>
              <w:szCs w:val="20"/>
              <w:lang w:val="bg-BG"/>
            </w:rPr>
            <w:t>ПРОЦЕДУРИ ЗА ПРЕДОСТАВЯНЕ НА БЕЗВЪЗМЕЗДНА ФИНАНСОВА ПОМОЩ</w:t>
          </w:r>
        </w:p>
        <w:p w:rsidR="00F95F33" w:rsidRPr="00144A1F" w:rsidRDefault="00F95F33" w:rsidP="00144A1F">
          <w:pPr>
            <w:widowControl w:val="0"/>
            <w:suppressLineNumbers/>
            <w:suppressAutoHyphens/>
            <w:jc w:val="center"/>
            <w:rPr>
              <w:b/>
              <w:iCs/>
              <w:sz w:val="20"/>
              <w:szCs w:val="20"/>
              <w:lang w:val="bg-BG"/>
            </w:rPr>
          </w:pPr>
        </w:p>
        <w:p w:rsidR="00F95F33" w:rsidRPr="00144A1F" w:rsidRDefault="00F95F33" w:rsidP="00144A1F">
          <w:pPr>
            <w:widowControl w:val="0"/>
            <w:suppressLineNumbers/>
            <w:suppressAutoHyphens/>
            <w:jc w:val="center"/>
            <w:rPr>
              <w:b/>
              <w:iCs/>
              <w:sz w:val="20"/>
              <w:szCs w:val="20"/>
              <w:lang w:val="bg-BG"/>
            </w:rPr>
          </w:pPr>
        </w:p>
        <w:p w:rsidR="00F95F33" w:rsidRPr="00F609C8" w:rsidRDefault="002D643D" w:rsidP="00F609C8">
          <w:pPr>
            <w:widowControl w:val="0"/>
            <w:suppressLineNumbers/>
            <w:suppressAutoHyphens/>
            <w:jc w:val="center"/>
            <w:rPr>
              <w:rFonts w:eastAsia="HG Mincho Light J"/>
              <w:b/>
              <w:color w:val="000000"/>
              <w:sz w:val="20"/>
              <w:szCs w:val="20"/>
              <w:lang w:val="bg-BG"/>
            </w:rPr>
          </w:pPr>
          <w:r w:rsidRPr="002D643D">
            <w:rPr>
              <w:b/>
              <w:iCs/>
              <w:sz w:val="20"/>
              <w:szCs w:val="20"/>
              <w:lang w:val="bg-BG"/>
            </w:rPr>
            <w:t>Образец на Списък на предложените за отхвърляне проектни предложения</w:t>
          </w:r>
        </w:p>
      </w:tc>
      <w:tc>
        <w:tcPr>
          <w:tcW w:w="2126" w:type="dxa"/>
          <w:tcBorders>
            <w:left w:val="single" w:sz="1" w:space="0" w:color="000000"/>
            <w:bottom w:val="single" w:sz="1" w:space="0" w:color="000000"/>
            <w:righ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r w:rsidRPr="00144A1F">
            <w:rPr>
              <w:b/>
              <w:sz w:val="20"/>
              <w:szCs w:val="20"/>
              <w:lang w:val="bg-BG"/>
            </w:rPr>
            <w:t xml:space="preserve">страница: </w:t>
          </w:r>
          <w:r w:rsidR="00C438E3" w:rsidRPr="00144A1F">
            <w:rPr>
              <w:rStyle w:val="PageNumber"/>
              <w:sz w:val="20"/>
              <w:szCs w:val="20"/>
              <w:lang w:val="bg-BG"/>
            </w:rPr>
            <w:fldChar w:fldCharType="begin"/>
          </w:r>
          <w:r w:rsidRPr="00144A1F">
            <w:rPr>
              <w:rStyle w:val="PageNumber"/>
              <w:sz w:val="20"/>
              <w:szCs w:val="20"/>
              <w:lang w:val="bg-BG"/>
            </w:rPr>
            <w:instrText xml:space="preserve"> PAGE </w:instrText>
          </w:r>
          <w:r w:rsidR="00C438E3" w:rsidRPr="00144A1F">
            <w:rPr>
              <w:rStyle w:val="PageNumber"/>
              <w:sz w:val="20"/>
              <w:szCs w:val="20"/>
              <w:lang w:val="bg-BG"/>
            </w:rPr>
            <w:fldChar w:fldCharType="separate"/>
          </w:r>
          <w:r w:rsidR="00851B29">
            <w:rPr>
              <w:rStyle w:val="PageNumber"/>
              <w:noProof/>
              <w:sz w:val="20"/>
              <w:szCs w:val="20"/>
              <w:lang w:val="bg-BG"/>
            </w:rPr>
            <w:t>14</w:t>
          </w:r>
          <w:r w:rsidR="00C438E3" w:rsidRPr="00144A1F">
            <w:rPr>
              <w:rStyle w:val="PageNumber"/>
              <w:sz w:val="20"/>
              <w:szCs w:val="20"/>
              <w:lang w:val="bg-BG"/>
            </w:rPr>
            <w:fldChar w:fldCharType="end"/>
          </w:r>
          <w:r w:rsidRPr="00144A1F">
            <w:rPr>
              <w:rStyle w:val="PageNumber"/>
              <w:sz w:val="20"/>
              <w:szCs w:val="20"/>
              <w:lang w:val="bg-BG"/>
            </w:rPr>
            <w:t>/</w:t>
          </w:r>
          <w:r w:rsidR="00C438E3" w:rsidRPr="00144A1F">
            <w:rPr>
              <w:rStyle w:val="PageNumber"/>
              <w:sz w:val="20"/>
              <w:szCs w:val="20"/>
              <w:lang w:val="bg-BG"/>
            </w:rPr>
            <w:fldChar w:fldCharType="begin"/>
          </w:r>
          <w:r w:rsidRPr="00144A1F">
            <w:rPr>
              <w:rStyle w:val="PageNumber"/>
              <w:sz w:val="20"/>
              <w:szCs w:val="20"/>
              <w:lang w:val="bg-BG"/>
            </w:rPr>
            <w:instrText xml:space="preserve"> NUMPAGES </w:instrText>
          </w:r>
          <w:r w:rsidR="00C438E3" w:rsidRPr="00144A1F">
            <w:rPr>
              <w:rStyle w:val="PageNumber"/>
              <w:sz w:val="20"/>
              <w:szCs w:val="20"/>
              <w:lang w:val="bg-BG"/>
            </w:rPr>
            <w:fldChar w:fldCharType="separate"/>
          </w:r>
          <w:r w:rsidR="00851B29">
            <w:rPr>
              <w:rStyle w:val="PageNumber"/>
              <w:noProof/>
              <w:sz w:val="20"/>
              <w:szCs w:val="20"/>
              <w:lang w:val="bg-BG"/>
            </w:rPr>
            <w:t>14</w:t>
          </w:r>
          <w:r w:rsidR="00C438E3" w:rsidRPr="00144A1F">
            <w:rPr>
              <w:rStyle w:val="PageNumber"/>
              <w:sz w:val="20"/>
              <w:szCs w:val="20"/>
              <w:lang w:val="bg-BG"/>
            </w:rPr>
            <w:fldChar w:fldCharType="end"/>
          </w:r>
        </w:p>
      </w:tc>
    </w:tr>
    <w:tr w:rsidR="00F95F33" w:rsidRPr="00144A1F" w:rsidTr="001B4A73">
      <w:trPr>
        <w:trHeight w:val="697"/>
      </w:trPr>
      <w:tc>
        <w:tcPr>
          <w:tcW w:w="5078" w:type="dxa"/>
          <w:vMerge/>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p>
      </w:tc>
      <w:tc>
        <w:tcPr>
          <w:tcW w:w="7680" w:type="dxa"/>
          <w:gridSpan w:val="2"/>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Одобрен от: Ръководител на Управляващия орган</w:t>
          </w:r>
        </w:p>
      </w:tc>
      <w:tc>
        <w:tcPr>
          <w:tcW w:w="2126" w:type="dxa"/>
          <w:tcBorders>
            <w:left w:val="single" w:sz="1" w:space="0" w:color="000000"/>
            <w:bottom w:val="single" w:sz="4" w:space="0" w:color="auto"/>
            <w:right w:val="single" w:sz="1" w:space="0" w:color="000000"/>
          </w:tcBorders>
          <w:vAlign w:val="center"/>
        </w:tcPr>
        <w:p w:rsidR="00144A1F" w:rsidRPr="00144A1F" w:rsidRDefault="00144A1F"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Дата:</w:t>
          </w:r>
        </w:p>
        <w:p w:rsidR="00F95F33" w:rsidRPr="00144A1F" w:rsidRDefault="00244742" w:rsidP="00A6323E">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Ноември </w:t>
          </w:r>
          <w:r w:rsidR="00006334">
            <w:rPr>
              <w:rFonts w:eastAsia="HG Mincho Light J"/>
              <w:b/>
              <w:color w:val="000000"/>
              <w:sz w:val="20"/>
              <w:szCs w:val="20"/>
              <w:lang w:val="bg-BG"/>
            </w:rPr>
            <w:t>2023</w:t>
          </w:r>
        </w:p>
      </w:tc>
    </w:tr>
    <w:tr w:rsidR="00D4220F" w:rsidRPr="00144A1F" w:rsidTr="001B4A73">
      <w:trPr>
        <w:trHeight w:val="697"/>
      </w:trPr>
      <w:tc>
        <w:tcPr>
          <w:tcW w:w="5078" w:type="dxa"/>
          <w:tcBorders>
            <w:left w:val="single" w:sz="1" w:space="0" w:color="000000"/>
            <w:bottom w:val="single" w:sz="1" w:space="0" w:color="000000"/>
          </w:tcBorders>
          <w:vAlign w:val="center"/>
        </w:tcPr>
        <w:p w:rsidR="00D4220F" w:rsidRPr="00144A1F" w:rsidRDefault="00D4220F" w:rsidP="00144A1F">
          <w:pPr>
            <w:widowControl w:val="0"/>
            <w:suppressLineNumbers/>
            <w:suppressAutoHyphens/>
            <w:jc w:val="center"/>
            <w:rPr>
              <w:rFonts w:eastAsia="HG Mincho Light J"/>
              <w:b/>
              <w:color w:val="000000"/>
              <w:sz w:val="20"/>
              <w:szCs w:val="20"/>
              <w:lang w:val="bg-BG"/>
            </w:rPr>
          </w:pPr>
        </w:p>
      </w:tc>
      <w:tc>
        <w:tcPr>
          <w:tcW w:w="7680" w:type="dxa"/>
          <w:gridSpan w:val="2"/>
          <w:tcBorders>
            <w:left w:val="single" w:sz="1" w:space="0" w:color="000000"/>
            <w:bottom w:val="single" w:sz="1" w:space="0" w:color="000000"/>
            <w:right w:val="single" w:sz="4" w:space="0" w:color="auto"/>
          </w:tcBorders>
          <w:vAlign w:val="center"/>
        </w:tcPr>
        <w:p w:rsidR="00D4220F" w:rsidRPr="00144A1F" w:rsidRDefault="00D4220F" w:rsidP="00144A1F">
          <w:pPr>
            <w:widowControl w:val="0"/>
            <w:suppressLineNumbers/>
            <w:suppressAutoHyphens/>
            <w:jc w:val="center"/>
            <w:rPr>
              <w:rFonts w:eastAsia="HG Mincho Light J"/>
              <w:b/>
              <w:color w:val="000000"/>
              <w:sz w:val="20"/>
              <w:szCs w:val="20"/>
              <w:lang w:val="bg-BG"/>
            </w:rPr>
          </w:pPr>
        </w:p>
      </w:tc>
      <w:tc>
        <w:tcPr>
          <w:tcW w:w="2126" w:type="dxa"/>
          <w:tcBorders>
            <w:top w:val="single" w:sz="4" w:space="0" w:color="auto"/>
            <w:left w:val="single" w:sz="4" w:space="0" w:color="auto"/>
            <w:bottom w:val="single" w:sz="4" w:space="0" w:color="auto"/>
            <w:right w:val="single" w:sz="4" w:space="0" w:color="auto"/>
          </w:tcBorders>
          <w:vAlign w:val="center"/>
        </w:tcPr>
        <w:p w:rsidR="00D4220F" w:rsidRPr="00D4220F" w:rsidRDefault="00D4220F" w:rsidP="00D4220F">
          <w:pPr>
            <w:widowControl w:val="0"/>
            <w:suppressLineNumbers/>
            <w:suppressAutoHyphens/>
            <w:jc w:val="center"/>
            <w:rPr>
              <w:rFonts w:eastAsia="HG Mincho Light J"/>
              <w:b/>
              <w:color w:val="000000"/>
              <w:sz w:val="20"/>
              <w:szCs w:val="20"/>
              <w:lang w:val="bg-BG"/>
            </w:rPr>
          </w:pPr>
          <w:r w:rsidRPr="00D4220F">
            <w:rPr>
              <w:rFonts w:eastAsia="HG Mincho Light J"/>
              <w:b/>
              <w:color w:val="000000"/>
              <w:sz w:val="20"/>
              <w:szCs w:val="20"/>
              <w:lang w:val="bg-BG"/>
            </w:rPr>
            <w:t>Версия:</w:t>
          </w:r>
        </w:p>
        <w:p w:rsidR="00D4220F" w:rsidRPr="00144A1F" w:rsidRDefault="00244742" w:rsidP="00006334">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Ноември </w:t>
          </w:r>
          <w:r w:rsidR="00006334">
            <w:rPr>
              <w:rFonts w:eastAsia="HG Mincho Light J"/>
              <w:b/>
              <w:color w:val="000000"/>
              <w:sz w:val="20"/>
              <w:szCs w:val="20"/>
              <w:lang w:val="bg-BG"/>
            </w:rPr>
            <w:t>2023</w:t>
          </w:r>
        </w:p>
      </w:tc>
    </w:tr>
  </w:tbl>
  <w:p w:rsidR="003F4A60" w:rsidRDefault="003F4A60" w:rsidP="00561E4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215BB4"/>
    <w:multiLevelType w:val="hybridMultilevel"/>
    <w:tmpl w:val="52C0DFF6"/>
    <w:lvl w:ilvl="0" w:tplc="681C8144">
      <w:start w:val="1"/>
      <w:numFmt w:val="decimal"/>
      <w:lvlText w:val="%1."/>
      <w:lvlJc w:val="left"/>
      <w:pPr>
        <w:ind w:left="720" w:hanging="360"/>
      </w:pPr>
      <w:rPr>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1021D9"/>
    <w:multiLevelType w:val="hybridMultilevel"/>
    <w:tmpl w:val="51FEF1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0F1"/>
    <w:rsid w:val="00002EA4"/>
    <w:rsid w:val="00006334"/>
    <w:rsid w:val="00011405"/>
    <w:rsid w:val="000129B7"/>
    <w:rsid w:val="00025790"/>
    <w:rsid w:val="00027265"/>
    <w:rsid w:val="00031306"/>
    <w:rsid w:val="000608C3"/>
    <w:rsid w:val="00091A0B"/>
    <w:rsid w:val="00093853"/>
    <w:rsid w:val="000955C9"/>
    <w:rsid w:val="000A3A7D"/>
    <w:rsid w:val="000D7ED9"/>
    <w:rsid w:val="000E5E0B"/>
    <w:rsid w:val="000F2441"/>
    <w:rsid w:val="001047BE"/>
    <w:rsid w:val="00111412"/>
    <w:rsid w:val="001245DD"/>
    <w:rsid w:val="00132DEE"/>
    <w:rsid w:val="00144A1F"/>
    <w:rsid w:val="00173702"/>
    <w:rsid w:val="00193A7A"/>
    <w:rsid w:val="001959F7"/>
    <w:rsid w:val="001B4A73"/>
    <w:rsid w:val="001C0B6A"/>
    <w:rsid w:val="001C3BE2"/>
    <w:rsid w:val="001C4B26"/>
    <w:rsid w:val="001D594D"/>
    <w:rsid w:val="001D7924"/>
    <w:rsid w:val="001F0DA3"/>
    <w:rsid w:val="00244742"/>
    <w:rsid w:val="0024716F"/>
    <w:rsid w:val="00252824"/>
    <w:rsid w:val="00267933"/>
    <w:rsid w:val="00273151"/>
    <w:rsid w:val="00274FD3"/>
    <w:rsid w:val="002765CC"/>
    <w:rsid w:val="0028464A"/>
    <w:rsid w:val="0029326B"/>
    <w:rsid w:val="002D157D"/>
    <w:rsid w:val="002D643D"/>
    <w:rsid w:val="002E4382"/>
    <w:rsid w:val="002F75E1"/>
    <w:rsid w:val="0030728B"/>
    <w:rsid w:val="00311A88"/>
    <w:rsid w:val="003213FB"/>
    <w:rsid w:val="00331586"/>
    <w:rsid w:val="00335DE0"/>
    <w:rsid w:val="00347D47"/>
    <w:rsid w:val="00364692"/>
    <w:rsid w:val="00376A60"/>
    <w:rsid w:val="003941DC"/>
    <w:rsid w:val="003A624D"/>
    <w:rsid w:val="003B27AC"/>
    <w:rsid w:val="003B5A55"/>
    <w:rsid w:val="003B5F2E"/>
    <w:rsid w:val="003C6C1D"/>
    <w:rsid w:val="003E0D49"/>
    <w:rsid w:val="003E2D2E"/>
    <w:rsid w:val="003F4A60"/>
    <w:rsid w:val="003F7B45"/>
    <w:rsid w:val="00411D7A"/>
    <w:rsid w:val="004322ED"/>
    <w:rsid w:val="00436A9D"/>
    <w:rsid w:val="00444D18"/>
    <w:rsid w:val="00452D77"/>
    <w:rsid w:val="0047120E"/>
    <w:rsid w:val="004953B3"/>
    <w:rsid w:val="004A41E4"/>
    <w:rsid w:val="004A7303"/>
    <w:rsid w:val="004C574A"/>
    <w:rsid w:val="004E121F"/>
    <w:rsid w:val="004E4CA9"/>
    <w:rsid w:val="004F3330"/>
    <w:rsid w:val="004F42DA"/>
    <w:rsid w:val="004F5C87"/>
    <w:rsid w:val="005253D1"/>
    <w:rsid w:val="00542E98"/>
    <w:rsid w:val="00545706"/>
    <w:rsid w:val="00561E4F"/>
    <w:rsid w:val="00586F61"/>
    <w:rsid w:val="005912C0"/>
    <w:rsid w:val="00592769"/>
    <w:rsid w:val="005A17D3"/>
    <w:rsid w:val="005A6A46"/>
    <w:rsid w:val="005B5466"/>
    <w:rsid w:val="005C2D40"/>
    <w:rsid w:val="005C6F96"/>
    <w:rsid w:val="005D0C34"/>
    <w:rsid w:val="005D29B2"/>
    <w:rsid w:val="005D311A"/>
    <w:rsid w:val="005D6211"/>
    <w:rsid w:val="005D7EDC"/>
    <w:rsid w:val="005E52BD"/>
    <w:rsid w:val="005E678C"/>
    <w:rsid w:val="005F44E0"/>
    <w:rsid w:val="005F5ADF"/>
    <w:rsid w:val="00614F78"/>
    <w:rsid w:val="006439D5"/>
    <w:rsid w:val="0065252C"/>
    <w:rsid w:val="00654495"/>
    <w:rsid w:val="0068349E"/>
    <w:rsid w:val="00685D9D"/>
    <w:rsid w:val="006B2ABC"/>
    <w:rsid w:val="006B4949"/>
    <w:rsid w:val="006C23EE"/>
    <w:rsid w:val="00704F48"/>
    <w:rsid w:val="00710DE8"/>
    <w:rsid w:val="007126CE"/>
    <w:rsid w:val="0071717D"/>
    <w:rsid w:val="007315F2"/>
    <w:rsid w:val="00751517"/>
    <w:rsid w:val="00775769"/>
    <w:rsid w:val="007A1130"/>
    <w:rsid w:val="007A1946"/>
    <w:rsid w:val="007A41A5"/>
    <w:rsid w:val="007D081C"/>
    <w:rsid w:val="0081745E"/>
    <w:rsid w:val="00830920"/>
    <w:rsid w:val="008445E2"/>
    <w:rsid w:val="00845433"/>
    <w:rsid w:val="00851B29"/>
    <w:rsid w:val="00861D8E"/>
    <w:rsid w:val="00877A5F"/>
    <w:rsid w:val="00886106"/>
    <w:rsid w:val="0088738B"/>
    <w:rsid w:val="008A34BA"/>
    <w:rsid w:val="008B15BD"/>
    <w:rsid w:val="008D0692"/>
    <w:rsid w:val="008E150A"/>
    <w:rsid w:val="008E1661"/>
    <w:rsid w:val="0090223F"/>
    <w:rsid w:val="009054CD"/>
    <w:rsid w:val="00932C29"/>
    <w:rsid w:val="0095005A"/>
    <w:rsid w:val="00954F89"/>
    <w:rsid w:val="00955C51"/>
    <w:rsid w:val="00960B4D"/>
    <w:rsid w:val="00963DF6"/>
    <w:rsid w:val="00970769"/>
    <w:rsid w:val="00980B41"/>
    <w:rsid w:val="00982377"/>
    <w:rsid w:val="00992D76"/>
    <w:rsid w:val="009A06E8"/>
    <w:rsid w:val="009A530C"/>
    <w:rsid w:val="009B26E1"/>
    <w:rsid w:val="009B334E"/>
    <w:rsid w:val="009C273A"/>
    <w:rsid w:val="009D5B0E"/>
    <w:rsid w:val="009D7E36"/>
    <w:rsid w:val="009E1864"/>
    <w:rsid w:val="009E369F"/>
    <w:rsid w:val="009E4C13"/>
    <w:rsid w:val="009F7AFB"/>
    <w:rsid w:val="00A15B65"/>
    <w:rsid w:val="00A25AE5"/>
    <w:rsid w:val="00A33334"/>
    <w:rsid w:val="00A339F3"/>
    <w:rsid w:val="00A40AC5"/>
    <w:rsid w:val="00A44549"/>
    <w:rsid w:val="00A6323E"/>
    <w:rsid w:val="00A6428E"/>
    <w:rsid w:val="00A70381"/>
    <w:rsid w:val="00A70F60"/>
    <w:rsid w:val="00A80ED9"/>
    <w:rsid w:val="00A940B8"/>
    <w:rsid w:val="00AA0DE1"/>
    <w:rsid w:val="00AC2ACC"/>
    <w:rsid w:val="00AC460E"/>
    <w:rsid w:val="00AC78E1"/>
    <w:rsid w:val="00AD048E"/>
    <w:rsid w:val="00AF1D14"/>
    <w:rsid w:val="00B03339"/>
    <w:rsid w:val="00B1699E"/>
    <w:rsid w:val="00B208BE"/>
    <w:rsid w:val="00B31E34"/>
    <w:rsid w:val="00B43EF2"/>
    <w:rsid w:val="00B45BDD"/>
    <w:rsid w:val="00B46079"/>
    <w:rsid w:val="00B5142E"/>
    <w:rsid w:val="00B776C7"/>
    <w:rsid w:val="00BB2C87"/>
    <w:rsid w:val="00BB5A62"/>
    <w:rsid w:val="00BD146C"/>
    <w:rsid w:val="00BE019F"/>
    <w:rsid w:val="00BE3CC1"/>
    <w:rsid w:val="00C21491"/>
    <w:rsid w:val="00C21CB8"/>
    <w:rsid w:val="00C36EA9"/>
    <w:rsid w:val="00C438E3"/>
    <w:rsid w:val="00C565C8"/>
    <w:rsid w:val="00C674EA"/>
    <w:rsid w:val="00C740F1"/>
    <w:rsid w:val="00CC762D"/>
    <w:rsid w:val="00CD5FF4"/>
    <w:rsid w:val="00CF7E34"/>
    <w:rsid w:val="00D0052E"/>
    <w:rsid w:val="00D1159D"/>
    <w:rsid w:val="00D1516E"/>
    <w:rsid w:val="00D215E9"/>
    <w:rsid w:val="00D34D64"/>
    <w:rsid w:val="00D4145E"/>
    <w:rsid w:val="00D4220F"/>
    <w:rsid w:val="00D42CDF"/>
    <w:rsid w:val="00D51D24"/>
    <w:rsid w:val="00D73123"/>
    <w:rsid w:val="00D7495B"/>
    <w:rsid w:val="00D86372"/>
    <w:rsid w:val="00D874BF"/>
    <w:rsid w:val="00D97F8A"/>
    <w:rsid w:val="00DA1A24"/>
    <w:rsid w:val="00E071FD"/>
    <w:rsid w:val="00E12C88"/>
    <w:rsid w:val="00E14840"/>
    <w:rsid w:val="00E14F0B"/>
    <w:rsid w:val="00E27ED7"/>
    <w:rsid w:val="00E639FE"/>
    <w:rsid w:val="00E700E3"/>
    <w:rsid w:val="00E7591F"/>
    <w:rsid w:val="00E76FC7"/>
    <w:rsid w:val="00E8791C"/>
    <w:rsid w:val="00E97664"/>
    <w:rsid w:val="00EA04AD"/>
    <w:rsid w:val="00EA416D"/>
    <w:rsid w:val="00EB135C"/>
    <w:rsid w:val="00EB1B37"/>
    <w:rsid w:val="00EB286A"/>
    <w:rsid w:val="00EC46AC"/>
    <w:rsid w:val="00F03EDF"/>
    <w:rsid w:val="00F1198E"/>
    <w:rsid w:val="00F21616"/>
    <w:rsid w:val="00F55D58"/>
    <w:rsid w:val="00F564F2"/>
    <w:rsid w:val="00F609C8"/>
    <w:rsid w:val="00F62177"/>
    <w:rsid w:val="00F8225D"/>
    <w:rsid w:val="00F824A8"/>
    <w:rsid w:val="00F95F33"/>
    <w:rsid w:val="00FA66FF"/>
    <w:rsid w:val="00FA70DD"/>
    <w:rsid w:val="00FB10E4"/>
    <w:rsid w:val="00FC20F7"/>
    <w:rsid w:val="00FD3D91"/>
    <w:rsid w:val="00FD746D"/>
    <w:rsid w:val="00FE7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56FA3D"/>
  <w15:docId w15:val="{EC592F3A-DC4F-42B3-B87A-30DAC6D2B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A46"/>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1CharCharCharCharCharCharCharCharCharCharCharCharCharCharCharChar">
    <w:name w:val="Char Char1 Char Char Char Char Char Char Char Char Char Char Char Char Char Char Char Char"/>
    <w:basedOn w:val="Normal"/>
    <w:rsid w:val="005A6A46"/>
    <w:pPr>
      <w:tabs>
        <w:tab w:val="left" w:pos="709"/>
      </w:tabs>
      <w:spacing w:before="120" w:after="120"/>
      <w:ind w:left="360"/>
      <w:jc w:val="center"/>
    </w:pPr>
    <w:rPr>
      <w:rFonts w:ascii="Tahoma" w:hAnsi="Tahoma"/>
      <w:b/>
      <w:bCs/>
      <w:szCs w:val="28"/>
      <w:lang w:val="pl-PL" w:eastAsia="pl-PL"/>
    </w:rPr>
  </w:style>
  <w:style w:type="paragraph" w:customStyle="1" w:styleId="TableContents">
    <w:name w:val="Table Contents"/>
    <w:basedOn w:val="BodyText"/>
    <w:rsid w:val="005A6A46"/>
    <w:pPr>
      <w:widowControl w:val="0"/>
      <w:suppressLineNumbers/>
      <w:suppressAutoHyphens/>
      <w:spacing w:before="100" w:beforeAutospacing="1" w:after="100" w:afterAutospacing="1"/>
    </w:pPr>
    <w:rPr>
      <w:rFonts w:eastAsia="HG Mincho Light J"/>
      <w:color w:val="000000"/>
      <w:lang w:val="en-US" w:eastAsia="bg-BG"/>
    </w:rPr>
  </w:style>
  <w:style w:type="paragraph" w:customStyle="1" w:styleId="Index">
    <w:name w:val="Index"/>
    <w:basedOn w:val="Normal"/>
    <w:rsid w:val="005A6A46"/>
    <w:pPr>
      <w:widowControl w:val="0"/>
      <w:suppressLineNumbers/>
      <w:suppressAutoHyphens/>
      <w:spacing w:before="100" w:beforeAutospacing="1" w:after="100" w:afterAutospacing="1"/>
    </w:pPr>
    <w:rPr>
      <w:rFonts w:eastAsia="HG Mincho Light J"/>
      <w:color w:val="000000"/>
      <w:lang w:val="en-US" w:eastAsia="bg-BG"/>
    </w:rPr>
  </w:style>
  <w:style w:type="paragraph" w:styleId="BodyText">
    <w:name w:val="Body Text"/>
    <w:basedOn w:val="Normal"/>
    <w:rsid w:val="005A6A46"/>
    <w:pPr>
      <w:spacing w:after="120"/>
    </w:pPr>
  </w:style>
  <w:style w:type="paragraph" w:styleId="BalloonText">
    <w:name w:val="Balloon Text"/>
    <w:basedOn w:val="Normal"/>
    <w:semiHidden/>
    <w:rsid w:val="00A940B8"/>
    <w:rPr>
      <w:rFonts w:ascii="Tahoma" w:hAnsi="Tahoma" w:cs="Tahoma"/>
      <w:sz w:val="16"/>
      <w:szCs w:val="16"/>
    </w:rPr>
  </w:style>
  <w:style w:type="table" w:styleId="TableGrid">
    <w:name w:val="Table Grid"/>
    <w:basedOn w:val="TableNormal"/>
    <w:rsid w:val="00091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C574A"/>
    <w:rPr>
      <w:sz w:val="16"/>
      <w:szCs w:val="16"/>
    </w:rPr>
  </w:style>
  <w:style w:type="paragraph" w:styleId="CommentText">
    <w:name w:val="annotation text"/>
    <w:basedOn w:val="Normal"/>
    <w:semiHidden/>
    <w:rsid w:val="004C574A"/>
    <w:rPr>
      <w:sz w:val="20"/>
      <w:szCs w:val="20"/>
    </w:rPr>
  </w:style>
  <w:style w:type="paragraph" w:styleId="CommentSubject">
    <w:name w:val="annotation subject"/>
    <w:basedOn w:val="CommentText"/>
    <w:next w:val="CommentText"/>
    <w:semiHidden/>
    <w:rsid w:val="004C574A"/>
    <w:rPr>
      <w:b/>
      <w:bCs/>
    </w:rPr>
  </w:style>
  <w:style w:type="paragraph" w:styleId="Header">
    <w:name w:val="header"/>
    <w:basedOn w:val="Normal"/>
    <w:rsid w:val="00561E4F"/>
    <w:pPr>
      <w:tabs>
        <w:tab w:val="center" w:pos="4536"/>
        <w:tab w:val="right" w:pos="9072"/>
      </w:tabs>
    </w:pPr>
  </w:style>
  <w:style w:type="paragraph" w:styleId="Footer">
    <w:name w:val="footer"/>
    <w:basedOn w:val="Normal"/>
    <w:link w:val="FooterChar"/>
    <w:uiPriority w:val="99"/>
    <w:rsid w:val="00561E4F"/>
    <w:pPr>
      <w:tabs>
        <w:tab w:val="center" w:pos="4536"/>
        <w:tab w:val="right" w:pos="9072"/>
      </w:tabs>
    </w:pPr>
  </w:style>
  <w:style w:type="character" w:styleId="PageNumber">
    <w:name w:val="page number"/>
    <w:basedOn w:val="DefaultParagraphFont"/>
    <w:rsid w:val="00561E4F"/>
  </w:style>
  <w:style w:type="paragraph" w:customStyle="1" w:styleId="Char">
    <w:name w:val="Char"/>
    <w:basedOn w:val="Normal"/>
    <w:rsid w:val="00561E4F"/>
    <w:pPr>
      <w:tabs>
        <w:tab w:val="left" w:pos="709"/>
      </w:tabs>
    </w:pPr>
    <w:rPr>
      <w:rFonts w:ascii="Tahoma" w:hAnsi="Tahoma"/>
      <w:lang w:val="pl-PL" w:eastAsia="pl-PL"/>
    </w:rPr>
  </w:style>
  <w:style w:type="paragraph" w:styleId="BodyTextIndent">
    <w:name w:val="Body Text Indent"/>
    <w:basedOn w:val="Normal"/>
    <w:link w:val="BodyTextIndentChar"/>
    <w:semiHidden/>
    <w:unhideWhenUsed/>
    <w:rsid w:val="00D97F8A"/>
    <w:pPr>
      <w:spacing w:after="120"/>
      <w:ind w:left="283"/>
    </w:pPr>
  </w:style>
  <w:style w:type="character" w:customStyle="1" w:styleId="BodyTextIndentChar">
    <w:name w:val="Body Text Indent Char"/>
    <w:basedOn w:val="DefaultParagraphFont"/>
    <w:link w:val="BodyTextIndent"/>
    <w:semiHidden/>
    <w:rsid w:val="00D97F8A"/>
    <w:rPr>
      <w:sz w:val="24"/>
      <w:szCs w:val="24"/>
      <w:lang w:val="en-GB"/>
    </w:rPr>
  </w:style>
  <w:style w:type="paragraph" w:styleId="ListParagraph">
    <w:name w:val="List Paragraph"/>
    <w:basedOn w:val="Normal"/>
    <w:uiPriority w:val="34"/>
    <w:qFormat/>
    <w:rsid w:val="00D97F8A"/>
    <w:pPr>
      <w:spacing w:after="160" w:line="259" w:lineRule="auto"/>
      <w:ind w:left="720"/>
      <w:contextualSpacing/>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C21CB8"/>
    <w:rPr>
      <w:sz w:val="24"/>
      <w:szCs w:val="24"/>
      <w:lang w:val="en-GB"/>
    </w:rPr>
  </w:style>
  <w:style w:type="paragraph" w:styleId="BodyTextIndent2">
    <w:name w:val="Body Text Indent 2"/>
    <w:basedOn w:val="Normal"/>
    <w:link w:val="BodyTextIndent2Char"/>
    <w:semiHidden/>
    <w:unhideWhenUsed/>
    <w:rsid w:val="005F5ADF"/>
    <w:pPr>
      <w:spacing w:after="120" w:line="480" w:lineRule="auto"/>
      <w:ind w:left="283"/>
    </w:pPr>
  </w:style>
  <w:style w:type="character" w:customStyle="1" w:styleId="BodyTextIndent2Char">
    <w:name w:val="Body Text Indent 2 Char"/>
    <w:basedOn w:val="DefaultParagraphFont"/>
    <w:link w:val="BodyTextIndent2"/>
    <w:semiHidden/>
    <w:rsid w:val="005F5ADF"/>
    <w:rPr>
      <w:sz w:val="24"/>
      <w:szCs w:val="24"/>
      <w:lang w:val="en-GB"/>
    </w:rPr>
  </w:style>
  <w:style w:type="character" w:customStyle="1" w:styleId="filled-value">
    <w:name w:val="filled-value"/>
    <w:basedOn w:val="DefaultParagraphFont"/>
    <w:rsid w:val="009E3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40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48DEB-0686-4253-8F28-E411D6B46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2195</Words>
  <Characters>12514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MEE</Company>
  <LinksUpToDate>false</LinksUpToDate>
  <CharactersWithSpaces>14680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Zornitsa Tokusheva</cp:lastModifiedBy>
  <cp:revision>4</cp:revision>
  <cp:lastPrinted>2016-12-14T14:51:00Z</cp:lastPrinted>
  <dcterms:created xsi:type="dcterms:W3CDTF">2026-06-26T08:57:00Z</dcterms:created>
  <dcterms:modified xsi:type="dcterms:W3CDTF">2026-06-26T09:01:00Z</dcterms:modified>
</cp:coreProperties>
</file>