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BBB" w:rsidRPr="000A2ECA" w:rsidRDefault="008E1BBB" w:rsidP="00CE4556">
      <w:pPr>
        <w:spacing w:line="276" w:lineRule="auto"/>
        <w:jc w:val="center"/>
        <w:rPr>
          <w:b/>
          <w:lang w:val="bg-BG"/>
        </w:rPr>
      </w:pPr>
    </w:p>
    <w:p w:rsidR="00827DEB" w:rsidRDefault="005F44E0" w:rsidP="00CE4556">
      <w:pPr>
        <w:spacing w:line="276" w:lineRule="auto"/>
        <w:jc w:val="center"/>
        <w:rPr>
          <w:b/>
          <w:lang w:val="bg-BG"/>
        </w:rPr>
      </w:pPr>
      <w:r w:rsidRPr="000A2ECA">
        <w:rPr>
          <w:b/>
          <w:lang w:val="bg-BG"/>
        </w:rPr>
        <w:t xml:space="preserve">СПИСЪК НА ПРОЕКТНИТЕ ПРЕДЛОЖЕНИЯ, КОИТО НЕ СЕ ДОПУСКАТ ДО </w:t>
      </w:r>
      <w:r w:rsidR="00D97F8A" w:rsidRPr="000A2ECA">
        <w:rPr>
          <w:b/>
          <w:lang w:val="bg-BG"/>
        </w:rPr>
        <w:t>ТЕХНИЧЕСКА И ФИНАНСОВА ОЦЕНКА ПО ПРОЦЕДУРА ЗА ПРЕДОСТАВЯНЕ НА БЕЗВЪЗМЕЗДНА ФИНАНСОВА ПОМОЩ</w:t>
      </w:r>
      <w:r w:rsidR="00F8225D" w:rsidRPr="000A2ECA">
        <w:rPr>
          <w:b/>
          <w:lang w:val="bg-BG"/>
        </w:rPr>
        <w:t xml:space="preserve"> </w:t>
      </w:r>
      <w:r w:rsidR="008651D9" w:rsidRPr="000A2ECA">
        <w:rPr>
          <w:b/>
          <w:lang w:val="bg-BG"/>
        </w:rPr>
        <w:t xml:space="preserve">ЧРЕЗ ПОДБОР НА ПРОЕКТИ </w:t>
      </w:r>
    </w:p>
    <w:p w:rsidR="00D97F8A" w:rsidRPr="000A2ECA" w:rsidRDefault="00827DEB" w:rsidP="00CE4556">
      <w:pPr>
        <w:spacing w:line="276" w:lineRule="auto"/>
        <w:jc w:val="center"/>
        <w:rPr>
          <w:b/>
          <w:lang w:val="bg-BG"/>
        </w:rPr>
      </w:pPr>
      <w:r>
        <w:rPr>
          <w:b/>
          <w:iCs/>
          <w:lang w:val="bg-BG"/>
        </w:rPr>
        <w:t>№</w:t>
      </w:r>
      <w:r w:rsidRPr="00E74257">
        <w:rPr>
          <w:color w:val="000000"/>
        </w:rPr>
        <w:t xml:space="preserve"> </w:t>
      </w:r>
      <w:r w:rsidRPr="00827DEB">
        <w:rPr>
          <w:b/>
          <w:color w:val="000000"/>
        </w:rPr>
        <w:t>BG14MFPR001-1.009 „ПОДКРЕПА ЗА ПОДОБРЯВАНЕ НА ИКОНОМИЧЕСКИЯ И СОЦИАЛНИЯ СТАТУС НА ОПЕРАТОРИТЕ В РИБОЛОВА“</w:t>
      </w:r>
      <w:r>
        <w:rPr>
          <w:color w:val="000000"/>
          <w:lang w:val="bg-BG"/>
        </w:rPr>
        <w:t xml:space="preserve"> </w:t>
      </w:r>
      <w:r w:rsidR="00D97F8A" w:rsidRPr="000A2ECA">
        <w:rPr>
          <w:b/>
          <w:lang w:val="bg-BG"/>
        </w:rPr>
        <w:t>ПО ПРОГРАМАТА ЗА МОРСКО ДЕЛО, РИБАРСТВО И АКВАКУЛТУРИ 2021-2027 (ПМДРА)</w:t>
      </w:r>
    </w:p>
    <w:p w:rsidR="00877A5F" w:rsidRPr="000A2ECA" w:rsidRDefault="00877A5F" w:rsidP="00A940B8">
      <w:pPr>
        <w:jc w:val="center"/>
        <w:rPr>
          <w:b/>
          <w:lang w:val="bg-BG"/>
        </w:rPr>
      </w:pPr>
    </w:p>
    <w:p w:rsidR="008E1BBB" w:rsidRPr="000A2ECA" w:rsidRDefault="008E1BBB" w:rsidP="00A940B8">
      <w:pPr>
        <w:jc w:val="center"/>
        <w:rPr>
          <w:b/>
          <w:lang w:val="bg-BG"/>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1936"/>
        <w:gridCol w:w="2632"/>
        <w:gridCol w:w="2919"/>
        <w:gridCol w:w="6635"/>
      </w:tblGrid>
      <w:tr w:rsidR="00091A0B" w:rsidRPr="000A2ECA" w:rsidTr="008E1BBB">
        <w:tc>
          <w:tcPr>
            <w:tcW w:w="639" w:type="dxa"/>
            <w:shd w:val="clear" w:color="auto" w:fill="auto"/>
          </w:tcPr>
          <w:p w:rsidR="00091A0B" w:rsidRPr="000A2ECA" w:rsidRDefault="00091A0B" w:rsidP="00E76FC7">
            <w:pPr>
              <w:jc w:val="center"/>
              <w:rPr>
                <w:b/>
                <w:sz w:val="20"/>
                <w:szCs w:val="20"/>
                <w:lang w:val="bg-BG"/>
              </w:rPr>
            </w:pPr>
            <w:r w:rsidRPr="000A2ECA">
              <w:rPr>
                <w:b/>
                <w:sz w:val="20"/>
                <w:szCs w:val="20"/>
                <w:lang w:val="bg-BG"/>
              </w:rPr>
              <w:t>№</w:t>
            </w:r>
          </w:p>
        </w:tc>
        <w:tc>
          <w:tcPr>
            <w:tcW w:w="1936" w:type="dxa"/>
            <w:shd w:val="clear" w:color="auto" w:fill="auto"/>
          </w:tcPr>
          <w:p w:rsidR="00091A0B" w:rsidRPr="000A2ECA" w:rsidRDefault="004A41E4" w:rsidP="004A41E4">
            <w:pPr>
              <w:jc w:val="center"/>
              <w:rPr>
                <w:b/>
                <w:sz w:val="20"/>
                <w:szCs w:val="20"/>
                <w:lang w:val="bg-BG"/>
              </w:rPr>
            </w:pPr>
            <w:r w:rsidRPr="000A2ECA">
              <w:rPr>
                <w:b/>
                <w:sz w:val="20"/>
                <w:szCs w:val="20"/>
                <w:lang w:val="bg-BG"/>
              </w:rPr>
              <w:t>Рег. № на п</w:t>
            </w:r>
            <w:r w:rsidR="00091A0B" w:rsidRPr="000A2ECA">
              <w:rPr>
                <w:b/>
                <w:sz w:val="20"/>
                <w:szCs w:val="20"/>
                <w:lang w:val="bg-BG"/>
              </w:rPr>
              <w:t>роектно</w:t>
            </w:r>
            <w:r w:rsidRPr="000A2ECA">
              <w:rPr>
                <w:b/>
                <w:sz w:val="20"/>
                <w:szCs w:val="20"/>
                <w:lang w:val="bg-BG"/>
              </w:rPr>
              <w:t>то</w:t>
            </w:r>
            <w:r w:rsidR="00091A0B" w:rsidRPr="000A2ECA">
              <w:rPr>
                <w:b/>
                <w:sz w:val="20"/>
                <w:szCs w:val="20"/>
                <w:lang w:val="bg-BG"/>
              </w:rPr>
              <w:t xml:space="preserve"> предложение </w:t>
            </w:r>
          </w:p>
        </w:tc>
        <w:tc>
          <w:tcPr>
            <w:tcW w:w="2754" w:type="dxa"/>
            <w:shd w:val="clear" w:color="auto" w:fill="auto"/>
          </w:tcPr>
          <w:p w:rsidR="00091A0B" w:rsidRPr="000A2ECA" w:rsidRDefault="00992D76" w:rsidP="00E76FC7">
            <w:pPr>
              <w:jc w:val="center"/>
              <w:rPr>
                <w:b/>
                <w:sz w:val="20"/>
                <w:szCs w:val="20"/>
                <w:lang w:val="bg-BG"/>
              </w:rPr>
            </w:pPr>
            <w:r w:rsidRPr="000A2ECA">
              <w:rPr>
                <w:b/>
                <w:sz w:val="20"/>
                <w:szCs w:val="20"/>
                <w:lang w:val="bg-BG"/>
              </w:rPr>
              <w:t>Наименование на кандидата</w:t>
            </w:r>
          </w:p>
        </w:tc>
        <w:tc>
          <w:tcPr>
            <w:tcW w:w="2316" w:type="dxa"/>
            <w:shd w:val="clear" w:color="auto" w:fill="auto"/>
          </w:tcPr>
          <w:p w:rsidR="00091A0B" w:rsidRPr="000A2ECA" w:rsidRDefault="00992D76" w:rsidP="00E76FC7">
            <w:pPr>
              <w:jc w:val="center"/>
              <w:rPr>
                <w:b/>
                <w:sz w:val="20"/>
                <w:szCs w:val="20"/>
                <w:lang w:val="bg-BG"/>
              </w:rPr>
            </w:pPr>
            <w:r w:rsidRPr="000A2ECA">
              <w:rPr>
                <w:b/>
                <w:sz w:val="20"/>
                <w:szCs w:val="20"/>
                <w:lang w:val="bg-BG"/>
              </w:rPr>
              <w:t>Наименование на проектното предложение</w:t>
            </w:r>
          </w:p>
        </w:tc>
        <w:tc>
          <w:tcPr>
            <w:tcW w:w="7092" w:type="dxa"/>
            <w:shd w:val="clear" w:color="auto" w:fill="auto"/>
          </w:tcPr>
          <w:p w:rsidR="00091A0B" w:rsidRPr="000A2ECA" w:rsidRDefault="002D157D" w:rsidP="00E76FC7">
            <w:pPr>
              <w:jc w:val="center"/>
              <w:rPr>
                <w:b/>
                <w:sz w:val="20"/>
                <w:szCs w:val="20"/>
                <w:lang w:val="bg-BG"/>
              </w:rPr>
            </w:pPr>
            <w:r w:rsidRPr="000A2ECA">
              <w:rPr>
                <w:b/>
                <w:sz w:val="20"/>
                <w:szCs w:val="20"/>
                <w:lang w:val="bg-BG"/>
              </w:rPr>
              <w:t>Основание за отхвър</w:t>
            </w:r>
            <w:r w:rsidR="00992D76" w:rsidRPr="000A2ECA">
              <w:rPr>
                <w:b/>
                <w:sz w:val="20"/>
                <w:szCs w:val="20"/>
                <w:lang w:val="bg-BG"/>
              </w:rPr>
              <w:t>ляне</w:t>
            </w:r>
          </w:p>
          <w:p w:rsidR="00331586" w:rsidRPr="000A2ECA" w:rsidRDefault="00331586" w:rsidP="00E76FC7">
            <w:pPr>
              <w:jc w:val="center"/>
              <w:rPr>
                <w:b/>
                <w:i/>
                <w:sz w:val="20"/>
                <w:szCs w:val="20"/>
                <w:lang w:val="bg-BG"/>
              </w:rPr>
            </w:pPr>
            <w:r w:rsidRPr="000A2ECA">
              <w:rPr>
                <w:b/>
                <w:i/>
                <w:sz w:val="20"/>
                <w:szCs w:val="20"/>
                <w:lang w:val="bg-BG"/>
              </w:rPr>
              <w:t xml:space="preserve">(посочват се конкретните основания, а не само препратки към документите и условията, които не са изпълнени) </w:t>
            </w:r>
          </w:p>
        </w:tc>
      </w:tr>
      <w:tr w:rsidR="00091A0B" w:rsidRPr="000A2ECA" w:rsidTr="008E1BBB">
        <w:tc>
          <w:tcPr>
            <w:tcW w:w="639" w:type="dxa"/>
            <w:shd w:val="clear" w:color="auto" w:fill="auto"/>
          </w:tcPr>
          <w:p w:rsidR="00091A0B" w:rsidRPr="000A2ECA" w:rsidRDefault="00992D76" w:rsidP="00E76FC7">
            <w:pPr>
              <w:jc w:val="center"/>
              <w:rPr>
                <w:b/>
                <w:lang w:val="bg-BG"/>
              </w:rPr>
            </w:pPr>
            <w:r w:rsidRPr="000A2ECA">
              <w:rPr>
                <w:b/>
                <w:lang w:val="bg-BG"/>
              </w:rPr>
              <w:t>1.</w:t>
            </w:r>
          </w:p>
        </w:tc>
        <w:tc>
          <w:tcPr>
            <w:tcW w:w="1936" w:type="dxa"/>
            <w:shd w:val="clear" w:color="auto" w:fill="auto"/>
          </w:tcPr>
          <w:p w:rsidR="00091A0B" w:rsidRPr="000A2ECA" w:rsidRDefault="00742DA1" w:rsidP="00E76FC7">
            <w:pPr>
              <w:jc w:val="center"/>
              <w:rPr>
                <w:b/>
                <w:lang w:val="bg-BG"/>
              </w:rPr>
            </w:pPr>
            <w:r w:rsidRPr="00742DA1">
              <w:rPr>
                <w:b/>
                <w:lang w:val="bg-BG"/>
              </w:rPr>
              <w:t>BG14MFPR001-1.009-0001</w:t>
            </w:r>
          </w:p>
        </w:tc>
        <w:tc>
          <w:tcPr>
            <w:tcW w:w="2754" w:type="dxa"/>
            <w:shd w:val="clear" w:color="auto" w:fill="auto"/>
          </w:tcPr>
          <w:p w:rsidR="00091A0B" w:rsidRPr="000A2ECA" w:rsidRDefault="00742DA1" w:rsidP="00E76FC7">
            <w:pPr>
              <w:jc w:val="center"/>
              <w:rPr>
                <w:b/>
                <w:lang w:val="bg-BG"/>
              </w:rPr>
            </w:pPr>
            <w:r w:rsidRPr="00827DEB">
              <w:rPr>
                <w:b/>
                <w:color w:val="000000"/>
              </w:rPr>
              <w:t>„</w:t>
            </w:r>
            <w:r w:rsidRPr="00742DA1">
              <w:rPr>
                <w:b/>
                <w:lang w:val="bg-BG"/>
              </w:rPr>
              <w:t>НОРДИБГ</w:t>
            </w:r>
            <w:r w:rsidRPr="00827DEB">
              <w:rPr>
                <w:b/>
                <w:color w:val="000000"/>
              </w:rPr>
              <w:t>“</w:t>
            </w:r>
            <w:r>
              <w:rPr>
                <w:color w:val="000000"/>
                <w:lang w:val="bg-BG"/>
              </w:rPr>
              <w:t xml:space="preserve"> </w:t>
            </w:r>
            <w:r w:rsidRPr="00742DA1">
              <w:rPr>
                <w:b/>
                <w:lang w:val="bg-BG"/>
              </w:rPr>
              <w:t xml:space="preserve"> ЕООД</w:t>
            </w:r>
          </w:p>
        </w:tc>
        <w:tc>
          <w:tcPr>
            <w:tcW w:w="2316" w:type="dxa"/>
            <w:shd w:val="clear" w:color="auto" w:fill="auto"/>
          </w:tcPr>
          <w:p w:rsidR="00497E1B" w:rsidRPr="000A2ECA" w:rsidRDefault="00497E1B" w:rsidP="00497E1B">
            <w:pPr>
              <w:jc w:val="center"/>
              <w:rPr>
                <w:b/>
                <w:lang w:val="bg-BG"/>
              </w:rPr>
            </w:pPr>
            <w:r w:rsidRPr="000A2ECA">
              <w:rPr>
                <w:b/>
                <w:lang w:val="bg-BG"/>
              </w:rPr>
              <w:t>„</w:t>
            </w:r>
            <w:r w:rsidR="00742DA1" w:rsidRPr="00742DA1">
              <w:rPr>
                <w:b/>
                <w:lang w:val="bg-BG"/>
              </w:rPr>
              <w:t>Повишаване на конкурентоспособността на НОРДИБГ ЕООД чрез диверсификация и устойчиво развитие</w:t>
            </w:r>
            <w:r w:rsidRPr="000A2ECA">
              <w:rPr>
                <w:b/>
                <w:lang w:val="bg-BG"/>
              </w:rPr>
              <w:t>“</w:t>
            </w:r>
          </w:p>
          <w:p w:rsidR="00091A0B" w:rsidRPr="000A2ECA" w:rsidRDefault="00091A0B" w:rsidP="00CE4556">
            <w:pPr>
              <w:jc w:val="center"/>
              <w:rPr>
                <w:b/>
                <w:lang w:val="bg-BG"/>
              </w:rPr>
            </w:pPr>
          </w:p>
        </w:tc>
        <w:tc>
          <w:tcPr>
            <w:tcW w:w="7092" w:type="dxa"/>
            <w:shd w:val="clear" w:color="auto" w:fill="auto"/>
          </w:tcPr>
          <w:p w:rsidR="00742DA1" w:rsidRPr="00742DA1" w:rsidRDefault="007977DE" w:rsidP="00742DA1">
            <w:pPr>
              <w:tabs>
                <w:tab w:val="left" w:pos="0"/>
                <w:tab w:val="left" w:pos="709"/>
              </w:tabs>
              <w:spacing w:line="276" w:lineRule="auto"/>
              <w:jc w:val="both"/>
              <w:rPr>
                <w:bCs/>
                <w:noProof/>
                <w:lang w:val="bg-BG" w:eastAsia="bg-BG"/>
              </w:rPr>
            </w:pPr>
            <w:r w:rsidRPr="000A2ECA">
              <w:rPr>
                <w:bCs/>
                <w:noProof/>
                <w:lang w:val="bg-BG" w:eastAsia="bg-BG"/>
              </w:rPr>
              <w:tab/>
            </w:r>
            <w:r w:rsidR="00742DA1" w:rsidRPr="00742DA1">
              <w:rPr>
                <w:bCs/>
                <w:noProof/>
                <w:lang w:val="bg-BG" w:eastAsia="bg-BG"/>
              </w:rPr>
              <w:t>След извършване на оценка за административно съответствие и допустимост на проектно предложение BG14MFPR001-1.009-0001, „Повишаване на конкурентоспособността на НОРДИБГ ЕООД чрез диверсификация и устойчиво развитие“, съгласно чл. 29, ал. 2, т. 1, б. „а“ от Закона за управление на средствата от Европейските фондове при споделено управление (Загл. изм. - ДВ, бр. 51 от 2022 г., в сила от 01.07.2022 г.) (ЗУСЕФСУ), е установено следното:</w:t>
            </w: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Проектното предложение не отговаря на следните критерии от Приложение № 6 „Критерии и методология за оценка на проектни предложения по процедура за подбор на проекти № BG14MFPR001-1.009 „Подкрепа за подобряване на </w:t>
            </w:r>
            <w:r w:rsidRPr="00742DA1">
              <w:rPr>
                <w:bCs/>
                <w:noProof/>
                <w:lang w:val="bg-BG" w:eastAsia="bg-BG"/>
              </w:rPr>
              <w:lastRenderedPageBreak/>
              <w:t>икономическия и социалния статус на операторите в риболова”:</w:t>
            </w:r>
          </w:p>
          <w:p w:rsidR="00742DA1" w:rsidRPr="00742DA1" w:rsidRDefault="00742DA1"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4: „Налице са всички изискуеми документи и са попълнени съгласно изискванията, посочени в т. 24 от Условията за кандидатстване по настоящата процедура.“;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5: „Кандидатът е допустим съгласно изискванията в т. 11 от Условия за кандидатстване по настоящата процедура.“;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6: „Включените в проекта дейности са допустими за финансиране съгласно изискванията в т. 13 от Условия за кандидатстване по настоящата процедура.“;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9: „Проектното предложение допринася за постигане на специфичните цели по приоритета на Съюза, предвидени в член 14, параграф 1, буква „а“ от Регламент 2021/1139.“;</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19: „Дейностите, за които се кандидатства постигат целите на специфична цел 1 „Укрепване на икономически, социално и екологично устойчиви риболовни дейности”, че дейностите са екологично устойчиви в дългосрочен план на ПМДРА.“;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w:t>
            </w:r>
            <w:r w:rsidRPr="00742DA1">
              <w:rPr>
                <w:bCs/>
                <w:noProof/>
                <w:lang w:val="bg-BG" w:eastAsia="bg-BG"/>
              </w:rPr>
              <w:tab/>
              <w:t>Критерий № 23: „Кандидати по дейност „10. диверсификация на традиционните риболовни дейности (малки круизи, транспортни услуги, природно и културно наследство, пескатуризъм, заведения за обществено хранене и магазини за предлагане на местен улов), които са свързани с риболова“ са заявили, че подкрепата за сектора на транспорта, сектора на културата, сектора на туризма, ресторантьорския сектор и сектора на търговията е единствено пряко свързана с риболова.“.</w:t>
            </w:r>
          </w:p>
          <w:p w:rsidR="00742DA1" w:rsidRPr="00742DA1" w:rsidRDefault="00742DA1" w:rsidP="00742DA1">
            <w:pPr>
              <w:tabs>
                <w:tab w:val="left" w:pos="0"/>
                <w:tab w:val="left" w:pos="709"/>
              </w:tabs>
              <w:spacing w:line="276" w:lineRule="auto"/>
              <w:jc w:val="both"/>
              <w:rPr>
                <w:bCs/>
                <w:noProof/>
                <w:lang w:val="bg-BG" w:eastAsia="bg-BG"/>
              </w:rPr>
            </w:pP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I. Проведена комуникация с кандидата</w:t>
            </w:r>
          </w:p>
          <w:p w:rsidR="00742DA1" w:rsidRPr="00742DA1" w:rsidRDefault="00742DA1"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След извършена проверка на предоставените документи и съгласно чл. 34, ал. 2 от ЗУСЕФСУ, чрез Модул „Комуникация“ в ИСУН до кандидата са изпратени две комуникации за отстраняване на нередовности.</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С първата комуникация с регистрационен номер BG14MFPR001-1.009-0001-M001/14.07.2026 г., със срок за отговор 10 календарни дни, от кандидата е поискано, наред с други документи, да представи:</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1.</w:t>
            </w:r>
            <w:r w:rsidRPr="00742DA1">
              <w:rPr>
                <w:bCs/>
                <w:noProof/>
                <w:lang w:val="bg-BG" w:eastAsia="bg-BG"/>
              </w:rPr>
              <w:tab/>
              <w:t>обосновка за връзката на заявените за финансиране активи (оборудване и обзавеждане на обект за обществено хранене – бистро) с целите на процедурата (т. 1);</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2.</w:t>
            </w:r>
            <w:r w:rsidRPr="00742DA1">
              <w:rPr>
                <w:bCs/>
                <w:noProof/>
                <w:lang w:val="bg-BG" w:eastAsia="bg-BG"/>
              </w:rPr>
              <w:tab/>
              <w:t>посочване за всеки разход от бюджета в коя от хипотезите на допустимите дейности по т. 13.1 от УК попада, като изрично е цитирано изискването кандидатите по дейност 10 да докажат, че подкрепата за ресторантьорския сектор е единствено пряко свързана с риболова (т. 2);</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3.</w:t>
            </w:r>
            <w:r w:rsidRPr="00742DA1">
              <w:rPr>
                <w:bCs/>
                <w:noProof/>
                <w:lang w:val="bg-BG" w:eastAsia="bg-BG"/>
              </w:rPr>
              <w:tab/>
              <w:t>подробна обосновка на необходимостта от закупуване на предвидените активи, предвид високата им единична цена, с изрично позоваване на т. 14.2, т. 21 от УК относно недопустимостта на луксозни стоки (т. 6);</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4.</w:t>
            </w:r>
            <w:r w:rsidRPr="00742DA1">
              <w:rPr>
                <w:bCs/>
                <w:noProof/>
                <w:lang w:val="bg-BG" w:eastAsia="bg-BG"/>
              </w:rPr>
              <w:tab/>
              <w:t>информация за местоположението на активите и за наличието на площи на открито (т. 7);</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5.</w:t>
            </w:r>
            <w:r w:rsidRPr="00742DA1">
              <w:rPr>
                <w:bCs/>
                <w:noProof/>
                <w:lang w:val="bg-BG" w:eastAsia="bg-BG"/>
              </w:rPr>
              <w:tab/>
              <w:t>документ за вписване в регистъра на ИАРА на център за първа продажба по чл. 46а от Закона за рибарството и аквакултурите, съгласно т. 24 от раздел 24 от УК (т. 14);</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6.</w:t>
            </w:r>
            <w:r w:rsidRPr="00742DA1">
              <w:rPr>
                <w:bCs/>
                <w:noProof/>
                <w:lang w:val="bg-BG" w:eastAsia="bg-BG"/>
              </w:rPr>
              <w:tab/>
              <w:t xml:space="preserve">подробна обосновка за свързаността на дейностите по диверсификация с извършвания от „НОРДИБГ“ ЕООД стопански риболов, с оглед заявения 100 % интензитет на помощта и разяснение с рег. № BG14MFPR001-1.009-Q001 по процедура BG14MFPR001-1.009 „Подкрепа за подобряване на </w:t>
            </w:r>
            <w:r w:rsidRPr="00742DA1">
              <w:rPr>
                <w:bCs/>
                <w:noProof/>
                <w:lang w:val="bg-BG" w:eastAsia="bg-BG"/>
              </w:rPr>
              <w:lastRenderedPageBreak/>
              <w:t>икономическия и социалния статус на операторите в риболова“ (т. 15).</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В отговора си от 24.07.2026 г. по т. 1 кандидатът е посочил, че заявените маси, столове и климатична система са необходими за оборудването и функционирането на бистрото, като конкретният, видим и измерим резултат от инвестицията ще бъде „функционално оборудван обект за обществено хранене“.</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По т. 2 кандидатът е посочил, че всички разходи попадат в допустима дейност 10 и че инвестицията „обслужва единствено обект за обществено хранене“. По т. 14 кандидатът е заявил, че не извършва първа продажба на продукти от риболов, а проектното предложение е насочено към „развитие на дейност по обществено хранене и предоставяне на ресторантьорска услуга“. Отговорът не съдържа данни за реално извършван стопански риболов и за обема на собствения улов, който се реализира или ще се реализира чрез обекта.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Предвид непълнотата на представената информация, с второ уведомление с регистрационен номер BG14MFPR001-1.009-0001-M002/31.07.2026 г., със срок за отговор 7 календарни дни от датата на получаването му, от кандидата е поискано да представи допълнителна информация, документи и разяснения, а именно:</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1.</w:t>
            </w:r>
            <w:r w:rsidRPr="00742DA1">
              <w:rPr>
                <w:bCs/>
                <w:noProof/>
                <w:lang w:val="bg-BG" w:eastAsia="bg-BG"/>
              </w:rPr>
              <w:tab/>
              <w:t>пълен опис на наличното оборудване в обекта, включително в салона на ресторанта, като допълнение към представената „Инвентарна книга“;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2.</w:t>
            </w:r>
            <w:r w:rsidRPr="00742DA1">
              <w:rPr>
                <w:bCs/>
                <w:noProof/>
                <w:lang w:val="bg-BG" w:eastAsia="bg-BG"/>
              </w:rPr>
              <w:tab/>
              <w:t>изрично уточнение дали наличното обзавеждане ще бъде извадено от експлоатация и заменено изцяло с новозакупеното, или ще се използва паралелно с него, както и схема на разположението на обзавеждането след реализацията на проекта;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3.</w:t>
            </w:r>
            <w:r w:rsidRPr="00742DA1">
              <w:rPr>
                <w:bCs/>
                <w:noProof/>
                <w:lang w:val="bg-BG" w:eastAsia="bg-BG"/>
              </w:rPr>
              <w:tab/>
              <w:t>изрично уточнение за всеки от съществуващите активи от климатичната инсталация дали се предвижда извеждането му от експлоатация или паралелна експлоатация с новото оборудване;</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4.</w:t>
            </w:r>
            <w:r w:rsidRPr="00742DA1">
              <w:rPr>
                <w:bCs/>
                <w:noProof/>
                <w:lang w:val="bg-BG" w:eastAsia="bg-BG"/>
              </w:rPr>
              <w:tab/>
              <w:t>документ, удостоверяващ правно основание за ползване на площта за разполагане на маси на открито за срок, изискуем съгласно т. 12 от раздел 24 и раздел 14.1.3 от Условията за кандидатстване (УК), т.е. най-малко до 04.05.2033 г.;</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5.</w:t>
            </w:r>
            <w:r w:rsidRPr="00742DA1">
              <w:rPr>
                <w:bCs/>
                <w:noProof/>
                <w:lang w:val="bg-BG" w:eastAsia="bg-BG"/>
              </w:rPr>
              <w:tab/>
              <w:t>допълнение към офертата на „Арт Грес“ ООД, съдържащо подробни технически характеристики за всяка позиция оборудване;</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6.</w:t>
            </w:r>
            <w:r w:rsidRPr="00742DA1">
              <w:rPr>
                <w:bCs/>
                <w:noProof/>
                <w:lang w:val="bg-BG" w:eastAsia="bg-BG"/>
              </w:rPr>
              <w:tab/>
              <w:t xml:space="preserve">обосновка, различна от естетически/дизайнерски съображения, защо избраните марки и модели са необходими за постигане на целите на проекта, и/или доказателства, че на </w:t>
            </w:r>
            <w:r w:rsidRPr="00742DA1">
              <w:rPr>
                <w:bCs/>
                <w:noProof/>
                <w:lang w:val="bg-BG" w:eastAsia="bg-BG"/>
              </w:rPr>
              <w:lastRenderedPageBreak/>
              <w:t>пазара не се предлага сходно по функционалност обзавеждане на по-икономична цена;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7.</w:t>
            </w:r>
            <w:r w:rsidRPr="00742DA1">
              <w:rPr>
                <w:bCs/>
                <w:noProof/>
                <w:lang w:val="bg-BG" w:eastAsia="bg-BG"/>
              </w:rPr>
              <w:tab/>
              <w:t>разяснение по какъв начин ще бъде гарантирана и доказана пряката връзка между дейността по диверсификация и стопанския риболов на дружеството, предвид отчетените 0 (нула) дни в морето за 2024 г. и 1 (един) ден в морето за 2025 г.</w:t>
            </w: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Паралелно с второто уведомление, с писмо изх. № 3-2043/31.07.2026 г., оценителната комисия е изискала от Изпълнителна агенция по рибарство и аквакултури (ИАРА) копия на декларациите за произход (страници от риболовния дневник) на риболовен кораб ПМ 517 за 2024 г., 2025 г. и 2026 г., както и информация за количествата на добития улов.</w:t>
            </w:r>
          </w:p>
          <w:p w:rsidR="00A63E11" w:rsidRPr="00742DA1" w:rsidRDefault="00A63E11"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С писмо вх. № 04-20-706-1/06.08.2026 г. ИАРА е уведомила, че за целия период 2024 – 2026 г. риболовният кораб ПМ 517, собственост на „НОРДИБГ“ ЕООД, има само един риболовен излет и една издадена декларация от хартиен риболовен дневник № 3069105, с дата на заминаване 01.10.2025 г. в 09:00 ч. и дата на връщане 16.12.2025 г. в 17:00 ч., с деклариран улов от 5 кг попчета. Според ИАРА данните в тази декларация </w:t>
            </w:r>
            <w:r w:rsidRPr="00742DA1">
              <w:rPr>
                <w:bCs/>
                <w:noProof/>
                <w:lang w:val="bg-BG" w:eastAsia="bg-BG"/>
              </w:rPr>
              <w:lastRenderedPageBreak/>
              <w:t>пораждат обосновано съмнение относно тяхната фактическа достоверност и техническа обоснованост, с оглед на: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продължителността на декларирания непрекъснат престой в морето;</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вида на извършваната риболовна дейност;</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несъразмерността между декларирания период и отчетения улов;</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техническите характеристики на плавателния съд.</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В Модернизираната информационно-статистическа система (М ИСС) на ИАРА риболовният излет е отразен като еднодневен, с дата на заминаване и на връщане 16.12.2025 г.</w:t>
            </w: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Кандидатът е представил отговори на двете уведомления в рамките на указаните срокове (съответно на 24.07.2026 г. и на 07.08.2026 г.). След преглед на представените отговори и на документите към проектното предложение, оценителната комисия констатира следното:</w:t>
            </w:r>
          </w:p>
          <w:p w:rsidR="0004691A" w:rsidRPr="00742DA1" w:rsidRDefault="0004691A" w:rsidP="00742DA1">
            <w:pPr>
              <w:tabs>
                <w:tab w:val="left" w:pos="0"/>
                <w:tab w:val="left" w:pos="709"/>
              </w:tabs>
              <w:spacing w:line="276" w:lineRule="auto"/>
              <w:jc w:val="both"/>
              <w:rPr>
                <w:bCs/>
                <w:noProof/>
                <w:lang w:val="bg-BG" w:eastAsia="bg-BG"/>
              </w:rPr>
            </w:pP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II. Липса на пряка връзка между дейността по диверсификация и стопанския риболов на кандидата (Критерии № 5, № 6, № 9, № 19, № 21 и № 23)</w:t>
            </w:r>
          </w:p>
          <w:p w:rsidR="0004691A" w:rsidRPr="00742DA1" w:rsidRDefault="0004691A" w:rsidP="00742DA1">
            <w:pPr>
              <w:tabs>
                <w:tab w:val="left" w:pos="0"/>
                <w:tab w:val="left" w:pos="709"/>
              </w:tabs>
              <w:spacing w:line="276" w:lineRule="auto"/>
              <w:jc w:val="both"/>
              <w:rPr>
                <w:bCs/>
                <w:noProof/>
                <w:lang w:val="bg-BG" w:eastAsia="bg-BG"/>
              </w:rPr>
            </w:pPr>
            <w:bookmarkStart w:id="0" w:name="_GoBack"/>
            <w:bookmarkEnd w:id="0"/>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Съгласно т. 13.1 от УК, допустимата дейност „10. диверсификация на традиционните риболовни дейности (вкл. малки круизи, транспортни услуги, природно и културно наследство, пескатуризъм, заведения за обществено хранене и магазини за предлагане на местен улов), които са свързани с риболова“ е допустима само когато кандидатът докаже, че подкрепата за ресторантьорския сектор е единствено пряко свързана с риболова. В т. 16 от УК изрично е посочено, че всички допустими дейности, включително диверсификацията на риболовните дейности, са обвързани с рибарството и допринасят единствено за основната дейност на кандидата, която е стопански риболов, като дейностите по диверсификация не биха могли да функционират без извършването на стопанския риболов от кандидата. Само при това условие подпомагането попада в сектора на рибарството по смисъла на чл. 42 от ДФЕС и чл. 10, параграф 2 от Регламент (ЕС) 2021/1139, а не представлява подкрепа за ресторантьорския сектор, за която се прилагат общите правила за държавните помощи.</w:t>
            </w: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По време на сесията по въпроси и отговори по процедура BG14MFPR001-1.009, одобрени с докладна записка № 93-237/15.01.2026 г., на въпрос с рег. № BG14MFPR001-1.009-</w:t>
            </w:r>
            <w:r w:rsidRPr="00742DA1">
              <w:rPr>
                <w:bCs/>
                <w:noProof/>
                <w:lang w:val="bg-BG" w:eastAsia="bg-BG"/>
              </w:rPr>
              <w:lastRenderedPageBreak/>
              <w:t>Q001, изпратен от електронния адрес на кандидата (nordibg2019@gmail.com), Управляващият орган изрично е отговорил, че дейностите по диверсификация задължително следва да са пряко свързани с извършвания от кандидата стопански риболов и да бъдат изчерпателно обосновани, като разграничаването се прави, за да се установи, че инвестицията не е направена в изцяло нов сектор, който няма пряка връзка с рибарството. Кандидатът следователно е бил предварително и конкретно уведомен за това изискване.</w:t>
            </w:r>
          </w:p>
          <w:p w:rsidR="00A63E11" w:rsidRPr="00742DA1" w:rsidRDefault="00A63E11"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В допълнение, в дадените разяснения по процедурата, одобрени с докладна записка № 93-835/10.02.2026 г., на въпрос с рег. № BG14MFPR001-1.009-Q003 Управляващият орган е отговорил, че изискването по т. 11.1, т. 5 от УК – риболовният кораб да е извършвал риболовни дейности в продължение на повече от 60 дни през двете календарни години, предхождащи годината на подаване на формуляра за кандидатстване – е приложимо за всички дейности и всички интензитети по процедурата. Съгласно чл. 26, ал. 8 от ЗУСЕФСУ разясненията по процедурата се утвърждават от Ръководителя на управляващия орган, дават се по отношение на Условията за кандидатстване и са задължителни за всички кандидати.</w:t>
            </w:r>
          </w:p>
          <w:p w:rsidR="00A63E11" w:rsidRDefault="00A63E11"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Проектното предложение е подадено на 04.05.2026 г., поради което се вземат предвид предходните календарни години 2024 г. и 2025 г. Съгласно предоставената от Изпълнителна агенция по рибарство и аквакултури (ИАРА) справка за риболовния кораб на кандидата (ПМ 517, CFR BGR002130142), броят на реализираните риболовни дни е 0 (нула) за 2024 г. и 1 (един) за 2025 г., т.е. общо 1 (един) ден при изискуеми повече от 60 дни. Кандидатът не отговаря на критерия за допустимост по т. 11.1, т. 5 от УК, приложим за всички дейности съгласно разяснение № BG14MFPR001-1.009-Q003.</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Горните данни се потвърждават и от отговора на ИАРА с вх. № 04-20-706-1/06.08.2026 г. (раздел I), съгласно който за три поредни години (2024 – 2026 г.) корабът на кандидата е осъществил един-единствен риболовен излет с общ деклариран улов от 5 кг, като ИАРА поставя под съмнение и достоверността на декларираните данни. При такава активност не може да се говори за традиционна риболовна дейност на кандидата, която да бъде диверсифицирана.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В отговора си кандидатът посочва, че ограниченият брой дни в морето се дължи на ремонтни дейности по риболовния кораб. </w:t>
            </w:r>
            <w:r w:rsidRPr="00742DA1">
              <w:rPr>
                <w:bCs/>
                <w:noProof/>
                <w:lang w:val="bg-BG" w:eastAsia="bg-BG"/>
              </w:rPr>
              <w:lastRenderedPageBreak/>
              <w:t>Комисията приема, че това твърдение не променя извода, по следните съображения:</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към отговора не са представени никакви доказателства за извършван ремонт (договори, фактури, документи от ИА „Морска администрация“ или ИАРА, данни за периода на ремонта и др.), поради което твърдението е недоказано;</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твърдението противоречи на заявеното във Формуляра за кандидатстване, т. 12, където кандидатът декларира, че:</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„Реализацията на проекта демонстрира ясно съответствие с целите на процедурата за подкрепа на диверсификацията на риболовната дейност.</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„НОРДИБГ“ ЕООД е предприятие, опериращо в сектор „Рибарство“ в сегмента на дребномащабния крайбрежен риболов, като извършва улов на риба и други водни организми със собствен плавателен съд при наличие на валидни разрешителни съгласно приложимото законодателство.</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Настоящото проектно предложение е насочено към надграждане на вече реализирана диверсификация чрез развитие на услуга, която ще предлага на крайните потребители прясна риба и рибни продукти от собствен улов.“</w:t>
            </w:r>
          </w:p>
          <w:p w:rsidR="00742DA1" w:rsidRPr="00742DA1" w:rsidRDefault="00742DA1"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Изводът на комисията е, че диверсификация на дейност, която фактически не се е осъществявала в продължение на две години, не може да бъде надградена.</w:t>
            </w:r>
          </w:p>
          <w:p w:rsidR="00742DA1" w:rsidRPr="00742DA1" w:rsidRDefault="00742DA1"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независимо от причината, изискването на т. 11.1, т. 5 от УК е обективно и не предвижда изключения при ремонт на кораба. Дори при ремонт, обективният факт е, че през посочения период кандидатът не е извършвал стопански риболов, с който дейността по диверсификация да бъде обвързана;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съгласно чл. 34, ал. 2 от ЗУСЕФСУ отстраняването на нередовностите не може да води до подобряване на качеството на проектното предложение, поради което нови обстоятелства, въведени едва в отговор на комуникацията и неподкрепени с доказателства, не могат да заместят липсващата в проектното предложение обосновка.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Нещо повече, в отговора по т. 7 от второто уведомление кандидатът сам посочва, че менюто на ресторанта ще бъде допълвано с риба и рибни продукти, закупени от други производители и доставчици. В отговора по т. 14 от първото уведомление изрично заявява, че проектът е насочен към „развитие на дейност по обществено хранене и предоставяне </w:t>
            </w:r>
            <w:r w:rsidRPr="00742DA1">
              <w:rPr>
                <w:bCs/>
                <w:noProof/>
                <w:lang w:val="bg-BG" w:eastAsia="bg-BG"/>
              </w:rPr>
              <w:lastRenderedPageBreak/>
              <w:t>на ресторантьорска услуга“. Това потвърждава, че ресторантът функционира и ще функционира независимо от стопанския риболов на кандидата, като снабдяването му не зависи от собствения улов. Следователно обектът не отговаря на условието по т. 16 от УК дейността по диверсификация да не може да функционира без извършването на стопански риболов от кандидата.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Съгласно т. 16 от УК, чл. 10 от Регламент (ЕС) 2021/1139 и съображение (14) от Съобщение на Комисията 2023/C 107/01 „Насоки за държавна помощ за рибарството и аквакултурите“, изключението от прилагането на чл. 107, 108 и 109 от ДФЕС (чл. 10, параграф 2 от Регламента) обхваща само плащанията, които попадат в сектора на рибарството и аквакултурите по смисъла на чл. 42 от ДФЕС. Плащанията, които попадат извън този сектор, подлежат на правилата за държавна помощ. Именно поради това т. 16 от УК изисква кандидатите по дейност 10 изрично да изключат подкрепа за ресторантьорския сектор, „която попада в общите правила по държавните помощи“. Разяснение Q001 също указва, че разграничаването се прави, за да се установи, че инвестицията не е направена в изцяло нов сектор без пряка връзка с рибарството.</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Предвидените по проекта инвестиции (маси и столове, климатична система, топлинно и хладилно оборудване за заведение за обществено хранене) не са пряко свързани с риболова. Поради това те представляват подкрепа за ресторантьорския сектор, която попада извън сектора на рибарството по смисъла на чл. 42 от ДФЕС и извън изключението по чл. 10, параграф 2 от Регламент (ЕС) 2021/1139. Предоставянето на безвъзмездна финансова помощ за тях би представлявало държавна помощ по смисъла на чл. 107, параграф 1 от ДФЕС. Помощта би се предоставила от държавни ресурси и би дала избирателно икономическо предимство на конкретно предприятие, което осъществява стопанска дейност на пазар, отворен за конкуренция.</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Процедура BG14MFPR001-1.009 обаче е разработена и одобрена само като подпомагане, което не представлява държавна помощ. В т. 16 от УК изрично е посочено, че по мярката чл. 107, 108 и 109 от ДФЕС са неприложими. Процедурата не предвижда режим на държавна или минимална (de minimis) помощ, по който да бъде предоставена подкрепа за ресторантьорския сектор. Самият кандидат е декларирал във Формуляра за кандидатстване (т. 1 „Основни данни“), че проектът не подлежи на режим на държавна помощ и на режим </w:t>
            </w:r>
            <w:r w:rsidRPr="00742DA1">
              <w:rPr>
                <w:bCs/>
                <w:noProof/>
                <w:lang w:val="bg-BG" w:eastAsia="bg-BG"/>
              </w:rPr>
              <w:lastRenderedPageBreak/>
              <w:t>на минимални помощи, а в т. 7 „Бюджет“ за всички разходи е посочил режим на помощ „НП – Неприложимо“. Следователно по настоящата процедура липсва правно основание за предоставяне на безвъзмездна финансова помощ за заявените инвестиции.</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Нещо повече, в т. 2 „Данни за кандидата“ от Формуляра за кандидатстване кандидатът е посочил като код на проекта по КИД 2008 „56.1 Дейност на ресторанти и заведения за бързо обслужване“, различен от кода на основната си дейност „03.11 Океански и морски риболов“. С това кандидатът сам е декларирал, че исканата подкрепа е за дейност в ресторантьорския сектор, вместо да я изключи, както изисква т. 16 от УК.</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Съгласно т. 6 от УК изпълнението на вид дейност 1.1.2 „Подкрепа за подобряване на икономическия и социалния статус на операторите в риболова“ допринася за постигане на специфична цел 1 „Укрепване на икономически, социално и екологично устойчиви риболовни дейности“ по чл. 14, параграф 1, буква „а“ от Регламент (ЕС) 2021/1139. Очакваните резултати са създаване на предпоставки за развитие на модерен и конкурентоспособен риболовен флот, повишаване на доходите на заетите в риболова и повишаване </w:t>
            </w:r>
            <w:r w:rsidRPr="00742DA1">
              <w:rPr>
                <w:bCs/>
                <w:noProof/>
                <w:lang w:val="bg-BG" w:eastAsia="bg-BG"/>
              </w:rPr>
              <w:lastRenderedPageBreak/>
              <w:t>на устойчивостта на риболовния флот на страната. Заявените разходи за обзавеждане, климатична система и топлинно и хладилно оборудване на ресторант не могат да бъдат обвързани с тези резултати. Предметът на инвестицията са нови активи, предназначени за дейност по диверсификация, но при липса на основна риболовна дейност на кандидата, която да бъде диверсифицирана. При един риболовен излет и 5 кг деклариран улов за последните три години не може да се говори и за устойчиви риболовни дейности, които проектът да укрепи.</w:t>
            </w: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Предвид гореизложеното, проектното предложение не отговаря на Критерий № 5, Критерий № 6 и Критерий № 23. Кандидатът не е доказал, че подкрепата за ресторантьорския сектор е единствено пряко свързана с риболова, поради което заявената дейност не отговаря на определението на допустима дейност 10 по т. 13.1 от УК („...които са свързани с риболова“). Подкрепата попада в обхвата на общите правила за държавните помощи, за каквато процедурата не предвижда режим. Тъй като инвестицията не е обвързана с реално извършвана риболовна дейност, тя не допринася за постигане на специфичните цели по приоритета на Съюза по чл. 14, параграф 1, буква „а“ от Регламент (ЕС) 2021/1139 и за </w:t>
            </w:r>
            <w:r w:rsidRPr="00742DA1">
              <w:rPr>
                <w:bCs/>
                <w:noProof/>
                <w:lang w:val="bg-BG" w:eastAsia="bg-BG"/>
              </w:rPr>
              <w:lastRenderedPageBreak/>
              <w:t>укрепване на икономически, социално и екологично устойчиви риболовни дейности, поради което не са изпълнени и Критерий № 9 и Критерий № 19.</w:t>
            </w:r>
          </w:p>
          <w:p w:rsidR="0004691A" w:rsidRPr="00742DA1" w:rsidRDefault="0004691A" w:rsidP="00742DA1">
            <w:pPr>
              <w:tabs>
                <w:tab w:val="left" w:pos="0"/>
                <w:tab w:val="left" w:pos="709"/>
              </w:tabs>
              <w:spacing w:line="276" w:lineRule="auto"/>
              <w:jc w:val="both"/>
              <w:rPr>
                <w:bCs/>
                <w:noProof/>
                <w:lang w:val="bg-BG" w:eastAsia="bg-BG"/>
              </w:rPr>
            </w:pP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III. Липса на правно основание за ползване на площта за маси на открито за изискуемия срок (Критерий № 4)</w:t>
            </w:r>
          </w:p>
          <w:p w:rsidR="0004691A" w:rsidRPr="00742DA1" w:rsidRDefault="0004691A"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Съгласно т. 12 от раздел 24 от УК, при инвестиции за закупуване и/или инсталиране на ново оборудване в помещения/площи, за които не се изисква разрешение за строеж, договорът за наем следва да бъде в сила най-малко 7 години след датата на кандидатстване, т.е. най-малко до 04.05.2033 г. Съгласно т. 14.1.3 от УК придобитите активи следва да се използват по предназначение за срок от пет години след последното плащане в полза на бенефициента.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Представеният Договор за наем на общински имот № 108/05.03.2026 г., сключен с ОП „Стопанисване и управление на общински имоти“ – гр. Поморие, за площ от 20 кв. м в Търговска зона „Нео Анхиало“, позиция № 308, предназначена за разполагане на маси на открито, е със срок на действие до 31.12.2026 г. В отговора си от 07.08.2026 г. кандидатът сам заявява, че не разполага с правна възможност да представи </w:t>
            </w:r>
            <w:r w:rsidRPr="00742DA1">
              <w:rPr>
                <w:bCs/>
                <w:noProof/>
                <w:lang w:val="bg-BG" w:eastAsia="bg-BG"/>
              </w:rPr>
              <w:lastRenderedPageBreak/>
              <w:t>договор със срок до 04.05.2033 г., тъй като съгласно Наредба № 1 и Наредба № 6 на Общински съвет – Поморие площите се предоставят ежегодно, и се ангажира да участва в бъдещите ежегодни процедури.</w:t>
            </w: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Комисията приема, че причината за липсата на дългосрочно правно основание е без значение, а намерението за участие в бъдещи процедури с несигурен изход не представлява осигурено правно основание за ползване на площта. Изискуемият документ по т. 12 от раздел 24 от УК не е представен, поради което не е изпълнен Критерий № 4.</w:t>
            </w:r>
          </w:p>
          <w:p w:rsidR="0004691A" w:rsidRPr="00742DA1" w:rsidRDefault="0004691A" w:rsidP="00742DA1">
            <w:pPr>
              <w:tabs>
                <w:tab w:val="left" w:pos="0"/>
                <w:tab w:val="left" w:pos="709"/>
              </w:tabs>
              <w:spacing w:line="276" w:lineRule="auto"/>
              <w:jc w:val="both"/>
              <w:rPr>
                <w:bCs/>
                <w:noProof/>
                <w:lang w:val="bg-BG" w:eastAsia="bg-BG"/>
              </w:rPr>
            </w:pPr>
          </w:p>
          <w:p w:rsid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IV. Допълнителна констатация относно допустимостта на разходите за обзавеждане</w:t>
            </w:r>
          </w:p>
          <w:p w:rsidR="0004691A" w:rsidRPr="00742DA1" w:rsidRDefault="0004691A"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Съгласно т. 14.2, т. 21 от УК недопустими за финансиране са разходите за луксозни стоки, които надхвърлят потребностите на кандидата за постигане на целите на проектното предложение. Луксозни стоки и екстри са тези, при които не е спазен принципът на икономичност, ефикасност и ефективност. При съмнение, оценителната комисия извършва проверка на характеристиките и предназначението на актива в сайта на производителя или друг легитимен източник.</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Извършената проверка установи, че предложеното в офертата на „Арт Грес“ ООД обзавеждане е на производители, позиционирани в premium/luxury сегмента. Производителят Richmond (позиции № 1, 2 и 11) описва колекциите си като „достъпен лукс“. Montbel (позиции № 3 и 4) доставя обзавеждане за хотелски вериги като Hilton, Hyatt, Sheraton, Marriott и Four Seasons. Point 1920 (позиции № 7 – 10) е доставчик на луксозни хотели и курорти (Four Seasons Hotel Mykonos, Six Senses Ibiza и др.). Единичните цени са значително над пазарните за професионално ресторантско обзавеждане, например трапезен стол Richmond – 386,67 евро без ДДС и градинска маса Point 1920 – до 2 245,83 евро без ДДС.</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В отговора си кандидатът твърди, че мебелите са от „професионален клас“ и имат по-дълъг експлоатационен живот, но не е представил никакви доказателства в подкрепа на това твърдение (сравнителен анализ, сравнителни оферти). Не е представено и изисканото по т. 6.2 доказателство, че на пазара не се предлага сходно по функционалност обзавеждане на по-икономична цена. Обосновката е обща и декларативна и не опровергава установеното от комисията пазарно позициониране на активите.</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Предвид гореизложеното, разходите по бюджетен ред 9.1 „Оборудване/Маси и столове“ на стойност 136 929,40 евро, представляващи близо 60 % от общата стойност на проекта, попадат в обхвата на недопустимите разходи по т. 14.2, т. 21 от УК. Кандидатът е получил две последователни възможности да обоснове тези разходи, но и в двата случая не е доказал спазването на принципа на икономичност, ефикасност и ефективност. Тъй като проектното предложение не отговаря на критериите за административно съответствие и допустимост на основанията, изложени в раздели II и III, комисията не извършва редуциране на бюджета. Констатацията се прави с цел пълнота и не представлява самостоятелно основание за отхвърляне на проектното предложение.</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V. Заключение</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 xml:space="preserve">Във връзка с гореизложеното, проектното предложение с рег. № BG14MFPR001-1.009-0001 „Повишаване на конкурентоспособността на НОРДИБГ ЕООД чрез диверсификация и устойчиво развитие“, с кандидат: „НОРДИБГ“ ЕООД, ЕИК: 200762305, не отговаря на следните критерии от Приложение № 6 „Критерии и методология за оценка на проектни предложения по процедура за подбор на проекти № BG14MFPR001-1.009 „Подкрепа за подобряване на </w:t>
            </w:r>
            <w:r w:rsidRPr="00742DA1">
              <w:rPr>
                <w:bCs/>
                <w:noProof/>
                <w:lang w:val="bg-BG" w:eastAsia="bg-BG"/>
              </w:rPr>
              <w:lastRenderedPageBreak/>
              <w:t>икономическия и социалния статус на операторите в риболова”, по ПМДРА: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4: „Налице са всички изискуеми документи и са попълнени съгласно изискванията, посочени в т. 24 от Условията за кандидатстване по настоящата процедура.“;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5: „Кандидатът е допустим съгласно изискванията в т. 11 от Условия за кандидатстване по настоящата процедура.“;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 xml:space="preserve">Критерий № 6: „Включените в проекта дейности са допустими за финансиране съгласно изискванията в т. 13 от Условия за кандидатстване по настоящата процедура.“; </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9: „Проектното предложение допринася за постигане на специфичните цели по приоритета на Съюза, предвидени в член 14, параграф 1, буква „а“ от Регламент 2021/1139.“;</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19: „Дейностите, за които се кандидатства постигат целите на специфична цел 1 „Укрепване на икономически, социално и екологично устойчиви риболовни дейности”, че дейностите са екологично устойчиви в дългосрочен план на ПМДРА.“;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lastRenderedPageBreak/>
              <w:t>-</w:t>
            </w:r>
            <w:r w:rsidRPr="00742DA1">
              <w:rPr>
                <w:bCs/>
                <w:noProof/>
                <w:lang w:val="bg-BG" w:eastAsia="bg-BG"/>
              </w:rPr>
              <w:tab/>
              <w:t>Критерий № 21: „Разходите по проекта са пропорционални и съответстват на крайния резултат от изпълнението на дейностите по проекта.“;</w:t>
            </w: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w:t>
            </w:r>
            <w:r w:rsidRPr="00742DA1">
              <w:rPr>
                <w:bCs/>
                <w:noProof/>
                <w:lang w:val="bg-BG" w:eastAsia="bg-BG"/>
              </w:rPr>
              <w:tab/>
              <w:t>Критерий № 23: „Кандидати по дейност „10. диверсификация на традиционните риболовни дейности (малки круизи, транспортни услуги, природно и културно наследство, пескатуризъм, заведения за обществено хранене и магазини за предлагане на местен улов), които са свързани с риболова“ са заявили, че подкрепата за сектора на транспорта, сектора на културата, сектора на туризма, ресторантьорския сектор и сектора на търговията е единствено пряко свързана с риболова.“.</w:t>
            </w:r>
          </w:p>
          <w:p w:rsidR="00742DA1" w:rsidRPr="00742DA1" w:rsidRDefault="00742DA1" w:rsidP="00742DA1">
            <w:pPr>
              <w:tabs>
                <w:tab w:val="left" w:pos="0"/>
                <w:tab w:val="left" w:pos="709"/>
              </w:tabs>
              <w:spacing w:line="276" w:lineRule="auto"/>
              <w:jc w:val="both"/>
              <w:rPr>
                <w:bCs/>
                <w:noProof/>
                <w:lang w:val="bg-BG" w:eastAsia="bg-BG"/>
              </w:rPr>
            </w:pPr>
          </w:p>
          <w:p w:rsidR="00742DA1" w:rsidRPr="00742DA1" w:rsidRDefault="00742DA1" w:rsidP="00742DA1">
            <w:pPr>
              <w:tabs>
                <w:tab w:val="left" w:pos="0"/>
                <w:tab w:val="left" w:pos="709"/>
              </w:tabs>
              <w:spacing w:line="276" w:lineRule="auto"/>
              <w:jc w:val="both"/>
              <w:rPr>
                <w:bCs/>
                <w:noProof/>
                <w:lang w:val="bg-BG" w:eastAsia="bg-BG"/>
              </w:rPr>
            </w:pPr>
            <w:r w:rsidRPr="00742DA1">
              <w:rPr>
                <w:bCs/>
                <w:noProof/>
                <w:lang w:val="bg-BG" w:eastAsia="bg-BG"/>
              </w:rPr>
              <w:t>Съгласно инструкциите в Приложение № 6 към УК, т. II. Критерии за оценка, т. 1. Административно съответствие и допустимост: При несъответствие с някое от посочените изисквания, проектното предложение се отхвърля!</w:t>
            </w:r>
          </w:p>
          <w:p w:rsidR="00091A0B" w:rsidRPr="000A2ECA" w:rsidRDefault="00742DA1" w:rsidP="00742DA1">
            <w:pPr>
              <w:tabs>
                <w:tab w:val="left" w:pos="0"/>
                <w:tab w:val="left" w:pos="709"/>
              </w:tabs>
              <w:spacing w:line="276" w:lineRule="auto"/>
              <w:jc w:val="both"/>
              <w:rPr>
                <w:rFonts w:eastAsia="Calibri"/>
                <w:lang w:val="bg-BG"/>
              </w:rPr>
            </w:pPr>
            <w:r w:rsidRPr="00742DA1">
              <w:rPr>
                <w:bCs/>
                <w:noProof/>
                <w:lang w:val="bg-BG" w:eastAsia="bg-BG"/>
              </w:rPr>
              <w:t xml:space="preserve">Поради изложените по-горе аргументи, проектно предложение с рег. № BG14MFPR001-1.009-0001 „Повишаване на конкурентоспособността на НОРДИБГ ЕООД чрез диверсификация и устойчиво развитие“, кандидат „НОРДИБГ“ ЕООД, гр. Поморие, ЕИК: 200762305, е включено </w:t>
            </w:r>
            <w:r w:rsidRPr="00742DA1">
              <w:rPr>
                <w:bCs/>
                <w:noProof/>
                <w:lang w:val="bg-BG" w:eastAsia="bg-BG"/>
              </w:rPr>
              <w:lastRenderedPageBreak/>
              <w:t>в Списъка на проектните предложения, които не се допускат до етап „Техническа и финансова оценка“ по настоящата процедура.</w:t>
            </w:r>
          </w:p>
        </w:tc>
      </w:tr>
    </w:tbl>
    <w:p w:rsidR="00EB1B37" w:rsidRPr="000A2ECA" w:rsidRDefault="00EB1B37" w:rsidP="00A940B8">
      <w:pPr>
        <w:jc w:val="center"/>
        <w:rPr>
          <w:b/>
          <w:lang w:val="bg-BG"/>
        </w:rPr>
      </w:pPr>
    </w:p>
    <w:p w:rsidR="003B5A55" w:rsidRPr="000A2ECA" w:rsidRDefault="00D874BF" w:rsidP="002765CC">
      <w:pPr>
        <w:jc w:val="both"/>
        <w:rPr>
          <w:b/>
          <w:lang w:val="bg-BG"/>
        </w:rPr>
      </w:pPr>
      <w:r w:rsidRPr="000A2ECA">
        <w:rPr>
          <w:b/>
          <w:lang w:val="bg-BG"/>
        </w:rPr>
        <w:t>ЗАБЕЛЕЖКА: Кандидатите, чиито проектни предложения са</w:t>
      </w:r>
      <w:r w:rsidR="00685D9D" w:rsidRPr="000A2ECA">
        <w:rPr>
          <w:b/>
          <w:lang w:val="bg-BG"/>
        </w:rPr>
        <w:t xml:space="preserve"> предложени за</w:t>
      </w:r>
      <w:r w:rsidRPr="000A2ECA">
        <w:rPr>
          <w:b/>
          <w:lang w:val="bg-BG"/>
        </w:rPr>
        <w:t xml:space="preserve"> </w:t>
      </w:r>
      <w:r w:rsidR="00685D9D" w:rsidRPr="000A2ECA">
        <w:rPr>
          <w:b/>
          <w:lang w:val="bg-BG"/>
        </w:rPr>
        <w:t xml:space="preserve">отхвърляне </w:t>
      </w:r>
      <w:r w:rsidR="00252824" w:rsidRPr="000A2ECA">
        <w:rPr>
          <w:b/>
          <w:lang w:val="bg-BG"/>
        </w:rPr>
        <w:t xml:space="preserve">на етап оценка на административното съответствие </w:t>
      </w:r>
      <w:r w:rsidR="00775769" w:rsidRPr="000A2ECA">
        <w:rPr>
          <w:b/>
          <w:lang w:val="bg-BG"/>
        </w:rPr>
        <w:t xml:space="preserve">и допустимостта </w:t>
      </w:r>
      <w:r w:rsidR="00252824" w:rsidRPr="000A2ECA">
        <w:rPr>
          <w:b/>
          <w:lang w:val="bg-BG"/>
        </w:rPr>
        <w:t>по горепосочената процедура</w:t>
      </w:r>
      <w:r w:rsidRPr="000A2ECA">
        <w:rPr>
          <w:b/>
          <w:lang w:val="bg-BG"/>
        </w:rPr>
        <w:t xml:space="preserve"> могат да подадат писмени възражения срещу </w:t>
      </w:r>
      <w:r w:rsidR="00685D9D" w:rsidRPr="000A2ECA">
        <w:rPr>
          <w:b/>
          <w:lang w:val="bg-BG"/>
        </w:rPr>
        <w:t>предложението за отхвърлянето им пред</w:t>
      </w:r>
      <w:r w:rsidR="00704F48" w:rsidRPr="000A2ECA">
        <w:rPr>
          <w:b/>
          <w:lang w:val="bg-BG"/>
        </w:rPr>
        <w:t xml:space="preserve"> </w:t>
      </w:r>
      <w:r w:rsidR="003C6C1D" w:rsidRPr="000A2ECA">
        <w:rPr>
          <w:b/>
          <w:lang w:val="bg-BG"/>
        </w:rPr>
        <w:t>Р</w:t>
      </w:r>
      <w:r w:rsidRPr="000A2ECA">
        <w:rPr>
          <w:b/>
          <w:lang w:val="bg-BG"/>
        </w:rPr>
        <w:t xml:space="preserve">ъководителя на </w:t>
      </w:r>
      <w:r w:rsidR="00A40AC5" w:rsidRPr="000A2ECA">
        <w:rPr>
          <w:b/>
          <w:lang w:val="bg-BG"/>
        </w:rPr>
        <w:t>У</w:t>
      </w:r>
      <w:r w:rsidR="003E2D2E" w:rsidRPr="000A2ECA">
        <w:rPr>
          <w:b/>
          <w:lang w:val="bg-BG"/>
        </w:rPr>
        <w:t xml:space="preserve">правляващия </w:t>
      </w:r>
      <w:r w:rsidRPr="000A2ECA">
        <w:rPr>
          <w:b/>
          <w:lang w:val="bg-BG"/>
        </w:rPr>
        <w:t>орган</w:t>
      </w:r>
      <w:r w:rsidR="00D34D64" w:rsidRPr="000A2ECA">
        <w:rPr>
          <w:b/>
          <w:lang w:val="bg-BG"/>
        </w:rPr>
        <w:t>,</w:t>
      </w:r>
      <w:r w:rsidRPr="000A2ECA">
        <w:rPr>
          <w:b/>
          <w:lang w:val="bg-BG"/>
        </w:rPr>
        <w:t xml:space="preserve"> в </w:t>
      </w:r>
      <w:r w:rsidR="005F44E0" w:rsidRPr="000A2ECA">
        <w:rPr>
          <w:b/>
          <w:lang w:val="bg-BG"/>
        </w:rPr>
        <w:t xml:space="preserve">едноседмичен </w:t>
      </w:r>
      <w:r w:rsidRPr="000A2ECA">
        <w:rPr>
          <w:b/>
          <w:lang w:val="bg-BG"/>
        </w:rPr>
        <w:t xml:space="preserve">срок </w:t>
      </w:r>
      <w:r w:rsidR="005F44E0" w:rsidRPr="000A2ECA">
        <w:rPr>
          <w:b/>
          <w:lang w:val="bg-BG"/>
        </w:rPr>
        <w:t>от съобщаването.</w:t>
      </w:r>
      <w:r w:rsidR="00EB135C" w:rsidRPr="000A2ECA">
        <w:rPr>
          <w:b/>
          <w:lang w:val="bg-BG"/>
        </w:rPr>
        <w:t xml:space="preserve"> </w:t>
      </w:r>
    </w:p>
    <w:p w:rsidR="009A06E8" w:rsidRPr="000A2ECA" w:rsidRDefault="009A06E8" w:rsidP="00252824">
      <w:pPr>
        <w:jc w:val="both"/>
        <w:rPr>
          <w:sz w:val="28"/>
          <w:szCs w:val="28"/>
          <w:lang w:val="bg-BG"/>
        </w:rPr>
      </w:pPr>
    </w:p>
    <w:p w:rsidR="00EB1B37" w:rsidRPr="000A2ECA" w:rsidRDefault="00877A5F" w:rsidP="00877A5F">
      <w:pPr>
        <w:rPr>
          <w:snapToGrid w:val="0"/>
          <w:lang w:val="bg-BG"/>
        </w:rPr>
      </w:pPr>
      <w:r w:rsidRPr="000A2ECA">
        <w:rPr>
          <w:snapToGrid w:val="0"/>
          <w:lang w:val="bg-BG"/>
        </w:rPr>
        <w:t xml:space="preserve">Дата: </w:t>
      </w:r>
      <w:r w:rsidR="00742DA1">
        <w:rPr>
          <w:snapToGrid w:val="0"/>
          <w:lang w:val="bg-BG"/>
        </w:rPr>
        <w:t>0</w:t>
      </w:r>
      <w:r w:rsidR="003805D6" w:rsidRPr="000A2ECA">
        <w:rPr>
          <w:snapToGrid w:val="0"/>
          <w:lang w:val="bg-BG"/>
        </w:rPr>
        <w:t>2</w:t>
      </w:r>
      <w:r w:rsidR="00742DA1">
        <w:rPr>
          <w:snapToGrid w:val="0"/>
          <w:lang w:val="bg-BG"/>
        </w:rPr>
        <w:t>.10</w:t>
      </w:r>
      <w:r w:rsidR="006B4949" w:rsidRPr="000A2ECA">
        <w:rPr>
          <w:snapToGrid w:val="0"/>
          <w:lang w:val="bg-BG"/>
        </w:rPr>
        <w:t>.202</w:t>
      </w:r>
      <w:r w:rsidR="00CE4556" w:rsidRPr="000A2ECA">
        <w:rPr>
          <w:snapToGrid w:val="0"/>
          <w:lang w:val="bg-BG"/>
        </w:rPr>
        <w:t>6</w:t>
      </w:r>
      <w:r w:rsidR="006B4949" w:rsidRPr="000A2ECA">
        <w:rPr>
          <w:snapToGrid w:val="0"/>
          <w:lang w:val="bg-BG"/>
        </w:rPr>
        <w:t xml:space="preserve"> г.</w:t>
      </w:r>
    </w:p>
    <w:p w:rsidR="00EB1B37" w:rsidRPr="000A2ECA" w:rsidRDefault="00EB1B37" w:rsidP="00877A5F">
      <w:pPr>
        <w:rPr>
          <w:snapToGrid w:val="0"/>
          <w:lang w:val="bg-BG"/>
        </w:rPr>
      </w:pPr>
    </w:p>
    <w:sectPr w:rsidR="00EB1B37" w:rsidRPr="000A2ECA" w:rsidSect="00CE4556">
      <w:headerReference w:type="default" r:id="rId8"/>
      <w:footerReference w:type="default" r:id="rId9"/>
      <w:pgSz w:w="16838" w:h="11906" w:orient="landscape"/>
      <w:pgMar w:top="1418" w:right="1134" w:bottom="180" w:left="1134" w:header="709" w:footer="1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7DC" w:rsidRDefault="00DA57DC">
      <w:r>
        <w:separator/>
      </w:r>
    </w:p>
  </w:endnote>
  <w:endnote w:type="continuationSeparator" w:id="0">
    <w:p w:rsidR="00DA57DC" w:rsidRDefault="00DA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6659"/>
      <w:docPartObj>
        <w:docPartGallery w:val="Page Numbers (Bottom of Page)"/>
        <w:docPartUnique/>
      </w:docPartObj>
    </w:sdtPr>
    <w:sdtEndPr>
      <w:rPr>
        <w:noProof/>
      </w:rPr>
    </w:sdtEndPr>
    <w:sdtContent>
      <w:p w:rsidR="00C21CB8" w:rsidRDefault="00C21CB8">
        <w:pPr>
          <w:pStyle w:val="Footer"/>
          <w:jc w:val="right"/>
        </w:pPr>
        <w:r>
          <w:fldChar w:fldCharType="begin"/>
        </w:r>
        <w:r>
          <w:instrText xml:space="preserve"> PAGE   \* MERGEFORMAT </w:instrText>
        </w:r>
        <w:r>
          <w:fldChar w:fldCharType="separate"/>
        </w:r>
        <w:r w:rsidR="0004691A">
          <w:rPr>
            <w:noProof/>
          </w:rPr>
          <w:t>22</w:t>
        </w:r>
        <w:r>
          <w:rPr>
            <w:noProof/>
          </w:rPr>
          <w:fldChar w:fldCharType="end"/>
        </w:r>
      </w:p>
    </w:sdtContent>
  </w:sdt>
  <w:p w:rsidR="00C21CB8" w:rsidRDefault="00C21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7DC" w:rsidRDefault="00DA57DC">
      <w:r>
        <w:separator/>
      </w:r>
    </w:p>
  </w:footnote>
  <w:footnote w:type="continuationSeparator" w:id="0">
    <w:p w:rsidR="00DA57DC" w:rsidRDefault="00DA5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884" w:type="dxa"/>
      <w:tblInd w:w="-141" w:type="dxa"/>
      <w:tblLayout w:type="fixed"/>
      <w:tblCellMar>
        <w:left w:w="0" w:type="dxa"/>
        <w:right w:w="0" w:type="dxa"/>
      </w:tblCellMar>
      <w:tblLook w:val="0000" w:firstRow="0" w:lastRow="0" w:firstColumn="0" w:lastColumn="0" w:noHBand="0" w:noVBand="0"/>
    </w:tblPr>
    <w:tblGrid>
      <w:gridCol w:w="5078"/>
      <w:gridCol w:w="1362"/>
      <w:gridCol w:w="6318"/>
      <w:gridCol w:w="2126"/>
    </w:tblGrid>
    <w:tr w:rsidR="00F95F33" w:rsidRPr="00144A1F" w:rsidTr="00CE4556">
      <w:trPr>
        <w:trHeight w:val="804"/>
        <w:tblHeader/>
      </w:trPr>
      <w:tc>
        <w:tcPr>
          <w:tcW w:w="5078" w:type="dxa"/>
          <w:vMerge w:val="restart"/>
          <w:tcBorders>
            <w:top w:val="single" w:sz="1" w:space="0" w:color="000000"/>
            <w:lef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 xml:space="preserve">Министерство на </w:t>
          </w:r>
          <w:r w:rsidR="00A6323E">
            <w:rPr>
              <w:rFonts w:eastAsia="HG Mincho Light J"/>
              <w:b/>
              <w:color w:val="000000"/>
              <w:sz w:val="20"/>
              <w:szCs w:val="20"/>
              <w:lang w:val="bg-BG"/>
            </w:rPr>
            <w:t>земеделието</w:t>
          </w:r>
          <w:r w:rsidR="00006334">
            <w:rPr>
              <w:rFonts w:eastAsia="HG Mincho Light J"/>
              <w:b/>
              <w:color w:val="000000"/>
              <w:sz w:val="20"/>
              <w:szCs w:val="20"/>
              <w:lang w:val="bg-BG"/>
            </w:rPr>
            <w:t xml:space="preserve"> и храните</w:t>
          </w:r>
        </w:p>
        <w:p w:rsidR="00F95F33" w:rsidRPr="006B2ABC" w:rsidRDefault="001D7924" w:rsidP="00274FD3">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Д</w:t>
          </w:r>
          <w:r w:rsidR="00144A1F" w:rsidRPr="00144A1F">
            <w:rPr>
              <w:rFonts w:eastAsia="HG Mincho Light J"/>
              <w:b/>
              <w:color w:val="000000"/>
              <w:sz w:val="20"/>
              <w:szCs w:val="20"/>
              <w:lang w:val="bg-BG"/>
            </w:rPr>
            <w:t>ирекция “</w:t>
          </w:r>
          <w:r>
            <w:rPr>
              <w:rFonts w:eastAsia="HG Mincho Light J"/>
              <w:b/>
              <w:color w:val="000000"/>
              <w:sz w:val="20"/>
              <w:szCs w:val="20"/>
              <w:lang w:val="bg-BG"/>
            </w:rPr>
            <w:t>Морско дело и рибарство</w:t>
          </w:r>
          <w:r w:rsidR="00144A1F" w:rsidRPr="00144A1F">
            <w:rPr>
              <w:rFonts w:eastAsia="HG Mincho Light J"/>
              <w:b/>
              <w:color w:val="000000"/>
              <w:sz w:val="20"/>
              <w:szCs w:val="20"/>
              <w:lang w:val="bg-BG"/>
            </w:rPr>
            <w:t xml:space="preserve">” – Управляващ орган на </w:t>
          </w:r>
          <w:r>
            <w:rPr>
              <w:rFonts w:eastAsia="HG Mincho Light J"/>
              <w:b/>
              <w:color w:val="000000"/>
              <w:sz w:val="20"/>
              <w:szCs w:val="20"/>
              <w:lang w:val="bg-BG"/>
            </w:rPr>
            <w:t>ПМДР</w:t>
          </w:r>
          <w:r w:rsidR="00E14F0B">
            <w:rPr>
              <w:rFonts w:eastAsia="HG Mincho Light J"/>
              <w:b/>
              <w:color w:val="000000"/>
              <w:sz w:val="20"/>
              <w:szCs w:val="20"/>
              <w:lang w:val="bg-BG"/>
            </w:rPr>
            <w:t>А</w:t>
          </w:r>
          <w:r w:rsidR="00877A5F" w:rsidRPr="006B2ABC">
            <w:rPr>
              <w:rFonts w:eastAsia="HG Mincho Light J"/>
              <w:b/>
              <w:color w:val="000000"/>
              <w:sz w:val="20"/>
              <w:szCs w:val="20"/>
              <w:lang w:val="bg-BG"/>
            </w:rPr>
            <w:t xml:space="preserve"> 20</w:t>
          </w:r>
          <w:r w:rsidR="00274FD3">
            <w:rPr>
              <w:rFonts w:eastAsia="HG Mincho Light J"/>
              <w:b/>
              <w:color w:val="000000"/>
              <w:sz w:val="20"/>
              <w:szCs w:val="20"/>
              <w:lang w:val="bg-BG"/>
            </w:rPr>
            <w:t>21 - 2027</w:t>
          </w:r>
        </w:p>
      </w:tc>
      <w:tc>
        <w:tcPr>
          <w:tcW w:w="7680" w:type="dxa"/>
          <w:gridSpan w:val="2"/>
          <w:tcBorders>
            <w:top w:val="single" w:sz="1" w:space="0" w:color="000000"/>
            <w:left w:val="single" w:sz="1" w:space="0" w:color="000000"/>
            <w:bottom w:val="single" w:sz="1" w:space="0" w:color="000000"/>
          </w:tcBorders>
          <w:vAlign w:val="center"/>
        </w:tcPr>
        <w:p w:rsidR="00F95F33" w:rsidRPr="00144A1F" w:rsidRDefault="003213FB" w:rsidP="003C6C1D">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НАРЪЧНИК </w:t>
          </w:r>
          <w:r w:rsidR="00D4220F">
            <w:rPr>
              <w:rFonts w:eastAsia="HG Mincho Light J"/>
              <w:b/>
              <w:color w:val="000000"/>
              <w:sz w:val="20"/>
              <w:szCs w:val="20"/>
              <w:lang w:val="bg-BG"/>
            </w:rPr>
            <w:t>ПО</w:t>
          </w:r>
          <w:r>
            <w:rPr>
              <w:rFonts w:eastAsia="HG Mincho Light J"/>
              <w:b/>
              <w:color w:val="000000"/>
              <w:sz w:val="20"/>
              <w:szCs w:val="20"/>
              <w:lang w:val="bg-BG"/>
            </w:rPr>
            <w:t xml:space="preserve"> </w:t>
          </w:r>
          <w:r w:rsidR="009E1864">
            <w:rPr>
              <w:rFonts w:eastAsia="HG Mincho Light J"/>
              <w:b/>
              <w:color w:val="000000"/>
              <w:sz w:val="20"/>
              <w:szCs w:val="20"/>
              <w:lang w:val="bg-BG"/>
            </w:rPr>
            <w:t>ПРОГРАМА ЗА МОРСКО ДЕЛО, РИБАРСТВО И  АКВАКУЛТУРИ</w:t>
          </w:r>
          <w:r w:rsidR="00C36EA9">
            <w:rPr>
              <w:rFonts w:eastAsia="HG Mincho Light J"/>
              <w:b/>
              <w:color w:val="000000"/>
              <w:sz w:val="20"/>
              <w:szCs w:val="20"/>
              <w:lang w:val="bg-BG"/>
            </w:rPr>
            <w:t xml:space="preserve"> 2021 -2027</w:t>
          </w:r>
          <w:r w:rsidR="00F95F33" w:rsidRPr="00144A1F">
            <w:rPr>
              <w:rFonts w:eastAsia="HG Mincho Light J"/>
              <w:b/>
              <w:color w:val="000000"/>
              <w:sz w:val="20"/>
              <w:szCs w:val="20"/>
              <w:lang w:val="bg-BG"/>
            </w:rPr>
            <w:t xml:space="preserve"> (</w:t>
          </w:r>
          <w:r w:rsidR="001D7924">
            <w:rPr>
              <w:rFonts w:eastAsia="HG Mincho Light J"/>
              <w:b/>
              <w:color w:val="000000"/>
              <w:sz w:val="20"/>
              <w:szCs w:val="20"/>
              <w:lang w:val="bg-BG"/>
            </w:rPr>
            <w:t>ПМДР</w:t>
          </w:r>
          <w:r w:rsidR="00C36EA9">
            <w:rPr>
              <w:rFonts w:eastAsia="HG Mincho Light J"/>
              <w:b/>
              <w:color w:val="000000"/>
              <w:sz w:val="20"/>
              <w:szCs w:val="20"/>
              <w:lang w:val="bg-BG"/>
            </w:rPr>
            <w:t>А</w:t>
          </w:r>
          <w:r w:rsidR="00F95F33" w:rsidRPr="00144A1F">
            <w:rPr>
              <w:rFonts w:eastAsia="HG Mincho Light J"/>
              <w:b/>
              <w:color w:val="000000"/>
              <w:sz w:val="20"/>
              <w:szCs w:val="20"/>
              <w:lang w:val="bg-BG"/>
            </w:rPr>
            <w:t>)</w:t>
          </w:r>
        </w:p>
      </w:tc>
      <w:tc>
        <w:tcPr>
          <w:tcW w:w="2126" w:type="dxa"/>
          <w:tcBorders>
            <w:top w:val="single" w:sz="1" w:space="0" w:color="000000"/>
            <w:left w:val="single" w:sz="1" w:space="0" w:color="000000"/>
            <w:bottom w:val="single" w:sz="1" w:space="0" w:color="000000"/>
            <w:right w:val="single" w:sz="1" w:space="0" w:color="000000"/>
          </w:tcBorders>
          <w:vAlign w:val="center"/>
        </w:tcPr>
        <w:p w:rsidR="00F95F33" w:rsidRPr="00144A1F" w:rsidRDefault="00144A1F" w:rsidP="009054CD">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lang w:val="bg-BG"/>
            </w:rPr>
            <w:t xml:space="preserve">Вариант </w:t>
          </w:r>
          <w:r w:rsidR="00006334">
            <w:rPr>
              <w:rFonts w:eastAsia="HG Mincho Light J"/>
              <w:b/>
              <w:color w:val="000000"/>
              <w:sz w:val="20"/>
              <w:lang w:val="bg-BG"/>
            </w:rPr>
            <w:t>1</w:t>
          </w:r>
        </w:p>
      </w:tc>
    </w:tr>
    <w:tr w:rsidR="00F95F33" w:rsidRPr="00144A1F" w:rsidTr="008E1BBB">
      <w:trPr>
        <w:trHeight w:val="1173"/>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1362" w:type="dxa"/>
          <w:tcBorders>
            <w:left w:val="single" w:sz="1" w:space="0" w:color="000000"/>
            <w:bottom w:val="single" w:sz="1" w:space="0" w:color="000000"/>
            <w:right w:val="single" w:sz="1" w:space="0" w:color="000000"/>
          </w:tcBorders>
          <w:vAlign w:val="center"/>
        </w:tcPr>
        <w:p w:rsidR="00F95F33" w:rsidRPr="00144A1F" w:rsidRDefault="006C23EE" w:rsidP="00144A1F">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Глава 4, раздел 2, </w:t>
          </w:r>
          <w:r w:rsidR="00F95F33" w:rsidRPr="00144A1F">
            <w:rPr>
              <w:rFonts w:eastAsia="HG Mincho Light J"/>
              <w:b/>
              <w:color w:val="000000"/>
              <w:sz w:val="20"/>
              <w:szCs w:val="20"/>
              <w:lang w:val="bg-BG"/>
            </w:rPr>
            <w:t xml:space="preserve">Приложение </w:t>
          </w:r>
        </w:p>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4.II.</w:t>
          </w:r>
          <w:r w:rsidR="00BE3CC1" w:rsidRPr="00144A1F">
            <w:rPr>
              <w:rFonts w:eastAsia="HG Mincho Light J"/>
              <w:b/>
              <w:color w:val="000000"/>
              <w:sz w:val="20"/>
              <w:szCs w:val="20"/>
              <w:lang w:val="bg-BG"/>
            </w:rPr>
            <w:t>1</w:t>
          </w:r>
          <w:r w:rsidRPr="00144A1F">
            <w:rPr>
              <w:rFonts w:eastAsia="HG Mincho Light J"/>
              <w:b/>
              <w:color w:val="000000"/>
              <w:sz w:val="20"/>
              <w:szCs w:val="20"/>
              <w:lang w:val="bg-BG"/>
            </w:rPr>
            <w:t>.</w:t>
          </w:r>
          <w:r w:rsidR="00F609C8">
            <w:rPr>
              <w:rFonts w:eastAsia="HG Mincho Light J"/>
              <w:b/>
              <w:color w:val="000000"/>
              <w:sz w:val="20"/>
              <w:szCs w:val="20"/>
              <w:lang w:val="bg-BG"/>
            </w:rPr>
            <w:t>7</w:t>
          </w:r>
          <w:r w:rsidRPr="00144A1F">
            <w:rPr>
              <w:rFonts w:eastAsia="HG Mincho Light J"/>
              <w:b/>
              <w:color w:val="000000"/>
              <w:sz w:val="20"/>
              <w:szCs w:val="20"/>
              <w:lang w:val="bg-BG"/>
            </w:rPr>
            <w:t>.</w:t>
          </w:r>
        </w:p>
      </w:tc>
      <w:tc>
        <w:tcPr>
          <w:tcW w:w="6318"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b/>
              <w:sz w:val="20"/>
              <w:szCs w:val="20"/>
              <w:lang w:val="bg-BG"/>
            </w:rPr>
          </w:pPr>
          <w:r w:rsidRPr="00144A1F">
            <w:rPr>
              <w:b/>
              <w:sz w:val="20"/>
              <w:szCs w:val="20"/>
              <w:lang w:val="bg-BG"/>
            </w:rPr>
            <w:t>ПРОЦЕДУРИ ЗА ПРЕДОСТАВЯНЕ НА БЕЗВЪЗМЕЗДНА ФИНАНСОВА ПОМОЩ</w:t>
          </w:r>
        </w:p>
        <w:p w:rsidR="00F95F33" w:rsidRPr="00144A1F" w:rsidRDefault="00F95F33" w:rsidP="00144A1F">
          <w:pPr>
            <w:widowControl w:val="0"/>
            <w:suppressLineNumbers/>
            <w:suppressAutoHyphens/>
            <w:jc w:val="center"/>
            <w:rPr>
              <w:b/>
              <w:iCs/>
              <w:sz w:val="20"/>
              <w:szCs w:val="20"/>
              <w:lang w:val="bg-BG"/>
            </w:rPr>
          </w:pPr>
        </w:p>
        <w:p w:rsidR="00F95F33" w:rsidRPr="00144A1F" w:rsidRDefault="00F95F33" w:rsidP="00144A1F">
          <w:pPr>
            <w:widowControl w:val="0"/>
            <w:suppressLineNumbers/>
            <w:suppressAutoHyphens/>
            <w:jc w:val="center"/>
            <w:rPr>
              <w:b/>
              <w:iCs/>
              <w:sz w:val="20"/>
              <w:szCs w:val="20"/>
              <w:lang w:val="bg-BG"/>
            </w:rPr>
          </w:pPr>
        </w:p>
        <w:p w:rsidR="00F95F33" w:rsidRPr="00F609C8" w:rsidRDefault="00F95F33" w:rsidP="00F609C8">
          <w:pPr>
            <w:widowControl w:val="0"/>
            <w:suppressLineNumbers/>
            <w:suppressAutoHyphens/>
            <w:jc w:val="center"/>
            <w:rPr>
              <w:rFonts w:eastAsia="HG Mincho Light J"/>
              <w:b/>
              <w:color w:val="000000"/>
              <w:sz w:val="20"/>
              <w:szCs w:val="20"/>
              <w:lang w:val="bg-BG"/>
            </w:rPr>
          </w:pPr>
          <w:r w:rsidRPr="00144A1F">
            <w:rPr>
              <w:b/>
              <w:iCs/>
              <w:sz w:val="20"/>
              <w:szCs w:val="20"/>
              <w:lang w:val="bg-BG"/>
            </w:rPr>
            <w:t xml:space="preserve">Образец на Списък на проектните предложения, </w:t>
          </w:r>
          <w:r w:rsidR="00F609C8">
            <w:rPr>
              <w:b/>
              <w:iCs/>
              <w:sz w:val="20"/>
              <w:szCs w:val="20"/>
              <w:lang w:val="bg-BG"/>
            </w:rPr>
            <w:t xml:space="preserve"> които не се допускат до техническа и финансова оценка</w:t>
          </w:r>
        </w:p>
      </w:tc>
      <w:tc>
        <w:tcPr>
          <w:tcW w:w="2126"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b/>
              <w:sz w:val="20"/>
              <w:szCs w:val="20"/>
              <w:lang w:val="bg-BG"/>
            </w:rPr>
            <w:t xml:space="preserve">страница: </w:t>
          </w:r>
          <w:r w:rsidR="00C438E3" w:rsidRPr="00144A1F">
            <w:rPr>
              <w:rStyle w:val="PageNumber"/>
              <w:sz w:val="20"/>
              <w:szCs w:val="20"/>
              <w:lang w:val="bg-BG"/>
            </w:rPr>
            <w:fldChar w:fldCharType="begin"/>
          </w:r>
          <w:r w:rsidRPr="00144A1F">
            <w:rPr>
              <w:rStyle w:val="PageNumber"/>
              <w:sz w:val="20"/>
              <w:szCs w:val="20"/>
              <w:lang w:val="bg-BG"/>
            </w:rPr>
            <w:instrText xml:space="preserve"> PAGE </w:instrText>
          </w:r>
          <w:r w:rsidR="00C438E3" w:rsidRPr="00144A1F">
            <w:rPr>
              <w:rStyle w:val="PageNumber"/>
              <w:sz w:val="20"/>
              <w:szCs w:val="20"/>
              <w:lang w:val="bg-BG"/>
            </w:rPr>
            <w:fldChar w:fldCharType="separate"/>
          </w:r>
          <w:r w:rsidR="0004691A">
            <w:rPr>
              <w:rStyle w:val="PageNumber"/>
              <w:noProof/>
              <w:sz w:val="20"/>
              <w:szCs w:val="20"/>
              <w:lang w:val="bg-BG"/>
            </w:rPr>
            <w:t>22</w:t>
          </w:r>
          <w:r w:rsidR="00C438E3" w:rsidRPr="00144A1F">
            <w:rPr>
              <w:rStyle w:val="PageNumber"/>
              <w:sz w:val="20"/>
              <w:szCs w:val="20"/>
              <w:lang w:val="bg-BG"/>
            </w:rPr>
            <w:fldChar w:fldCharType="end"/>
          </w:r>
          <w:r w:rsidRPr="00144A1F">
            <w:rPr>
              <w:rStyle w:val="PageNumber"/>
              <w:sz w:val="20"/>
              <w:szCs w:val="20"/>
              <w:lang w:val="bg-BG"/>
            </w:rPr>
            <w:t>/</w:t>
          </w:r>
          <w:r w:rsidR="00C438E3" w:rsidRPr="00144A1F">
            <w:rPr>
              <w:rStyle w:val="PageNumber"/>
              <w:sz w:val="20"/>
              <w:szCs w:val="20"/>
              <w:lang w:val="bg-BG"/>
            </w:rPr>
            <w:fldChar w:fldCharType="begin"/>
          </w:r>
          <w:r w:rsidRPr="00144A1F">
            <w:rPr>
              <w:rStyle w:val="PageNumber"/>
              <w:sz w:val="20"/>
              <w:szCs w:val="20"/>
              <w:lang w:val="bg-BG"/>
            </w:rPr>
            <w:instrText xml:space="preserve"> NUMPAGES </w:instrText>
          </w:r>
          <w:r w:rsidR="00C438E3" w:rsidRPr="00144A1F">
            <w:rPr>
              <w:rStyle w:val="PageNumber"/>
              <w:sz w:val="20"/>
              <w:szCs w:val="20"/>
              <w:lang w:val="bg-BG"/>
            </w:rPr>
            <w:fldChar w:fldCharType="separate"/>
          </w:r>
          <w:r w:rsidR="0004691A">
            <w:rPr>
              <w:rStyle w:val="PageNumber"/>
              <w:noProof/>
              <w:sz w:val="20"/>
              <w:szCs w:val="20"/>
              <w:lang w:val="bg-BG"/>
            </w:rPr>
            <w:t>24</w:t>
          </w:r>
          <w:r w:rsidR="00C438E3" w:rsidRPr="00144A1F">
            <w:rPr>
              <w:rStyle w:val="PageNumber"/>
              <w:sz w:val="20"/>
              <w:szCs w:val="20"/>
              <w:lang w:val="bg-BG"/>
            </w:rPr>
            <w:fldChar w:fldCharType="end"/>
          </w:r>
        </w:p>
      </w:tc>
    </w:tr>
    <w:tr w:rsidR="00F95F33" w:rsidRPr="00144A1F" w:rsidTr="00CE4556">
      <w:trPr>
        <w:trHeight w:val="516"/>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Одобрен от: Ръководител на Управляващия орган</w:t>
          </w:r>
        </w:p>
      </w:tc>
      <w:tc>
        <w:tcPr>
          <w:tcW w:w="2126" w:type="dxa"/>
          <w:tcBorders>
            <w:left w:val="single" w:sz="1" w:space="0" w:color="000000"/>
            <w:bottom w:val="single" w:sz="4" w:space="0" w:color="auto"/>
            <w:righ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Дата:</w:t>
          </w:r>
        </w:p>
        <w:p w:rsidR="00F95F33" w:rsidRPr="00144A1F" w:rsidRDefault="00244742" w:rsidP="00A6323E">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r w:rsidR="00D4220F" w:rsidRPr="00144A1F" w:rsidTr="00CE4556">
      <w:trPr>
        <w:trHeight w:val="427"/>
      </w:trPr>
      <w:tc>
        <w:tcPr>
          <w:tcW w:w="5078" w:type="dxa"/>
          <w:tcBorders>
            <w:left w:val="single" w:sz="1" w:space="0" w:color="000000"/>
            <w:bottom w:val="single" w:sz="1" w:space="0" w:color="000000"/>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bottom w:val="single" w:sz="1" w:space="0" w:color="000000"/>
            <w:right w:val="single" w:sz="4" w:space="0" w:color="auto"/>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2126" w:type="dxa"/>
          <w:tcBorders>
            <w:top w:val="single" w:sz="4" w:space="0" w:color="auto"/>
            <w:left w:val="single" w:sz="4" w:space="0" w:color="auto"/>
            <w:bottom w:val="single" w:sz="4" w:space="0" w:color="auto"/>
            <w:right w:val="single" w:sz="4" w:space="0" w:color="auto"/>
          </w:tcBorders>
          <w:vAlign w:val="center"/>
        </w:tcPr>
        <w:p w:rsidR="00D4220F" w:rsidRPr="00D4220F" w:rsidRDefault="00D4220F" w:rsidP="00D4220F">
          <w:pPr>
            <w:widowControl w:val="0"/>
            <w:suppressLineNumbers/>
            <w:suppressAutoHyphens/>
            <w:jc w:val="center"/>
            <w:rPr>
              <w:rFonts w:eastAsia="HG Mincho Light J"/>
              <w:b/>
              <w:color w:val="000000"/>
              <w:sz w:val="20"/>
              <w:szCs w:val="20"/>
              <w:lang w:val="bg-BG"/>
            </w:rPr>
          </w:pPr>
          <w:r w:rsidRPr="00D4220F">
            <w:rPr>
              <w:rFonts w:eastAsia="HG Mincho Light J"/>
              <w:b/>
              <w:color w:val="000000"/>
              <w:sz w:val="20"/>
              <w:szCs w:val="20"/>
              <w:lang w:val="bg-BG"/>
            </w:rPr>
            <w:t>Версия:</w:t>
          </w:r>
        </w:p>
        <w:p w:rsidR="00D4220F" w:rsidRPr="00144A1F" w:rsidRDefault="00244742" w:rsidP="00006334">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bl>
  <w:p w:rsidR="003F4A60" w:rsidRDefault="003F4A60" w:rsidP="00561E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61908"/>
    <w:multiLevelType w:val="hybridMultilevel"/>
    <w:tmpl w:val="1B60A10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48215BB4"/>
    <w:multiLevelType w:val="hybridMultilevel"/>
    <w:tmpl w:val="52C0DFF6"/>
    <w:lvl w:ilvl="0" w:tplc="681C8144">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1021D9"/>
    <w:multiLevelType w:val="hybridMultilevel"/>
    <w:tmpl w:val="51FEF1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0EC02C2"/>
    <w:multiLevelType w:val="hybridMultilevel"/>
    <w:tmpl w:val="E32A5F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F1"/>
    <w:rsid w:val="00002EA4"/>
    <w:rsid w:val="00006334"/>
    <w:rsid w:val="00011405"/>
    <w:rsid w:val="000129B7"/>
    <w:rsid w:val="00025790"/>
    <w:rsid w:val="0004691A"/>
    <w:rsid w:val="000608C3"/>
    <w:rsid w:val="00091A0B"/>
    <w:rsid w:val="00093853"/>
    <w:rsid w:val="000955C9"/>
    <w:rsid w:val="000A2ECA"/>
    <w:rsid w:val="000B4F0D"/>
    <w:rsid w:val="000D7ED9"/>
    <w:rsid w:val="000E5E0B"/>
    <w:rsid w:val="000F2441"/>
    <w:rsid w:val="001047BE"/>
    <w:rsid w:val="00111412"/>
    <w:rsid w:val="001245DD"/>
    <w:rsid w:val="00144A1F"/>
    <w:rsid w:val="00173702"/>
    <w:rsid w:val="00193A7A"/>
    <w:rsid w:val="001959F7"/>
    <w:rsid w:val="001B4A73"/>
    <w:rsid w:val="001C0B6A"/>
    <w:rsid w:val="001C3BE2"/>
    <w:rsid w:val="001D7924"/>
    <w:rsid w:val="001F0DA3"/>
    <w:rsid w:val="00244742"/>
    <w:rsid w:val="0024716F"/>
    <w:rsid w:val="00252824"/>
    <w:rsid w:val="00267933"/>
    <w:rsid w:val="00273151"/>
    <w:rsid w:val="00274FD3"/>
    <w:rsid w:val="002765CC"/>
    <w:rsid w:val="0028464A"/>
    <w:rsid w:val="0029326B"/>
    <w:rsid w:val="002D11EA"/>
    <w:rsid w:val="002D157D"/>
    <w:rsid w:val="002E4382"/>
    <w:rsid w:val="002F34EC"/>
    <w:rsid w:val="002F75E1"/>
    <w:rsid w:val="00311A88"/>
    <w:rsid w:val="003213FB"/>
    <w:rsid w:val="00331586"/>
    <w:rsid w:val="00335DE0"/>
    <w:rsid w:val="00347D47"/>
    <w:rsid w:val="00364692"/>
    <w:rsid w:val="00376A60"/>
    <w:rsid w:val="003805D6"/>
    <w:rsid w:val="003941DC"/>
    <w:rsid w:val="003A624D"/>
    <w:rsid w:val="003B27AC"/>
    <w:rsid w:val="003B5A55"/>
    <w:rsid w:val="003B5F2E"/>
    <w:rsid w:val="003C6C1D"/>
    <w:rsid w:val="003E0D49"/>
    <w:rsid w:val="003E2D2E"/>
    <w:rsid w:val="003F4A60"/>
    <w:rsid w:val="003F7B45"/>
    <w:rsid w:val="00411D7A"/>
    <w:rsid w:val="004322ED"/>
    <w:rsid w:val="00444D18"/>
    <w:rsid w:val="004953B3"/>
    <w:rsid w:val="00497E1B"/>
    <w:rsid w:val="004A41E4"/>
    <w:rsid w:val="004A7303"/>
    <w:rsid w:val="004C574A"/>
    <w:rsid w:val="004E121F"/>
    <w:rsid w:val="004E4CA9"/>
    <w:rsid w:val="004F3330"/>
    <w:rsid w:val="004F42DA"/>
    <w:rsid w:val="004F5C87"/>
    <w:rsid w:val="005253D1"/>
    <w:rsid w:val="00545706"/>
    <w:rsid w:val="00561E4F"/>
    <w:rsid w:val="00586F61"/>
    <w:rsid w:val="005912C0"/>
    <w:rsid w:val="00592769"/>
    <w:rsid w:val="005A17D3"/>
    <w:rsid w:val="005A6A46"/>
    <w:rsid w:val="005C2D40"/>
    <w:rsid w:val="005C6F96"/>
    <w:rsid w:val="005D0C34"/>
    <w:rsid w:val="005D29B2"/>
    <w:rsid w:val="005D311A"/>
    <w:rsid w:val="005D5291"/>
    <w:rsid w:val="005D6211"/>
    <w:rsid w:val="005D7EDC"/>
    <w:rsid w:val="005E52BD"/>
    <w:rsid w:val="005E678C"/>
    <w:rsid w:val="005F28CE"/>
    <w:rsid w:val="005F44E0"/>
    <w:rsid w:val="005F5ADF"/>
    <w:rsid w:val="00614F78"/>
    <w:rsid w:val="006439D5"/>
    <w:rsid w:val="0065252C"/>
    <w:rsid w:val="00654495"/>
    <w:rsid w:val="0068349E"/>
    <w:rsid w:val="00685D9D"/>
    <w:rsid w:val="006B2ABC"/>
    <w:rsid w:val="006B4949"/>
    <w:rsid w:val="006C23EE"/>
    <w:rsid w:val="00704F48"/>
    <w:rsid w:val="0071717D"/>
    <w:rsid w:val="007315F2"/>
    <w:rsid w:val="00742DA1"/>
    <w:rsid w:val="00775769"/>
    <w:rsid w:val="007977DE"/>
    <w:rsid w:val="007A1130"/>
    <w:rsid w:val="007A1946"/>
    <w:rsid w:val="007A2856"/>
    <w:rsid w:val="007D1E30"/>
    <w:rsid w:val="007F1E26"/>
    <w:rsid w:val="00827DEB"/>
    <w:rsid w:val="00830920"/>
    <w:rsid w:val="008445E2"/>
    <w:rsid w:val="00845433"/>
    <w:rsid w:val="00861D8E"/>
    <w:rsid w:val="008651D9"/>
    <w:rsid w:val="00877A5F"/>
    <w:rsid w:val="00886106"/>
    <w:rsid w:val="0088738B"/>
    <w:rsid w:val="008B15BD"/>
    <w:rsid w:val="008D0692"/>
    <w:rsid w:val="008E150A"/>
    <w:rsid w:val="008E1661"/>
    <w:rsid w:val="008E1BBB"/>
    <w:rsid w:val="0090223F"/>
    <w:rsid w:val="009054CD"/>
    <w:rsid w:val="00932C29"/>
    <w:rsid w:val="0095005A"/>
    <w:rsid w:val="00954F89"/>
    <w:rsid w:val="00955C51"/>
    <w:rsid w:val="00960B4D"/>
    <w:rsid w:val="00963DF6"/>
    <w:rsid w:val="00970769"/>
    <w:rsid w:val="00980B41"/>
    <w:rsid w:val="00982377"/>
    <w:rsid w:val="00990BBA"/>
    <w:rsid w:val="00992D76"/>
    <w:rsid w:val="009A06E8"/>
    <w:rsid w:val="009A530C"/>
    <w:rsid w:val="009B26E1"/>
    <w:rsid w:val="009B334E"/>
    <w:rsid w:val="009C17FF"/>
    <w:rsid w:val="009D5B0E"/>
    <w:rsid w:val="009D7E36"/>
    <w:rsid w:val="009E1864"/>
    <w:rsid w:val="009E4C13"/>
    <w:rsid w:val="009F7AFB"/>
    <w:rsid w:val="00A15B65"/>
    <w:rsid w:val="00A25AE5"/>
    <w:rsid w:val="00A33334"/>
    <w:rsid w:val="00A339F3"/>
    <w:rsid w:val="00A40AC5"/>
    <w:rsid w:val="00A44549"/>
    <w:rsid w:val="00A6323E"/>
    <w:rsid w:val="00A63E11"/>
    <w:rsid w:val="00A6428E"/>
    <w:rsid w:val="00A70381"/>
    <w:rsid w:val="00A70F60"/>
    <w:rsid w:val="00A80ED9"/>
    <w:rsid w:val="00A940B8"/>
    <w:rsid w:val="00AA0DE1"/>
    <w:rsid w:val="00AC2ACC"/>
    <w:rsid w:val="00AC460E"/>
    <w:rsid w:val="00AC78E1"/>
    <w:rsid w:val="00AD048E"/>
    <w:rsid w:val="00AD3526"/>
    <w:rsid w:val="00AF5684"/>
    <w:rsid w:val="00B03339"/>
    <w:rsid w:val="00B168D3"/>
    <w:rsid w:val="00B208BE"/>
    <w:rsid w:val="00B25BD5"/>
    <w:rsid w:val="00B31E34"/>
    <w:rsid w:val="00B43EF2"/>
    <w:rsid w:val="00B45AD2"/>
    <w:rsid w:val="00B45BDD"/>
    <w:rsid w:val="00B46079"/>
    <w:rsid w:val="00B5142E"/>
    <w:rsid w:val="00B776C7"/>
    <w:rsid w:val="00BB2C87"/>
    <w:rsid w:val="00BB5A62"/>
    <w:rsid w:val="00BD146C"/>
    <w:rsid w:val="00BE019F"/>
    <w:rsid w:val="00BE3CC1"/>
    <w:rsid w:val="00C21491"/>
    <w:rsid w:val="00C21CB8"/>
    <w:rsid w:val="00C36EA9"/>
    <w:rsid w:val="00C438E3"/>
    <w:rsid w:val="00C565C8"/>
    <w:rsid w:val="00C674EA"/>
    <w:rsid w:val="00C740F1"/>
    <w:rsid w:val="00CC762D"/>
    <w:rsid w:val="00CD5FF4"/>
    <w:rsid w:val="00CE4556"/>
    <w:rsid w:val="00CF7E34"/>
    <w:rsid w:val="00D1516E"/>
    <w:rsid w:val="00D215E9"/>
    <w:rsid w:val="00D34D64"/>
    <w:rsid w:val="00D4220F"/>
    <w:rsid w:val="00D42CDF"/>
    <w:rsid w:val="00D51D24"/>
    <w:rsid w:val="00D73123"/>
    <w:rsid w:val="00D874BF"/>
    <w:rsid w:val="00D97F8A"/>
    <w:rsid w:val="00DA1A24"/>
    <w:rsid w:val="00DA57DC"/>
    <w:rsid w:val="00DF5945"/>
    <w:rsid w:val="00E071FD"/>
    <w:rsid w:val="00E14840"/>
    <w:rsid w:val="00E14F0B"/>
    <w:rsid w:val="00E27336"/>
    <w:rsid w:val="00E639FE"/>
    <w:rsid w:val="00E700E3"/>
    <w:rsid w:val="00E7591F"/>
    <w:rsid w:val="00E76FC7"/>
    <w:rsid w:val="00E8791C"/>
    <w:rsid w:val="00E97664"/>
    <w:rsid w:val="00EA04AD"/>
    <w:rsid w:val="00EA416D"/>
    <w:rsid w:val="00EB11DA"/>
    <w:rsid w:val="00EB135C"/>
    <w:rsid w:val="00EB1B37"/>
    <w:rsid w:val="00EB286A"/>
    <w:rsid w:val="00EC46AC"/>
    <w:rsid w:val="00F03EDF"/>
    <w:rsid w:val="00F1198E"/>
    <w:rsid w:val="00F21616"/>
    <w:rsid w:val="00F55D58"/>
    <w:rsid w:val="00F609C8"/>
    <w:rsid w:val="00F62177"/>
    <w:rsid w:val="00F8225D"/>
    <w:rsid w:val="00F824A8"/>
    <w:rsid w:val="00F95F33"/>
    <w:rsid w:val="00FA66FF"/>
    <w:rsid w:val="00FA70DD"/>
    <w:rsid w:val="00FB10E4"/>
    <w:rsid w:val="00FC20F7"/>
    <w:rsid w:val="00FD3D91"/>
    <w:rsid w:val="00FD746D"/>
    <w:rsid w:val="00FE3779"/>
    <w:rsid w:val="00F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DDE65A"/>
  <w15:docId w15:val="{A1D40D06-EC84-4975-B7E6-50364865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46"/>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1CharCharCharCharCharCharCharCharCharCharCharCharCharCharCharChar">
    <w:name w:val="Char Char1 Char Char Char Char Char Char Char Char Char Char Char Char Char Char Char Char"/>
    <w:basedOn w:val="Normal"/>
    <w:rsid w:val="005A6A46"/>
    <w:pPr>
      <w:tabs>
        <w:tab w:val="left" w:pos="709"/>
      </w:tabs>
      <w:spacing w:before="120" w:after="120"/>
      <w:ind w:left="360"/>
      <w:jc w:val="center"/>
    </w:pPr>
    <w:rPr>
      <w:rFonts w:ascii="Tahoma" w:hAnsi="Tahoma"/>
      <w:b/>
      <w:bCs/>
      <w:szCs w:val="28"/>
      <w:lang w:val="pl-PL" w:eastAsia="pl-PL"/>
    </w:rPr>
  </w:style>
  <w:style w:type="paragraph" w:customStyle="1" w:styleId="TableContents">
    <w:name w:val="Table Contents"/>
    <w:basedOn w:val="BodyText"/>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customStyle="1" w:styleId="Index">
    <w:name w:val="Index"/>
    <w:basedOn w:val="Normal"/>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styleId="BodyText">
    <w:name w:val="Body Text"/>
    <w:basedOn w:val="Normal"/>
    <w:rsid w:val="005A6A46"/>
    <w:pPr>
      <w:spacing w:after="120"/>
    </w:pPr>
  </w:style>
  <w:style w:type="paragraph" w:styleId="BalloonText">
    <w:name w:val="Balloon Text"/>
    <w:basedOn w:val="Normal"/>
    <w:semiHidden/>
    <w:rsid w:val="00A940B8"/>
    <w:rPr>
      <w:rFonts w:ascii="Tahoma" w:hAnsi="Tahoma" w:cs="Tahoma"/>
      <w:sz w:val="16"/>
      <w:szCs w:val="16"/>
    </w:rPr>
  </w:style>
  <w:style w:type="table" w:styleId="TableGrid">
    <w:name w:val="Table Grid"/>
    <w:basedOn w:val="TableNormal"/>
    <w:rsid w:val="00091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C574A"/>
    <w:rPr>
      <w:sz w:val="16"/>
      <w:szCs w:val="16"/>
    </w:rPr>
  </w:style>
  <w:style w:type="paragraph" w:styleId="CommentText">
    <w:name w:val="annotation text"/>
    <w:basedOn w:val="Normal"/>
    <w:semiHidden/>
    <w:rsid w:val="004C574A"/>
    <w:rPr>
      <w:sz w:val="20"/>
      <w:szCs w:val="20"/>
    </w:rPr>
  </w:style>
  <w:style w:type="paragraph" w:styleId="CommentSubject">
    <w:name w:val="annotation subject"/>
    <w:basedOn w:val="CommentText"/>
    <w:next w:val="CommentText"/>
    <w:semiHidden/>
    <w:rsid w:val="004C574A"/>
    <w:rPr>
      <w:b/>
      <w:bCs/>
    </w:rPr>
  </w:style>
  <w:style w:type="paragraph" w:styleId="Header">
    <w:name w:val="header"/>
    <w:basedOn w:val="Normal"/>
    <w:rsid w:val="00561E4F"/>
    <w:pPr>
      <w:tabs>
        <w:tab w:val="center" w:pos="4536"/>
        <w:tab w:val="right" w:pos="9072"/>
      </w:tabs>
    </w:pPr>
  </w:style>
  <w:style w:type="paragraph" w:styleId="Footer">
    <w:name w:val="footer"/>
    <w:basedOn w:val="Normal"/>
    <w:link w:val="FooterChar"/>
    <w:uiPriority w:val="99"/>
    <w:rsid w:val="00561E4F"/>
    <w:pPr>
      <w:tabs>
        <w:tab w:val="center" w:pos="4536"/>
        <w:tab w:val="right" w:pos="9072"/>
      </w:tabs>
    </w:pPr>
  </w:style>
  <w:style w:type="character" w:styleId="PageNumber">
    <w:name w:val="page number"/>
    <w:basedOn w:val="DefaultParagraphFont"/>
    <w:rsid w:val="00561E4F"/>
  </w:style>
  <w:style w:type="paragraph" w:customStyle="1" w:styleId="Char">
    <w:name w:val="Char"/>
    <w:basedOn w:val="Normal"/>
    <w:rsid w:val="00561E4F"/>
    <w:pPr>
      <w:tabs>
        <w:tab w:val="left" w:pos="709"/>
      </w:tabs>
    </w:pPr>
    <w:rPr>
      <w:rFonts w:ascii="Tahoma" w:hAnsi="Tahoma"/>
      <w:lang w:val="pl-PL" w:eastAsia="pl-PL"/>
    </w:rPr>
  </w:style>
  <w:style w:type="paragraph" w:styleId="BodyTextIndent">
    <w:name w:val="Body Text Indent"/>
    <w:basedOn w:val="Normal"/>
    <w:link w:val="BodyTextIndentChar"/>
    <w:semiHidden/>
    <w:unhideWhenUsed/>
    <w:rsid w:val="00D97F8A"/>
    <w:pPr>
      <w:spacing w:after="120"/>
      <w:ind w:left="283"/>
    </w:pPr>
  </w:style>
  <w:style w:type="character" w:customStyle="1" w:styleId="BodyTextIndentChar">
    <w:name w:val="Body Text Indent Char"/>
    <w:basedOn w:val="DefaultParagraphFont"/>
    <w:link w:val="BodyTextIndent"/>
    <w:semiHidden/>
    <w:rsid w:val="00D97F8A"/>
    <w:rPr>
      <w:sz w:val="24"/>
      <w:szCs w:val="24"/>
      <w:lang w:val="en-GB"/>
    </w:rPr>
  </w:style>
  <w:style w:type="paragraph" w:styleId="ListParagraph">
    <w:name w:val="List Paragraph"/>
    <w:aliases w:val="List Paragraph1,List1,List Paragraph11,List Paragraph111"/>
    <w:basedOn w:val="Normal"/>
    <w:link w:val="ListParagraphChar"/>
    <w:uiPriority w:val="34"/>
    <w:qFormat/>
    <w:rsid w:val="00D97F8A"/>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C21CB8"/>
    <w:rPr>
      <w:sz w:val="24"/>
      <w:szCs w:val="24"/>
      <w:lang w:val="en-GB"/>
    </w:rPr>
  </w:style>
  <w:style w:type="paragraph" w:styleId="BodyTextIndent2">
    <w:name w:val="Body Text Indent 2"/>
    <w:basedOn w:val="Normal"/>
    <w:link w:val="BodyTextIndent2Char"/>
    <w:semiHidden/>
    <w:unhideWhenUsed/>
    <w:rsid w:val="005F5ADF"/>
    <w:pPr>
      <w:spacing w:after="120" w:line="480" w:lineRule="auto"/>
      <w:ind w:left="283"/>
    </w:pPr>
  </w:style>
  <w:style w:type="character" w:customStyle="1" w:styleId="BodyTextIndent2Char">
    <w:name w:val="Body Text Indent 2 Char"/>
    <w:basedOn w:val="DefaultParagraphFont"/>
    <w:link w:val="BodyTextIndent2"/>
    <w:semiHidden/>
    <w:rsid w:val="005F5ADF"/>
    <w:rPr>
      <w:sz w:val="24"/>
      <w:szCs w:val="24"/>
      <w:lang w:val="en-GB"/>
    </w:rPr>
  </w:style>
  <w:style w:type="character" w:customStyle="1" w:styleId="ListParagraphChar">
    <w:name w:val="List Paragraph Char"/>
    <w:aliases w:val="List Paragraph1 Char,List1 Char,List Paragraph11 Char,List Paragraph111 Char"/>
    <w:link w:val="ListParagraph"/>
    <w:uiPriority w:val="34"/>
    <w:locked/>
    <w:rsid w:val="007977DE"/>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7640">
      <w:bodyDiv w:val="1"/>
      <w:marLeft w:val="0"/>
      <w:marRight w:val="0"/>
      <w:marTop w:val="0"/>
      <w:marBottom w:val="0"/>
      <w:divBdr>
        <w:top w:val="none" w:sz="0" w:space="0" w:color="auto"/>
        <w:left w:val="none" w:sz="0" w:space="0" w:color="auto"/>
        <w:bottom w:val="none" w:sz="0" w:space="0" w:color="auto"/>
        <w:right w:val="none" w:sz="0" w:space="0" w:color="auto"/>
      </w:divBdr>
      <w:divsChild>
        <w:div w:id="402800124">
          <w:marLeft w:val="0"/>
          <w:marRight w:val="0"/>
          <w:marTop w:val="0"/>
          <w:marBottom w:val="75"/>
          <w:divBdr>
            <w:top w:val="none" w:sz="0" w:space="0" w:color="auto"/>
            <w:left w:val="none" w:sz="0" w:space="0" w:color="auto"/>
            <w:bottom w:val="none" w:sz="0" w:space="0" w:color="auto"/>
            <w:right w:val="none" w:sz="0" w:space="0" w:color="auto"/>
          </w:divBdr>
        </w:div>
      </w:divsChild>
    </w:div>
    <w:div w:id="685407219">
      <w:bodyDiv w:val="1"/>
      <w:marLeft w:val="0"/>
      <w:marRight w:val="0"/>
      <w:marTop w:val="0"/>
      <w:marBottom w:val="0"/>
      <w:divBdr>
        <w:top w:val="none" w:sz="0" w:space="0" w:color="auto"/>
        <w:left w:val="none" w:sz="0" w:space="0" w:color="auto"/>
        <w:bottom w:val="none" w:sz="0" w:space="0" w:color="auto"/>
        <w:right w:val="none" w:sz="0" w:space="0" w:color="auto"/>
      </w:divBdr>
    </w:div>
    <w:div w:id="1368599717">
      <w:bodyDiv w:val="1"/>
      <w:marLeft w:val="0"/>
      <w:marRight w:val="0"/>
      <w:marTop w:val="0"/>
      <w:marBottom w:val="0"/>
      <w:divBdr>
        <w:top w:val="none" w:sz="0" w:space="0" w:color="auto"/>
        <w:left w:val="none" w:sz="0" w:space="0" w:color="auto"/>
        <w:bottom w:val="none" w:sz="0" w:space="0" w:color="auto"/>
        <w:right w:val="none" w:sz="0" w:space="0" w:color="auto"/>
      </w:divBdr>
      <w:divsChild>
        <w:div w:id="1493329919">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ACC97-9465-4E8D-80FB-C7B577BDC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24</Pages>
  <Words>3848</Words>
  <Characters>21935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MEE</Company>
  <LinksUpToDate>false</LinksUpToDate>
  <CharactersWithSpaces>25732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cp:lastModifiedBy>Silviya Sotirova</cp:lastModifiedBy>
  <cp:revision>23</cp:revision>
  <cp:lastPrinted>2016-12-14T14:51:00Z</cp:lastPrinted>
  <dcterms:created xsi:type="dcterms:W3CDTF">2026-05-22T08:44:00Z</dcterms:created>
  <dcterms:modified xsi:type="dcterms:W3CDTF">2026-10-02T11:38:00Z</dcterms:modified>
</cp:coreProperties>
</file>