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1B37" w:rsidRDefault="00EB1B37" w:rsidP="00D97F8A">
      <w:pPr>
        <w:spacing w:line="276" w:lineRule="auto"/>
        <w:jc w:val="center"/>
        <w:rPr>
          <w:b/>
          <w:lang w:val="bg-BG"/>
        </w:rPr>
      </w:pPr>
    </w:p>
    <w:p w:rsidR="00D97F8A" w:rsidRDefault="005F44E0" w:rsidP="00D97F8A">
      <w:pPr>
        <w:spacing w:line="276" w:lineRule="auto"/>
        <w:jc w:val="center"/>
        <w:rPr>
          <w:b/>
          <w:lang w:val="bg-BG"/>
        </w:rPr>
      </w:pPr>
      <w:r w:rsidRPr="005F44E0">
        <w:rPr>
          <w:b/>
          <w:lang w:val="bg-BG"/>
        </w:rPr>
        <w:t xml:space="preserve">СПИСЪК НА ПРОЕКТНИТЕ ПРЕДЛОЖЕНИЯ, КОИТО НЕ СЕ ДОПУСКАТ ДО </w:t>
      </w:r>
      <w:r w:rsidR="00D97F8A" w:rsidRPr="005F44E0">
        <w:rPr>
          <w:b/>
          <w:lang w:val="bg-BG"/>
        </w:rPr>
        <w:t>ТЕХНИЧЕСКА И ФИНАНСОВА ОЦЕНКА</w:t>
      </w:r>
      <w:r w:rsidR="00D97F8A">
        <w:rPr>
          <w:b/>
          <w:lang w:val="bg-BG"/>
        </w:rPr>
        <w:t xml:space="preserve"> </w:t>
      </w:r>
      <w:r w:rsidR="00D97F8A" w:rsidRPr="00CC762D">
        <w:rPr>
          <w:b/>
          <w:lang w:val="bg-BG"/>
        </w:rPr>
        <w:t xml:space="preserve">ПО </w:t>
      </w:r>
      <w:r w:rsidR="00D97F8A">
        <w:rPr>
          <w:b/>
          <w:lang w:val="bg-BG"/>
        </w:rPr>
        <w:t xml:space="preserve">ПРОЦЕДУРА </w:t>
      </w:r>
      <w:r w:rsidR="00D97F8A" w:rsidRPr="00CC762D">
        <w:rPr>
          <w:b/>
          <w:lang w:val="bg-BG"/>
        </w:rPr>
        <w:t>ЗА ПРЕДОСТАВЯНЕ НА БЕЗВЪЗМ</w:t>
      </w:r>
      <w:r w:rsidR="00D97F8A">
        <w:rPr>
          <w:b/>
          <w:lang w:val="bg-BG"/>
        </w:rPr>
        <w:t>Е</w:t>
      </w:r>
      <w:r w:rsidR="00D97F8A" w:rsidRPr="00CC762D">
        <w:rPr>
          <w:b/>
          <w:lang w:val="bg-BG"/>
        </w:rPr>
        <w:t>ЗДНА ФИНАНСОВА ПОМОЩ</w:t>
      </w:r>
      <w:r w:rsidR="00F8225D" w:rsidRPr="00D4145E">
        <w:rPr>
          <w:b/>
          <w:lang w:val="bg-BG"/>
        </w:rPr>
        <w:t xml:space="preserve"> </w:t>
      </w:r>
      <w:r w:rsidR="00D97F8A">
        <w:rPr>
          <w:b/>
          <w:lang w:val="bg-BG"/>
        </w:rPr>
        <w:t>№</w:t>
      </w:r>
      <w:r w:rsidR="009E369F">
        <w:rPr>
          <w:b/>
          <w:lang w:val="bg-BG"/>
        </w:rPr>
        <w:t xml:space="preserve"> </w:t>
      </w:r>
      <w:r w:rsidR="00F9688F">
        <w:rPr>
          <w:b/>
          <w:lang w:val="bg-BG"/>
        </w:rPr>
        <w:t>BG14MFPR001-2.017</w:t>
      </w:r>
      <w:r w:rsidR="008A34BA" w:rsidRPr="008A34BA">
        <w:rPr>
          <w:b/>
          <w:lang w:val="bg-BG"/>
        </w:rPr>
        <w:t xml:space="preserve"> </w:t>
      </w:r>
      <w:r w:rsidR="008D2F0B" w:rsidRPr="008D2F0B">
        <w:rPr>
          <w:b/>
          <w:lang w:val="bg-BG"/>
        </w:rPr>
        <w:t>ПРЕДЛАГАНЕ НА ПАЗАРА – КОМПЕНСАЦИИ -  ПОДСЕКТОР „ПРЕРАБОТКА НА ПРОДУКТИ ОТ РИБОЛОВ И АКВАКУЛТУРИ“</w:t>
      </w:r>
      <w:r w:rsidR="008D2F0B" w:rsidRPr="00D4145E">
        <w:rPr>
          <w:b/>
          <w:lang w:val="bg-BG"/>
        </w:rPr>
        <w:t xml:space="preserve"> </w:t>
      </w:r>
      <w:r w:rsidR="008D2F0B" w:rsidRPr="00D97F8A">
        <w:rPr>
          <w:b/>
          <w:lang w:val="bg-BG"/>
        </w:rPr>
        <w:t xml:space="preserve">ПО ПРОГРАМАТА ЗА МОРСКО ДЕЛО, </w:t>
      </w:r>
      <w:r w:rsidR="00D97F8A" w:rsidRPr="00D97F8A">
        <w:rPr>
          <w:b/>
          <w:lang w:val="bg-BG"/>
        </w:rPr>
        <w:t>РИБАРСТВО И АКВАКУЛТУРИ 2021-2027 (ПМДРА)</w:t>
      </w:r>
    </w:p>
    <w:p w:rsidR="00EB1B37" w:rsidRDefault="00EB1B37" w:rsidP="00D97F8A">
      <w:pPr>
        <w:spacing w:line="276" w:lineRule="auto"/>
        <w:jc w:val="center"/>
        <w:rPr>
          <w:b/>
          <w:lang w:val="bg-BG"/>
        </w:rPr>
      </w:pPr>
    </w:p>
    <w:p w:rsidR="00877A5F" w:rsidRDefault="00877A5F" w:rsidP="00A940B8">
      <w:pPr>
        <w:jc w:val="center"/>
        <w:rPr>
          <w:b/>
          <w:lang w:val="bg-BG"/>
        </w:rPr>
      </w:pP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2269"/>
        <w:gridCol w:w="1984"/>
        <w:gridCol w:w="2410"/>
        <w:gridCol w:w="8788"/>
      </w:tblGrid>
      <w:tr w:rsidR="00D7495B" w:rsidRPr="00D7495B" w:rsidTr="00452D77">
        <w:tc>
          <w:tcPr>
            <w:tcW w:w="567" w:type="dxa"/>
            <w:shd w:val="clear" w:color="auto" w:fill="auto"/>
          </w:tcPr>
          <w:p w:rsidR="00091A0B" w:rsidRPr="00542E98" w:rsidRDefault="00091A0B" w:rsidP="00E76FC7">
            <w:pPr>
              <w:jc w:val="center"/>
              <w:rPr>
                <w:b/>
                <w:sz w:val="20"/>
                <w:szCs w:val="20"/>
                <w:lang w:val="bg-BG"/>
              </w:rPr>
            </w:pPr>
            <w:r w:rsidRPr="00542E98">
              <w:rPr>
                <w:b/>
                <w:sz w:val="20"/>
                <w:szCs w:val="20"/>
                <w:lang w:val="bg-BG"/>
              </w:rPr>
              <w:t>№</w:t>
            </w:r>
          </w:p>
        </w:tc>
        <w:tc>
          <w:tcPr>
            <w:tcW w:w="2269" w:type="dxa"/>
            <w:shd w:val="clear" w:color="auto" w:fill="auto"/>
          </w:tcPr>
          <w:p w:rsidR="00091A0B" w:rsidRPr="00542E98" w:rsidRDefault="004A41E4" w:rsidP="004A41E4">
            <w:pPr>
              <w:jc w:val="center"/>
              <w:rPr>
                <w:b/>
                <w:sz w:val="20"/>
                <w:szCs w:val="20"/>
                <w:lang w:val="bg-BG"/>
              </w:rPr>
            </w:pPr>
            <w:r w:rsidRPr="00542E98">
              <w:rPr>
                <w:b/>
                <w:sz w:val="20"/>
                <w:szCs w:val="20"/>
                <w:lang w:val="bg-BG"/>
              </w:rPr>
              <w:t>Рег. № на п</w:t>
            </w:r>
            <w:r w:rsidR="00091A0B" w:rsidRPr="00542E98">
              <w:rPr>
                <w:b/>
                <w:sz w:val="20"/>
                <w:szCs w:val="20"/>
                <w:lang w:val="bg-BG"/>
              </w:rPr>
              <w:t>роектно</w:t>
            </w:r>
            <w:r w:rsidRPr="00542E98">
              <w:rPr>
                <w:b/>
                <w:sz w:val="20"/>
                <w:szCs w:val="20"/>
                <w:lang w:val="bg-BG"/>
              </w:rPr>
              <w:t>то</w:t>
            </w:r>
            <w:r w:rsidR="00091A0B" w:rsidRPr="00542E98">
              <w:rPr>
                <w:b/>
                <w:sz w:val="20"/>
                <w:szCs w:val="20"/>
                <w:lang w:val="bg-BG"/>
              </w:rPr>
              <w:t xml:space="preserve"> предложение </w:t>
            </w:r>
          </w:p>
        </w:tc>
        <w:tc>
          <w:tcPr>
            <w:tcW w:w="1984" w:type="dxa"/>
            <w:shd w:val="clear" w:color="auto" w:fill="auto"/>
          </w:tcPr>
          <w:p w:rsidR="00091A0B" w:rsidRPr="00542E98" w:rsidRDefault="00992D76" w:rsidP="00E76FC7">
            <w:pPr>
              <w:jc w:val="center"/>
              <w:rPr>
                <w:b/>
                <w:sz w:val="20"/>
                <w:szCs w:val="20"/>
                <w:lang w:val="bg-BG"/>
              </w:rPr>
            </w:pPr>
            <w:r w:rsidRPr="00542E98">
              <w:rPr>
                <w:b/>
                <w:sz w:val="20"/>
                <w:szCs w:val="20"/>
                <w:lang w:val="bg-BG"/>
              </w:rPr>
              <w:t>Наименование на кандидата</w:t>
            </w:r>
          </w:p>
        </w:tc>
        <w:tc>
          <w:tcPr>
            <w:tcW w:w="2410" w:type="dxa"/>
            <w:shd w:val="clear" w:color="auto" w:fill="auto"/>
          </w:tcPr>
          <w:p w:rsidR="00091A0B" w:rsidRPr="00542E98" w:rsidRDefault="00992D76" w:rsidP="00E76FC7">
            <w:pPr>
              <w:jc w:val="center"/>
              <w:rPr>
                <w:b/>
                <w:sz w:val="20"/>
                <w:szCs w:val="20"/>
                <w:lang w:val="bg-BG"/>
              </w:rPr>
            </w:pPr>
            <w:r w:rsidRPr="00542E98">
              <w:rPr>
                <w:b/>
                <w:sz w:val="20"/>
                <w:szCs w:val="20"/>
                <w:lang w:val="bg-BG"/>
              </w:rPr>
              <w:t>Наименование на проектното предложение</w:t>
            </w:r>
          </w:p>
        </w:tc>
        <w:tc>
          <w:tcPr>
            <w:tcW w:w="8788" w:type="dxa"/>
            <w:shd w:val="clear" w:color="auto" w:fill="auto"/>
          </w:tcPr>
          <w:p w:rsidR="00091A0B" w:rsidRPr="00542E98" w:rsidRDefault="002D157D" w:rsidP="00E76FC7">
            <w:pPr>
              <w:jc w:val="center"/>
              <w:rPr>
                <w:b/>
                <w:sz w:val="20"/>
                <w:szCs w:val="20"/>
                <w:lang w:val="bg-BG"/>
              </w:rPr>
            </w:pPr>
            <w:r w:rsidRPr="00542E98">
              <w:rPr>
                <w:b/>
                <w:sz w:val="20"/>
                <w:szCs w:val="20"/>
                <w:lang w:val="bg-BG"/>
              </w:rPr>
              <w:t>Основание за отхвър</w:t>
            </w:r>
            <w:r w:rsidR="00992D76" w:rsidRPr="00542E98">
              <w:rPr>
                <w:b/>
                <w:sz w:val="20"/>
                <w:szCs w:val="20"/>
                <w:lang w:val="bg-BG"/>
              </w:rPr>
              <w:t>ляне</w:t>
            </w:r>
          </w:p>
          <w:p w:rsidR="00331586" w:rsidRPr="00542E98" w:rsidRDefault="00331586" w:rsidP="00E76FC7">
            <w:pPr>
              <w:jc w:val="center"/>
              <w:rPr>
                <w:b/>
                <w:i/>
                <w:sz w:val="20"/>
                <w:szCs w:val="20"/>
                <w:lang w:val="bg-BG"/>
              </w:rPr>
            </w:pPr>
            <w:r w:rsidRPr="00542E98">
              <w:rPr>
                <w:b/>
                <w:i/>
                <w:sz w:val="20"/>
                <w:szCs w:val="20"/>
                <w:lang w:val="bg-BG"/>
              </w:rPr>
              <w:t xml:space="preserve">(посочват се конкретните основания, а не само препратки към документите и условията, които не са изпълнени) </w:t>
            </w:r>
          </w:p>
        </w:tc>
      </w:tr>
      <w:tr w:rsidR="00D7495B" w:rsidRPr="00D7495B" w:rsidTr="00452D77">
        <w:tc>
          <w:tcPr>
            <w:tcW w:w="567" w:type="dxa"/>
            <w:shd w:val="clear" w:color="auto" w:fill="auto"/>
          </w:tcPr>
          <w:p w:rsidR="00091A0B" w:rsidRPr="00851B29" w:rsidRDefault="007B1891" w:rsidP="00E76FC7">
            <w:pPr>
              <w:jc w:val="center"/>
              <w:rPr>
                <w:b/>
                <w:lang w:val="en-US"/>
              </w:rPr>
            </w:pPr>
            <w:r>
              <w:rPr>
                <w:b/>
                <w:lang w:val="en-US"/>
              </w:rPr>
              <w:t>1</w:t>
            </w:r>
          </w:p>
        </w:tc>
        <w:tc>
          <w:tcPr>
            <w:tcW w:w="2269" w:type="dxa"/>
            <w:shd w:val="clear" w:color="auto" w:fill="auto"/>
          </w:tcPr>
          <w:p w:rsidR="00091A0B" w:rsidRPr="00DE0603" w:rsidRDefault="007B1891" w:rsidP="00E76FC7">
            <w:pPr>
              <w:jc w:val="center"/>
              <w:rPr>
                <w:b/>
                <w:lang w:val="bg-BG"/>
              </w:rPr>
            </w:pPr>
            <w:r w:rsidRPr="00DE0603">
              <w:rPr>
                <w:b/>
                <w:lang w:val="bg-BG"/>
              </w:rPr>
              <w:t>BG14MFPR001-2.017-0014</w:t>
            </w:r>
          </w:p>
        </w:tc>
        <w:tc>
          <w:tcPr>
            <w:tcW w:w="1984" w:type="dxa"/>
            <w:shd w:val="clear" w:color="auto" w:fill="auto"/>
          </w:tcPr>
          <w:p w:rsidR="00091A0B" w:rsidRPr="00DE0603" w:rsidRDefault="00A5216A" w:rsidP="00E76FC7">
            <w:pPr>
              <w:jc w:val="center"/>
              <w:rPr>
                <w:b/>
                <w:lang w:val="bg-BG"/>
              </w:rPr>
            </w:pPr>
            <w:r w:rsidRPr="00DE0603">
              <w:rPr>
                <w:b/>
                <w:lang w:val="bg-BG"/>
              </w:rPr>
              <w:t>„ЕГЕО“ ООД</w:t>
            </w:r>
          </w:p>
        </w:tc>
        <w:tc>
          <w:tcPr>
            <w:tcW w:w="2410" w:type="dxa"/>
            <w:shd w:val="clear" w:color="auto" w:fill="auto"/>
          </w:tcPr>
          <w:p w:rsidR="00091A0B" w:rsidRPr="00DE0603" w:rsidRDefault="007B1891" w:rsidP="00E76FC7">
            <w:pPr>
              <w:jc w:val="center"/>
              <w:rPr>
                <w:b/>
                <w:lang w:val="bg-BG"/>
              </w:rPr>
            </w:pPr>
            <w:r w:rsidRPr="00DE0603">
              <w:rPr>
                <w:b/>
                <w:lang w:val="bg-BG"/>
              </w:rPr>
              <w:t xml:space="preserve">„Компенсации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w:t>
            </w:r>
            <w:r w:rsidRPr="00DE0603">
              <w:rPr>
                <w:b/>
                <w:lang w:val="bg-BG"/>
              </w:rPr>
              <w:lastRenderedPageBreak/>
              <w:t>кризата в Близкия Изток“</w:t>
            </w:r>
          </w:p>
        </w:tc>
        <w:tc>
          <w:tcPr>
            <w:tcW w:w="8788" w:type="dxa"/>
            <w:shd w:val="clear" w:color="auto" w:fill="auto"/>
          </w:tcPr>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 xml:space="preserve">След извършване на оценка за административно съответствие и допустимост на проектно предложение BG14MFPR001-2.017-0014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и § 70 от Преходните и заключителни разпоредби към ЗИД на ЗУСЕСИФ (Обн. ДВ, бр. 51 от 2022 г.), е установено следното: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Проектното предложение не отговаря на изискванията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посочени в:</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w:t>
            </w:r>
            <w:r w:rsidRPr="00DE0603">
              <w:rPr>
                <w:rFonts w:eastAsia="Calibri"/>
                <w:lang w:val="en-US"/>
              </w:rPr>
              <w:tab/>
              <w:t>Критерий № 16: „Кандидатът отговаря на условията за допустимост съгласно т. 11. Допустими кандидати от Условията за кандидатстване и изпълнение по процедурата.“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w:t>
            </w:r>
            <w:r w:rsidRPr="00DE0603">
              <w:rPr>
                <w:rFonts w:eastAsia="Calibri"/>
                <w:lang w:val="en-US"/>
              </w:rPr>
              <w:tab/>
              <w:t>Критерий № 18: „Изчисленият размер на допустимата БФП е по-голям от 0.00 евро“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w:t>
            </w:r>
            <w:r w:rsidRPr="00DE0603">
              <w:rPr>
                <w:rFonts w:eastAsia="Calibri"/>
                <w:lang w:val="en-US"/>
              </w:rPr>
              <w:tab/>
              <w:t>Изискванията, посочени в т. 9 „Минимален (ако е приложимо)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а именно: „Размерът на компенсацията се изчислява, съгласно т. III от Методиката за изчисление на компенсациите, Приложение № 1 към настоящите условия за кандидатстване и изпълнение.“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След извършената проверка на предоставените документи и съгласно чл. 34, ал. 2 от ЗУСЕФСУ, чрез Модул „Комуникация“ в ИСУН 2020, е изпратено уведомление с регистрационен номер BG14MFPR001-2.017-0014-M001 от 28.11.2026 г., с краен срок за отговор 04.11.2026 г., с което е поискана допълнителна информация от кандидата. В рамките на указаните срокове от кандидата е изискано да бъдат предоставени долуописаните липсващи документи и информация, а именно: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1.</w:t>
            </w:r>
            <w:r w:rsidRPr="00DE0603">
              <w:rPr>
                <w:rFonts w:eastAsia="Calibri"/>
                <w:lang w:val="en-US"/>
              </w:rPr>
              <w:tab/>
              <w:t>Изискана е коректно попълнени декларации към Условията за кандидатстване и изпълнение (Приложение № 9 към УКИ);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2.</w:t>
            </w:r>
            <w:r w:rsidRPr="00DE0603">
              <w:rPr>
                <w:rFonts w:eastAsia="Calibri"/>
                <w:lang w:val="en-US"/>
              </w:rPr>
              <w:tab/>
              <w:t>Коректно попълнена декларация за държавни помощи (Приложение № 10 към УКИ);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3.</w:t>
            </w:r>
            <w:r w:rsidRPr="00DE0603">
              <w:rPr>
                <w:rFonts w:eastAsia="Calibri"/>
                <w:lang w:val="en-US"/>
              </w:rPr>
              <w:tab/>
              <w:t>Годишна данъчна декларация за 2025 г., подадена пред Националната агенция по приходите, съобразно разпоредбите на ЗКПО/ЗДДФЛ;</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4.</w:t>
            </w:r>
            <w:r w:rsidRPr="00DE0603">
              <w:rPr>
                <w:rFonts w:eastAsia="Calibri"/>
                <w:lang w:val="en-US"/>
              </w:rPr>
              <w:tab/>
              <w:t>Отчет за приходи и разходи на кандидата, част от годишния отчет за дейността за 2025 г. към Националния статистически институт;</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5.</w:t>
            </w:r>
            <w:r w:rsidRPr="00DE0603">
              <w:rPr>
                <w:rFonts w:eastAsia="Calibri"/>
                <w:lang w:val="en-US"/>
              </w:rPr>
              <w:tab/>
              <w:t>Междинен Отчет за приходите и разходите и/или счетоводен баланс;</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6.</w:t>
            </w:r>
            <w:r w:rsidRPr="00DE0603">
              <w:rPr>
                <w:rFonts w:eastAsia="Calibri"/>
                <w:lang w:val="en-US"/>
              </w:rPr>
              <w:tab/>
              <w:t>В т. 2 „Данни за кандидата“ от ФК декларирано като код на проекта и код на основната си дейност по КИД 2008 „10.20. „Преработка и консервиране на риба и други водни организми, без готови ястия“, но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„ЕГЕО“ ООД е посочена основна икономическа дейност с код по КИД-2025 - код 46.38 Специализирана търговия на едро с други хранителни стоки в размер на 100 %,  в размер на 100 % от нетни приходи от продажби.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ab/>
              <w:t>Изискана е обосновка за това как проектното предложение отговоря на критериите за допустимост в т.11 „Допустимост на кандидата“ от УКИ по процедурата на база на приходи, отчетени в Раздел VI на ОПР с код от раздели 46 „Търговия на едро“ по КИД-2025.</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7.</w:t>
            </w:r>
            <w:r w:rsidRPr="00DE0603">
              <w:rPr>
                <w:rFonts w:eastAsia="Calibri"/>
                <w:lang w:val="en-US"/>
              </w:rPr>
              <w:tab/>
              <w:t xml:space="preserve">Установено е, че дружеството има задължения към община Бургас (задължения за местни данъци и такса битови отпадъци). В тази връзка изискано е удостоверение от което е видно, липсата на задължения или размерът на неплатените задължения следва да е не повече от 1 на сто от сумата на годишния общ оборот на предприятието-кандидат за последната приключена финансова година, но не повече от 25 564,59 евро.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ab/>
              <w:t>Кандидатът е отговорил на комуникацията в регламентирания срок на 04.11.2026 г., като е представил следните документи: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1. Декларации към Условията за кандидатстване и изпълнение (Приложение 9);</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2. Декларация за държавни помощи (Приложение 10)</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3. Годишна данъчна декларация за 2025 г., подадена пред Националната агенция по приходите;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4. Отчет за приходи и разходи на кандидата, част от годишния отчет за дейността за 2025 г.</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5.  Междинен Отчет за приходите и разходите;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6, 7 и 8 Обяснение и документи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9. Удостоверение от община Бургас за липса на задължения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В отговора си кандидатът представя и следната информация: през 2025 г. и 2026 г. ЕГЕО ООД осъществява стопанска дейност преработка на продукти от риболов и аквакултури и търговска дейност на продукти от риболов и аквакултури. Дружеството притежава преработвателно предприятие регистрирано по Закона за храните (съгласно приложената справка), което осъществява своята дейност на адрес: обл. Бургас, общ. Бургас, Град Бургас, УПИ V-35, масив 142, местност "Мадика". Също така дружеството притежава и обект за търговия регистриран по Закона за храните (съгласно приложената справка) който се намира на адрес: обл. Бургас, общ. Бургас, Град Бургас, ул. „Калоян” 17-19. Продукцията от </w:t>
            </w:r>
            <w:r w:rsidRPr="00DE0603">
              <w:rPr>
                <w:rFonts w:eastAsia="Calibri"/>
                <w:lang w:val="en-US"/>
              </w:rPr>
              <w:lastRenderedPageBreak/>
              <w:t xml:space="preserve">преработвателно предприятие се търгува в търговския обект вследствие приходите на дружеството са отчетени като приходи от търговска дейност в съответствие със специфичните изисквания на НСИ.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При направената служебна справка от Националния статистически институт за 2025 г. на „ЕГЕО“ ООД е посочена основна икономическа дейност с код по КИД-2025 - код 46.38 Специализирана търговия на едро с други хранителни стоки в размер на 100 %,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Проектното предложение не отговаря и на Критерий № 16: „Кандидатът отговаря на условията за допустимост съгласно т. 11. Допустими кандидати от Условията за кандидатстване и изпълнение по процедурата.“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тъй като с писмото с наш Вх. № КХ-1536/26.10.2026 г. БАБХ ни уведомяват, че след влизането в сила на Закона за храните (Oбн., ДВ, бр. 52 от 9.06.2020 г.) има промени </w:t>
            </w:r>
            <w:r w:rsidRPr="00DE0603">
              <w:rPr>
                <w:rFonts w:eastAsia="Calibri"/>
                <w:lang w:val="en-US"/>
              </w:rPr>
              <w:lastRenderedPageBreak/>
              <w:t>в режимите на регистрация и одобрение на обектите за производство, преработка и/или дистрибуция на храни. Обектите, произвеждащи, преработващи и дистрибутиращи храни от неживотински произход, подлежат на режим на регистрация по реда на чл. 26 от Закона за храните, а тези от животински произход на режим на одобрение – по реда на чл. 31 от Закона за храните.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В конкретния случай кандидатът е регистриран по реда на чл. 26 и притежава обект за търговия – магазин за риба и рибни продукти, поради което не може да се приеме, че кандидатът е осъществявал стопанска дейност преработка на продукти от риболов и аквакултури през 2025 г. и през 2026 г., има регистрирано преработвателно предприятие, както и че има подадена Годишна данъчна декларация за 2025 г. пред НАП, съобразно разпоредбите на ЗКПО/ЗДДФЛ. (Наличието на подадена годишна данъчна декларация за 2025 г. е задължително условие за предоставянето на компенсация, като декларация с нулеви приходи по дейността няма да се приема). В Годишна данъчна декларация за 2025 г. пред НАП е декларирана основна дейност 46.38.</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След извършена оценка на проектното предложение и направено изчисление на компенсацията за повишаването на цените на основните разходи на операторите – суровини и гориво при преработка на продукти от риболов и аквакултури, </w:t>
            </w:r>
            <w:r w:rsidRPr="00DE0603">
              <w:rPr>
                <w:rFonts w:eastAsia="Calibri"/>
                <w:lang w:val="en-US"/>
              </w:rPr>
              <w:lastRenderedPageBreak/>
              <w:t xml:space="preserve">съгласно горепосочените указания, както и съгласно Приложение № 1 Методика за изчисление на компенсациите, където за подсектор преработка на продукти от риболов и аквакултури: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Компенсацията за собствениците на преработвателни предприятия се изчислява по следния метод:</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БФП = Z*P, където: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w:t>
            </w:r>
            <w:r w:rsidRPr="00DE0603">
              <w:rPr>
                <w:rFonts w:eastAsia="Calibri"/>
                <w:lang w:val="en-US"/>
              </w:rPr>
              <w:tab/>
              <w:t>Z e oбщият коефициент на компенсация (електроенергия+персонал+суровини)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P- Крайната стойност на P за подсектор „преработка на продукти от риболов и аквакултури “ се определя съгласно общото правило по-горе, а именно: от e стойността на нетните приходи от продажби на ред „Продукция“ (код 15110) и ред „Стоки“ (код 15120) от приходната част на Отчета за приходи и разходи (ОПР) за 2025 г. на кандидата, превалутирани в евро по курса 1.95583 лева за едно евро се приспада общата печалба на кандидата съгласно общото правило за определяне на базата за компенсация по-горе. В случай че предприятието има приходи от дейност различна от преработка на продукти от риболо</w:t>
            </w:r>
            <w:bookmarkStart w:id="0" w:name="_GoBack"/>
            <w:bookmarkEnd w:id="0"/>
            <w:r w:rsidRPr="00DE0603">
              <w:rPr>
                <w:rFonts w:eastAsia="Calibri"/>
                <w:lang w:val="en-US"/>
              </w:rPr>
              <w:t xml:space="preserve">в и аквакултури, при изчислението на компенсацията се взимат нетните приходи от продажби в Раздел VI от ОПР - </w:t>
            </w:r>
            <w:r w:rsidRPr="00DE0603">
              <w:rPr>
                <w:rFonts w:eastAsia="Calibri"/>
                <w:lang w:val="en-US"/>
              </w:rPr>
              <w:lastRenderedPageBreak/>
              <w:t xml:space="preserve">Нетни приходи от продажби по икономически дейности с код по КИД 2025 - код 10.20 „Преработка и консервиране на риба и други водни животни, без готови ястия“ за 2025 г.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Безвъзмездната финансова помощ се формира по следния начин: базата за изчисление на компенсацията, определена съгласно горното правило, като е установено, че изчислението води до резултат „0“ (нула). Това е поради факта, че съгласно Отчета за приходи и разходи за 2025 г., в раздел „Нетни приходи от продажби по икономически дейности“ в годишната данъчна декларация за 2025 г., кандидатът няма отчетени приходи от продажби с код по КИД 2008 - 10.20 „Преработка и консервиране на риба и други водни животни, без готови ястия“ за 2023 г.</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С представеното обяснение, както и съгласно представените изискуеми документи по реда на т. 24 от УКИ, кандидатът доказва, че притежава единствено обект за търговия на едро с други хранителни стоки, и поради тази причина и пред НАП и НСИ е регистрирал своите приходи единствено по основна икономическа дейност с код по КИД-2025 - код 46.38 Специализирана търговия на едро с други хранителни стоки в размер на 100 %, но не са посочени приходи от икономически </w:t>
            </w:r>
            <w:r w:rsidRPr="00DE0603">
              <w:rPr>
                <w:rFonts w:eastAsia="Calibri"/>
                <w:lang w:val="en-US"/>
              </w:rPr>
              <w:lastRenderedPageBreak/>
              <w:t>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Имайки предвид гореизложеното, при извършване на изчисленията за определяне на размера на компенсацията за допълнителните разходи и за пропуснатите им доходи поради сътресението на пазара (съгласно чл. 26, параграф 2, буква а) от Регламент (ЕС) 2021/1139) съгласно указанията, посочени в т. 9 от УКИ и т. III от Методиката за изчисление на компенсациите, Приложение № 1 към тях, е получен отрицателен резултат –                       БФП= -10 170,89 евро.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Следователно може да се направи обосновано заключение, че проектното предложение не отговаря и на Критерий № 18: „Изчисленият размер на допустимата БФП е по-голям от 0.00 евро“ от Приложение № 4 „Критерии и методология за оценка на проектни предложения по процедура за подбор на проекти № BG14MFPR001-2.017.</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Съгласно инструкциите в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към УКИ, т. </w:t>
            </w:r>
            <w:r w:rsidRPr="00DE0603">
              <w:rPr>
                <w:rFonts w:eastAsia="Calibri"/>
                <w:lang w:val="en-US"/>
              </w:rPr>
              <w:lastRenderedPageBreak/>
              <w:t>1. Административно съответствие и допустимост:“ към Условията за кандидатстване и изпълнение при несъответствие с изискванията по т. 9, т. 10, т. 14, т. 15, и т. 18 проектното предложение се отхвърля.</w:t>
            </w:r>
          </w:p>
          <w:p w:rsidR="00091A0B" w:rsidRPr="00851B29" w:rsidRDefault="00DE0603" w:rsidP="00DE0603">
            <w:pPr>
              <w:spacing w:after="160" w:line="259" w:lineRule="auto"/>
              <w:ind w:firstLine="720"/>
              <w:jc w:val="both"/>
              <w:rPr>
                <w:rFonts w:eastAsia="Calibri"/>
                <w:lang w:val="en-US"/>
              </w:rPr>
            </w:pPr>
            <w:r w:rsidRPr="00DE0603">
              <w:rPr>
                <w:rFonts w:eastAsia="Calibri"/>
                <w:lang w:val="en-US"/>
              </w:rPr>
              <w:t>Поради изложените по-горе аргументи, проектно предложение с рег. №BG14MFPR001-2.017-0014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кандидат: „ЕГЕО ООД“, ЕИК: 147075466 е включено в Списъка на проектните предложения, които не се допускат до етап Техническа и финансова оценка по настоящата процедура.</w:t>
            </w:r>
          </w:p>
        </w:tc>
      </w:tr>
      <w:tr w:rsidR="007B1891" w:rsidRPr="00D7495B" w:rsidTr="00452D77">
        <w:tc>
          <w:tcPr>
            <w:tcW w:w="567" w:type="dxa"/>
            <w:shd w:val="clear" w:color="auto" w:fill="auto"/>
          </w:tcPr>
          <w:p w:rsidR="007B1891" w:rsidRPr="00851B29" w:rsidRDefault="00DE0603" w:rsidP="00E76FC7">
            <w:pPr>
              <w:jc w:val="center"/>
              <w:rPr>
                <w:b/>
                <w:lang w:val="en-US"/>
              </w:rPr>
            </w:pPr>
            <w:r>
              <w:rPr>
                <w:b/>
                <w:lang w:val="en-US"/>
              </w:rPr>
              <w:lastRenderedPageBreak/>
              <w:t>2.</w:t>
            </w:r>
          </w:p>
        </w:tc>
        <w:tc>
          <w:tcPr>
            <w:tcW w:w="2269" w:type="dxa"/>
            <w:shd w:val="clear" w:color="auto" w:fill="auto"/>
          </w:tcPr>
          <w:p w:rsidR="007B1891" w:rsidRPr="00851B29" w:rsidRDefault="00DE0603" w:rsidP="00E76FC7">
            <w:pPr>
              <w:jc w:val="center"/>
              <w:rPr>
                <w:b/>
                <w:lang w:val="bg-BG"/>
              </w:rPr>
            </w:pPr>
            <w:r w:rsidRPr="00DE0603">
              <w:rPr>
                <w:b/>
                <w:lang w:val="bg-BG"/>
              </w:rPr>
              <w:t>BG14MFPR001-2.017-0015</w:t>
            </w:r>
          </w:p>
        </w:tc>
        <w:tc>
          <w:tcPr>
            <w:tcW w:w="1984" w:type="dxa"/>
            <w:shd w:val="clear" w:color="auto" w:fill="auto"/>
          </w:tcPr>
          <w:p w:rsidR="007B1891" w:rsidRPr="00851B29" w:rsidRDefault="00DE0603" w:rsidP="00E76FC7">
            <w:pPr>
              <w:jc w:val="center"/>
              <w:rPr>
                <w:b/>
                <w:lang w:val="bg-BG"/>
              </w:rPr>
            </w:pPr>
            <w:r w:rsidRPr="00DE0603">
              <w:rPr>
                <w:b/>
                <w:lang w:val="bg-BG"/>
              </w:rPr>
              <w:t>„ДАНЕЛ-97“ ООД</w:t>
            </w:r>
          </w:p>
        </w:tc>
        <w:tc>
          <w:tcPr>
            <w:tcW w:w="2410" w:type="dxa"/>
            <w:shd w:val="clear" w:color="auto" w:fill="auto"/>
          </w:tcPr>
          <w:p w:rsidR="007B1891" w:rsidRPr="00851B29" w:rsidRDefault="007B1891" w:rsidP="00E76FC7">
            <w:pPr>
              <w:jc w:val="center"/>
              <w:rPr>
                <w:b/>
                <w:lang w:val="bg-BG"/>
              </w:rPr>
            </w:pPr>
          </w:p>
        </w:tc>
        <w:tc>
          <w:tcPr>
            <w:tcW w:w="8788" w:type="dxa"/>
            <w:shd w:val="clear" w:color="auto" w:fill="auto"/>
          </w:tcPr>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След извършване на оценка за административно съответствие и допустимост на проектно предложение № BG14MFPR001-2.017-0015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Проектното предложение не отговаря на:</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w:t>
            </w:r>
            <w:r w:rsidRPr="00DE0603">
              <w:rPr>
                <w:rFonts w:eastAsia="Calibri"/>
                <w:lang w:val="en-US"/>
              </w:rPr>
              <w:tab/>
              <w:t>Критерий № 16: „Кандидатът отговаря на условията за допустимост съгласно т. 11. Допустими кандидати от Условията за кандидатстване и изпълнение по процедурата.“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w:t>
            </w:r>
            <w:r w:rsidRPr="00DE0603">
              <w:rPr>
                <w:rFonts w:eastAsia="Calibri"/>
                <w:lang w:val="en-US"/>
              </w:rPr>
              <w:tab/>
              <w:t>Критерий № 18: „Изчисленият размер на допустимата БФП е по-голям от 0.00 евро“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w:t>
            </w:r>
            <w:r w:rsidRPr="00DE0603">
              <w:rPr>
                <w:rFonts w:eastAsia="Calibri"/>
                <w:lang w:val="en-US"/>
              </w:rPr>
              <w:tab/>
              <w:t xml:space="preserve">Изискванията, посочени в т. 9 „Минимален (ако е приложимо)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w:t>
            </w:r>
            <w:r w:rsidRPr="00DE0603">
              <w:rPr>
                <w:rFonts w:eastAsia="Calibri"/>
                <w:lang w:val="en-US"/>
              </w:rPr>
              <w:lastRenderedPageBreak/>
              <w:t>на пазара“, чл. 26, параграф 2,  буква а) от Регламент (ЕС) 2021/1139”, а именно: „Размерът на компенсацията се изчислява, съгласно т. III от Методиката за изчисление на компенсациите, Приложение № 1 към настоящите условия за кандидатстване и изпълнение.“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I. Проведена комуникация с кандидата</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След извършена проверка на предоставените документи и съответствие с критериите за допустимост съгласно чл. 34, ал. 2 от ЗУСЕФСУ, чрез Модул „Комуникация“ в ИСУН до кандидата е изпратена комуникация с регистрационен номер BG14MFPR001-2.017-0015-M001 /28.10.2026 г., със срок за отговор 7 календарни дни, от кандидата е поискано, наред с други документи, да представи и следните обосновки: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1.</w:t>
            </w:r>
            <w:r w:rsidRPr="00DE0603">
              <w:rPr>
                <w:rFonts w:eastAsia="Calibri"/>
                <w:lang w:val="en-US"/>
              </w:rPr>
              <w:tab/>
              <w:t>Годишна данъчна декларация за 2025 г., подадена пред Националната агенция по приходите, съобразно разпоредбите на ЗКПО/ЗДДФЛ. – Прикачения файл към ФК е празен/бял сканиран лист. Следва да представите ГДД за 2025 г., подадена пред НАП, ведно с доказателство за подаване (входящ номер). Не се приемат „нулеви“ годишни данъчни декларации. При наличие на коригираща такава, същата също следва да бъде приложена.</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2.</w:t>
            </w:r>
            <w:r w:rsidRPr="00DE0603">
              <w:rPr>
                <w:rFonts w:eastAsia="Calibri"/>
                <w:lang w:val="en-US"/>
              </w:rPr>
              <w:tab/>
              <w:t>В т. 2 „Данни за кандидата“ от ФК сте декларирали като код на проекта и код на основната си дейност по КИД 2008 „10.20. „Преработка и консервиране на риба и други водни организми, без готови ястия“, но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„ДАНЕЛ-97” ООД е посочена основна икономическа дейност с код по КИД-2025 - код 46.38. Специализирана търговия на едро с други хранителни стоки“ в размер на 99,9% от нетни приходи от продажби и допълнителна икономическа дейност с код по КИД-2025 - код 77.11. Даване под наем и оперативен лизинг на леки и лекотоварни автомобили, без водач“ в размер на 0,1% от нетни приходи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В тази връзка моля да представите подробна обосновка за констатираното несъответствие,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300 000 евро.“(т. 7 от писмото);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3.</w:t>
            </w:r>
            <w:r w:rsidRPr="00DE0603">
              <w:rPr>
                <w:rFonts w:eastAsia="Calibri"/>
                <w:lang w:val="en-US"/>
              </w:rPr>
              <w:tab/>
              <w:t>С настоящото проектно предложение сте заявили компенсация за преработвателно предприятия, управлявано от Вас, но следва да имате предвид, че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„ДАНЕЛ-97” ООД е посочена основна икономическа дейност с код по КИД-2025 - код 46.38. Специализирана търговия на едро с други хранителни стоки“ в размер на 99,9% от нетни преходи от продажби и допълнителна икономическа дейност с код по КИД-2025 - код 77.11. Даване под наем и оперативен лизинг на леки и лекотоварни автомобили, без водач“ в размер на 0,1% от нетни преходи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В тази връзка моля да представите подробна обосновка за констатираното обстоятелство,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300 000 евро.“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Във връзка с горната точка имайте предвид, че съгласно разяснение № BG14MFPR001-2.017-Q003 (публикувани на следния адрес: </w:t>
            </w:r>
            <w:r w:rsidRPr="00DE0603">
              <w:rPr>
                <w:rFonts w:eastAsia="Calibri"/>
                <w:lang w:val="en-US"/>
              </w:rPr>
              <w:lastRenderedPageBreak/>
              <w:t>https://www.eufunds.bg/bg/pmdr/node/21469 ) и задължително за всички кандидати съгласно чл. 26, ал. 8 от ЗУСЕФСУ, Управляващия орган на ПМДРА е указал, че съгласно т. III от Методиката за изчисление на компенсациите, при определяне на размера на компенсацията за подсектор преработка на продукти от риболов и аквакултури се вземат предвид единствено декларираните нетни приходи от продажби от ред „Продукция“ (код 15110) и ред „Стоки“ (код 15120) от Отчета за от приходите и разходите (ОПР) за 2025 г., като от тях се приспада абсолютната стойност на печалбата на кандидата за същата година. В случай че предприятието осъществява и други икономически дейности, при изчисляването се вземат предвид нетните приходи от продажби по икономически дейности, отчетени в Раздел VI на ОПР, с код по КИД-2025 10.20 „Преработка и консервиране на риба и други водни животни,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В тази връзка, в т. III от Методиката за изчисление на компенсациите не се предвижда изчисление на компенсацията на база на приходи, отчетени в Раздел VI на ОПР с кодове от раздели 46 „Търговия на едро“ и 47 „Търговия на дребно“ по КИД-2025, включително когато същите произтичат от реализацията на продукти, преминали през процеси на обработка на риба и/или аквакултури. (т. 8 от писмото);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4.</w:t>
            </w:r>
            <w:r w:rsidRPr="00DE0603">
              <w:rPr>
                <w:rFonts w:eastAsia="Calibri"/>
                <w:lang w:val="en-US"/>
              </w:rPr>
              <w:tab/>
              <w:t>Съгласно т. 11, ал. 2 от УКИ допустими по настоящата процедура са кандидати, които са осъществявали стопанска дейност преработка на продукти от риболов и аквакултури през 2025 г. и през 2026 г. По информация от Националния статистически институт за 2025г. по отношение на „ДАНЕЛ-97” ООД е посочена основна икономическа дейност с код по КИД-2025 - код 46.38. Специализирана търговия на едро с други хранителни стоки“ в размер на 99,9% от нетни преходи от продажби и допълнителна икономическа дейност с код по КИД-2025 - код 77.11. Даване под наем и оперативен лизинг на леки и лекотоварни автомобили, без водач“ в размер на 0,1% от нетни преходи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Във връзка с горепосоченото обосновете как отговаряте на изискванията за допустимост в УКИ по процедурата на база на приходи, отчетени в Раздел VI на ОПР с кодове от раздели 46 „Търговия на едро“ и 47 „Търговия на дребно“ по КИД-2025, но не и от раздел C ПРЕРАБОТВАЩА ПРОМИШЛЕНОСТ, група 10 Производство на хранителни продукти съгласно действащата класификация на икономическите дейности 2025 (КИД-2025) на Националния статистически </w:t>
            </w:r>
            <w:r w:rsidRPr="00DE0603">
              <w:rPr>
                <w:rFonts w:eastAsia="Calibri"/>
                <w:lang w:val="en-US"/>
              </w:rPr>
              <w:lastRenderedPageBreak/>
              <w:t xml:space="preserve">институт (https://www.nsi.bg/pages/klasifikaciya-na-ikonomicheskite-deinosti-2025-kid-2025-902).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По т. 7, 8 и 9 в отговор си от 03.11.2026 г. кандидатът е представил един и същ отговор, а именно обяснителна записка че през 2025 г. и 2026 г.  „ДАНЕЛ-97” ООД осъществява стопанска дейност в преработка на продукти от риболов и аквакултури в две одобрени преработвателни предприятия - BG2213011 и BG2213015.</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Дружеството притежава две преработвателни предприятия регистрирани по Закона за храните (съгласно приложената справка).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Продукцията от преработвателно предприятие се търгува и вследствие приходите на дружеството са отчетени в КИД-2025 - код 46.38. Специализирана търговия на едро с други хранителни стоки“ в размер на 99,9% от нетни приходи от продажби от търговска дейност в съответствие със специфичните изисквания на НСИ.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Моля да бъде отчетено, че дружеството отговаря на всички изисквания за допустимост в т. 11, ал. 2 от УКИ: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Изискване в т.11 от УКИ</w:t>
            </w:r>
            <w:r w:rsidRPr="00DE0603">
              <w:rPr>
                <w:rFonts w:eastAsia="Calibri"/>
                <w:lang w:val="en-US"/>
              </w:rPr>
              <w:tab/>
              <w:t xml:space="preserve">Доказателство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1.1. са еднолични търговци (ЕТ) или юридически лица, регистрирани по Търговския закон.</w:t>
            </w:r>
            <w:r w:rsidRPr="00DE0603">
              <w:rPr>
                <w:rFonts w:eastAsia="Calibri"/>
                <w:lang w:val="en-US"/>
              </w:rPr>
              <w:tab/>
              <w:t xml:space="preserve">Дружеството е регистрирано по ТЗ.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1.2. са регистрирани по реда на чл. 12 от Закона за храните (отм.) или по чл. 26 от Закона за храните и да са вписани в регистъра на Българска агенция по безопасност на храните (БАБХ) преди датата на подаване на формуляра за кандидатстване по настоящата процедура.</w:t>
            </w:r>
            <w:r w:rsidRPr="00DE0603">
              <w:rPr>
                <w:rFonts w:eastAsia="Calibri"/>
                <w:lang w:val="en-US"/>
              </w:rPr>
              <w:tab/>
              <w:t>Извлечение от регистъра на БАБХ показващ регистрация на предприятията.</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2. Допустими по настоящата процедура са кандидати, които са осъществявали стопанска дейност преработка на продукти от риболов и аквакултури през 2025 г. и през 2026 г.</w:t>
            </w:r>
            <w:r w:rsidRPr="00DE0603">
              <w:rPr>
                <w:rFonts w:eastAsia="Calibri"/>
                <w:lang w:val="en-US"/>
              </w:rPr>
              <w:tab/>
              <w:t>Извлечение от регистъра на БАБХ показващ статус на предприятията „Активни“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3. Имат подадена Годишна данъчна декларация за 2025 г. пред НАП, съобразно разпоредбите на ЗКПО/ЗДДФЛ.</w:t>
            </w:r>
            <w:r w:rsidRPr="00DE0603">
              <w:rPr>
                <w:rFonts w:eastAsia="Calibri"/>
                <w:lang w:val="en-US"/>
              </w:rPr>
              <w:tab/>
              <w:t>Приложена Годишна данъчна декларация за 2025 г. пред НАП</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С отговора си кандидата дава обосновка за съответствие с т. 11, ал. 1 от УКИ по процедурата, но не и за съответствието с т. 11, ал. 2 от УКИ и критерии № 18 от Приложение № 4 към УКИ, а именно, че допустими по настоящата процедура са кандидати, които са осъществявали стопанска дейност преработка на продукти от риболов и аквакултури през 2025 г. и през 2026 г. По информация от Националния статистически институт за 2025г. по отношение на „ДАНЕЛ-97” ООД е посочена основна икономическа дейност с код по КИД-2025 - код 46.38. Специализирана търговия на едро с други хранителни стоки“ в размер на 99,9% от нетни преходи от продажби и допълнителна икономическа дейност с код по КИД-2025 - код 77.11. Даване под наем и оперативен лизинг на леки и лекотоварни автомобили, без водач“ в размер на 0,1% от нетни преходи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След преглед на представените отговори и на документите към проектното предложение, оценителната комисия констатира следното: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II. Проектното предложение не отговаря и на Критерий № 16: „Кандидатът отговаря на условията за допустимост съгласно т. 11. Допустими кандидати от Условията за кандидатстване и изпълнение по процедурата.“ от Приложение № 4 </w:t>
            </w:r>
            <w:r w:rsidRPr="00DE0603">
              <w:rPr>
                <w:rFonts w:eastAsia="Calibri"/>
                <w:lang w:val="en-US"/>
              </w:rPr>
              <w:lastRenderedPageBreak/>
              <w:t>„Критерии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тъй като в конкретния случай допустими по настоящата процедура са кандидати, които са осъществявали стопанска дейност по преработка на продукти от риболов и аквакултури през 2025 г. и през 2026 г. По информация от Националния статистически институт за 2025г. по отношение на „ДАНЕЛ-97” ООД е посочена основна икономическа дейност с код по КИД-2025 - код 46.38. Специализирана търговия на едро с други хранителни стоки“ в размер на 99,9% от нетни преходи от продажби и допълнителна икономическа дейност с код по КИД-2025 - код 77.11. Даване под наем и оперативен лизинг на леки и лекотоварни автомобили, без водач“ в размер на 0,1% от нетни преходи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Кандидатът не отговаря на критерий № 16 тъй като оценителната комисия не може да приема, че има подадена Годишна данъчна декларация за 2025 г. пред НАП, съобразно разпоредбите на ЗКПО/ЗДДФЛ, а наличието на подадена годишна </w:t>
            </w:r>
            <w:r w:rsidRPr="00DE0603">
              <w:rPr>
                <w:rFonts w:eastAsia="Calibri"/>
                <w:lang w:val="en-US"/>
              </w:rPr>
              <w:lastRenderedPageBreak/>
              <w:t>данъчна декларация за 2025 г. е задължително условие за предоставянето на компенсация, като декларация с нулеви приходи по дейността няма да се приема.</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Представената в отговор на писмо за доп. информация - BG14MFPR001-2.017-0019-M001 от 04.11.2026 г. по т. 3 от същото Годишна данъчна декларация за 2025 г. липсват изисканите доказателство за подаването и ̀ (входящ номер) пред НАП.</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Проектното предложение не отговаря и на изискванията, посочени в т. 9 „Минимален (ако е приложимо)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а именно: „Размерът на компенсацията се изчислява, съгласно т. III от Методиката за изчисление на компенсациите, Приложение № 1 към настоящите условия за кандидатстване и изпълнение.“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С процедура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w:t>
            </w:r>
            <w:r w:rsidRPr="00DE0603">
              <w:rPr>
                <w:rFonts w:eastAsia="Calibri"/>
                <w:lang w:val="en-US"/>
              </w:rPr>
              <w:lastRenderedPageBreak/>
              <w:t>се цели предоставяне на компенсации на операторите, заети в преработка на продукти от риболов и аквакултури за допълнителните разходи, които са понесли за пазарните смущения поради въздействието върху световните цени на петрола, забавянията на корабоплаването и нестабилността на веригата за доставки.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След извършена оценка на проектното предложение и направено изчисление на компенсацията за всички оператори в стопанския риболов, аквакултурите и преработката за пазарните смущения поради въздействието върху световните цени на петрола, забавянията на корабоплаването и нестабилността на веригата за доставки, съгласно т. III от Приложение № 1 Методика за изчисление на компенсациите по Програма за морско дело, рибарство и аквакултури 2021-2027 г.: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III.</w:t>
            </w:r>
            <w:r w:rsidRPr="00DE0603">
              <w:rPr>
                <w:rFonts w:eastAsia="Calibri"/>
                <w:lang w:val="en-US"/>
              </w:rPr>
              <w:tab/>
              <w:t>За подсектор преработка на продукти от риболов и аквакултури са допустими за компенсиране разходи за суровини, електроенергия и персонал.</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Групи разходи</w:t>
            </w:r>
            <w:r w:rsidRPr="00DE0603">
              <w:rPr>
                <w:rFonts w:eastAsia="Calibri"/>
                <w:lang w:val="en-US"/>
              </w:rPr>
              <w:tab/>
              <w:t>Инфлация/увеличение спрямо предходната година в % (X)</w:t>
            </w:r>
            <w:r w:rsidRPr="00DE0603">
              <w:rPr>
                <w:rFonts w:eastAsia="Calibri"/>
                <w:lang w:val="en-US"/>
              </w:rPr>
              <w:tab/>
              <w:t>Теглови коефициент (Y)</w:t>
            </w:r>
            <w:r w:rsidRPr="00DE0603">
              <w:rPr>
                <w:rFonts w:eastAsia="Calibri"/>
                <w:lang w:val="en-US"/>
              </w:rPr>
              <w:tab/>
              <w:t>общ коефициент</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(Z=X*Y)</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Електроенергия </w:t>
            </w:r>
            <w:r w:rsidRPr="00DE0603">
              <w:rPr>
                <w:rFonts w:eastAsia="Calibri"/>
                <w:lang w:val="en-US"/>
              </w:rPr>
              <w:tab/>
              <w:t>2.7 %</w:t>
            </w:r>
            <w:r w:rsidRPr="00DE0603">
              <w:rPr>
                <w:rFonts w:eastAsia="Calibri"/>
                <w:lang w:val="en-US"/>
              </w:rPr>
              <w:tab/>
              <w:t>2.10 %</w:t>
            </w:r>
            <w:r w:rsidRPr="00DE0603">
              <w:rPr>
                <w:rFonts w:eastAsia="Calibri"/>
                <w:lang w:val="en-US"/>
              </w:rPr>
              <w:tab/>
              <w:t>0.06 %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Възнаграждения на персонал</w:t>
            </w:r>
            <w:r w:rsidRPr="00DE0603">
              <w:rPr>
                <w:rFonts w:eastAsia="Calibri"/>
                <w:lang w:val="en-US"/>
              </w:rPr>
              <w:tab/>
              <w:t>6,97 %</w:t>
            </w:r>
            <w:r w:rsidRPr="00DE0603">
              <w:rPr>
                <w:rFonts w:eastAsia="Calibri"/>
                <w:lang w:val="en-US"/>
              </w:rPr>
              <w:tab/>
              <w:t>13.25 %</w:t>
            </w:r>
            <w:r w:rsidRPr="00DE0603">
              <w:rPr>
                <w:rFonts w:eastAsia="Calibri"/>
                <w:lang w:val="en-US"/>
              </w:rPr>
              <w:tab/>
              <w:t xml:space="preserve">0,92 %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Суровини</w:t>
            </w:r>
            <w:r w:rsidRPr="00DE0603">
              <w:rPr>
                <w:rFonts w:eastAsia="Calibri"/>
                <w:lang w:val="en-US"/>
              </w:rPr>
              <w:tab/>
              <w:t>8.6 %</w:t>
            </w:r>
            <w:r w:rsidRPr="00DE0603">
              <w:rPr>
                <w:rFonts w:eastAsia="Calibri"/>
                <w:lang w:val="en-US"/>
              </w:rPr>
              <w:tab/>
              <w:t>63.01 %</w:t>
            </w:r>
            <w:r w:rsidRPr="00DE0603">
              <w:rPr>
                <w:rFonts w:eastAsia="Calibri"/>
                <w:lang w:val="en-US"/>
              </w:rPr>
              <w:tab/>
              <w:t>5.42 %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Общ коефициент на компенсация (електроенергия+персонал+суровини)</w:t>
            </w:r>
            <w:r w:rsidRPr="00DE0603">
              <w:rPr>
                <w:rFonts w:eastAsia="Calibri"/>
                <w:lang w:val="en-US"/>
              </w:rPr>
              <w:tab/>
              <w:t xml:space="preserve">6,40 %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Компенсацията за собствениците на преработвателни предприятия се изчислява по следния метод:</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БФП = Z*P, където: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w:t>
            </w:r>
            <w:r w:rsidRPr="00DE0603">
              <w:rPr>
                <w:rFonts w:eastAsia="Calibri"/>
                <w:lang w:val="en-US"/>
              </w:rPr>
              <w:tab/>
              <w:t>Z e oбщият коефициент на компенсация (електроенергия+персонал+суровини)</w:t>
            </w:r>
          </w:p>
          <w:p w:rsidR="00DE0603" w:rsidRPr="00DE0603" w:rsidRDefault="00DE0603" w:rsidP="00DE0603">
            <w:pPr>
              <w:spacing w:after="160" w:line="259" w:lineRule="auto"/>
              <w:ind w:firstLine="720"/>
              <w:jc w:val="both"/>
              <w:rPr>
                <w:rFonts w:eastAsia="Calibri"/>
                <w:lang w:val="en-US"/>
              </w:rPr>
            </w:pPr>
            <w:r>
              <w:rPr>
                <w:rFonts w:eastAsia="Calibri"/>
                <w:lang w:val="en-US"/>
              </w:rPr>
              <w:t>-</w:t>
            </w:r>
            <w:r w:rsidRPr="00DE0603">
              <w:rPr>
                <w:rFonts w:eastAsia="Calibri"/>
                <w:lang w:val="en-US"/>
              </w:rPr>
              <w:t>P</w:t>
            </w:r>
            <w:r>
              <w:rPr>
                <w:rFonts w:eastAsia="Calibri"/>
                <w:lang w:val="en-US"/>
              </w:rPr>
              <w:t xml:space="preserve"> </w:t>
            </w:r>
            <w:r w:rsidRPr="00DE0603">
              <w:rPr>
                <w:rFonts w:eastAsia="Calibri"/>
                <w:lang w:val="en-US"/>
              </w:rPr>
              <w:t xml:space="preserve">- Крайната стойност на P за подсектор „преработка на продукти от риболов и аквакултури “ се определя съгласно общото правило по-горе, а именно: от e стойността на нетните приходи от продажби на ред „Продукция“ (код 15110) и ред „Стоки“ (код 15120) от приходната част на Отчета за приходи и разходи (ОПР) за 2025 г. на кандидата, превалутирани в евро по курса 1.95583 лева за едно евро се приспада общата печалба на кандидата съгласно общото правило за определяне на базата за компенсация по-горе. </w:t>
            </w:r>
            <w:r>
              <w:rPr>
                <w:rFonts w:eastAsia="Calibri"/>
                <w:lang w:val="en-US"/>
              </w:rPr>
              <w:t xml:space="preserve"> </w:t>
            </w:r>
            <w:r w:rsidR="00855B28" w:rsidRPr="00DE0603">
              <w:rPr>
                <w:rFonts w:eastAsia="Calibri"/>
                <w:lang w:val="en-US"/>
              </w:rPr>
              <w:t xml:space="preserve">В </w:t>
            </w:r>
            <w:r w:rsidR="00855B28">
              <w:rPr>
                <w:rFonts w:eastAsia="Calibri"/>
                <w:lang w:val="en-US"/>
              </w:rPr>
              <w:t>случай</w:t>
            </w:r>
            <w:r>
              <w:rPr>
                <w:rFonts w:eastAsia="Calibri"/>
                <w:lang w:val="bg-BG"/>
              </w:rPr>
              <w:t>,</w:t>
            </w:r>
            <w:r w:rsidRPr="00DE0603">
              <w:rPr>
                <w:rFonts w:eastAsia="Calibri"/>
                <w:lang w:val="en-US"/>
              </w:rPr>
              <w:t xml:space="preserve"> че предприятието има приходи от дейност </w:t>
            </w:r>
            <w:r w:rsidRPr="00DE0603">
              <w:rPr>
                <w:rFonts w:eastAsia="Calibri"/>
                <w:lang w:val="en-US"/>
              </w:rPr>
              <w:lastRenderedPageBreak/>
              <w:t xml:space="preserve">различна от преработка на продукти от риболов и аквакултури, при изчислението на компенсацията се взимат нетните приходи от продажби в Раздел VI от ОПР - Нетни приходи от продажби по икономически дейности с код по КИД 2025 - код 10.20 „Преработка и консервиране на риба и други водни животни, без готови ястия“ за 2025 г.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Получената компенсация</w:t>
            </w:r>
            <w:r>
              <w:rPr>
                <w:rFonts w:eastAsia="Calibri"/>
                <w:lang w:val="en-US"/>
              </w:rPr>
              <w:t xml:space="preserve"> </w:t>
            </w:r>
            <w:r w:rsidRPr="00DE0603">
              <w:rPr>
                <w:rFonts w:eastAsia="Calibri"/>
                <w:lang w:val="en-US"/>
              </w:rPr>
              <w:t>(БФП) се преизчислява за 10 месеца допустим период: БФП и се умножава * 83,</w:t>
            </w:r>
            <w:r>
              <w:rPr>
                <w:rFonts w:eastAsia="Calibri"/>
                <w:lang w:val="en-US"/>
              </w:rPr>
              <w:t xml:space="preserve"> </w:t>
            </w:r>
            <w:r w:rsidRPr="00DE0603">
              <w:rPr>
                <w:rFonts w:eastAsia="Calibri"/>
                <w:lang w:val="en-US"/>
              </w:rPr>
              <w:t>33% и е установено, че изчислението на кандидата води до отрицателен резултат - -33 839,35 (минус тридесет и три хиляди осемстотин тридесет и девет евро и тридесет и пет евроцента). Това е поради факта, че съгласно Отчета за приход</w:t>
            </w:r>
            <w:r>
              <w:rPr>
                <w:rFonts w:eastAsia="Calibri"/>
                <w:lang w:val="en-US"/>
              </w:rPr>
              <w:t>и и разходи за 2025 г.</w:t>
            </w:r>
            <w:r w:rsidRPr="00DE0603">
              <w:rPr>
                <w:rFonts w:eastAsia="Calibri"/>
                <w:lang w:val="en-US"/>
              </w:rPr>
              <w:t xml:space="preserve"> в раздел VI. Нетни приходи от продажби по икономически дейности ( код на реда 15100, кол. 1)“ и годишната данъчна декларация за 2025 г., кандидатът няма отчетени приходи от продажби с код по КИД 2025 - 10.20 „Преработка и консервиране на риба и други водни животни, без готови ястия“ за 2025 г.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След извършената проверка на предоставените документи от кандидата и съгласно чл. 34, ал. 2</w:t>
            </w:r>
            <w:r>
              <w:rPr>
                <w:rFonts w:eastAsia="Calibri"/>
                <w:lang w:val="bg-BG"/>
              </w:rPr>
              <w:t xml:space="preserve"> </w:t>
            </w:r>
            <w:r w:rsidRPr="00DE0603">
              <w:rPr>
                <w:rFonts w:eastAsia="Calibri"/>
                <w:lang w:val="en-US"/>
              </w:rPr>
              <w:t xml:space="preserve"> от ЗУСЕФСУ: „Когато при проверката по ал. 1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w:t>
            </w:r>
            <w:r w:rsidRPr="00DE0603">
              <w:rPr>
                <w:rFonts w:eastAsia="Calibri"/>
                <w:lang w:val="en-US"/>
              </w:rPr>
              <w:lastRenderedPageBreak/>
              <w:t xml:space="preserve">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Отстраняването на нередовностите не може да води до подобряване на качеството на проектното предложение“.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В тази връзка на 28.10.2026 г., чрез Модул „Комуникация“ в ИСУН, е изпратено уведомление с регистрационен номер BG14MFPR001-2.017-0015-M001, с което е поискана допълнителна информация от кандидата за отстраняване на откритата нередовност по т. 8 от комуникацията. Указан е срок до 04.11.2026 г., в който да бъде предоставена мотивирана обосновка на откритото несъответствие, а именно: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 настоящото проектно предложение сте заявили компенсация за преработвателно предприятия, управлявано от Вас, но следва да имате предвид, че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„ДАНЕЛ-97” ООД е посочена основна икономическа дейност с код по КИД-2025 - код 46.38. Специализирана търговия на едро с други хранителни стоки“</w:t>
            </w:r>
            <w:r w:rsidR="00D55D0C">
              <w:rPr>
                <w:rFonts w:eastAsia="Calibri"/>
                <w:lang w:val="bg-BG"/>
              </w:rPr>
              <w:t xml:space="preserve"> </w:t>
            </w:r>
            <w:r w:rsidRPr="00DE0603">
              <w:rPr>
                <w:rFonts w:eastAsia="Calibri"/>
                <w:lang w:val="en-US"/>
              </w:rPr>
              <w:t xml:space="preserve">в размер на 99,9% от нетни преходи от продажби и допълнителна </w:t>
            </w:r>
            <w:r w:rsidRPr="00DE0603">
              <w:rPr>
                <w:rFonts w:eastAsia="Calibri"/>
                <w:lang w:val="en-US"/>
              </w:rPr>
              <w:lastRenderedPageBreak/>
              <w:t>икономическа дейност с код по КИД-2025 - код 77.11. Даване под наем и оперативен лизинг на леки и лекотоварни автомобили, без водач“ в размер на 0,1% от нетни преходи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В тази връзка моля да представите подробна обосновка за констатираното обстоятелство,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300 000 евро.“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Кандидатът е отговорил на комуникацията в регламентирания срок, като е посочил следното: „През 2025 г. и 2026 г.  „ДАНЕЛ-97” ООД осъществява стопанска дейност в преработка на продукти от риболов и аквакултури в две одобрени преработвателни предприятия - BG2213011 и BG2213015.</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Дружеството притежава две преработвателни предприятия регистрирани по Закона за храните (съгласно приложената справка).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 xml:space="preserve">Продукцията от преработвателно предприятие се търгува и вследствие приходите на дружеството са отчетени като приходи от търговска дейност в съответствие със специфичните изисквания на НСИ.“. </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 представеното обяснение, както и съгласно представените изискуеми документи по реда на т. 24 от УКИ, кандидатът доказва, че кандидата притежава 2 регистрирани преработвателни предприятия, но е извършвал дейност свързана със специализирана търговия на едро с други хранителни стоки и даване под наем и оперативен лизинг на леки и лекотоварни автомобили, без водач през 2025 г. поради което пред НАП и НСИ е регистрирал своите приходи по основна икономическа дейност с код по КИД-2025 - код 46.38. Специализирана търговия на едро с други хранителни стоки“ в размер на 99,9% от нетни преходи от продажби и допълнителна икономическа дейност с код по КИД-2025 - код 77.11. Даване под наем и оперативен лизинг на леки и лекотоварни автомобили, без водач“ в размер на 0,1% от нетни преходи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 xml:space="preserve">Имайки предвид гореизложеното, при извършване на изчисленията за определяне на размера на компенсацията за допълнителните разходи и за </w:t>
            </w:r>
            <w:r w:rsidRPr="00DE0603">
              <w:rPr>
                <w:rFonts w:eastAsia="Calibri"/>
                <w:lang w:val="en-US"/>
              </w:rPr>
              <w:lastRenderedPageBreak/>
              <w:t>пропуснатите им доходи поради сътресението на пазара (съгласно чл. 26, параграф 2, буква а) от Регламент (ЕС) 2021/1139) съгласно указанията, посочени в т. 9 от УКИ и т. III от Методиката за изчисление на компенсациите, Приложение № 1 към тях, е получен отрицателен резултат - -33 839,35 евро: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БФП = 6.4%*-634 513,22 умножена по 83,33% е равна на - 33 839,35 евро.</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III. Заключение</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Съгласно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към Условията за кандидатстване и изпълнение, кандидатът не отговаря на критерии № 18 „ Изчисленият размер на допустимата БФП е по-голям от 0.00 евро.“ и на критерии № 16 „Кандидатът отговаря на условията за допустимост съгласно т. 11. Допустими кандидати от Условията за кандидатстване и изпълнение по процедурата.“ В случай, че по време на оценката се установи наличие на недопустима компенсация, оценителната комисия служебно премахва/коригира съответните разходи от бюджета на проекта.</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lastRenderedPageBreak/>
              <w:t>Извършените корекции на данни в бюджета не могат да водят до: увеличаване на размера на безвъзмездната финансова помощ, предвидени в подаденото проектно предложение, невъзможност за изпълнение на целите на проекта или на проектните дейности, нарушаване на принципите по чл. 29, ал. 1, т. 1 и 2 от ЗУСЕФСУ.</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В допълнение по време на сесията по въпроси и отговори по процедурата съгласно разяснение № BG14MFPR001-2.017-Q003 (публикувани на следния адрес: https://ww</w:t>
            </w:r>
            <w:r w:rsidR="002C1E90">
              <w:rPr>
                <w:rFonts w:eastAsia="Calibri"/>
                <w:lang w:val="en-US"/>
              </w:rPr>
              <w:t>w.eufunds.bg/bg/pmdr/node/21469</w:t>
            </w:r>
            <w:r w:rsidRPr="00DE0603">
              <w:rPr>
                <w:rFonts w:eastAsia="Calibri"/>
                <w:lang w:val="en-US"/>
              </w:rPr>
              <w:t>) и задължително за всички кандидати съгласно чл. 26, ал. 8 от ЗУСЕФСУ, Управляващия орган на ПМДРА е указал, че съгласно т. III от Методиката за изчисление на компенсациите, при определяне на размера на компенсацията за подсектор преработка на продукти от риболов и аквакултури се вземат предвид единствено декларираните нетни приходи от продажби от ред „Продукция“</w:t>
            </w:r>
            <w:r w:rsidR="003A3923">
              <w:rPr>
                <w:rFonts w:eastAsia="Calibri"/>
                <w:lang w:val="bg-BG"/>
              </w:rPr>
              <w:t xml:space="preserve"> </w:t>
            </w:r>
            <w:r w:rsidRPr="00DE0603">
              <w:rPr>
                <w:rFonts w:eastAsia="Calibri"/>
                <w:lang w:val="en-US"/>
              </w:rPr>
              <w:t xml:space="preserve">(код 15110) и ред „Стоки“ (код 15120) от Отчета за от приходите и разходите (ОПР) за 2025 г., като от тях се приспада абсолютната стойност на печалбата на кандидата за същата година. В случай че предприятието осъществява и други икономически дейности, при изчисляването се вземат предвид нетните приходи от продажби по икономически дейности, отчетени в Раздел VI на ОПР, с код по КИД-2025 10.20 „Преработка и консервиране на риба и други водни животни, без готови ястия“. В тази връзка, в т. III от Методиката за изчисление на </w:t>
            </w:r>
            <w:r w:rsidRPr="00DE0603">
              <w:rPr>
                <w:rFonts w:eastAsia="Calibri"/>
                <w:lang w:val="en-US"/>
              </w:rPr>
              <w:lastRenderedPageBreak/>
              <w:t>компенсациите не се предвижда изчисление на компенсацията на база на приходи, отчетени в Раздел VI на ОПР с кодове от раздели 46 „Търговия на едро“ и 47 „Търговия на дребно“ по КИД-2025, включително когато същите произтичат от реализацията на продукти, преминали през процеси на обработка на риба и/или аквакултури. Кандидатът следователно е бил предварително и конкретно уведомен за това изискване, както и че не се предвижда изчисление на компенсацията на база на приходи, отчетени в Раздел VI на ОПР с кодове от раздели 46 „Търговия на едро“ и 47 „Търговия на дребно“ по КИД-2025, включително когато същите произтичат от реализацията на продукти, преминали през процеси на обработка на риба и/или аквакултури.</w:t>
            </w:r>
          </w:p>
          <w:p w:rsidR="00DE0603" w:rsidRPr="00DE0603" w:rsidRDefault="00DE0603" w:rsidP="00DE0603">
            <w:pPr>
              <w:spacing w:after="160" w:line="259" w:lineRule="auto"/>
              <w:ind w:firstLine="720"/>
              <w:jc w:val="both"/>
              <w:rPr>
                <w:rFonts w:eastAsia="Calibri"/>
                <w:lang w:val="en-US"/>
              </w:rPr>
            </w:pPr>
            <w:r w:rsidRPr="00DE0603">
              <w:rPr>
                <w:rFonts w:eastAsia="Calibri"/>
                <w:lang w:val="en-US"/>
              </w:rPr>
              <w:t>Съгласно инструкциите в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към УКИ, т. 1. Административно съответствие и допустимост“ към Условията за кандидатстване и изпълнение при несъответствие с изискванията по т. 9, т. 10, т. 14, т. 15, и т. 18 проектното предложение се отхвърля.</w:t>
            </w:r>
          </w:p>
          <w:p w:rsidR="007B1891" w:rsidRPr="00851B29" w:rsidRDefault="00DE0603" w:rsidP="00DE0603">
            <w:pPr>
              <w:spacing w:after="160" w:line="259" w:lineRule="auto"/>
              <w:ind w:firstLine="720"/>
              <w:jc w:val="both"/>
              <w:rPr>
                <w:rFonts w:eastAsia="Calibri"/>
                <w:lang w:val="en-US"/>
              </w:rPr>
            </w:pPr>
            <w:r w:rsidRPr="00DE0603">
              <w:rPr>
                <w:rFonts w:eastAsia="Calibri"/>
                <w:lang w:val="en-US"/>
              </w:rPr>
              <w:lastRenderedPageBreak/>
              <w:t>Поради изложените по-горе аргументи, проектно предложение с рег. № BG14MFPR001-2.017-0015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кандидат „ДАНЕЛ-97“ ООД, гр. Поморие, ЕИК: 121432893, е включено в Списъка на проектните предложения, които не се допускат до етап „Техническа и финансова оценка“ по настоящата процедура.</w:t>
            </w:r>
          </w:p>
        </w:tc>
      </w:tr>
      <w:tr w:rsidR="007B1891" w:rsidRPr="00D7495B" w:rsidTr="00452D77">
        <w:tc>
          <w:tcPr>
            <w:tcW w:w="567" w:type="dxa"/>
            <w:shd w:val="clear" w:color="auto" w:fill="auto"/>
          </w:tcPr>
          <w:p w:rsidR="007B1891" w:rsidRPr="00855B28" w:rsidRDefault="00855B28" w:rsidP="00E76FC7">
            <w:pPr>
              <w:jc w:val="center"/>
              <w:rPr>
                <w:b/>
                <w:lang w:val="bg-BG"/>
              </w:rPr>
            </w:pPr>
            <w:r>
              <w:rPr>
                <w:b/>
                <w:lang w:val="bg-BG"/>
              </w:rPr>
              <w:lastRenderedPageBreak/>
              <w:t>3.</w:t>
            </w:r>
          </w:p>
        </w:tc>
        <w:tc>
          <w:tcPr>
            <w:tcW w:w="2269" w:type="dxa"/>
            <w:shd w:val="clear" w:color="auto" w:fill="auto"/>
          </w:tcPr>
          <w:p w:rsidR="007B1891" w:rsidRPr="00851B29" w:rsidRDefault="00E71655" w:rsidP="00E76FC7">
            <w:pPr>
              <w:jc w:val="center"/>
              <w:rPr>
                <w:b/>
                <w:lang w:val="bg-BG"/>
              </w:rPr>
            </w:pPr>
            <w:r w:rsidRPr="00E71655">
              <w:rPr>
                <w:b/>
                <w:lang w:val="bg-BG"/>
              </w:rPr>
              <w:t>BG14MFPR001-2.017-0019</w:t>
            </w:r>
          </w:p>
        </w:tc>
        <w:tc>
          <w:tcPr>
            <w:tcW w:w="1984" w:type="dxa"/>
            <w:shd w:val="clear" w:color="auto" w:fill="auto"/>
          </w:tcPr>
          <w:p w:rsidR="007B1891" w:rsidRPr="00851B29" w:rsidRDefault="00E71655" w:rsidP="00E76FC7">
            <w:pPr>
              <w:jc w:val="center"/>
              <w:rPr>
                <w:b/>
                <w:lang w:val="bg-BG"/>
              </w:rPr>
            </w:pPr>
            <w:r w:rsidRPr="00E71655">
              <w:rPr>
                <w:b/>
                <w:lang w:val="bg-BG"/>
              </w:rPr>
              <w:t>„АЛЕКС ФИШ“ ЕООД</w:t>
            </w:r>
          </w:p>
        </w:tc>
        <w:tc>
          <w:tcPr>
            <w:tcW w:w="2410" w:type="dxa"/>
            <w:shd w:val="clear" w:color="auto" w:fill="auto"/>
          </w:tcPr>
          <w:p w:rsidR="007B1891" w:rsidRPr="00851B29" w:rsidRDefault="00E71655" w:rsidP="00E76FC7">
            <w:pPr>
              <w:jc w:val="center"/>
              <w:rPr>
                <w:b/>
                <w:lang w:val="bg-BG"/>
              </w:rPr>
            </w:pPr>
            <w:r>
              <w:rPr>
                <w:b/>
                <w:lang w:val="bg-BG"/>
              </w:rPr>
              <w:t>„</w:t>
            </w:r>
            <w:r w:rsidRPr="00E71655">
              <w:rPr>
                <w:b/>
                <w:lang w:val="bg-BG"/>
              </w:rPr>
              <w:t>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w:t>
            </w:r>
            <w:r>
              <w:rPr>
                <w:b/>
                <w:lang w:val="bg-BG"/>
              </w:rPr>
              <w:t>“</w:t>
            </w:r>
          </w:p>
        </w:tc>
        <w:tc>
          <w:tcPr>
            <w:tcW w:w="8788" w:type="dxa"/>
            <w:shd w:val="clear" w:color="auto" w:fill="auto"/>
          </w:tcPr>
          <w:p w:rsidR="00F672E0" w:rsidRPr="00F672E0" w:rsidRDefault="00F672E0" w:rsidP="00F672E0">
            <w:pPr>
              <w:spacing w:after="160" w:line="259" w:lineRule="auto"/>
              <w:ind w:firstLine="720"/>
              <w:jc w:val="both"/>
              <w:rPr>
                <w:rFonts w:eastAsia="Calibri"/>
                <w:lang w:val="en-US"/>
              </w:rPr>
            </w:pPr>
            <w:r w:rsidRPr="00F672E0">
              <w:rPr>
                <w:rFonts w:eastAsia="Calibri"/>
                <w:lang w:val="en-US"/>
              </w:rPr>
              <w:t>След извършване на оценка за административно съответствие и допустимост на проектно предложение № BG14MFPR001-2.017-0019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Проектното предложение не отговаря на:</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w:t>
            </w:r>
            <w:r w:rsidRPr="00F672E0">
              <w:rPr>
                <w:rFonts w:eastAsia="Calibri"/>
                <w:lang w:val="en-US"/>
              </w:rPr>
              <w:tab/>
              <w:t xml:space="preserve">Критерий № 16: „Кандидатът отговаря на условията за допустимост съгласно т. 11. Допустими кандидати от Условията за кандидатстване и изпълнение по процедурата.“ от Приложение № 4 „Критерии и методология за оценка на </w:t>
            </w:r>
            <w:r w:rsidRPr="00F672E0">
              <w:rPr>
                <w:rFonts w:eastAsia="Calibri"/>
                <w:lang w:val="en-US"/>
              </w:rPr>
              <w:lastRenderedPageBreak/>
              <w:t>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w:t>
            </w:r>
            <w:r w:rsidRPr="00F672E0">
              <w:rPr>
                <w:rFonts w:eastAsia="Calibri"/>
                <w:lang w:val="en-US"/>
              </w:rPr>
              <w:tab/>
              <w:t>Критерий № 18: „Изчисленият размер на допустимата БФП е по-голям от 0.00 евро“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w:t>
            </w:r>
            <w:r w:rsidRPr="00F672E0">
              <w:rPr>
                <w:rFonts w:eastAsia="Calibri"/>
                <w:lang w:val="en-US"/>
              </w:rPr>
              <w:tab/>
              <w:t xml:space="preserve">Изискванията, посочени в т. 9 „Минимален (ако е приложимо)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а именно: „Размерът на компенсацията се изчислява, съгласно т. III от Методиката за </w:t>
            </w:r>
            <w:r w:rsidRPr="00F672E0">
              <w:rPr>
                <w:rFonts w:eastAsia="Calibri"/>
                <w:lang w:val="en-US"/>
              </w:rPr>
              <w:lastRenderedPageBreak/>
              <w:t>изчисление на компенсациите, Приложение № 1 към настоящите условия за кандидатстване и изпълнение.“</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I. Проведена комуникация с кандидата</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След извършена проверка на предоставените документи и съответствие с критериите за допустимост съгласно чл. 34, ал. 2 от ЗУСЕФСУ, чрез Модул „Комуникация“ в ИСУН до кандидата е изпратена комуникация с регистрационен номер BG14MFPR001-2.017-0019-M001 /28.10.2026 г., със срок за отговор 7 календарни дни, от кандидата е поискано, наред с други документи, да представи и следните обосновки: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1.</w:t>
            </w:r>
            <w:r w:rsidRPr="00F672E0">
              <w:rPr>
                <w:rFonts w:eastAsia="Calibri"/>
                <w:lang w:val="en-US"/>
              </w:rPr>
              <w:tab/>
              <w:t>Годишна данъчна декларация за 2025 г., подадена пред Националната агенция по приходите, съобразно разпоредбите на ЗКПО/ЗДДФЛ. – Прикачения файл към ФК е празен/бял сканиран лист. Следва да представите ГДД за 2025 г., подадена пред НАП, ведно с доказателство за подаване (входящ номер). Не се приемат „нулеви“ годишни данъчни декларации. При наличие на коригираща такава, същата също следва да бъде приложена.</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2.</w:t>
            </w:r>
            <w:r w:rsidRPr="00F672E0">
              <w:rPr>
                <w:rFonts w:eastAsia="Calibri"/>
                <w:lang w:val="en-US"/>
              </w:rPr>
              <w:tab/>
              <w:t xml:space="preserve">В т. 2 „Данни за кандидата“ от ФК сте декларирали като код на проекта и код на основната си дейност по КИД 2008 „10.20. „Преработка и </w:t>
            </w:r>
            <w:r w:rsidRPr="00F672E0">
              <w:rPr>
                <w:rFonts w:eastAsia="Calibri"/>
                <w:lang w:val="en-US"/>
              </w:rPr>
              <w:lastRenderedPageBreak/>
              <w:t>консервиране на риба и други водни организми, без готови ястия“, но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„АЛЕКС ФИШ ” ООД е посочена основна икономическа дейност с код по КИД-2025 - код 47.23 Търговия на дребно с риба и други морски храни“ в размер на 100 % от нетни приходи от продажби,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тази връзка моля да представите подробна обосновка за констатираното несъответствие,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122 403 евро.“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3.</w:t>
            </w:r>
            <w:r w:rsidRPr="00F672E0">
              <w:rPr>
                <w:rFonts w:eastAsia="Calibri"/>
                <w:lang w:val="en-US"/>
              </w:rPr>
              <w:tab/>
              <w:t xml:space="preserve">С настоящото проектно предложение сте заявили компенсация за преработвателно предприятия, управлявано от Вас, но следва да имате предвид, че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„АЛЕКС ФИШ ” ООД е посочена основна икономическа дейност с код по КИД-2025 - код 47.23 Търговия на дребно с риба и други морски храни“ в </w:t>
            </w:r>
            <w:r w:rsidRPr="00F672E0">
              <w:rPr>
                <w:rFonts w:eastAsia="Calibri"/>
                <w:lang w:val="en-US"/>
              </w:rPr>
              <w:lastRenderedPageBreak/>
              <w:t>размер на 100 %,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тази връзка моля да представите подробна обосновка за констатираното обстоятелство,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122 403 евро.“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Във връзка с горната точка имайте предвид, че съгласно разяснение № BG14MFPR001-2.017-Q003 (публикувани на следния адрес: https://www.eufunds.bg/bg/pmdr/node/21469 ) и задължително за всички кандидати съгласно чл. 26, ал. 8 от ЗУСЕФСУ, Управляващия орган на ПМДРА е указал, че съгласно т. III от Методиката за изчисление на компенсациите, при определяне на размера на компенсацията за подсектор преработка на продукти от риболов и аквакултури се вземат предвид единствено декларираните нетни приходи от продажби от ред „Продукция“ (код 15110) и ред „Стоки“ (код 15120) от Отчета за от приходите и разходите (ОПР) за 2025 г., като от тях се приспада абсолютната стойност на печалбата на кандидата за същата година. В случай че предприятието осъществява и други икономически дейности, при изчисляването се вземат предвид </w:t>
            </w:r>
            <w:r w:rsidRPr="00F672E0">
              <w:rPr>
                <w:rFonts w:eastAsia="Calibri"/>
                <w:lang w:val="en-US"/>
              </w:rPr>
              <w:lastRenderedPageBreak/>
              <w:t>нетните приходи от продажби по икономически дейности, отчетени в Раздел VI на ОПР, с код по КИД-2025 10.20 „Преработка и консервиране на риба и други водни животни,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тази връзка, в т. III от Методиката за изчисление на компенсациите не се предвижда изчисление на компенсацията на база на приходи, отчетени в Раздел VI на ОПР с кодове от раздели 46 „Търговия на едро“ и 47 „Търговия на дребно“ по КИД-2025, включително когато същите произтичат от реализацията на продукти, преминали през процеси на обработка на риба и/или аквакултури.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4.</w:t>
            </w:r>
            <w:r w:rsidRPr="00F672E0">
              <w:rPr>
                <w:rFonts w:eastAsia="Calibri"/>
                <w:lang w:val="en-US"/>
              </w:rPr>
              <w:tab/>
              <w:t>Съгласно т. 11, ал. 2 от УКИ допустими по настоящата процедура са кандидати, които са осъществявали стопанска дейност преработка на продукти от риболов и аквакултури през 2025 г. и през 2026 г. По информация от Националния статистически институт за 2025г. по отношение на „АЛЕКС ФИШ ” ООД е посочена основна икономическа дейност с код по КИД-2025 - код 47.23 Търговия на дребно с риба и други морски храни“ в размер на 100 %,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Във връзка с горепосоченото обосновете как отговаряте на изискванията за допустимост в УКИ по процедурата на база на приходи, отчетени в Раздел VI на </w:t>
            </w:r>
            <w:r w:rsidRPr="00F672E0">
              <w:rPr>
                <w:rFonts w:eastAsia="Calibri"/>
                <w:lang w:val="en-US"/>
              </w:rPr>
              <w:lastRenderedPageBreak/>
              <w:t>ОПР с кодове от раздели 46 „Търговия на едро“ и 47 „Търговия на дребно“ по КИД-2025, но не и от раздел C ПРЕРАБОТВАЩА ПРОМИШЛЕНОСТ, група 10 Производство на хранителни продукти съгласно действащата класификация на икономическите дейности - 2025 (КИД-2025) (https://www.nsi.bg/pages/klasifikaciya-na-ikonomicheskite-deinosti-2025-kid-2025-902).</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По т. 6, 7 и 8 в отговор си от 04.11.2026 г. кандидатът е представил един и същ отговор, а именно обяснителна записка че през 2025 г. и 2026 г. Дружеството притежава и обект за търговия регистриран по Закона за храните (съгласно приложената справка), вследствие приходите на дружеството са отчетени като приходи от търговска дейност в съответствие със специфичните изисквания на НСИ.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Моля да бъде отчетено, че дружеството отговаря на всички изисквания за допустимост в т. 11, ал. 2 от УКИ: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Изискване в т.11 от УКИ</w:t>
            </w:r>
            <w:r w:rsidRPr="00F672E0">
              <w:rPr>
                <w:rFonts w:eastAsia="Calibri"/>
                <w:lang w:val="en-US"/>
              </w:rPr>
              <w:tab/>
              <w:t xml:space="preserve">Доказателство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1.1. са еднолични търговци (ЕТ) или юридически лица, регистрирани по Търговския закон.</w:t>
            </w:r>
            <w:r w:rsidRPr="00F672E0">
              <w:rPr>
                <w:rFonts w:eastAsia="Calibri"/>
                <w:lang w:val="en-US"/>
              </w:rPr>
              <w:tab/>
              <w:t xml:space="preserve">Дружеството е регистрирано по ТЗ.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lastRenderedPageBreak/>
              <w:t>1.2. са регистрирани по реда на чл. 12 от Закона за храните (отм.) или по чл. 26 от Закона за храните и да са вписани в регистъра на Българска агенция по безопасност на храните (БАБХ) преди датата на подаване на формуляра за кандидатстване по настоящата процедура.</w:t>
            </w:r>
            <w:r w:rsidRPr="00F672E0">
              <w:rPr>
                <w:rFonts w:eastAsia="Calibri"/>
                <w:lang w:val="en-US"/>
              </w:rPr>
              <w:tab/>
              <w:t>Извлечение от регистъра на БАБХ показващ регистрация на предприятието.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2. Допустими по настоящата процедура са кандидати, които са осъществявали стопанска дейност преработка на продукти от риболов и аквакултури през 2025 г. и през 2026 г.</w:t>
            </w:r>
            <w:r w:rsidRPr="00F672E0">
              <w:rPr>
                <w:rFonts w:eastAsia="Calibri"/>
                <w:lang w:val="en-US"/>
              </w:rPr>
              <w:tab/>
              <w:t>Извлечение от регистъра на БАБХ показващ статус на предприятието „Активен“ и ОПР за 2025 и 2026 г.</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3. Имат подадена Годишна данъчна декларация за 2025 г. пред НАП, съобразно разпоредбите на ЗКПО/ЗДДФЛ.</w:t>
            </w:r>
            <w:r w:rsidRPr="00F672E0">
              <w:rPr>
                <w:rFonts w:eastAsia="Calibri"/>
                <w:lang w:val="en-US"/>
              </w:rPr>
              <w:tab/>
              <w:t>Приложена Годишна данъчна декларация за 2025 г. пред НАП</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По отношение на приходите за 2025 г. следва да се отбележи, че дружеството има една икономическа дейност за 2025 г. и вследствие на разпоредбите в УКИ следва при изчисление на компенсацията да се вземат предвид стойностите на ред „Продукция“ (код 15110) и ред „Стоки“ (код 15120) от Отчета за от приходите и разходите (ОПР) за 2025 г.</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lastRenderedPageBreak/>
              <w:t>В отговора си кандидатът представя извлечение от Регистъра на БАБХ доказващ не притежаването на преработвателно предприятие съгласно изискванията на УКИ, а на обект за търговия на дребно, а приложена към отговора извадка е от регистъра на обектите за търговия на дребно.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допълнение на горепосоченото с писмо с наш Вх. № КХ-1536/26.10.2026 г. от БАБХ ни уведомяват, че след влизането в сила на Закона за храните (Oбн., ДВ, бр. 52 от 9.06.2020 г.) има промени в режимите на регистрация и одобрение на обектите за производство, преработка и/или дистрибуция на храни. Обектите, произвеждащи, преработващи и дистрибутиращи храни от неживотински произход, подлежат на режим на регистрация по реда на чл. 26 от Закона за храните, а тези от животински произход на режим на одобрение – по реда на чл. 31 от Закона за храните.</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В конкретния случай в поле „Забележки“ на Приложение №1 на отговора на БАБХ ни уведомяват, „АЛЕКС ФИШ“ ЕООД е регистриран по реда на чл. 26 и притежава обект за търговия – магазин за риба и рибни продукти и не е посочено Удостоверения за регистрация на преработвателно предприятие, поради което оценителната комисия не може да се приеме че кандидатът е осъществявал </w:t>
            </w:r>
            <w:r w:rsidRPr="00F672E0">
              <w:rPr>
                <w:rFonts w:eastAsia="Calibri"/>
                <w:lang w:val="en-US"/>
              </w:rPr>
              <w:lastRenderedPageBreak/>
              <w:t>стопанска дейност преработка на продукти от риболов и аквакултури през 2025 г. и през 2026 г.</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В допълнение на горепосоченото самият кандидат към ФК не е представил също документ по т. 1 от УКИ, а именно Удостоверение/удостоверения за регистрация на предприятието като обект за производство на рибни продукти или обект за преработване на странични животински продукт, съгласно чл. 12 от Закона за храните (отм.) или Закона за ветеринарномедицинската дейност.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Тъй като документът/те не е/са задължителен/ни за предоставяне с проектното предложение и УО на ПМДРА ги е проверило служебно с горецитираната справка от БАБХ. При извършена служебна справка на следния линк - https://food.bfsa.bg/odbh-user/r41/index.xhtml оценителната комисия установи, че „АЛЕКС ФИШ“ ЕООД има регистриран обект в Регистър - обекти за обществено хранене и търговия на дребно с храни, сектор "Обекти за търговия</w:t>
            </w:r>
            <w:r w:rsidR="006F0B7D">
              <w:rPr>
                <w:rFonts w:eastAsia="Calibri"/>
                <w:lang w:val="bg-BG"/>
              </w:rPr>
              <w:t xml:space="preserve"> </w:t>
            </w:r>
            <w:r w:rsidRPr="00F672E0">
              <w:rPr>
                <w:rFonts w:eastAsia="Calibri"/>
                <w:lang w:val="en-US"/>
              </w:rPr>
              <w:t>(ТО)", Група 21-Обекти за търговия на дребно с храни, които произвеждат предназначени за консумация от хора храни, реализирани в същия обект, но не притежава преработвателно предприятие с валиден ветеринарен регистрационен номер.</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С отговора си кандидата дава обосновка за съответствие с т. 11, ал. 1 от УКИ по процедурата, но не и за съответствието с т. 11, ал. 2 от УКИ и критерии № 18 от </w:t>
            </w:r>
            <w:r w:rsidRPr="00F672E0">
              <w:rPr>
                <w:rFonts w:eastAsia="Calibri"/>
                <w:lang w:val="en-US"/>
              </w:rPr>
              <w:lastRenderedPageBreak/>
              <w:t xml:space="preserve">Приложение № 4 към УКИ, а именно, че допустими по настоящата процедура са кандидати, които са осъществявали стопанска дейност преработка на продукти от риболов и аквакултури през 2025 г. и през 2026 г. По информация от Националния статистически институт за 2025г. </w:t>
            </w:r>
            <w:r w:rsidRPr="00F672E0">
              <w:rPr>
                <w:rFonts w:eastAsia="Calibri"/>
                <w:lang w:val="en-US"/>
              </w:rPr>
              <w:tab/>
              <w:t>на „АЛЕКС ФИШ ” ООД е посочена основна икономическа дейност с код по КИД-2025 - код 47.23 Търговия на дребно с риба и други морски храни“ в размер на 100 %,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След преглед на представените отговори и на документите към проектното предложение, оценителната комисия констатира следното: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II. Проектното предложение не отговаря и на Критерий № 16: „Кандидатът отговаря на условията за допустимост съгласно т. 11. Допустими кандидати от Условията за кандидатстване и изпълнение по процедурата.“ от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тъй като с писмото с наш Вх. № КХ-1536/26.10.2026 г. БАБХ ни уведомяват, че след </w:t>
            </w:r>
            <w:r w:rsidRPr="00F672E0">
              <w:rPr>
                <w:rFonts w:eastAsia="Calibri"/>
                <w:lang w:val="en-US"/>
              </w:rPr>
              <w:lastRenderedPageBreak/>
              <w:t>влизането в сила на Закона за храните (Oбн., ДВ, бр. 52 от 9.06.2020 г.) има промени в режимите на регистрация и одобрение на обектите за производство, преработка и/или дистрибуция на храни. Обектите, произвеждащи, преработващи и дистрибутиращи храни от неживотински произход, подлежат на режим на регистрация по реда на чл. 26 от Закона за храните, а тези от животински произход на режим на одобрение – по реда на чл. 31 от Закона за храните.</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конкретния случай кандидатът е регистриран по реда на чл. 26 и притежава обект за търговия – магазин за риба и рибни продукти, поради което не може да се приеме че кандидатът е осъществявал стопанска дейност преработка на продукти от риболов и аквакултури през 2025 г. и през 2026 г., има регистрирано преработвателно предприятие, както и че има подадена Годишна данъчна декларация за 2025 г. пред НАП, съобразно разпоредбите на ЗКПО/ЗДДФЛ. (Наличието на подадена годишна данъчна декларация за 2025 г. е задължително условие за предоставянето на компенсация, като декларация с нулеви приходи по дейността няма да се приема).</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Представената в отговор на писмо за доп. информация - BG14MFPR001-2.017-0019-M001 от 04.11.2026 г. по т. 3 от същото Годишна данъчна декларация за </w:t>
            </w:r>
            <w:r w:rsidRPr="00F672E0">
              <w:rPr>
                <w:rFonts w:eastAsia="Calibri"/>
                <w:lang w:val="en-US"/>
              </w:rPr>
              <w:lastRenderedPageBreak/>
              <w:t>2025 г. липсват изисканите доказателство за подаването и ̀ (входящ номер) пред НАП.</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Проектното предложение не отговаря и на изискванията, посочени в т. 9 „Минимален (ако е приложимо)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а именно: „Размерът на компенсацията се изчислява, съгласно т. III от Методиката за изчисление на компенсациите, Приложение № 1 към настоящите условия за кандидатстване и изпълнение.“</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С процедура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се цели предоставяне на компенсации на операторите, заети в преработка на продукти от риболов и аквакултури за допълнителните разходи, които са понесли за пазарните смущения поради въздействието върху световните цени на петрола, забавянията на корабоплаването и нестабилността на веригата за доставки.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lastRenderedPageBreak/>
              <w:t xml:space="preserve">След извършена оценка на проектното предложение и направено изчисление на компенсацията за всички оператори в стопанския риболов, аквакултурите и преработката за пазарните смущения поради въздействието върху световните цени на петрола, забавянията на корабоплаването и нестабилността на веригата за доставки, съгласно т. III от Приложение № 1 Методика за изчисление на компенсациите по Програма за морско дело, рибарство и аквакултури 2021-2027 г.: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III.</w:t>
            </w:r>
            <w:r w:rsidRPr="00F672E0">
              <w:rPr>
                <w:rFonts w:eastAsia="Calibri"/>
                <w:lang w:val="en-US"/>
              </w:rPr>
              <w:tab/>
              <w:t>За подсектор преработка на продукти от риболов и аквакултури са допустими за компенсиране разходи за суровини, електроенергия и персонал.</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Групи разходи</w:t>
            </w:r>
            <w:r w:rsidRPr="00F672E0">
              <w:rPr>
                <w:rFonts w:eastAsia="Calibri"/>
                <w:lang w:val="en-US"/>
              </w:rPr>
              <w:tab/>
              <w:t>Инфлация/увеличение спрямо предходната година в % (X)</w:t>
            </w:r>
            <w:r w:rsidRPr="00F672E0">
              <w:rPr>
                <w:rFonts w:eastAsia="Calibri"/>
                <w:lang w:val="en-US"/>
              </w:rPr>
              <w:tab/>
              <w:t>Теглови коефициент (Y)</w:t>
            </w:r>
            <w:r w:rsidRPr="00F672E0">
              <w:rPr>
                <w:rFonts w:eastAsia="Calibri"/>
                <w:lang w:val="en-US"/>
              </w:rPr>
              <w:tab/>
              <w:t>общ коефициент</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(Z=X*Y)</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Електроенергия </w:t>
            </w:r>
            <w:r w:rsidRPr="00F672E0">
              <w:rPr>
                <w:rFonts w:eastAsia="Calibri"/>
                <w:lang w:val="en-US"/>
              </w:rPr>
              <w:tab/>
              <w:t>2.7 %</w:t>
            </w:r>
            <w:r w:rsidRPr="00F672E0">
              <w:rPr>
                <w:rFonts w:eastAsia="Calibri"/>
                <w:lang w:val="en-US"/>
              </w:rPr>
              <w:tab/>
              <w:t>2.10 %</w:t>
            </w:r>
            <w:r w:rsidRPr="00F672E0">
              <w:rPr>
                <w:rFonts w:eastAsia="Calibri"/>
                <w:lang w:val="en-US"/>
              </w:rPr>
              <w:tab/>
              <w:t>0.06 %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Възнаграждения на персонал</w:t>
            </w:r>
            <w:r w:rsidRPr="00F672E0">
              <w:rPr>
                <w:rFonts w:eastAsia="Calibri"/>
                <w:lang w:val="en-US"/>
              </w:rPr>
              <w:tab/>
              <w:t>6,97 %</w:t>
            </w:r>
            <w:r w:rsidRPr="00F672E0">
              <w:rPr>
                <w:rFonts w:eastAsia="Calibri"/>
                <w:lang w:val="en-US"/>
              </w:rPr>
              <w:tab/>
              <w:t>13.25 %</w:t>
            </w:r>
            <w:r w:rsidRPr="00F672E0">
              <w:rPr>
                <w:rFonts w:eastAsia="Calibri"/>
                <w:lang w:val="en-US"/>
              </w:rPr>
              <w:tab/>
              <w:t xml:space="preserve">0,92 %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Суровини</w:t>
            </w:r>
            <w:r w:rsidRPr="00F672E0">
              <w:rPr>
                <w:rFonts w:eastAsia="Calibri"/>
                <w:lang w:val="en-US"/>
              </w:rPr>
              <w:tab/>
              <w:t>8.6 %</w:t>
            </w:r>
            <w:r w:rsidRPr="00F672E0">
              <w:rPr>
                <w:rFonts w:eastAsia="Calibri"/>
                <w:lang w:val="en-US"/>
              </w:rPr>
              <w:tab/>
              <w:t>63.01 %</w:t>
            </w:r>
            <w:r w:rsidRPr="00F672E0">
              <w:rPr>
                <w:rFonts w:eastAsia="Calibri"/>
                <w:lang w:val="en-US"/>
              </w:rPr>
              <w:tab/>
              <w:t>5.42 %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lastRenderedPageBreak/>
              <w:t>Общ коефициент на компенсация (електроенергия+персонал+суровини)</w:t>
            </w:r>
            <w:r w:rsidRPr="00F672E0">
              <w:rPr>
                <w:rFonts w:eastAsia="Calibri"/>
                <w:lang w:val="en-US"/>
              </w:rPr>
              <w:tab/>
              <w:t xml:space="preserve">6,40 % </w:t>
            </w:r>
          </w:p>
          <w:p w:rsidR="00F672E0" w:rsidRPr="00F672E0" w:rsidRDefault="00F672E0" w:rsidP="00F672E0">
            <w:pPr>
              <w:spacing w:after="160" w:line="259" w:lineRule="auto"/>
              <w:ind w:firstLine="720"/>
              <w:jc w:val="both"/>
              <w:rPr>
                <w:rFonts w:eastAsia="Calibri"/>
                <w:lang w:val="en-US"/>
              </w:rPr>
            </w:pP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Компенсацията за собствениците на преработвателни предприятия се изчислява по следния метод:</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БФП = Z*P, където: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w:t>
            </w:r>
            <w:r w:rsidRPr="00F672E0">
              <w:rPr>
                <w:rFonts w:eastAsia="Calibri"/>
                <w:lang w:val="en-US"/>
              </w:rPr>
              <w:tab/>
              <w:t>Z e oбщият коефициент на компенсация (електроенергия+персонал+суровини)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w:t>
            </w:r>
            <w:r w:rsidRPr="00F672E0">
              <w:rPr>
                <w:rFonts w:eastAsia="Calibri"/>
                <w:lang w:val="en-US"/>
              </w:rPr>
              <w:tab/>
              <w:t xml:space="preserve">P- Крайната стойност на P за подсектор „преработка на продукти от риболов и аквакултури “ се определя съгласно общото правило по-горе, а именно: от e стойността на нетните приходи от продажби на ред „Продукция“ (код 15110) и ред „Стоки“ (код 15120) от приходната част на Отчета за приходи и разходи (ОПР) за 2025 г. на кандидата, превалутирани в евро по курса 1.95583 лева за едно евро се приспада общата печалба на кандидата съгласно общото правило за определяне на базата за компенсация по-горе. В случай че предприятието има приходи от дейност различна от преработка на продукти от риболов и аквакултури, при изчислението </w:t>
            </w:r>
            <w:r w:rsidRPr="00F672E0">
              <w:rPr>
                <w:rFonts w:eastAsia="Calibri"/>
                <w:lang w:val="en-US"/>
              </w:rPr>
              <w:lastRenderedPageBreak/>
              <w:t xml:space="preserve">на компенсацията се взимат нетните приходи от продажби в Раздел VI от ОПР - Нетни приходи от продажби по икономически дейности с код по КИД 2025 - код 10.20 „Преработка и консервиране на риба и други водни животни, без готови ястия“ за 2025 г.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Получената компенсация</w:t>
            </w:r>
            <w:r w:rsidR="00873264">
              <w:rPr>
                <w:rFonts w:eastAsia="Calibri"/>
                <w:lang w:val="bg-BG"/>
              </w:rPr>
              <w:t xml:space="preserve"> </w:t>
            </w:r>
            <w:r w:rsidRPr="00F672E0">
              <w:rPr>
                <w:rFonts w:eastAsia="Calibri"/>
                <w:lang w:val="en-US"/>
              </w:rPr>
              <w:t xml:space="preserve">(БФП) се преизчислява за 10 месеца допустим период: БФП се умножава * 83,33% и е установено, че изчислението води до отрицателен резултат - 19 850,97 евро(минус деветнадесет хиляди осемстотин и петдесет евро деветдесет и седем евроцента). Това е поради факта, че съгласно Отчета за приходи и разходи за 2025 г., в раздел VI. Нетни приходи от продажби по икономически дейности ( код на реда 15100, кол. 1)“ и годишната данъчна декларация за 2025 г., кандидатът няма отчетени приходи от продажби с код по КИД 2025 - 10.20 „Преработка и консервиране на риба и други водни животни, без готови ястия“ за 2025 г.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След извършената проверка на предоставените документи от кандидата и съгласно чл. 34, ал. 2 от ЗУСЕФСУ: „Когато при проверката по ал. 1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w:t>
            </w:r>
            <w:r w:rsidRPr="00F672E0">
              <w:rPr>
                <w:rFonts w:eastAsia="Calibri"/>
                <w:lang w:val="en-US"/>
              </w:rPr>
              <w:lastRenderedPageBreak/>
              <w:t xml:space="preserve">съдържа и информация, че неотстраняването на нередовностите в срок може да доведе до прекратяване на производството по отношение на кандидата. Отстраняването на нередовностите не може да води до подобряване на качеството на проектното предложение“.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В тази връзка на 28.10.2026 г., чрез Модул „Комуникация“ в ИСУН, е изпратено уведомление с регистрационен номер BG14MFPR001-2.017-0019-M001, с което е поискана допълнителна информация от кандидата за отстраняване на откритата нередовност по т. 8 от комуникацията. Указан е срок до 04.11.2026 г., в който да бъде предоставена мотивирана обосновка на откритото несъответствие, а именно: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„С настоящото проектно предложение сте заявили компенсация за преработвателно предприятия, управлявано от Вас, но следва да имате предвид, че съгласно служебно предоставено удостоверение за код на икономическа дейност (КИД), по информация от Националния статистически институт, за 2025г. по отношение на „АЛЕКС ФИШ ” ООД е посочена основна икономическа дейност с код по КИД-2025 - код 47.23 Търговия на дребно с риба и други морски храни“ в размер на 100 %, но не са посочени приходи от икономически дейности с код по </w:t>
            </w:r>
            <w:r w:rsidRPr="00F672E0">
              <w:rPr>
                <w:rFonts w:eastAsia="Calibri"/>
                <w:lang w:val="en-US"/>
              </w:rPr>
              <w:lastRenderedPageBreak/>
              <w:t>КИД-2025 - код 10.20. „Преработка и консервиране на риба и други водни организми,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тази връзка моля да представите подробна обосновка за констатираното обстоятелство,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122 403 евро.“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Кандидатът е отговорил на комуникацията в регламентирания срок, като е посочил следното: „Дружеството притежава и обект за търговия регистриран по Закона за храните (съгласно приложената справка), вследствие приходите на дружеството са отчетени като приходи от търговска дейност в съответствие със специфичните изисквания на НСИ.“ </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С представеното обяснение, както и съгласно представените изискуеми документи по реда на т. 24 от УКИ, кандидатът доказва, че кандидата единствено обект за търговия на дребно, поради което и цялата му дейност е свързана със търговия на дребно с риба и други морски храни“, и поради тази причина и пред НАП и НСИ е регистрирал своите приходи единствено по основна икономическа дейност с код по КИД-2025 - код 47.23 Търговия на дребно с риба и други морски храни“ в размер на 100 %, но не са посочени приходи от икономически дейности с </w:t>
            </w:r>
            <w:r w:rsidRPr="00F672E0">
              <w:rPr>
                <w:rFonts w:eastAsia="Calibri"/>
                <w:lang w:val="en-US"/>
              </w:rPr>
              <w:lastRenderedPageBreak/>
              <w:t>код по КИД-2025 - код 10.20. „Преработка и консервиране на риба и други водни организми, без готови ястия“.</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Имайки предвид гореизложеното, при извършване на изчисленията за определяне на размера на компенсацията за допълнителните разходи и за пропуснатите им доходи поради сътресението на пазара (съгласно чл. 26, параграф 2, буква а) от Регламент (ЕС) 2021/1139) съгласно указанията, посочени в т. 9 от УКИ и т. III от Методиката за изчисление на компенсациите, Приложение № 1 към тях, е получен отрицателен резултат - - -19 850,97 евро: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БФП = 6.4%* -372 220,49, умножена по 83,33% е равна на - -19 850,97 евро.</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w:t>
            </w:r>
            <w:r w:rsidRPr="00F672E0">
              <w:rPr>
                <w:rFonts w:eastAsia="Calibri"/>
                <w:lang w:val="en-US"/>
              </w:rPr>
              <w:tab/>
              <w:t>III. Заключение</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Съгласно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към Условията за кандидатстване и изпълнение, кандидатът не отговаря на критерии № 18 „ Изчисленият размер на допустимата БФП е по-голям от 0.00 евро.“ и на критерии № 16 „Кандидатът </w:t>
            </w:r>
            <w:r w:rsidRPr="00F672E0">
              <w:rPr>
                <w:rFonts w:eastAsia="Calibri"/>
                <w:lang w:val="en-US"/>
              </w:rPr>
              <w:lastRenderedPageBreak/>
              <w:t>отговаря на условията за допустимост съгласно т. 11. Допустими кандидати от Условията за кандидатстване и изпълнение по процедурата.“ В случай, че по време на оценката се установи наличие на недопустима компенсация, оценителната комисия служебно премахва/коригира съответните разходи от бюджета на проекта.</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Извършените корекции на данни в бюджета не могат да водят до: увеличаване на размера на безвъзмездната финансова помощ, предвидени в подаденото проектно предложение, невъзможност за изпълнение на целите на проекта или на проектните дейности, нарушаване на принципите по чл. 29, ал. 1, т. 1 и 2 от ЗУСЕФСУ.</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В допълнение по време на сесията по въпроси и отговори по процедурата съгласно разяснение № BG14MFPR001-2.017-Q003 (публикувани на следния адрес: https://ww</w:t>
            </w:r>
            <w:r w:rsidR="008B17DC">
              <w:rPr>
                <w:rFonts w:eastAsia="Calibri"/>
                <w:lang w:val="en-US"/>
              </w:rPr>
              <w:t>w.eufunds.bg/bg/pmdr/node/21469</w:t>
            </w:r>
            <w:r w:rsidRPr="00F672E0">
              <w:rPr>
                <w:rFonts w:eastAsia="Calibri"/>
                <w:lang w:val="en-US"/>
              </w:rPr>
              <w:t xml:space="preserve">) и задължително за всички кандидати съгласно чл. 26, ал. 8 от ЗУСЕФСУ, Управляващия орган на ПМДРА е указал, че съгласно т. III от Методиката за изчисление на компенсациите, при определяне на размера на компенсацията за подсектор преработка на продукти от риболов и аквакултури се вземат предвид единствено декларираните нетни приходи от продажби от ред „Продукция“ </w:t>
            </w:r>
            <w:r w:rsidR="008B17DC">
              <w:rPr>
                <w:rFonts w:eastAsia="Calibri"/>
                <w:lang w:val="bg-BG"/>
              </w:rPr>
              <w:t xml:space="preserve"> </w:t>
            </w:r>
            <w:r w:rsidRPr="00F672E0">
              <w:rPr>
                <w:rFonts w:eastAsia="Calibri"/>
                <w:lang w:val="en-US"/>
              </w:rPr>
              <w:t xml:space="preserve">(код 15110) и ред „Стоки“ (код 15120) от Отчета за от приходите и разходите (ОПР) за 2025 г., като от тях се приспада абсолютната </w:t>
            </w:r>
            <w:r w:rsidRPr="00F672E0">
              <w:rPr>
                <w:rFonts w:eastAsia="Calibri"/>
                <w:lang w:val="en-US"/>
              </w:rPr>
              <w:lastRenderedPageBreak/>
              <w:t>стойност на печалбата на кандидата за същата година. В случай че предприятието осъществява и други икономически дейности, при изчисляването се вземат предвид нетните приходи от продажби по икономически дейности, отчетени в Раздел VI на ОПР, с код по КИД-2025 10.20 „Преработка и консервиране на риба и други водни животни, без готови ястия“. В тази връзка, в т. III от Методиката за изчисление на компенсациите не се предвижда изчисление на компенсацията на база на приходи, отчетени в Раздел VI на ОПР с кодове от раздели 46 „Търговия на едро“ и 47 „Търговия на дребно“ по КИД-2025, включително когато същите произтичат от реализацията на продукти, преминали през процеси на обработка на риба и/или аквакултури. Кандидатът следователно е бил предварително и конкретно уведомен за това изискване, както и че не се предвижда изчисление на компенсацията на база на приходи, отчетени в Раздел VI на ОПР с кодове от раздели 46 „Търговия на едро“ и 47 „Търговия на дребно“ по КИД-2025, включително когато същите произтичат от реализацията на продукти, преминали през процеси на обработка на риба и/или аквакултури.</w:t>
            </w:r>
          </w:p>
          <w:p w:rsidR="00F672E0" w:rsidRPr="00F672E0" w:rsidRDefault="00F672E0" w:rsidP="00F672E0">
            <w:pPr>
              <w:spacing w:after="160" w:line="259" w:lineRule="auto"/>
              <w:ind w:firstLine="720"/>
              <w:jc w:val="both"/>
              <w:rPr>
                <w:rFonts w:eastAsia="Calibri"/>
                <w:lang w:val="en-US"/>
              </w:rPr>
            </w:pPr>
            <w:r w:rsidRPr="00F672E0">
              <w:rPr>
                <w:rFonts w:eastAsia="Calibri"/>
                <w:lang w:val="en-US"/>
              </w:rPr>
              <w:t xml:space="preserve">Съгласно инструкциите в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w:t>
            </w:r>
            <w:r w:rsidRPr="00F672E0">
              <w:rPr>
                <w:rFonts w:eastAsia="Calibri"/>
                <w:lang w:val="en-US"/>
              </w:rPr>
              <w:lastRenderedPageBreak/>
              <w:t>на пазара“, чл. 26, параграф 2,  буква а) от Регламент (ЕС) 2021/1139“ към УКИ, т. 1. Административно съответствие и допустимост:“ към Условията за кандидатстване и изпълнение при несъответствие с изискванията по т. 9, т. 10, т. 14, т. 15, и т. 18 проектното предложение се отхвърля.</w:t>
            </w:r>
          </w:p>
          <w:p w:rsidR="007B1891" w:rsidRPr="00851B29" w:rsidRDefault="00F672E0" w:rsidP="00F672E0">
            <w:pPr>
              <w:spacing w:after="160" w:line="259" w:lineRule="auto"/>
              <w:ind w:firstLine="720"/>
              <w:jc w:val="both"/>
              <w:rPr>
                <w:rFonts w:eastAsia="Calibri"/>
                <w:lang w:val="en-US"/>
              </w:rPr>
            </w:pPr>
            <w:r w:rsidRPr="00F672E0">
              <w:rPr>
                <w:rFonts w:eastAsia="Calibri"/>
                <w:lang w:val="en-US"/>
              </w:rPr>
              <w:t>Поради изложените по-горе аргументи, проектно предложение с рег. № BG14MFPR001-2.017-0019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кандидат „АЛЕКС ФИШ“ ЕООД, ЕИК: 201543727, е включено в Списъка на проектните предложения, които не се допускат до етап „Техническа и финансова оценка“ по настоящата процедура.</w:t>
            </w:r>
          </w:p>
        </w:tc>
      </w:tr>
      <w:tr w:rsidR="007B1891" w:rsidRPr="00D7495B" w:rsidTr="00452D77">
        <w:tc>
          <w:tcPr>
            <w:tcW w:w="567" w:type="dxa"/>
            <w:shd w:val="clear" w:color="auto" w:fill="auto"/>
          </w:tcPr>
          <w:p w:rsidR="007B1891" w:rsidRPr="009F4F3D" w:rsidRDefault="009F4F3D" w:rsidP="00E76FC7">
            <w:pPr>
              <w:jc w:val="center"/>
              <w:rPr>
                <w:b/>
                <w:lang w:val="bg-BG"/>
              </w:rPr>
            </w:pPr>
            <w:r>
              <w:rPr>
                <w:b/>
                <w:lang w:val="bg-BG"/>
              </w:rPr>
              <w:lastRenderedPageBreak/>
              <w:t>4.</w:t>
            </w:r>
          </w:p>
        </w:tc>
        <w:tc>
          <w:tcPr>
            <w:tcW w:w="2269" w:type="dxa"/>
            <w:shd w:val="clear" w:color="auto" w:fill="auto"/>
          </w:tcPr>
          <w:p w:rsidR="007B1891" w:rsidRPr="00851B29" w:rsidRDefault="007A719E" w:rsidP="00E76FC7">
            <w:pPr>
              <w:jc w:val="center"/>
              <w:rPr>
                <w:b/>
                <w:lang w:val="bg-BG"/>
              </w:rPr>
            </w:pPr>
            <w:r w:rsidRPr="007A719E">
              <w:rPr>
                <w:b/>
                <w:lang w:val="bg-BG"/>
              </w:rPr>
              <w:t>BG14MFPR001-2.017-0033</w:t>
            </w:r>
          </w:p>
        </w:tc>
        <w:tc>
          <w:tcPr>
            <w:tcW w:w="1984" w:type="dxa"/>
            <w:shd w:val="clear" w:color="auto" w:fill="auto"/>
          </w:tcPr>
          <w:p w:rsidR="007B1891" w:rsidRPr="00851B29" w:rsidRDefault="007A719E" w:rsidP="00E76FC7">
            <w:pPr>
              <w:jc w:val="center"/>
              <w:rPr>
                <w:b/>
                <w:lang w:val="bg-BG"/>
              </w:rPr>
            </w:pPr>
            <w:r w:rsidRPr="007A719E">
              <w:rPr>
                <w:b/>
                <w:lang w:val="bg-BG"/>
              </w:rPr>
              <w:t>„ЛОВМИЙТ ЕНД ФИШ“ ЕООД</w:t>
            </w:r>
          </w:p>
        </w:tc>
        <w:tc>
          <w:tcPr>
            <w:tcW w:w="2410" w:type="dxa"/>
            <w:shd w:val="clear" w:color="auto" w:fill="auto"/>
          </w:tcPr>
          <w:p w:rsidR="007B1891" w:rsidRPr="00851B29" w:rsidRDefault="007B1891" w:rsidP="00E76FC7">
            <w:pPr>
              <w:jc w:val="center"/>
              <w:rPr>
                <w:b/>
                <w:lang w:val="bg-BG"/>
              </w:rPr>
            </w:pPr>
          </w:p>
        </w:tc>
        <w:tc>
          <w:tcPr>
            <w:tcW w:w="8788" w:type="dxa"/>
            <w:shd w:val="clear" w:color="auto" w:fill="auto"/>
          </w:tcPr>
          <w:p w:rsidR="007A719E" w:rsidRPr="007A719E" w:rsidRDefault="007A719E" w:rsidP="007A719E">
            <w:pPr>
              <w:spacing w:after="160" w:line="259" w:lineRule="auto"/>
              <w:ind w:firstLine="720"/>
              <w:jc w:val="both"/>
              <w:rPr>
                <w:rFonts w:eastAsia="Calibri"/>
                <w:lang w:val="en-US"/>
              </w:rPr>
            </w:pPr>
            <w:r w:rsidRPr="007A719E">
              <w:rPr>
                <w:rFonts w:eastAsia="Calibri"/>
                <w:lang w:val="en-US"/>
              </w:rPr>
              <w:t>След извършване на оценка за административно съответствие и допустимост на проектно предложение № BG14MFPR001-2.017-0033 „Компенсация за рибопреработвателната дейност на „Ловмийт енд фиш“ ЕООД във връзка с кризата в Близкия изток“, съгласно чл. 29, ал. 2, т. 1, б. „а“ от Закона за управление на средствата от Европейските фондове при споделено управление (Загл. изм. - ДВ, бр. 51 от 2022 г., в сила от 01.07.2022 г.) (ЗУСЕФСУ), е установено следното:</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lastRenderedPageBreak/>
              <w:t>Проектното предложение не отговаря на изискванията, посочени в т. 9 „Минимален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на пазара“, а именно: „В случай, че предприятието има приходи от дейност, различна от преработка на продукти от риболов и аквакултури при изчислението на компенсацията се взимат нетните приходи от продажби в Раздел VI от ОПР - Нетни приходи от продажби по икономически дейности с код по КИД 2008 - код 10.20 „Преработка и консервиране на риба и други водни животни, без готови ястия“ за 2025 г.“.</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I. Проведена комуникация с кандидата</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След извършена проверка на предоставените документи и съответствие с критериите за допустимост съгласно чл. 34, ал. 2 от ЗУСЕФСУ, чрез Модул „Комуникация“ в ИСУН до кандидата е изпратена комуникация с регистрационен номер BG14MFPR001-2.017-0033-M001 /28.10.2026 г., със срок за отговор 7 календарни дни, от кандидата е поискано, наред с други документи, да представи и следните обосновки:</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lastRenderedPageBreak/>
              <w:t>1. С настоящото проектно предложение сте заявили компенсация за преработвателно предприятия, управлявано от Вас, но следва да имате предвид, че съгласно служебно предоставено удостоверение за код на икономическа дейност (КИД), по информация от Националния статистически институт, за 2025 г. по отношение на „ЛОВМИЙТ ЕНД ФИШ“ ЕООД е посочена основна икономическа дейност с код по КИД-2025 - код 10.85. „Производство на готови ястия“ в размер на 100%, но не са посочени приходи от икономически дейности с код по КИД-2025 - код 10.20. „Преработка и консервиране на риба и други водни организми, без готови ястия“.</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В тази връзка моля да представите подробна обосновка за констатираното обстоятелство, както и приложими доказателства в подкрепа на допустимостта на заявения от Вас размер на компенсацията, посочен в т. 7, Бюджет от Формуляра за кандидатстване от  300 000 евро.“;</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Кандидатът е отговорил на комуникацията в регламентирания срок, като е посочил следното: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„Видно от приложеното към писмото Удостоверение от БАБХ, считано от 30.03.2023 г. дружеството "Ловмийт енд Фиш" ЕООД получава разрешително и стартира дейността си по консервиране на рибни продукти. Счетоводните </w:t>
            </w:r>
            <w:r w:rsidRPr="007A719E">
              <w:rPr>
                <w:rFonts w:eastAsia="Calibri"/>
                <w:lang w:val="en-US"/>
              </w:rPr>
              <w:lastRenderedPageBreak/>
              <w:t>нормативни изисквания не задължават дружеството да променя или да добавя нов код на икономическа дейност при изготвяне на годишните си отчети към НСИ, поради което КИД код 10.20. „Преработка и консервиране на риба и други водни организми, без готови ястия“ не присъства в справките от Статистиката. Към писмото прилагаме утвърдена счетоводна справка за продадените рибни консерви през 2025 година, от която е изведена сумата 3 591 812,21 лв., на база на която, в раздел 4 от формуляра, е изчислена компенсацията. Обръщам внимание, че сумата на исканата компенсация по настоящата процедура е в размер на 93 850.68 евро, както е описано в бюджета и в т. 4 План за изпълнение / Дейности по проекта.“.</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II. </w:t>
            </w:r>
            <w:r w:rsidRPr="007A719E">
              <w:rPr>
                <w:rFonts w:eastAsia="Calibri"/>
                <w:lang w:val="en-US"/>
              </w:rPr>
              <w:tab/>
              <w:t>След преглед на представените отговори и на документите към проектното предложение, оценителната комисия констатира следното:</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Проектното предложение не отговаря на изискванията, посочени в т. 9 „Минимален (ако е приложимо) и максимален размер на безвъзмездната финансова помощ за конкретен проект“ от Условия за кандидатстване и изпълнение (УКИ) по процедура за подбор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а именно: „Размерът на компенсацията се изчислява, съгласно т. III от Методиката </w:t>
            </w:r>
            <w:r w:rsidRPr="007A719E">
              <w:rPr>
                <w:rFonts w:eastAsia="Calibri"/>
                <w:lang w:val="en-US"/>
              </w:rPr>
              <w:lastRenderedPageBreak/>
              <w:t>за изчисление на компенсациите, Приложение № 1 към настоящите условия за кандидатстване и изпълнение.“</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С процедура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се цели предоставяне на компенсации на операторите, заети в преработка на продукти от риболов и аквакултури за допълнителните разходи, които са понесли за пазарните смущения поради въздействието върху световните цени на петрола, забавянията на корабоплаването и нестабилността на веригата за доставки.</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След извършена оценка на проектното предложение и направено изчисление на компенсацията за всички оператори в стопанския риболов, аквакултурите и преработката за пазарните смущения поради въздействието върху световните цени на петрола, забавянията на корабоплаването и нестабилността на веригата за доставки, съгласно т. III от Приложение № 1 Методика за изчисление на компенсациите по Програма за морско дело, рибарство и аквакултури 2021-2027 г.</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За подсектор преработка на продукти от риболов и аквакултури са допустими за компенсиране разходи за суровини, електроенергия и персонал.</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lastRenderedPageBreak/>
              <w:t>Групи разходи</w:t>
            </w:r>
            <w:r w:rsidRPr="007A719E">
              <w:rPr>
                <w:rFonts w:eastAsia="Calibri"/>
                <w:lang w:val="en-US"/>
              </w:rPr>
              <w:tab/>
              <w:t>Инфлация/увеличение спрямо предходната година в % (X)</w:t>
            </w:r>
            <w:r w:rsidRPr="007A719E">
              <w:rPr>
                <w:rFonts w:eastAsia="Calibri"/>
                <w:lang w:val="en-US"/>
              </w:rPr>
              <w:tab/>
              <w:t>Теглови коефициент (Y)</w:t>
            </w:r>
            <w:r w:rsidRPr="007A719E">
              <w:rPr>
                <w:rFonts w:eastAsia="Calibri"/>
                <w:lang w:val="en-US"/>
              </w:rPr>
              <w:tab/>
              <w:t>общ коефициент</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(Z=X*Y)</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Електроенергия </w:t>
            </w:r>
            <w:r w:rsidRPr="007A719E">
              <w:rPr>
                <w:rFonts w:eastAsia="Calibri"/>
                <w:lang w:val="en-US"/>
              </w:rPr>
              <w:tab/>
              <w:t>2.7 %</w:t>
            </w:r>
            <w:r w:rsidRPr="007A719E">
              <w:rPr>
                <w:rFonts w:eastAsia="Calibri"/>
                <w:lang w:val="en-US"/>
              </w:rPr>
              <w:tab/>
              <w:t>2.10 %</w:t>
            </w:r>
            <w:r w:rsidRPr="007A719E">
              <w:rPr>
                <w:rFonts w:eastAsia="Calibri"/>
                <w:lang w:val="en-US"/>
              </w:rPr>
              <w:tab/>
              <w:t>0.06 %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Възнаграждения на персонал</w:t>
            </w:r>
            <w:r w:rsidRPr="007A719E">
              <w:rPr>
                <w:rFonts w:eastAsia="Calibri"/>
                <w:lang w:val="en-US"/>
              </w:rPr>
              <w:tab/>
              <w:t>6,97 %</w:t>
            </w:r>
            <w:r w:rsidRPr="007A719E">
              <w:rPr>
                <w:rFonts w:eastAsia="Calibri"/>
                <w:lang w:val="en-US"/>
              </w:rPr>
              <w:tab/>
              <w:t>13.25 %</w:t>
            </w:r>
            <w:r w:rsidRPr="007A719E">
              <w:rPr>
                <w:rFonts w:eastAsia="Calibri"/>
                <w:lang w:val="en-US"/>
              </w:rPr>
              <w:tab/>
              <w:t xml:space="preserve">0,92 %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Суровини</w:t>
            </w:r>
            <w:r w:rsidRPr="007A719E">
              <w:rPr>
                <w:rFonts w:eastAsia="Calibri"/>
                <w:lang w:val="en-US"/>
              </w:rPr>
              <w:tab/>
              <w:t>8.6 %</w:t>
            </w:r>
            <w:r w:rsidRPr="007A719E">
              <w:rPr>
                <w:rFonts w:eastAsia="Calibri"/>
                <w:lang w:val="en-US"/>
              </w:rPr>
              <w:tab/>
              <w:t>63.01 %</w:t>
            </w:r>
            <w:r w:rsidRPr="007A719E">
              <w:rPr>
                <w:rFonts w:eastAsia="Calibri"/>
                <w:lang w:val="en-US"/>
              </w:rPr>
              <w:tab/>
              <w:t>5.42 %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Общ коефициент на компенсация (електроенергия+персонал+суровини)</w:t>
            </w:r>
            <w:r w:rsidRPr="007A719E">
              <w:rPr>
                <w:rFonts w:eastAsia="Calibri"/>
                <w:lang w:val="en-US"/>
              </w:rPr>
              <w:tab/>
              <w:t xml:space="preserve">6,40 %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Компенсацията за собствениците на преработвателни предприятия се изчислява по следния метод:</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БФП = Z*P, където:</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w:t>
            </w:r>
            <w:r w:rsidRPr="007A719E">
              <w:rPr>
                <w:rFonts w:eastAsia="Calibri"/>
                <w:lang w:val="en-US"/>
              </w:rPr>
              <w:tab/>
              <w:t>Z e oбщият коефициент на компенсация (електроенергия+персонал+суровини)</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lastRenderedPageBreak/>
              <w:t>-</w:t>
            </w:r>
            <w:r w:rsidRPr="007A719E">
              <w:rPr>
                <w:rFonts w:eastAsia="Calibri"/>
                <w:lang w:val="en-US"/>
              </w:rPr>
              <w:tab/>
              <w:t xml:space="preserve">P- Крайната стойност на P за подсектор „преработка на продукти от риболов и аквакултури “ се определя съгласно общото правило по-горе, а именно: от e стойността на нетните приходи от продажби на ред „Продукция“ (код 15110) и ред „Стоки“ (код 15120) от приходната част на Отчета за приходи и разходи (ОПР) за 2025 г. на кандидата, превалутирани в евро по курса 1.95583 лева за едно евро се приспада общата печалба на кандидата съгласно общото правило за определяне на базата за компенсация по-горе. В случай че предприятието има приходи от дейност различна от преработка на продукти от риболов и аквакултури, при изчислението на компенсацията се взимат нетните приходи от продажби в Раздел VI от ОПР - Нетни приходи от продажби по икономически дейности с код по КИД 2025 - код 10.20 „Преработка и консервиране на риба и други водни животни, без готови ястия“ за 2025 г.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След извършената проверка на предоставените документи от кандидата и съгласно чл. 34, ал. 2 от ЗУСЕФСУ: „Когато при проверката по ал. 1 се установи липса на документи и/или друга нередовност, комисията изпраща на кандидата уведомление за установените нередовности и определя разумен срок за тяхното отстраняване, който не може да бъде по-кратък от една седмица. Уведомлението съдържа и информация, че неотстраняването на нередовностите в срок може да доведе до прекратяване на производството по отношение на кандидата. </w:t>
            </w:r>
            <w:r w:rsidRPr="007A719E">
              <w:rPr>
                <w:rFonts w:eastAsia="Calibri"/>
                <w:lang w:val="en-US"/>
              </w:rPr>
              <w:lastRenderedPageBreak/>
              <w:t xml:space="preserve">Отстраняването на нередовностите не може да води до подобряване на качеството на проектното предложение“.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Имайки предвид гореизложеното, при извършване на изчисленията за определяне на размера на компенсацията за допълнителните разходи и за пропуснатите им доходи поради сътресението на пазара (съгласно чл. 26, параграф 2, буква а) от Регламент (ЕС) 2021/1139) съгласно указанията, посочени в т. 9 от УКИ и т. III от Методиката за изчисление на компенсациите, Приложение № 1 към тях, е получен отрицателен резултат -4090.17 евро:</w:t>
            </w:r>
          </w:p>
          <w:p w:rsidR="007A719E" w:rsidRPr="007A719E" w:rsidRDefault="007A719E" w:rsidP="007A719E">
            <w:pPr>
              <w:spacing w:after="160" w:line="259" w:lineRule="auto"/>
              <w:ind w:firstLine="720"/>
              <w:jc w:val="both"/>
              <w:rPr>
                <w:rFonts w:eastAsia="Calibri"/>
                <w:lang w:val="en-US"/>
              </w:rPr>
            </w:pP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БФП = 6.4%*-76693.78 е равна на - 4090.17 евро, където:</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w:t>
            </w:r>
            <w:r w:rsidRPr="007A719E">
              <w:rPr>
                <w:rFonts w:eastAsia="Calibri"/>
                <w:lang w:val="en-US"/>
              </w:rPr>
              <w:tab/>
              <w:t>Z e oбщият коефициент на компенсация (електроенергия+персонал+суровини)</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w:t>
            </w:r>
            <w:r w:rsidRPr="007A719E">
              <w:rPr>
                <w:rFonts w:eastAsia="Calibri"/>
                <w:lang w:val="en-US"/>
              </w:rPr>
              <w:tab/>
              <w:t xml:space="preserve">P- Крайната стойност на P за подсектор „преработка на продукти от риболов и аквакултури “ се определя съгласно общото правило по-горе, а именно: от e стойността на нетните приходи от продажби на ред „Продукция“ (код 15110) и ред „Стоки“ (код 15120) от приходната част на Отчета за приходи и разходи (ОПР) </w:t>
            </w:r>
            <w:r w:rsidRPr="007A719E">
              <w:rPr>
                <w:rFonts w:eastAsia="Calibri"/>
                <w:lang w:val="en-US"/>
              </w:rPr>
              <w:lastRenderedPageBreak/>
              <w:t xml:space="preserve">за 2025 г. на кандидата, превалутирани в евро по курса 1.95583 лева за едно евро се приспада общата печалба на кандидата съгласно общото правило за определяне на базата за компенсация по-горе. В случай че предприятието има приходи от дейност различна от преработка на продукти от риболов и аквакултури, при изчислението на компенсацията се взимат нетните приходи от продажби в Раздел VI от ОПР - Нетни приходи от продажби по икономически дейности с код по КИД 2025 - код 10.20 „Преработка и консервиране на риба и други водни животни, без готови ястия“ за 2025 г. </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w:t>
            </w:r>
            <w:r w:rsidRPr="007A719E">
              <w:rPr>
                <w:rFonts w:eastAsia="Calibri"/>
                <w:lang w:val="en-US"/>
              </w:rPr>
              <w:tab/>
              <w:t>Получената стойност се индексира спрямо броя на допустимите месеци от 2026 г. (Допустими са месеците от март до декември 2026 г. включително – 10 месеца или 83,33% от годишната компенсация).</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III. Заключение</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 xml:space="preserve">Съгласно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към Условията за кандидатстване и изпълнение, кандидатът не отговаря на критерии № 18 „ Изчисленият размер на </w:t>
            </w:r>
            <w:r w:rsidRPr="007A719E">
              <w:rPr>
                <w:rFonts w:eastAsia="Calibri"/>
                <w:lang w:val="en-US"/>
              </w:rPr>
              <w:lastRenderedPageBreak/>
              <w:t>допустимата БФП е по-голям от 0.00 евро.“ и на критерии № 16 „Кандидатът отговаря на условията за допустимост съгласно т. 11. Допустими кандидати от Условията за кандидатстване и изпълнение по процедурата.“ В случай, че по време на оценката се установи наличие на недопустима компенсация, оценителната комисия служебно премахва/коригира съответните разходи от бюджета на проекта.</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Извършените корекции на данни в бюджета не могат да водят до: увеличаване на размера на безвъзмездната финансова помощ, предвидени в подаденото проектно предложение, невъзможност за изпълнение на целите на проекта или на проектните дейности, нарушаване на принципите по чл. 29, ал. 1, т. 1 и 2 от ЗУСЕФСУ.</w:t>
            </w:r>
          </w:p>
          <w:p w:rsidR="007A719E" w:rsidRPr="007A719E" w:rsidRDefault="007A719E" w:rsidP="007A719E">
            <w:pPr>
              <w:spacing w:after="160" w:line="259" w:lineRule="auto"/>
              <w:ind w:firstLine="720"/>
              <w:jc w:val="both"/>
              <w:rPr>
                <w:rFonts w:eastAsia="Calibri"/>
                <w:lang w:val="en-US"/>
              </w:rPr>
            </w:pPr>
            <w:r w:rsidRPr="007A719E">
              <w:rPr>
                <w:rFonts w:eastAsia="Calibri"/>
                <w:lang w:val="en-US"/>
              </w:rPr>
              <w:t>Съгласно инструкциите в Приложение № 4 „Критерии и методология за оценка на проектни предложения по процедура за подбор на проекти № BG14MFPR001-2.017 „Предлагане на пазара – компенсации - подсектор „Преработка на продукти от риболов и аквакултури“, вид дейност 2.2.2 „Предлагане на пазара“, чл. 26, параграф 2,  буква а) от Регламент (ЕС) 2021/1139“ към УКИ, т. 1. Административно съответствие и допустимост:“ към Условията за кандидатстване и изпълнение при несъответствие с изискванията по т. 9, т. 10, т. 14, т. 15, и т. 18 проектното предложение се отхвърля.</w:t>
            </w:r>
          </w:p>
          <w:p w:rsidR="007B1891" w:rsidRPr="00851B29" w:rsidRDefault="007A719E" w:rsidP="007A719E">
            <w:pPr>
              <w:spacing w:after="160" w:line="259" w:lineRule="auto"/>
              <w:ind w:firstLine="720"/>
              <w:jc w:val="both"/>
              <w:rPr>
                <w:rFonts w:eastAsia="Calibri"/>
                <w:lang w:val="en-US"/>
              </w:rPr>
            </w:pPr>
            <w:r w:rsidRPr="007A719E">
              <w:rPr>
                <w:rFonts w:eastAsia="Calibri"/>
                <w:lang w:val="en-US"/>
              </w:rPr>
              <w:lastRenderedPageBreak/>
              <w:t>Поради изложените по-горе аргументи, проектно предложение с рег. № BG14MFPR001-2.017-0033 „Компенсации за пропуснати доходи и допълнителни разходи, в резултат от пазарните смущения, настъпили между 28 февруари 2026 г. и 31 декември 2026 г., произтичащи от кризата в Близкия Изток“, кандидат „ЛОВМИЙТ ЕНД ФИШ“ ЕООД, гр. Генерал Тошево, ЕИК: 202207074, е включено в Списъка на проектните предложения, които не се допускат до етап „Техническа и финансова оценка“ по настоящата процедура.</w:t>
            </w:r>
          </w:p>
        </w:tc>
      </w:tr>
    </w:tbl>
    <w:p w:rsidR="00877A5F" w:rsidRPr="009E369F" w:rsidRDefault="00877A5F" w:rsidP="009E369F">
      <w:pPr>
        <w:spacing w:line="360" w:lineRule="auto"/>
        <w:rPr>
          <w:snapToGrid w:val="0"/>
          <w:lang w:val="bg-BG"/>
        </w:rPr>
      </w:pPr>
    </w:p>
    <w:sectPr w:rsidR="00877A5F" w:rsidRPr="009E369F" w:rsidSect="00EB1B37">
      <w:headerReference w:type="default" r:id="rId8"/>
      <w:footerReference w:type="default" r:id="rId9"/>
      <w:pgSz w:w="16838" w:h="11906" w:orient="landscape"/>
      <w:pgMar w:top="1418" w:right="1134" w:bottom="851" w:left="1134" w:header="709" w:footer="43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2E9B" w:rsidRDefault="00CF2E9B">
      <w:r>
        <w:separator/>
      </w:r>
    </w:p>
  </w:endnote>
  <w:endnote w:type="continuationSeparator" w:id="0">
    <w:p w:rsidR="00CF2E9B" w:rsidRDefault="00CF2E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HG Mincho Light J">
    <w:altName w:val="Times New Roman"/>
    <w:charset w:val="00"/>
    <w:family w:val="auto"/>
    <w:pitch w:val="variable"/>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53520512"/>
      <w:docPartObj>
        <w:docPartGallery w:val="Page Numbers (Bottom of Page)"/>
        <w:docPartUnique/>
      </w:docPartObj>
    </w:sdtPr>
    <w:sdtEndPr>
      <w:rPr>
        <w:noProof/>
      </w:rPr>
    </w:sdtEndPr>
    <w:sdtContent>
      <w:p w:rsidR="00C21CB8" w:rsidRDefault="00C21CB8">
        <w:pPr>
          <w:pStyle w:val="Footer"/>
          <w:jc w:val="right"/>
        </w:pPr>
        <w:r>
          <w:fldChar w:fldCharType="begin"/>
        </w:r>
        <w:r>
          <w:instrText xml:space="preserve"> PAGE   \* MERGEFORMAT </w:instrText>
        </w:r>
        <w:r>
          <w:fldChar w:fldCharType="separate"/>
        </w:r>
        <w:r w:rsidR="00A46EED">
          <w:rPr>
            <w:noProof/>
          </w:rPr>
          <w:t>22</w:t>
        </w:r>
        <w:r>
          <w:rPr>
            <w:noProof/>
          </w:rPr>
          <w:fldChar w:fldCharType="end"/>
        </w:r>
      </w:p>
    </w:sdtContent>
  </w:sdt>
  <w:p w:rsidR="00C21CB8" w:rsidRDefault="00C21C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2E9B" w:rsidRDefault="00CF2E9B">
      <w:r>
        <w:separator/>
      </w:r>
    </w:p>
  </w:footnote>
  <w:footnote w:type="continuationSeparator" w:id="0">
    <w:p w:rsidR="00CF2E9B" w:rsidRDefault="00CF2E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4884" w:type="dxa"/>
      <w:tblInd w:w="-141" w:type="dxa"/>
      <w:tblLayout w:type="fixed"/>
      <w:tblCellMar>
        <w:left w:w="0" w:type="dxa"/>
        <w:right w:w="0" w:type="dxa"/>
      </w:tblCellMar>
      <w:tblLook w:val="0000" w:firstRow="0" w:lastRow="0" w:firstColumn="0" w:lastColumn="0" w:noHBand="0" w:noVBand="0"/>
    </w:tblPr>
    <w:tblGrid>
      <w:gridCol w:w="5078"/>
      <w:gridCol w:w="1217"/>
      <w:gridCol w:w="6463"/>
      <w:gridCol w:w="2126"/>
    </w:tblGrid>
    <w:tr w:rsidR="00F95F33" w:rsidRPr="00144A1F" w:rsidTr="001B4A73">
      <w:trPr>
        <w:trHeight w:val="1256"/>
        <w:tblHeader/>
      </w:trPr>
      <w:tc>
        <w:tcPr>
          <w:tcW w:w="5078" w:type="dxa"/>
          <w:vMerge w:val="restart"/>
          <w:tcBorders>
            <w:top w:val="single" w:sz="1" w:space="0" w:color="000000"/>
            <w:lef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 xml:space="preserve">Министерство на </w:t>
          </w:r>
          <w:r w:rsidR="00A6323E">
            <w:rPr>
              <w:rFonts w:eastAsia="HG Mincho Light J"/>
              <w:b/>
              <w:color w:val="000000"/>
              <w:sz w:val="20"/>
              <w:szCs w:val="20"/>
              <w:lang w:val="bg-BG"/>
            </w:rPr>
            <w:t>земеделието</w:t>
          </w:r>
          <w:r w:rsidR="00006334">
            <w:rPr>
              <w:rFonts w:eastAsia="HG Mincho Light J"/>
              <w:b/>
              <w:color w:val="000000"/>
              <w:sz w:val="20"/>
              <w:szCs w:val="20"/>
              <w:lang w:val="bg-BG"/>
            </w:rPr>
            <w:t xml:space="preserve"> и храните</w:t>
          </w:r>
        </w:p>
        <w:p w:rsidR="00F95F33" w:rsidRPr="006B2ABC" w:rsidRDefault="001D7924" w:rsidP="00274FD3">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Д</w:t>
          </w:r>
          <w:r w:rsidR="009E369F">
            <w:rPr>
              <w:rFonts w:eastAsia="HG Mincho Light J"/>
              <w:b/>
              <w:color w:val="000000"/>
              <w:sz w:val="20"/>
              <w:szCs w:val="20"/>
              <w:lang w:val="bg-BG"/>
            </w:rPr>
            <w:t>ирекция „</w:t>
          </w:r>
          <w:r>
            <w:rPr>
              <w:rFonts w:eastAsia="HG Mincho Light J"/>
              <w:b/>
              <w:color w:val="000000"/>
              <w:sz w:val="20"/>
              <w:szCs w:val="20"/>
              <w:lang w:val="bg-BG"/>
            </w:rPr>
            <w:t>Морско дело и рибарство</w:t>
          </w:r>
          <w:r w:rsidR="00144A1F" w:rsidRPr="00144A1F">
            <w:rPr>
              <w:rFonts w:eastAsia="HG Mincho Light J"/>
              <w:b/>
              <w:color w:val="000000"/>
              <w:sz w:val="20"/>
              <w:szCs w:val="20"/>
              <w:lang w:val="bg-BG"/>
            </w:rPr>
            <w:t xml:space="preserve">” – Управляващ орган на </w:t>
          </w:r>
          <w:r>
            <w:rPr>
              <w:rFonts w:eastAsia="HG Mincho Light J"/>
              <w:b/>
              <w:color w:val="000000"/>
              <w:sz w:val="20"/>
              <w:szCs w:val="20"/>
              <w:lang w:val="bg-BG"/>
            </w:rPr>
            <w:t>ПМДР</w:t>
          </w:r>
          <w:r w:rsidR="00E14F0B">
            <w:rPr>
              <w:rFonts w:eastAsia="HG Mincho Light J"/>
              <w:b/>
              <w:color w:val="000000"/>
              <w:sz w:val="20"/>
              <w:szCs w:val="20"/>
              <w:lang w:val="bg-BG"/>
            </w:rPr>
            <w:t>А</w:t>
          </w:r>
          <w:r w:rsidR="00877A5F" w:rsidRPr="006B2ABC">
            <w:rPr>
              <w:rFonts w:eastAsia="HG Mincho Light J"/>
              <w:b/>
              <w:color w:val="000000"/>
              <w:sz w:val="20"/>
              <w:szCs w:val="20"/>
              <w:lang w:val="bg-BG"/>
            </w:rPr>
            <w:t xml:space="preserve"> 20</w:t>
          </w:r>
          <w:r w:rsidR="00274FD3">
            <w:rPr>
              <w:rFonts w:eastAsia="HG Mincho Light J"/>
              <w:b/>
              <w:color w:val="000000"/>
              <w:sz w:val="20"/>
              <w:szCs w:val="20"/>
              <w:lang w:val="bg-BG"/>
            </w:rPr>
            <w:t>21 - 2027</w:t>
          </w:r>
        </w:p>
      </w:tc>
      <w:tc>
        <w:tcPr>
          <w:tcW w:w="7680" w:type="dxa"/>
          <w:gridSpan w:val="2"/>
          <w:tcBorders>
            <w:top w:val="single" w:sz="1" w:space="0" w:color="000000"/>
            <w:left w:val="single" w:sz="1" w:space="0" w:color="000000"/>
            <w:bottom w:val="single" w:sz="1" w:space="0" w:color="000000"/>
          </w:tcBorders>
          <w:vAlign w:val="center"/>
        </w:tcPr>
        <w:p w:rsidR="00F95F33" w:rsidRPr="00144A1F" w:rsidRDefault="003213FB" w:rsidP="003C6C1D">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НАРЪЧНИК </w:t>
          </w:r>
          <w:r w:rsidR="00D4220F">
            <w:rPr>
              <w:rFonts w:eastAsia="HG Mincho Light J"/>
              <w:b/>
              <w:color w:val="000000"/>
              <w:sz w:val="20"/>
              <w:szCs w:val="20"/>
              <w:lang w:val="bg-BG"/>
            </w:rPr>
            <w:t>ПО</w:t>
          </w:r>
          <w:r>
            <w:rPr>
              <w:rFonts w:eastAsia="HG Mincho Light J"/>
              <w:b/>
              <w:color w:val="000000"/>
              <w:sz w:val="20"/>
              <w:szCs w:val="20"/>
              <w:lang w:val="bg-BG"/>
            </w:rPr>
            <w:t xml:space="preserve"> </w:t>
          </w:r>
          <w:r w:rsidR="009E1864">
            <w:rPr>
              <w:rFonts w:eastAsia="HG Mincho Light J"/>
              <w:b/>
              <w:color w:val="000000"/>
              <w:sz w:val="20"/>
              <w:szCs w:val="20"/>
              <w:lang w:val="bg-BG"/>
            </w:rPr>
            <w:t>ПРОГРАМА ЗА МОРСКО ДЕЛО, РИБАРСТВО И  АКВАКУЛТУРИ</w:t>
          </w:r>
          <w:r w:rsidR="00C36EA9">
            <w:rPr>
              <w:rFonts w:eastAsia="HG Mincho Light J"/>
              <w:b/>
              <w:color w:val="000000"/>
              <w:sz w:val="20"/>
              <w:szCs w:val="20"/>
              <w:lang w:val="bg-BG"/>
            </w:rPr>
            <w:t xml:space="preserve"> 2021 -2027</w:t>
          </w:r>
          <w:r w:rsidR="00F95F33" w:rsidRPr="00144A1F">
            <w:rPr>
              <w:rFonts w:eastAsia="HG Mincho Light J"/>
              <w:b/>
              <w:color w:val="000000"/>
              <w:sz w:val="20"/>
              <w:szCs w:val="20"/>
              <w:lang w:val="bg-BG"/>
            </w:rPr>
            <w:t xml:space="preserve"> (</w:t>
          </w:r>
          <w:r w:rsidR="001D7924">
            <w:rPr>
              <w:rFonts w:eastAsia="HG Mincho Light J"/>
              <w:b/>
              <w:color w:val="000000"/>
              <w:sz w:val="20"/>
              <w:szCs w:val="20"/>
              <w:lang w:val="bg-BG"/>
            </w:rPr>
            <w:t>ПМДР</w:t>
          </w:r>
          <w:r w:rsidR="00C36EA9">
            <w:rPr>
              <w:rFonts w:eastAsia="HG Mincho Light J"/>
              <w:b/>
              <w:color w:val="000000"/>
              <w:sz w:val="20"/>
              <w:szCs w:val="20"/>
              <w:lang w:val="bg-BG"/>
            </w:rPr>
            <w:t>А</w:t>
          </w:r>
          <w:r w:rsidR="00F95F33" w:rsidRPr="00144A1F">
            <w:rPr>
              <w:rFonts w:eastAsia="HG Mincho Light J"/>
              <w:b/>
              <w:color w:val="000000"/>
              <w:sz w:val="20"/>
              <w:szCs w:val="20"/>
              <w:lang w:val="bg-BG"/>
            </w:rPr>
            <w:t>)</w:t>
          </w:r>
        </w:p>
      </w:tc>
      <w:tc>
        <w:tcPr>
          <w:tcW w:w="2126" w:type="dxa"/>
          <w:tcBorders>
            <w:top w:val="single" w:sz="1" w:space="0" w:color="000000"/>
            <w:left w:val="single" w:sz="1" w:space="0" w:color="000000"/>
            <w:bottom w:val="single" w:sz="1" w:space="0" w:color="000000"/>
            <w:right w:val="single" w:sz="1" w:space="0" w:color="000000"/>
          </w:tcBorders>
          <w:vAlign w:val="center"/>
        </w:tcPr>
        <w:p w:rsidR="00F95F33" w:rsidRPr="00144A1F" w:rsidRDefault="00144A1F" w:rsidP="009054C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lang w:val="bg-BG"/>
            </w:rPr>
            <w:t xml:space="preserve">Вариант </w:t>
          </w:r>
          <w:r w:rsidR="00006334">
            <w:rPr>
              <w:rFonts w:eastAsia="HG Mincho Light J"/>
              <w:b/>
              <w:color w:val="000000"/>
              <w:sz w:val="20"/>
              <w:lang w:val="bg-BG"/>
            </w:rPr>
            <w:t>1</w:t>
          </w:r>
        </w:p>
      </w:tc>
    </w:tr>
    <w:tr w:rsidR="00F95F33" w:rsidRPr="00144A1F" w:rsidTr="001B4A73">
      <w:trPr>
        <w:trHeight w:val="747"/>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1217" w:type="dxa"/>
          <w:tcBorders>
            <w:left w:val="single" w:sz="1" w:space="0" w:color="000000"/>
            <w:bottom w:val="single" w:sz="1" w:space="0" w:color="000000"/>
            <w:right w:val="single" w:sz="1" w:space="0" w:color="000000"/>
          </w:tcBorders>
          <w:vAlign w:val="center"/>
        </w:tcPr>
        <w:p w:rsidR="00F95F33" w:rsidRPr="00144A1F" w:rsidRDefault="006C23EE" w:rsidP="00144A1F">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Глава 4, раздел 2, </w:t>
          </w:r>
          <w:r w:rsidR="00F95F33" w:rsidRPr="00144A1F">
            <w:rPr>
              <w:rFonts w:eastAsia="HG Mincho Light J"/>
              <w:b/>
              <w:color w:val="000000"/>
              <w:sz w:val="20"/>
              <w:szCs w:val="20"/>
              <w:lang w:val="bg-BG"/>
            </w:rPr>
            <w:t xml:space="preserve">Приложение </w:t>
          </w:r>
        </w:p>
        <w:p w:rsidR="00F95F33" w:rsidRPr="00144A1F" w:rsidRDefault="00F95F33" w:rsidP="002D643D">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4.II.</w:t>
          </w:r>
          <w:r w:rsidR="00BE3CC1" w:rsidRPr="00144A1F">
            <w:rPr>
              <w:rFonts w:eastAsia="HG Mincho Light J"/>
              <w:b/>
              <w:color w:val="000000"/>
              <w:sz w:val="20"/>
              <w:szCs w:val="20"/>
              <w:lang w:val="bg-BG"/>
            </w:rPr>
            <w:t>1</w:t>
          </w:r>
          <w:r w:rsidRPr="00144A1F">
            <w:rPr>
              <w:rFonts w:eastAsia="HG Mincho Light J"/>
              <w:b/>
              <w:color w:val="000000"/>
              <w:sz w:val="20"/>
              <w:szCs w:val="20"/>
              <w:lang w:val="bg-BG"/>
            </w:rPr>
            <w:t>.</w:t>
          </w:r>
          <w:r w:rsidR="002D643D">
            <w:rPr>
              <w:rFonts w:eastAsia="HG Mincho Light J"/>
              <w:b/>
              <w:color w:val="000000"/>
              <w:sz w:val="20"/>
              <w:szCs w:val="20"/>
              <w:lang w:val="bg-BG"/>
            </w:rPr>
            <w:t>13</w:t>
          </w:r>
          <w:r w:rsidRPr="00144A1F">
            <w:rPr>
              <w:rFonts w:eastAsia="HG Mincho Light J"/>
              <w:b/>
              <w:color w:val="000000"/>
              <w:sz w:val="20"/>
              <w:szCs w:val="20"/>
              <w:lang w:val="bg-BG"/>
            </w:rPr>
            <w:t>.</w:t>
          </w:r>
        </w:p>
      </w:tc>
      <w:tc>
        <w:tcPr>
          <w:tcW w:w="6463"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b/>
              <w:sz w:val="20"/>
              <w:szCs w:val="20"/>
              <w:lang w:val="bg-BG"/>
            </w:rPr>
          </w:pPr>
          <w:r w:rsidRPr="00144A1F">
            <w:rPr>
              <w:b/>
              <w:sz w:val="20"/>
              <w:szCs w:val="20"/>
              <w:lang w:val="bg-BG"/>
            </w:rPr>
            <w:t>ПРОЦЕДУРИ ЗА ПРЕДОСТАВЯНЕ НА БЕЗВЪЗМЕЗДНА ФИНАНСОВА ПОМОЩ</w:t>
          </w:r>
        </w:p>
        <w:p w:rsidR="00F95F33" w:rsidRPr="00144A1F" w:rsidRDefault="00F95F33" w:rsidP="00144A1F">
          <w:pPr>
            <w:widowControl w:val="0"/>
            <w:suppressLineNumbers/>
            <w:suppressAutoHyphens/>
            <w:jc w:val="center"/>
            <w:rPr>
              <w:b/>
              <w:iCs/>
              <w:sz w:val="20"/>
              <w:szCs w:val="20"/>
              <w:lang w:val="bg-BG"/>
            </w:rPr>
          </w:pPr>
        </w:p>
        <w:p w:rsidR="00F95F33" w:rsidRPr="00144A1F" w:rsidRDefault="00F95F33" w:rsidP="00144A1F">
          <w:pPr>
            <w:widowControl w:val="0"/>
            <w:suppressLineNumbers/>
            <w:suppressAutoHyphens/>
            <w:jc w:val="center"/>
            <w:rPr>
              <w:b/>
              <w:iCs/>
              <w:sz w:val="20"/>
              <w:szCs w:val="20"/>
              <w:lang w:val="bg-BG"/>
            </w:rPr>
          </w:pPr>
        </w:p>
        <w:p w:rsidR="00F95F33" w:rsidRPr="00F609C8" w:rsidRDefault="002D643D" w:rsidP="00F609C8">
          <w:pPr>
            <w:widowControl w:val="0"/>
            <w:suppressLineNumbers/>
            <w:suppressAutoHyphens/>
            <w:jc w:val="center"/>
            <w:rPr>
              <w:rFonts w:eastAsia="HG Mincho Light J"/>
              <w:b/>
              <w:color w:val="000000"/>
              <w:sz w:val="20"/>
              <w:szCs w:val="20"/>
              <w:lang w:val="bg-BG"/>
            </w:rPr>
          </w:pPr>
          <w:r w:rsidRPr="002D643D">
            <w:rPr>
              <w:b/>
              <w:iCs/>
              <w:sz w:val="20"/>
              <w:szCs w:val="20"/>
              <w:lang w:val="bg-BG"/>
            </w:rPr>
            <w:t>Образец на Списък на предложените за отхвърляне проектни предложения</w:t>
          </w:r>
        </w:p>
      </w:tc>
      <w:tc>
        <w:tcPr>
          <w:tcW w:w="2126" w:type="dxa"/>
          <w:tcBorders>
            <w:left w:val="single" w:sz="1" w:space="0" w:color="000000"/>
            <w:bottom w:val="single" w:sz="1" w:space="0" w:color="000000"/>
            <w:righ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b/>
              <w:sz w:val="20"/>
              <w:szCs w:val="20"/>
              <w:lang w:val="bg-BG"/>
            </w:rPr>
            <w:t xml:space="preserve">страница: </w:t>
          </w:r>
          <w:r w:rsidR="00C438E3" w:rsidRPr="00144A1F">
            <w:rPr>
              <w:rStyle w:val="PageNumber"/>
              <w:sz w:val="20"/>
              <w:szCs w:val="20"/>
              <w:lang w:val="bg-BG"/>
            </w:rPr>
            <w:fldChar w:fldCharType="begin"/>
          </w:r>
          <w:r w:rsidRPr="00144A1F">
            <w:rPr>
              <w:rStyle w:val="PageNumber"/>
              <w:sz w:val="20"/>
              <w:szCs w:val="20"/>
              <w:lang w:val="bg-BG"/>
            </w:rPr>
            <w:instrText xml:space="preserve"> PAGE </w:instrText>
          </w:r>
          <w:r w:rsidR="00C438E3" w:rsidRPr="00144A1F">
            <w:rPr>
              <w:rStyle w:val="PageNumber"/>
              <w:sz w:val="20"/>
              <w:szCs w:val="20"/>
              <w:lang w:val="bg-BG"/>
            </w:rPr>
            <w:fldChar w:fldCharType="separate"/>
          </w:r>
          <w:r w:rsidR="00A46EED">
            <w:rPr>
              <w:rStyle w:val="PageNumber"/>
              <w:noProof/>
              <w:sz w:val="20"/>
              <w:szCs w:val="20"/>
              <w:lang w:val="bg-BG"/>
            </w:rPr>
            <w:t>22</w:t>
          </w:r>
          <w:r w:rsidR="00C438E3" w:rsidRPr="00144A1F">
            <w:rPr>
              <w:rStyle w:val="PageNumber"/>
              <w:sz w:val="20"/>
              <w:szCs w:val="20"/>
              <w:lang w:val="bg-BG"/>
            </w:rPr>
            <w:fldChar w:fldCharType="end"/>
          </w:r>
          <w:r w:rsidRPr="00144A1F">
            <w:rPr>
              <w:rStyle w:val="PageNumber"/>
              <w:sz w:val="20"/>
              <w:szCs w:val="20"/>
              <w:lang w:val="bg-BG"/>
            </w:rPr>
            <w:t>/</w:t>
          </w:r>
          <w:r w:rsidR="00C438E3" w:rsidRPr="00144A1F">
            <w:rPr>
              <w:rStyle w:val="PageNumber"/>
              <w:sz w:val="20"/>
              <w:szCs w:val="20"/>
              <w:lang w:val="bg-BG"/>
            </w:rPr>
            <w:fldChar w:fldCharType="begin"/>
          </w:r>
          <w:r w:rsidRPr="00144A1F">
            <w:rPr>
              <w:rStyle w:val="PageNumber"/>
              <w:sz w:val="20"/>
              <w:szCs w:val="20"/>
              <w:lang w:val="bg-BG"/>
            </w:rPr>
            <w:instrText xml:space="preserve"> NUMPAGES </w:instrText>
          </w:r>
          <w:r w:rsidR="00C438E3" w:rsidRPr="00144A1F">
            <w:rPr>
              <w:rStyle w:val="PageNumber"/>
              <w:sz w:val="20"/>
              <w:szCs w:val="20"/>
              <w:lang w:val="bg-BG"/>
            </w:rPr>
            <w:fldChar w:fldCharType="separate"/>
          </w:r>
          <w:r w:rsidR="00A46EED">
            <w:rPr>
              <w:rStyle w:val="PageNumber"/>
              <w:noProof/>
              <w:sz w:val="20"/>
              <w:szCs w:val="20"/>
              <w:lang w:val="bg-BG"/>
            </w:rPr>
            <w:t>64</w:t>
          </w:r>
          <w:r w:rsidR="00C438E3" w:rsidRPr="00144A1F">
            <w:rPr>
              <w:rStyle w:val="PageNumber"/>
              <w:sz w:val="20"/>
              <w:szCs w:val="20"/>
              <w:lang w:val="bg-BG"/>
            </w:rPr>
            <w:fldChar w:fldCharType="end"/>
          </w:r>
        </w:p>
      </w:tc>
    </w:tr>
    <w:tr w:rsidR="00F95F33" w:rsidRPr="00144A1F" w:rsidTr="001B4A73">
      <w:trPr>
        <w:trHeight w:val="697"/>
      </w:trPr>
      <w:tc>
        <w:tcPr>
          <w:tcW w:w="5078" w:type="dxa"/>
          <w:vMerge/>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tcBorders>
          <w:vAlign w:val="center"/>
        </w:tcPr>
        <w:p w:rsidR="00F95F33" w:rsidRPr="00144A1F" w:rsidRDefault="00F95F33"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Одобрен от: Ръководител на Управляващия орган</w:t>
          </w:r>
        </w:p>
      </w:tc>
      <w:tc>
        <w:tcPr>
          <w:tcW w:w="2126" w:type="dxa"/>
          <w:tcBorders>
            <w:left w:val="single" w:sz="1" w:space="0" w:color="000000"/>
            <w:bottom w:val="single" w:sz="4" w:space="0" w:color="auto"/>
            <w:right w:val="single" w:sz="1" w:space="0" w:color="000000"/>
          </w:tcBorders>
          <w:vAlign w:val="center"/>
        </w:tcPr>
        <w:p w:rsidR="00144A1F" w:rsidRPr="00144A1F" w:rsidRDefault="00144A1F" w:rsidP="00144A1F">
          <w:pPr>
            <w:widowControl w:val="0"/>
            <w:suppressLineNumbers/>
            <w:suppressAutoHyphens/>
            <w:jc w:val="center"/>
            <w:rPr>
              <w:rFonts w:eastAsia="HG Mincho Light J"/>
              <w:b/>
              <w:color w:val="000000"/>
              <w:sz w:val="20"/>
              <w:szCs w:val="20"/>
              <w:lang w:val="bg-BG"/>
            </w:rPr>
          </w:pPr>
          <w:r w:rsidRPr="00144A1F">
            <w:rPr>
              <w:rFonts w:eastAsia="HG Mincho Light J"/>
              <w:b/>
              <w:color w:val="000000"/>
              <w:sz w:val="20"/>
              <w:szCs w:val="20"/>
              <w:lang w:val="bg-BG"/>
            </w:rPr>
            <w:t>Дата:</w:t>
          </w:r>
        </w:p>
        <w:p w:rsidR="00F95F33" w:rsidRPr="00144A1F" w:rsidRDefault="00244742" w:rsidP="00A6323E">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r w:rsidR="00D4220F" w:rsidRPr="00144A1F" w:rsidTr="001B4A73">
      <w:trPr>
        <w:trHeight w:val="697"/>
      </w:trPr>
      <w:tc>
        <w:tcPr>
          <w:tcW w:w="5078" w:type="dxa"/>
          <w:tcBorders>
            <w:left w:val="single" w:sz="1" w:space="0" w:color="000000"/>
            <w:bottom w:val="single" w:sz="1" w:space="0" w:color="000000"/>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7680" w:type="dxa"/>
          <w:gridSpan w:val="2"/>
          <w:tcBorders>
            <w:left w:val="single" w:sz="1" w:space="0" w:color="000000"/>
            <w:bottom w:val="single" w:sz="1" w:space="0" w:color="000000"/>
            <w:right w:val="single" w:sz="4" w:space="0" w:color="auto"/>
          </w:tcBorders>
          <w:vAlign w:val="center"/>
        </w:tcPr>
        <w:p w:rsidR="00D4220F" w:rsidRPr="00144A1F" w:rsidRDefault="00D4220F" w:rsidP="00144A1F">
          <w:pPr>
            <w:widowControl w:val="0"/>
            <w:suppressLineNumbers/>
            <w:suppressAutoHyphens/>
            <w:jc w:val="center"/>
            <w:rPr>
              <w:rFonts w:eastAsia="HG Mincho Light J"/>
              <w:b/>
              <w:color w:val="000000"/>
              <w:sz w:val="20"/>
              <w:szCs w:val="20"/>
              <w:lang w:val="bg-BG"/>
            </w:rPr>
          </w:pPr>
        </w:p>
      </w:tc>
      <w:tc>
        <w:tcPr>
          <w:tcW w:w="2126" w:type="dxa"/>
          <w:tcBorders>
            <w:top w:val="single" w:sz="4" w:space="0" w:color="auto"/>
            <w:left w:val="single" w:sz="4" w:space="0" w:color="auto"/>
            <w:bottom w:val="single" w:sz="4" w:space="0" w:color="auto"/>
            <w:right w:val="single" w:sz="4" w:space="0" w:color="auto"/>
          </w:tcBorders>
          <w:vAlign w:val="center"/>
        </w:tcPr>
        <w:p w:rsidR="00D4220F" w:rsidRPr="00D4220F" w:rsidRDefault="00D4220F" w:rsidP="00D4220F">
          <w:pPr>
            <w:widowControl w:val="0"/>
            <w:suppressLineNumbers/>
            <w:suppressAutoHyphens/>
            <w:jc w:val="center"/>
            <w:rPr>
              <w:rFonts w:eastAsia="HG Mincho Light J"/>
              <w:b/>
              <w:color w:val="000000"/>
              <w:sz w:val="20"/>
              <w:szCs w:val="20"/>
              <w:lang w:val="bg-BG"/>
            </w:rPr>
          </w:pPr>
          <w:r w:rsidRPr="00D4220F">
            <w:rPr>
              <w:rFonts w:eastAsia="HG Mincho Light J"/>
              <w:b/>
              <w:color w:val="000000"/>
              <w:sz w:val="20"/>
              <w:szCs w:val="20"/>
              <w:lang w:val="bg-BG"/>
            </w:rPr>
            <w:t>Версия:</w:t>
          </w:r>
        </w:p>
        <w:p w:rsidR="00D4220F" w:rsidRPr="00144A1F" w:rsidRDefault="00244742" w:rsidP="00006334">
          <w:pPr>
            <w:widowControl w:val="0"/>
            <w:suppressLineNumbers/>
            <w:suppressAutoHyphens/>
            <w:jc w:val="center"/>
            <w:rPr>
              <w:rFonts w:eastAsia="HG Mincho Light J"/>
              <w:b/>
              <w:color w:val="000000"/>
              <w:sz w:val="20"/>
              <w:szCs w:val="20"/>
              <w:lang w:val="bg-BG"/>
            </w:rPr>
          </w:pPr>
          <w:r>
            <w:rPr>
              <w:rFonts w:eastAsia="HG Mincho Light J"/>
              <w:b/>
              <w:color w:val="000000"/>
              <w:sz w:val="20"/>
              <w:szCs w:val="20"/>
              <w:lang w:val="bg-BG"/>
            </w:rPr>
            <w:t xml:space="preserve">Ноември </w:t>
          </w:r>
          <w:r w:rsidR="00006334">
            <w:rPr>
              <w:rFonts w:eastAsia="HG Mincho Light J"/>
              <w:b/>
              <w:color w:val="000000"/>
              <w:sz w:val="20"/>
              <w:szCs w:val="20"/>
              <w:lang w:val="bg-BG"/>
            </w:rPr>
            <w:t>2023</w:t>
          </w:r>
        </w:p>
      </w:tc>
    </w:tr>
  </w:tbl>
  <w:p w:rsidR="003F4A60" w:rsidRDefault="003F4A60" w:rsidP="00561E4F">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215BB4"/>
    <w:multiLevelType w:val="hybridMultilevel"/>
    <w:tmpl w:val="52C0DFF6"/>
    <w:lvl w:ilvl="0" w:tplc="681C8144">
      <w:start w:val="1"/>
      <w:numFmt w:val="decimal"/>
      <w:lvlText w:val="%1."/>
      <w:lvlJc w:val="left"/>
      <w:pPr>
        <w:ind w:left="720" w:hanging="360"/>
      </w:pPr>
      <w:rPr>
        <w:i w:val="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541021D9"/>
    <w:multiLevelType w:val="hybridMultilevel"/>
    <w:tmpl w:val="51FEF15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57"/>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40F1"/>
    <w:rsid w:val="00002EA4"/>
    <w:rsid w:val="00006334"/>
    <w:rsid w:val="00011405"/>
    <w:rsid w:val="000129B7"/>
    <w:rsid w:val="00024ADF"/>
    <w:rsid w:val="00025790"/>
    <w:rsid w:val="00027265"/>
    <w:rsid w:val="00031306"/>
    <w:rsid w:val="00036BC9"/>
    <w:rsid w:val="000540A9"/>
    <w:rsid w:val="000608C3"/>
    <w:rsid w:val="00091A0B"/>
    <w:rsid w:val="00093853"/>
    <w:rsid w:val="000955C9"/>
    <w:rsid w:val="000A3A7D"/>
    <w:rsid w:val="000A41AC"/>
    <w:rsid w:val="000C3EE3"/>
    <w:rsid w:val="000D7ED9"/>
    <w:rsid w:val="000E5E0B"/>
    <w:rsid w:val="000F2441"/>
    <w:rsid w:val="001047BE"/>
    <w:rsid w:val="00111412"/>
    <w:rsid w:val="001241BD"/>
    <w:rsid w:val="001245DD"/>
    <w:rsid w:val="00132DEE"/>
    <w:rsid w:val="00144A1F"/>
    <w:rsid w:val="00173702"/>
    <w:rsid w:val="00193A7A"/>
    <w:rsid w:val="001959F7"/>
    <w:rsid w:val="001B4A73"/>
    <w:rsid w:val="001C0B6A"/>
    <w:rsid w:val="001C1B90"/>
    <w:rsid w:val="001C3BE2"/>
    <w:rsid w:val="001C4B26"/>
    <w:rsid w:val="001D594D"/>
    <w:rsid w:val="001D7924"/>
    <w:rsid w:val="001F0DA3"/>
    <w:rsid w:val="001F7BE1"/>
    <w:rsid w:val="00204998"/>
    <w:rsid w:val="00244742"/>
    <w:rsid w:val="0024716F"/>
    <w:rsid w:val="00252824"/>
    <w:rsid w:val="00267933"/>
    <w:rsid w:val="00273151"/>
    <w:rsid w:val="00274FD3"/>
    <w:rsid w:val="002765CC"/>
    <w:rsid w:val="0028464A"/>
    <w:rsid w:val="0029326B"/>
    <w:rsid w:val="002A15FB"/>
    <w:rsid w:val="002A4691"/>
    <w:rsid w:val="002C1E90"/>
    <w:rsid w:val="002D157D"/>
    <w:rsid w:val="002D643D"/>
    <w:rsid w:val="002E4382"/>
    <w:rsid w:val="002F75E1"/>
    <w:rsid w:val="0030728B"/>
    <w:rsid w:val="00311A88"/>
    <w:rsid w:val="003213FB"/>
    <w:rsid w:val="00322C75"/>
    <w:rsid w:val="00324236"/>
    <w:rsid w:val="00331586"/>
    <w:rsid w:val="00335DE0"/>
    <w:rsid w:val="00343187"/>
    <w:rsid w:val="003439D2"/>
    <w:rsid w:val="00347D47"/>
    <w:rsid w:val="00364692"/>
    <w:rsid w:val="0037482B"/>
    <w:rsid w:val="00376A60"/>
    <w:rsid w:val="00386721"/>
    <w:rsid w:val="003941DC"/>
    <w:rsid w:val="003A3923"/>
    <w:rsid w:val="003A624D"/>
    <w:rsid w:val="003B27AC"/>
    <w:rsid w:val="003B5A55"/>
    <w:rsid w:val="003B5F2E"/>
    <w:rsid w:val="003C6C1D"/>
    <w:rsid w:val="003E0D49"/>
    <w:rsid w:val="003E2D2E"/>
    <w:rsid w:val="003F2FD8"/>
    <w:rsid w:val="003F4A60"/>
    <w:rsid w:val="003F7B45"/>
    <w:rsid w:val="00406131"/>
    <w:rsid w:val="00411D7A"/>
    <w:rsid w:val="00430A8F"/>
    <w:rsid w:val="004322ED"/>
    <w:rsid w:val="00436A9D"/>
    <w:rsid w:val="00440675"/>
    <w:rsid w:val="00444D18"/>
    <w:rsid w:val="00452D77"/>
    <w:rsid w:val="00454F3A"/>
    <w:rsid w:val="0047120E"/>
    <w:rsid w:val="004953B3"/>
    <w:rsid w:val="004A41E4"/>
    <w:rsid w:val="004A7303"/>
    <w:rsid w:val="004C574A"/>
    <w:rsid w:val="004E121F"/>
    <w:rsid w:val="004E4CA9"/>
    <w:rsid w:val="004F3330"/>
    <w:rsid w:val="004F42DA"/>
    <w:rsid w:val="004F5C87"/>
    <w:rsid w:val="005144AB"/>
    <w:rsid w:val="005253D1"/>
    <w:rsid w:val="00542E98"/>
    <w:rsid w:val="00545706"/>
    <w:rsid w:val="00561E4F"/>
    <w:rsid w:val="00581B26"/>
    <w:rsid w:val="00586F61"/>
    <w:rsid w:val="005912C0"/>
    <w:rsid w:val="00592769"/>
    <w:rsid w:val="005A17D3"/>
    <w:rsid w:val="005A6A46"/>
    <w:rsid w:val="005B5466"/>
    <w:rsid w:val="005C2D40"/>
    <w:rsid w:val="005C6F96"/>
    <w:rsid w:val="005D0C34"/>
    <w:rsid w:val="005D29B2"/>
    <w:rsid w:val="005D311A"/>
    <w:rsid w:val="005D6211"/>
    <w:rsid w:val="005D7EDC"/>
    <w:rsid w:val="005E52BD"/>
    <w:rsid w:val="005E678C"/>
    <w:rsid w:val="005F44E0"/>
    <w:rsid w:val="005F5ADF"/>
    <w:rsid w:val="00614F78"/>
    <w:rsid w:val="006345F6"/>
    <w:rsid w:val="0064187D"/>
    <w:rsid w:val="006439D5"/>
    <w:rsid w:val="0065252C"/>
    <w:rsid w:val="00654495"/>
    <w:rsid w:val="0068349E"/>
    <w:rsid w:val="00685D9D"/>
    <w:rsid w:val="006B2499"/>
    <w:rsid w:val="006B2ABC"/>
    <w:rsid w:val="006B4949"/>
    <w:rsid w:val="006C23EE"/>
    <w:rsid w:val="006F0B7D"/>
    <w:rsid w:val="00704F48"/>
    <w:rsid w:val="00710DE8"/>
    <w:rsid w:val="007126CE"/>
    <w:rsid w:val="0071717D"/>
    <w:rsid w:val="007315F2"/>
    <w:rsid w:val="00751517"/>
    <w:rsid w:val="0076720C"/>
    <w:rsid w:val="00775769"/>
    <w:rsid w:val="007925C9"/>
    <w:rsid w:val="007A1130"/>
    <w:rsid w:val="007A1946"/>
    <w:rsid w:val="007A41A5"/>
    <w:rsid w:val="007A719E"/>
    <w:rsid w:val="007B1891"/>
    <w:rsid w:val="007D081C"/>
    <w:rsid w:val="007E4EFE"/>
    <w:rsid w:val="00806761"/>
    <w:rsid w:val="00807668"/>
    <w:rsid w:val="0081745E"/>
    <w:rsid w:val="00830920"/>
    <w:rsid w:val="00834AF2"/>
    <w:rsid w:val="008445E2"/>
    <w:rsid w:val="00845433"/>
    <w:rsid w:val="00851B29"/>
    <w:rsid w:val="00855B28"/>
    <w:rsid w:val="00861D8E"/>
    <w:rsid w:val="0086685B"/>
    <w:rsid w:val="00873264"/>
    <w:rsid w:val="00877A5F"/>
    <w:rsid w:val="00886106"/>
    <w:rsid w:val="0088738B"/>
    <w:rsid w:val="008958A3"/>
    <w:rsid w:val="008A34BA"/>
    <w:rsid w:val="008B15BD"/>
    <w:rsid w:val="008B17DC"/>
    <w:rsid w:val="008B4B9F"/>
    <w:rsid w:val="008D0692"/>
    <w:rsid w:val="008D2F0B"/>
    <w:rsid w:val="008E150A"/>
    <w:rsid w:val="008E1661"/>
    <w:rsid w:val="008E1EA1"/>
    <w:rsid w:val="0090223F"/>
    <w:rsid w:val="009054CD"/>
    <w:rsid w:val="00915C01"/>
    <w:rsid w:val="00932C29"/>
    <w:rsid w:val="0095005A"/>
    <w:rsid w:val="00952D46"/>
    <w:rsid w:val="00954F89"/>
    <w:rsid w:val="00955C51"/>
    <w:rsid w:val="00960B4D"/>
    <w:rsid w:val="00963DF6"/>
    <w:rsid w:val="00970769"/>
    <w:rsid w:val="00980B41"/>
    <w:rsid w:val="00982377"/>
    <w:rsid w:val="00992D76"/>
    <w:rsid w:val="009A06E8"/>
    <w:rsid w:val="009A530C"/>
    <w:rsid w:val="009B26E1"/>
    <w:rsid w:val="009B334E"/>
    <w:rsid w:val="009C273A"/>
    <w:rsid w:val="009D5B0E"/>
    <w:rsid w:val="009D7E36"/>
    <w:rsid w:val="009E1864"/>
    <w:rsid w:val="009E369F"/>
    <w:rsid w:val="009E4C13"/>
    <w:rsid w:val="009F4F3D"/>
    <w:rsid w:val="009F7AFB"/>
    <w:rsid w:val="00A07238"/>
    <w:rsid w:val="00A15B65"/>
    <w:rsid w:val="00A25AE5"/>
    <w:rsid w:val="00A33334"/>
    <w:rsid w:val="00A339F3"/>
    <w:rsid w:val="00A37BAA"/>
    <w:rsid w:val="00A40AC5"/>
    <w:rsid w:val="00A44549"/>
    <w:rsid w:val="00A46EED"/>
    <w:rsid w:val="00A471E5"/>
    <w:rsid w:val="00A5216A"/>
    <w:rsid w:val="00A60A5C"/>
    <w:rsid w:val="00A6323E"/>
    <w:rsid w:val="00A6428E"/>
    <w:rsid w:val="00A70381"/>
    <w:rsid w:val="00A70F60"/>
    <w:rsid w:val="00A77402"/>
    <w:rsid w:val="00A80ED9"/>
    <w:rsid w:val="00A90F1B"/>
    <w:rsid w:val="00A940B8"/>
    <w:rsid w:val="00A953A0"/>
    <w:rsid w:val="00AA0DE1"/>
    <w:rsid w:val="00AC2ACC"/>
    <w:rsid w:val="00AC460E"/>
    <w:rsid w:val="00AC78E1"/>
    <w:rsid w:val="00AD048E"/>
    <w:rsid w:val="00AF1D14"/>
    <w:rsid w:val="00B03339"/>
    <w:rsid w:val="00B1699E"/>
    <w:rsid w:val="00B208BE"/>
    <w:rsid w:val="00B31E34"/>
    <w:rsid w:val="00B43EF2"/>
    <w:rsid w:val="00B45BDD"/>
    <w:rsid w:val="00B46079"/>
    <w:rsid w:val="00B5142E"/>
    <w:rsid w:val="00B776C7"/>
    <w:rsid w:val="00B830DD"/>
    <w:rsid w:val="00BB2C87"/>
    <w:rsid w:val="00BB5A62"/>
    <w:rsid w:val="00BD146C"/>
    <w:rsid w:val="00BE019F"/>
    <w:rsid w:val="00BE3CC1"/>
    <w:rsid w:val="00C17C79"/>
    <w:rsid w:val="00C20116"/>
    <w:rsid w:val="00C21491"/>
    <w:rsid w:val="00C21CB8"/>
    <w:rsid w:val="00C36EA9"/>
    <w:rsid w:val="00C40927"/>
    <w:rsid w:val="00C438E3"/>
    <w:rsid w:val="00C565C8"/>
    <w:rsid w:val="00C674EA"/>
    <w:rsid w:val="00C740F1"/>
    <w:rsid w:val="00CC198A"/>
    <w:rsid w:val="00CC762D"/>
    <w:rsid w:val="00CD5FF4"/>
    <w:rsid w:val="00CE57AB"/>
    <w:rsid w:val="00CF2E9B"/>
    <w:rsid w:val="00CF4A33"/>
    <w:rsid w:val="00CF7E34"/>
    <w:rsid w:val="00D0052E"/>
    <w:rsid w:val="00D1159D"/>
    <w:rsid w:val="00D1516E"/>
    <w:rsid w:val="00D215E9"/>
    <w:rsid w:val="00D3370B"/>
    <w:rsid w:val="00D34D64"/>
    <w:rsid w:val="00D4145E"/>
    <w:rsid w:val="00D4220F"/>
    <w:rsid w:val="00D4221E"/>
    <w:rsid w:val="00D42CDF"/>
    <w:rsid w:val="00D51D24"/>
    <w:rsid w:val="00D55D0C"/>
    <w:rsid w:val="00D65BB2"/>
    <w:rsid w:val="00D65EE7"/>
    <w:rsid w:val="00D7208A"/>
    <w:rsid w:val="00D73123"/>
    <w:rsid w:val="00D7495B"/>
    <w:rsid w:val="00D86372"/>
    <w:rsid w:val="00D874BF"/>
    <w:rsid w:val="00D97F8A"/>
    <w:rsid w:val="00DA1A24"/>
    <w:rsid w:val="00DB3841"/>
    <w:rsid w:val="00DD61BB"/>
    <w:rsid w:val="00DE0603"/>
    <w:rsid w:val="00DF7782"/>
    <w:rsid w:val="00E071FD"/>
    <w:rsid w:val="00E12C88"/>
    <w:rsid w:val="00E14840"/>
    <w:rsid w:val="00E14F0B"/>
    <w:rsid w:val="00E15BED"/>
    <w:rsid w:val="00E27ED7"/>
    <w:rsid w:val="00E639FE"/>
    <w:rsid w:val="00E700E3"/>
    <w:rsid w:val="00E71655"/>
    <w:rsid w:val="00E7591F"/>
    <w:rsid w:val="00E76FC7"/>
    <w:rsid w:val="00E8791C"/>
    <w:rsid w:val="00E97664"/>
    <w:rsid w:val="00EA04AD"/>
    <w:rsid w:val="00EA416D"/>
    <w:rsid w:val="00EB135C"/>
    <w:rsid w:val="00EB1B37"/>
    <w:rsid w:val="00EB286A"/>
    <w:rsid w:val="00EC46AC"/>
    <w:rsid w:val="00EF6DDB"/>
    <w:rsid w:val="00F03EDF"/>
    <w:rsid w:val="00F1198E"/>
    <w:rsid w:val="00F14C5E"/>
    <w:rsid w:val="00F21616"/>
    <w:rsid w:val="00F55D58"/>
    <w:rsid w:val="00F564F2"/>
    <w:rsid w:val="00F609C8"/>
    <w:rsid w:val="00F62177"/>
    <w:rsid w:val="00F664F8"/>
    <w:rsid w:val="00F672E0"/>
    <w:rsid w:val="00F8225D"/>
    <w:rsid w:val="00F824A8"/>
    <w:rsid w:val="00F95F33"/>
    <w:rsid w:val="00F9688F"/>
    <w:rsid w:val="00FA66FF"/>
    <w:rsid w:val="00FA70DD"/>
    <w:rsid w:val="00FB10E4"/>
    <w:rsid w:val="00FC20F7"/>
    <w:rsid w:val="00FD3D91"/>
    <w:rsid w:val="00FD746D"/>
    <w:rsid w:val="00FE7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C592F3A-DC4F-42B3-B87A-30DAC6D2B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6A46"/>
    <w:rPr>
      <w:sz w:val="24"/>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1CharCharCharCharCharCharCharCharCharCharCharCharCharCharCharChar">
    <w:name w:val="Char Char1 Char Char Char Char Char Char Char Char Char Char Char Char Char Char Char Char"/>
    <w:basedOn w:val="Normal"/>
    <w:rsid w:val="005A6A46"/>
    <w:pPr>
      <w:tabs>
        <w:tab w:val="left" w:pos="709"/>
      </w:tabs>
      <w:spacing w:before="120" w:after="120"/>
      <w:ind w:left="360"/>
      <w:jc w:val="center"/>
    </w:pPr>
    <w:rPr>
      <w:rFonts w:ascii="Tahoma" w:hAnsi="Tahoma"/>
      <w:b/>
      <w:bCs/>
      <w:szCs w:val="28"/>
      <w:lang w:val="pl-PL" w:eastAsia="pl-PL"/>
    </w:rPr>
  </w:style>
  <w:style w:type="paragraph" w:customStyle="1" w:styleId="TableContents">
    <w:name w:val="Table Contents"/>
    <w:basedOn w:val="BodyText"/>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customStyle="1" w:styleId="Index">
    <w:name w:val="Index"/>
    <w:basedOn w:val="Normal"/>
    <w:rsid w:val="005A6A46"/>
    <w:pPr>
      <w:widowControl w:val="0"/>
      <w:suppressLineNumbers/>
      <w:suppressAutoHyphens/>
      <w:spacing w:before="100" w:beforeAutospacing="1" w:after="100" w:afterAutospacing="1"/>
    </w:pPr>
    <w:rPr>
      <w:rFonts w:eastAsia="HG Mincho Light J"/>
      <w:color w:val="000000"/>
      <w:lang w:val="en-US" w:eastAsia="bg-BG"/>
    </w:rPr>
  </w:style>
  <w:style w:type="paragraph" w:styleId="BodyText">
    <w:name w:val="Body Text"/>
    <w:basedOn w:val="Normal"/>
    <w:rsid w:val="005A6A46"/>
    <w:pPr>
      <w:spacing w:after="120"/>
    </w:pPr>
  </w:style>
  <w:style w:type="paragraph" w:styleId="BalloonText">
    <w:name w:val="Balloon Text"/>
    <w:basedOn w:val="Normal"/>
    <w:semiHidden/>
    <w:rsid w:val="00A940B8"/>
    <w:rPr>
      <w:rFonts w:ascii="Tahoma" w:hAnsi="Tahoma" w:cs="Tahoma"/>
      <w:sz w:val="16"/>
      <w:szCs w:val="16"/>
    </w:rPr>
  </w:style>
  <w:style w:type="table" w:styleId="TableGrid">
    <w:name w:val="Table Grid"/>
    <w:basedOn w:val="TableNormal"/>
    <w:rsid w:val="00091A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semiHidden/>
    <w:rsid w:val="004C574A"/>
    <w:rPr>
      <w:sz w:val="16"/>
      <w:szCs w:val="16"/>
    </w:rPr>
  </w:style>
  <w:style w:type="paragraph" w:styleId="CommentText">
    <w:name w:val="annotation text"/>
    <w:basedOn w:val="Normal"/>
    <w:semiHidden/>
    <w:rsid w:val="004C574A"/>
    <w:rPr>
      <w:sz w:val="20"/>
      <w:szCs w:val="20"/>
    </w:rPr>
  </w:style>
  <w:style w:type="paragraph" w:styleId="CommentSubject">
    <w:name w:val="annotation subject"/>
    <w:basedOn w:val="CommentText"/>
    <w:next w:val="CommentText"/>
    <w:semiHidden/>
    <w:rsid w:val="004C574A"/>
    <w:rPr>
      <w:b/>
      <w:bCs/>
    </w:rPr>
  </w:style>
  <w:style w:type="paragraph" w:styleId="Header">
    <w:name w:val="header"/>
    <w:basedOn w:val="Normal"/>
    <w:rsid w:val="00561E4F"/>
    <w:pPr>
      <w:tabs>
        <w:tab w:val="center" w:pos="4536"/>
        <w:tab w:val="right" w:pos="9072"/>
      </w:tabs>
    </w:pPr>
  </w:style>
  <w:style w:type="paragraph" w:styleId="Footer">
    <w:name w:val="footer"/>
    <w:basedOn w:val="Normal"/>
    <w:link w:val="FooterChar"/>
    <w:uiPriority w:val="99"/>
    <w:rsid w:val="00561E4F"/>
    <w:pPr>
      <w:tabs>
        <w:tab w:val="center" w:pos="4536"/>
        <w:tab w:val="right" w:pos="9072"/>
      </w:tabs>
    </w:pPr>
  </w:style>
  <w:style w:type="character" w:styleId="PageNumber">
    <w:name w:val="page number"/>
    <w:basedOn w:val="DefaultParagraphFont"/>
    <w:rsid w:val="00561E4F"/>
  </w:style>
  <w:style w:type="paragraph" w:customStyle="1" w:styleId="Char">
    <w:name w:val="Char"/>
    <w:basedOn w:val="Normal"/>
    <w:rsid w:val="00561E4F"/>
    <w:pPr>
      <w:tabs>
        <w:tab w:val="left" w:pos="709"/>
      </w:tabs>
    </w:pPr>
    <w:rPr>
      <w:rFonts w:ascii="Tahoma" w:hAnsi="Tahoma"/>
      <w:lang w:val="pl-PL" w:eastAsia="pl-PL"/>
    </w:rPr>
  </w:style>
  <w:style w:type="paragraph" w:styleId="BodyTextIndent">
    <w:name w:val="Body Text Indent"/>
    <w:basedOn w:val="Normal"/>
    <w:link w:val="BodyTextIndentChar"/>
    <w:semiHidden/>
    <w:unhideWhenUsed/>
    <w:rsid w:val="00D97F8A"/>
    <w:pPr>
      <w:spacing w:after="120"/>
      <w:ind w:left="283"/>
    </w:pPr>
  </w:style>
  <w:style w:type="character" w:customStyle="1" w:styleId="BodyTextIndentChar">
    <w:name w:val="Body Text Indent Char"/>
    <w:basedOn w:val="DefaultParagraphFont"/>
    <w:link w:val="BodyTextIndent"/>
    <w:semiHidden/>
    <w:rsid w:val="00D97F8A"/>
    <w:rPr>
      <w:sz w:val="24"/>
      <w:szCs w:val="24"/>
      <w:lang w:val="en-GB"/>
    </w:rPr>
  </w:style>
  <w:style w:type="paragraph" w:styleId="ListParagraph">
    <w:name w:val="List Paragraph"/>
    <w:basedOn w:val="Normal"/>
    <w:uiPriority w:val="34"/>
    <w:qFormat/>
    <w:rsid w:val="00D97F8A"/>
    <w:pPr>
      <w:spacing w:after="160" w:line="259" w:lineRule="auto"/>
      <w:ind w:left="720"/>
      <w:contextualSpacing/>
    </w:pPr>
    <w:rPr>
      <w:rFonts w:asciiTheme="minorHAnsi" w:eastAsiaTheme="minorHAnsi" w:hAnsiTheme="minorHAnsi" w:cstheme="minorBidi"/>
      <w:sz w:val="22"/>
      <w:szCs w:val="22"/>
      <w:lang w:val="en-US"/>
    </w:rPr>
  </w:style>
  <w:style w:type="character" w:customStyle="1" w:styleId="FooterChar">
    <w:name w:val="Footer Char"/>
    <w:basedOn w:val="DefaultParagraphFont"/>
    <w:link w:val="Footer"/>
    <w:uiPriority w:val="99"/>
    <w:rsid w:val="00C21CB8"/>
    <w:rPr>
      <w:sz w:val="24"/>
      <w:szCs w:val="24"/>
      <w:lang w:val="en-GB"/>
    </w:rPr>
  </w:style>
  <w:style w:type="paragraph" w:styleId="BodyTextIndent2">
    <w:name w:val="Body Text Indent 2"/>
    <w:basedOn w:val="Normal"/>
    <w:link w:val="BodyTextIndent2Char"/>
    <w:semiHidden/>
    <w:unhideWhenUsed/>
    <w:rsid w:val="005F5ADF"/>
    <w:pPr>
      <w:spacing w:after="120" w:line="480" w:lineRule="auto"/>
      <w:ind w:left="283"/>
    </w:pPr>
  </w:style>
  <w:style w:type="character" w:customStyle="1" w:styleId="BodyTextIndent2Char">
    <w:name w:val="Body Text Indent 2 Char"/>
    <w:basedOn w:val="DefaultParagraphFont"/>
    <w:link w:val="BodyTextIndent2"/>
    <w:semiHidden/>
    <w:rsid w:val="005F5ADF"/>
    <w:rPr>
      <w:sz w:val="24"/>
      <w:szCs w:val="24"/>
      <w:lang w:val="en-GB"/>
    </w:rPr>
  </w:style>
  <w:style w:type="character" w:customStyle="1" w:styleId="filled-value">
    <w:name w:val="filled-value"/>
    <w:basedOn w:val="DefaultParagraphFont"/>
    <w:rsid w:val="009E36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5407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A0E97A-117C-4A08-A763-DD4C43568D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64</Pages>
  <Words>11173</Words>
  <Characters>63690</Characters>
  <Application>Microsoft Office Word</Application>
  <DocSecurity>0</DocSecurity>
  <Lines>530</Lines>
  <Paragraphs>149</Paragraphs>
  <ScaleCrop>false</ScaleCrop>
  <HeadingPairs>
    <vt:vector size="2" baseType="variant">
      <vt:variant>
        <vt:lpstr>Title</vt:lpstr>
      </vt:variant>
      <vt:variant>
        <vt:i4>1</vt:i4>
      </vt:variant>
    </vt:vector>
  </HeadingPairs>
  <TitlesOfParts>
    <vt:vector size="1" baseType="lpstr">
      <vt:lpstr/>
    </vt:vector>
  </TitlesOfParts>
  <Company>MEE</Company>
  <LinksUpToDate>false</LinksUpToDate>
  <CharactersWithSpaces>74714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dc:creator>
  <cp:lastModifiedBy>Nataliya Yordanova</cp:lastModifiedBy>
  <cp:revision>79</cp:revision>
  <cp:lastPrinted>2016-12-14T14:51:00Z</cp:lastPrinted>
  <dcterms:created xsi:type="dcterms:W3CDTF">2026-07-08T08:09:00Z</dcterms:created>
  <dcterms:modified xsi:type="dcterms:W3CDTF">2026-11-06T12:26:00Z</dcterms:modified>
</cp:coreProperties>
</file>