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3D496" w14:textId="18AD51E5" w:rsidR="00151CFB" w:rsidRPr="00142BED" w:rsidRDefault="00151CFB" w:rsidP="00564B06">
      <w:pPr>
        <w:pBdr>
          <w:top w:val="single" w:sz="4" w:space="0" w:color="auto"/>
          <w:left w:val="single" w:sz="4" w:space="4" w:color="auto"/>
          <w:bottom w:val="single" w:sz="4" w:space="1" w:color="auto"/>
          <w:right w:val="single" w:sz="4" w:space="4" w:color="auto"/>
        </w:pBdr>
        <w:shd w:val="clear" w:color="auto" w:fill="DAE9F7" w:themeFill="text2" w:themeFillTint="1A"/>
        <w:spacing w:after="0" w:line="276" w:lineRule="auto"/>
        <w:jc w:val="center"/>
        <w:rPr>
          <w:rFonts w:ascii="Open Sans" w:hAnsi="Open Sans" w:cs="Open Sans"/>
          <w:b/>
          <w:bCs/>
          <w:sz w:val="22"/>
          <w:szCs w:val="22"/>
          <w:lang w:val="bg-BG"/>
        </w:rPr>
      </w:pPr>
      <w:r w:rsidRPr="00142BED">
        <w:rPr>
          <w:rFonts w:ascii="Open Sans" w:hAnsi="Open Sans" w:cs="Open Sans"/>
          <w:b/>
          <w:bCs/>
          <w:sz w:val="22"/>
          <w:szCs w:val="22"/>
          <w:lang w:val="bg-BG"/>
        </w:rPr>
        <w:t xml:space="preserve">Техническа спецификация </w:t>
      </w:r>
    </w:p>
    <w:p w14:paraId="70595F32" w14:textId="562434A0" w:rsidR="00151CFB" w:rsidRPr="00142BED" w:rsidRDefault="00151CFB" w:rsidP="00564B06">
      <w:pPr>
        <w:pBdr>
          <w:top w:val="single" w:sz="4" w:space="0" w:color="auto"/>
          <w:left w:val="single" w:sz="4" w:space="4" w:color="auto"/>
          <w:bottom w:val="single" w:sz="4" w:space="1" w:color="auto"/>
          <w:right w:val="single" w:sz="4" w:space="4" w:color="auto"/>
        </w:pBdr>
        <w:shd w:val="clear" w:color="auto" w:fill="DAE9F7" w:themeFill="text2" w:themeFillTint="1A"/>
        <w:spacing w:after="0" w:line="276" w:lineRule="auto"/>
        <w:jc w:val="center"/>
        <w:rPr>
          <w:rFonts w:ascii="Open Sans" w:hAnsi="Open Sans" w:cs="Open Sans"/>
          <w:b/>
          <w:bCs/>
          <w:sz w:val="22"/>
          <w:szCs w:val="22"/>
          <w:lang w:val="bg-BG"/>
        </w:rPr>
      </w:pPr>
      <w:r w:rsidRPr="00142BED">
        <w:rPr>
          <w:rFonts w:ascii="Open Sans" w:hAnsi="Open Sans" w:cs="Open Sans"/>
          <w:b/>
          <w:bCs/>
          <w:sz w:val="22"/>
          <w:szCs w:val="22"/>
          <w:lang w:val="bg-BG"/>
        </w:rPr>
        <w:t>за</w:t>
      </w:r>
    </w:p>
    <w:p w14:paraId="79BB917A" w14:textId="65A5B213" w:rsidR="00151CFB" w:rsidRPr="00142BED" w:rsidRDefault="00151CFB" w:rsidP="00564B06">
      <w:pPr>
        <w:pBdr>
          <w:top w:val="single" w:sz="4" w:space="0" w:color="auto"/>
          <w:left w:val="single" w:sz="4" w:space="4" w:color="auto"/>
          <w:bottom w:val="single" w:sz="4" w:space="1" w:color="auto"/>
          <w:right w:val="single" w:sz="4" w:space="4" w:color="auto"/>
        </w:pBdr>
        <w:shd w:val="clear" w:color="auto" w:fill="DAE9F7" w:themeFill="text2" w:themeFillTint="1A"/>
        <w:spacing w:after="0" w:line="276" w:lineRule="auto"/>
        <w:jc w:val="center"/>
        <w:rPr>
          <w:rFonts w:ascii="Open Sans" w:hAnsi="Open Sans" w:cs="Open Sans"/>
          <w:b/>
          <w:bCs/>
          <w:sz w:val="22"/>
          <w:szCs w:val="22"/>
          <w:lang w:val="bg-BG"/>
        </w:rPr>
      </w:pPr>
      <w:r w:rsidRPr="00142BED">
        <w:rPr>
          <w:rFonts w:ascii="Open Sans" w:hAnsi="Open Sans" w:cs="Open Sans"/>
          <w:b/>
          <w:bCs/>
          <w:sz w:val="22"/>
          <w:szCs w:val="22"/>
          <w:lang w:val="bg-BG"/>
        </w:rPr>
        <w:t xml:space="preserve">„Разработване на </w:t>
      </w:r>
      <w:r w:rsidR="00064D4C" w:rsidRPr="00142BED">
        <w:rPr>
          <w:rFonts w:ascii="Open Sans" w:hAnsi="Open Sans" w:cs="Open Sans"/>
          <w:b/>
          <w:bCs/>
          <w:sz w:val="22"/>
          <w:szCs w:val="22"/>
          <w:lang w:val="bg-BG"/>
        </w:rPr>
        <w:t xml:space="preserve">методология и </w:t>
      </w:r>
      <w:r w:rsidRPr="00142BED">
        <w:rPr>
          <w:rFonts w:ascii="Open Sans" w:hAnsi="Open Sans" w:cs="Open Sans"/>
          <w:b/>
          <w:bCs/>
          <w:sz w:val="22"/>
          <w:szCs w:val="22"/>
          <w:lang w:val="bg-BG"/>
        </w:rPr>
        <w:t>уеб-базиран инструмент за оценка на уязвимостта и адаптивността на Черноморския регион към климатичните промени, посредством приложението на дистанционни методи за наблюдение“</w:t>
      </w:r>
    </w:p>
    <w:p w14:paraId="5A9F42CB" w14:textId="719B6926" w:rsidR="00564B06" w:rsidRPr="00142BED" w:rsidRDefault="00564B06" w:rsidP="00564B06">
      <w:pPr>
        <w:spacing w:before="240"/>
        <w:jc w:val="both"/>
        <w:rPr>
          <w:rFonts w:ascii="Open Sans" w:hAnsi="Open Sans" w:cs="Open Sans"/>
          <w:sz w:val="22"/>
          <w:szCs w:val="22"/>
          <w:lang w:val="ru-RU"/>
        </w:rPr>
      </w:pPr>
      <w:r w:rsidRPr="00142BED">
        <w:rPr>
          <w:rFonts w:ascii="Open Sans" w:hAnsi="Open Sans" w:cs="Open Sans"/>
          <w:sz w:val="22"/>
          <w:szCs w:val="22"/>
          <w:lang w:val="bg-BG"/>
        </w:rPr>
        <w:t>Настоящата техническа спецификация е неразделна част от публична покана за избор на изпълнител за предоставяне на услуга за събиране на мултидисциплинарни данни и оценка на екологичния статус на есетровите видове за целите на изпълнението на проект MoreAdaptBSB по програма Интеррег NEXT Черноморски басейн 2021-2027.</w:t>
      </w:r>
    </w:p>
    <w:p w14:paraId="3EB97E50" w14:textId="22DF42FD" w:rsidR="00325EE1" w:rsidRPr="00142BED" w:rsidRDefault="008809B7" w:rsidP="0084466B">
      <w:pPr>
        <w:pStyle w:val="Heading1"/>
        <w:numPr>
          <w:ilvl w:val="0"/>
          <w:numId w:val="24"/>
        </w:numPr>
        <w:shd w:val="clear" w:color="auto" w:fill="DAE9F7" w:themeFill="text2" w:themeFillTint="1A"/>
        <w:spacing w:before="0" w:after="0" w:line="276" w:lineRule="auto"/>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t>Обща информация</w:t>
      </w:r>
    </w:p>
    <w:p w14:paraId="4B2C2594" w14:textId="53429DE6" w:rsidR="00330091" w:rsidRPr="00142BED" w:rsidRDefault="00330091" w:rsidP="00330091">
      <w:pPr>
        <w:pStyle w:val="ListParagraph"/>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Настоящата </w:t>
      </w:r>
      <w:r w:rsidR="00064D4C" w:rsidRPr="00142BED">
        <w:rPr>
          <w:rFonts w:ascii="Open Sans" w:hAnsi="Open Sans" w:cs="Open Sans"/>
          <w:sz w:val="22"/>
          <w:szCs w:val="22"/>
          <w:lang w:val="bg-BG"/>
        </w:rPr>
        <w:t>публична покана</w:t>
      </w:r>
      <w:r w:rsidRPr="00142BED">
        <w:rPr>
          <w:rFonts w:ascii="Open Sans" w:hAnsi="Open Sans" w:cs="Open Sans"/>
          <w:sz w:val="22"/>
          <w:szCs w:val="22"/>
          <w:lang w:val="bg-BG"/>
        </w:rPr>
        <w:t xml:space="preserve"> се обявява за изпълнение на дейности по проект с Договор за субсидия № MDLPA 151423 от дата: 25.07.2024 г.: „</w:t>
      </w:r>
      <w:r w:rsidRPr="00142BED">
        <w:rPr>
          <w:rFonts w:ascii="Open Sans" w:hAnsi="Open Sans" w:cs="Open Sans"/>
          <w:i/>
          <w:iCs/>
          <w:sz w:val="22"/>
          <w:szCs w:val="22"/>
          <w:lang w:val="bg-BG"/>
        </w:rPr>
        <w:t>Намаляване на уязвимостта, повишаване на адаптивността – базирано на дистанционни методи пилотно възстановяване на зелени площи в крайбрежни и градски територии от Черноморския регион</w:t>
      </w:r>
      <w:r w:rsidRPr="00142BED">
        <w:rPr>
          <w:rFonts w:ascii="Open Sans" w:hAnsi="Open Sans" w:cs="Open Sans"/>
          <w:sz w:val="22"/>
          <w:szCs w:val="22"/>
          <w:lang w:val="bg-BG"/>
        </w:rPr>
        <w:t xml:space="preserve">“, с акроним </w:t>
      </w:r>
      <w:r w:rsidRPr="00142BED">
        <w:rPr>
          <w:rFonts w:ascii="Open Sans" w:hAnsi="Open Sans" w:cs="Open Sans"/>
          <w:sz w:val="22"/>
          <w:szCs w:val="22"/>
        </w:rPr>
        <w:t>MoreAdaptBSB</w:t>
      </w:r>
      <w:r w:rsidRPr="00142BED">
        <w:rPr>
          <w:rFonts w:ascii="Open Sans" w:hAnsi="Open Sans" w:cs="Open Sans"/>
          <w:sz w:val="22"/>
          <w:szCs w:val="22"/>
          <w:lang w:val="bg-BG"/>
        </w:rPr>
        <w:t xml:space="preserve"> (наричан по-нататък за краткост „проекта“), финансиран по Програма за сътрудничество по Инструмента за развитие на съседство и международно сътрудничество (</w:t>
      </w:r>
      <w:r w:rsidRPr="00142BED">
        <w:rPr>
          <w:rFonts w:ascii="Open Sans" w:hAnsi="Open Sans" w:cs="Open Sans"/>
          <w:sz w:val="22"/>
          <w:szCs w:val="22"/>
        </w:rPr>
        <w:t>NDICI</w:t>
      </w:r>
      <w:r w:rsidRPr="00142BED">
        <w:rPr>
          <w:rFonts w:ascii="Open Sans" w:hAnsi="Open Sans" w:cs="Open Sans"/>
          <w:sz w:val="22"/>
          <w:szCs w:val="22"/>
          <w:lang w:val="bg-BG"/>
        </w:rPr>
        <w:t xml:space="preserve">) Интеррег </w:t>
      </w:r>
      <w:r w:rsidRPr="00142BED">
        <w:rPr>
          <w:rFonts w:ascii="Open Sans" w:hAnsi="Open Sans" w:cs="Open Sans"/>
          <w:sz w:val="22"/>
          <w:szCs w:val="22"/>
        </w:rPr>
        <w:t>NEXT</w:t>
      </w:r>
      <w:r w:rsidRPr="00142BED">
        <w:rPr>
          <w:rFonts w:ascii="Open Sans" w:hAnsi="Open Sans" w:cs="Open Sans"/>
          <w:sz w:val="22"/>
          <w:szCs w:val="22"/>
          <w:lang w:val="bg-BG"/>
        </w:rPr>
        <w:t xml:space="preserve"> „Черноморски басейн 2021-2027“. Проектът се изпълнява от Фондация „Виа Понтика“ в партньорство с още 5 организации от България, Румъния, Гърция и Украйна. </w:t>
      </w:r>
    </w:p>
    <w:p w14:paraId="77AA7CCC" w14:textId="77777777" w:rsidR="00330091" w:rsidRPr="00142BED" w:rsidRDefault="00330091" w:rsidP="00330091">
      <w:pPr>
        <w:pStyle w:val="ListParagraph"/>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Основна цел на проекта е да подкрепи международното сътрудничество за повишаване на регионалната готовност и адаптивност към опасностите, свързани с изменението на климата, посредством прилагане на основани на природата решения, подпомагани от високоиновативни методи за дистанционно наблюдение.</w:t>
      </w:r>
    </w:p>
    <w:p w14:paraId="62829CBD" w14:textId="77777777" w:rsidR="00330091" w:rsidRPr="00142BED" w:rsidRDefault="00330091" w:rsidP="00330091">
      <w:pPr>
        <w:pStyle w:val="ListParagraph"/>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Проектът е структуриран в следните дейности:</w:t>
      </w:r>
    </w:p>
    <w:p w14:paraId="47C3D79A" w14:textId="77777777" w:rsidR="00330091" w:rsidRPr="00142BED" w:rsidRDefault="00330091" w:rsidP="00330091">
      <w:pPr>
        <w:pStyle w:val="ListParagraph"/>
        <w:numPr>
          <w:ilvl w:val="0"/>
          <w:numId w:val="3"/>
        </w:numPr>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Съвместно разработване на методология, базирана на дистанционни методи за наблюдение, за оценка на устойчивостта и уязвимостта на крайбрежните и градски райони от Черноморския регион към опасности, свързани с изменението на климата;</w:t>
      </w:r>
    </w:p>
    <w:p w14:paraId="7150FDF9" w14:textId="4801A59D" w:rsidR="00330091" w:rsidRPr="00142BED" w:rsidRDefault="00330091" w:rsidP="00330091">
      <w:pPr>
        <w:pStyle w:val="ListParagraph"/>
        <w:numPr>
          <w:ilvl w:val="0"/>
          <w:numId w:val="3"/>
        </w:numPr>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lastRenderedPageBreak/>
        <w:t>Прилагане на природосъобразни решения за увеличаване на адаптивността на най-уязвимите райони.</w:t>
      </w:r>
    </w:p>
    <w:p w14:paraId="6DFBD4C1" w14:textId="5D216292" w:rsidR="00330091" w:rsidRPr="00142BED" w:rsidRDefault="00330091" w:rsidP="00330091">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Изпълнението на дейностите по проекта обхваща части от територията на България, Румъния, Гърция и Украйна, както следва:</w:t>
      </w:r>
    </w:p>
    <w:p w14:paraId="711DD5F0" w14:textId="77777777" w:rsidR="00330091" w:rsidRPr="00142BED" w:rsidRDefault="00330091" w:rsidP="00330091">
      <w:pPr>
        <w:pStyle w:val="ListParagraph"/>
        <w:numPr>
          <w:ilvl w:val="0"/>
          <w:numId w:val="4"/>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България – Североизточен и Югоизточен регион на планиране;</w:t>
      </w:r>
    </w:p>
    <w:p w14:paraId="20A552B3" w14:textId="77777777" w:rsidR="00330091" w:rsidRPr="00142BED" w:rsidRDefault="00330091" w:rsidP="00330091">
      <w:pPr>
        <w:pStyle w:val="ListParagraph"/>
        <w:numPr>
          <w:ilvl w:val="0"/>
          <w:numId w:val="4"/>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Румъния – Югоизточен регион на планиране;</w:t>
      </w:r>
    </w:p>
    <w:p w14:paraId="01624FE8" w14:textId="77777777" w:rsidR="00330091" w:rsidRPr="00142BED" w:rsidRDefault="00330091" w:rsidP="00330091">
      <w:pPr>
        <w:pStyle w:val="ListParagraph"/>
        <w:numPr>
          <w:ilvl w:val="0"/>
          <w:numId w:val="4"/>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Гърция – Източна Македония и Тракия и Централна Македония;</w:t>
      </w:r>
    </w:p>
    <w:p w14:paraId="33A03792" w14:textId="77777777" w:rsidR="00330091" w:rsidRPr="00142BED" w:rsidRDefault="00330091" w:rsidP="00330091">
      <w:pPr>
        <w:pStyle w:val="ListParagraph"/>
        <w:numPr>
          <w:ilvl w:val="0"/>
          <w:numId w:val="4"/>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Украйна – области: Одеса, Николаев, Херсон, Запорожка и Донеск.</w:t>
      </w:r>
    </w:p>
    <w:p w14:paraId="7BBA1251" w14:textId="77777777" w:rsidR="00C04186" w:rsidRPr="00142BED" w:rsidRDefault="00C04186" w:rsidP="00C04186">
      <w:pPr>
        <w:pStyle w:val="ListParagraph"/>
        <w:tabs>
          <w:tab w:val="left" w:pos="3083"/>
        </w:tabs>
        <w:spacing w:after="0" w:line="360" w:lineRule="auto"/>
        <w:ind w:left="1429"/>
        <w:jc w:val="both"/>
        <w:rPr>
          <w:rFonts w:ascii="Open Sans" w:hAnsi="Open Sans" w:cs="Open Sans"/>
          <w:sz w:val="22"/>
          <w:szCs w:val="22"/>
          <w:lang w:val="bg-BG"/>
        </w:rPr>
      </w:pPr>
    </w:p>
    <w:p w14:paraId="060E4F10" w14:textId="7710844D" w:rsidR="00330091" w:rsidRPr="00142BED" w:rsidRDefault="00330091" w:rsidP="0084466B">
      <w:pPr>
        <w:pStyle w:val="Heading1"/>
        <w:numPr>
          <w:ilvl w:val="0"/>
          <w:numId w:val="24"/>
        </w:numPr>
        <w:shd w:val="clear" w:color="auto" w:fill="DAE9F7" w:themeFill="text2" w:themeFillTint="1A"/>
        <w:spacing w:before="0" w:after="0" w:line="276" w:lineRule="auto"/>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t xml:space="preserve">Цел на </w:t>
      </w:r>
      <w:r w:rsidR="00EB0496" w:rsidRPr="00142BED">
        <w:rPr>
          <w:rFonts w:ascii="Open Sans" w:hAnsi="Open Sans" w:cs="Open Sans"/>
          <w:b/>
          <w:bCs/>
          <w:sz w:val="22"/>
          <w:szCs w:val="22"/>
          <w:lang w:val="bg-BG"/>
        </w:rPr>
        <w:t>заданието</w:t>
      </w:r>
    </w:p>
    <w:p w14:paraId="1D937100" w14:textId="28E4BB63" w:rsidR="00C04186" w:rsidRPr="00142BED" w:rsidRDefault="00C04186" w:rsidP="00C04186">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Целта на </w:t>
      </w:r>
      <w:r w:rsidR="00EB0496" w:rsidRPr="00142BED">
        <w:rPr>
          <w:rFonts w:ascii="Open Sans" w:hAnsi="Open Sans" w:cs="Open Sans"/>
          <w:sz w:val="22"/>
          <w:szCs w:val="22"/>
          <w:lang w:val="bg-BG"/>
        </w:rPr>
        <w:t>настоящото задание</w:t>
      </w:r>
      <w:r w:rsidR="006F2A66" w:rsidRPr="00142BED">
        <w:rPr>
          <w:rFonts w:ascii="Open Sans" w:hAnsi="Open Sans" w:cs="Open Sans"/>
          <w:sz w:val="22"/>
          <w:szCs w:val="22"/>
          <w:lang w:val="bg-BG"/>
        </w:rPr>
        <w:t xml:space="preserve"> е да бъде избран Изпълнител, който да подпомогне Фондация „Виа Понтика“ относно съвместно (с участващите по проекта партньорски организации и техните изпълнители) разработване на уеб-базиран инструмент за оценка на уязвимостта и адаптивността на Черноморския регион към климатичните промени, посредством приложението на дистанционни методи за наблюдение.</w:t>
      </w:r>
    </w:p>
    <w:p w14:paraId="1C4FFFA6" w14:textId="7A09A961" w:rsidR="006F2A66" w:rsidRPr="00142BED" w:rsidRDefault="006F2A66" w:rsidP="006F2A66">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Изпълнението на дейностите по </w:t>
      </w:r>
      <w:r w:rsidR="00EB0496" w:rsidRPr="00142BED">
        <w:rPr>
          <w:rFonts w:ascii="Open Sans" w:hAnsi="Open Sans" w:cs="Open Sans"/>
          <w:sz w:val="22"/>
          <w:szCs w:val="22"/>
          <w:lang w:val="bg-BG"/>
        </w:rPr>
        <w:t>заданието</w:t>
      </w:r>
      <w:r w:rsidRPr="00142BED">
        <w:rPr>
          <w:rFonts w:ascii="Open Sans" w:hAnsi="Open Sans" w:cs="Open Sans"/>
          <w:sz w:val="22"/>
          <w:szCs w:val="22"/>
          <w:lang w:val="bg-BG"/>
        </w:rPr>
        <w:t xml:space="preserve"> обхваща части от територията на България, Румъния, Гърция и Украйна, както следва:</w:t>
      </w:r>
    </w:p>
    <w:p w14:paraId="440F471D" w14:textId="77777777" w:rsidR="006F2A66" w:rsidRPr="00142BED" w:rsidRDefault="006F2A66" w:rsidP="006F2A66">
      <w:pPr>
        <w:pStyle w:val="ListParagraph"/>
        <w:numPr>
          <w:ilvl w:val="0"/>
          <w:numId w:val="4"/>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България – Североизточен и Югоизточен регион на планиране;</w:t>
      </w:r>
    </w:p>
    <w:p w14:paraId="19280C23" w14:textId="77777777" w:rsidR="006F2A66" w:rsidRPr="00142BED" w:rsidRDefault="006F2A66" w:rsidP="006F2A66">
      <w:pPr>
        <w:pStyle w:val="ListParagraph"/>
        <w:numPr>
          <w:ilvl w:val="0"/>
          <w:numId w:val="4"/>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Румъния – Югоизточен регион на планиране;</w:t>
      </w:r>
    </w:p>
    <w:p w14:paraId="30666412" w14:textId="77777777" w:rsidR="006F2A66" w:rsidRPr="00142BED" w:rsidRDefault="006F2A66" w:rsidP="006F2A66">
      <w:pPr>
        <w:pStyle w:val="ListParagraph"/>
        <w:numPr>
          <w:ilvl w:val="0"/>
          <w:numId w:val="4"/>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Гърция – Източна Македония и Тракия и Централна Македония;</w:t>
      </w:r>
    </w:p>
    <w:p w14:paraId="6319D9B5" w14:textId="77777777" w:rsidR="006F2A66" w:rsidRPr="00142BED" w:rsidRDefault="006F2A66" w:rsidP="006F2A66">
      <w:pPr>
        <w:pStyle w:val="ListParagraph"/>
        <w:numPr>
          <w:ilvl w:val="0"/>
          <w:numId w:val="4"/>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Украйна – области: Одеса, Николаев, Херсон, Запорожка и Донеск.</w:t>
      </w:r>
    </w:p>
    <w:p w14:paraId="08FF12CB" w14:textId="08F89E1A" w:rsidR="00BC4114" w:rsidRPr="00142BED" w:rsidRDefault="00BC4114" w:rsidP="0084466B">
      <w:pPr>
        <w:pStyle w:val="Heading1"/>
        <w:numPr>
          <w:ilvl w:val="0"/>
          <w:numId w:val="24"/>
        </w:numPr>
        <w:shd w:val="clear" w:color="auto" w:fill="DAE9F7" w:themeFill="text2" w:themeFillTint="1A"/>
        <w:spacing w:before="0" w:after="0" w:line="276" w:lineRule="auto"/>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t xml:space="preserve">Обхват на </w:t>
      </w:r>
      <w:r w:rsidR="00EB0496" w:rsidRPr="00142BED">
        <w:rPr>
          <w:rFonts w:ascii="Open Sans" w:hAnsi="Open Sans" w:cs="Open Sans"/>
          <w:b/>
          <w:bCs/>
          <w:sz w:val="22"/>
          <w:szCs w:val="22"/>
          <w:lang w:val="bg-BG"/>
        </w:rPr>
        <w:t>заданието</w:t>
      </w:r>
    </w:p>
    <w:p w14:paraId="5BC89251" w14:textId="77777777" w:rsidR="00BC4114" w:rsidRPr="00142BED" w:rsidRDefault="00BC4114" w:rsidP="00BC4114">
      <w:pPr>
        <w:pStyle w:val="ListParagraph"/>
        <w:tabs>
          <w:tab w:val="left" w:pos="3083"/>
        </w:tabs>
        <w:spacing w:after="0" w:line="360" w:lineRule="auto"/>
        <w:ind w:left="1429"/>
        <w:jc w:val="both"/>
        <w:rPr>
          <w:rFonts w:ascii="Open Sans" w:hAnsi="Open Sans" w:cs="Open Sans"/>
          <w:sz w:val="22"/>
          <w:szCs w:val="22"/>
          <w:lang w:val="bg-BG"/>
        </w:rPr>
      </w:pPr>
    </w:p>
    <w:p w14:paraId="70EB428A" w14:textId="3F03386F" w:rsidR="009305DA" w:rsidRPr="00142BED" w:rsidRDefault="009305DA" w:rsidP="009305DA">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Съгласно целите на проекта, обхватът на </w:t>
      </w:r>
      <w:r w:rsidR="00EB0496" w:rsidRPr="00142BED">
        <w:rPr>
          <w:rFonts w:ascii="Open Sans" w:hAnsi="Open Sans" w:cs="Open Sans"/>
          <w:sz w:val="22"/>
          <w:szCs w:val="22"/>
          <w:lang w:val="bg-BG"/>
        </w:rPr>
        <w:t>заданието</w:t>
      </w:r>
      <w:r w:rsidRPr="00142BED">
        <w:rPr>
          <w:rFonts w:ascii="Open Sans" w:hAnsi="Open Sans" w:cs="Open Sans"/>
          <w:sz w:val="22"/>
          <w:szCs w:val="22"/>
          <w:lang w:val="bg-BG"/>
        </w:rPr>
        <w:t xml:space="preserve"> включва изпълнението на следните дейности:</w:t>
      </w:r>
    </w:p>
    <w:p w14:paraId="78D06933" w14:textId="7C5252CA" w:rsidR="009305DA" w:rsidRPr="00142BED" w:rsidRDefault="0044650A" w:rsidP="00AB3822">
      <w:pPr>
        <w:pStyle w:val="ListParagraph"/>
        <w:numPr>
          <w:ilvl w:val="1"/>
          <w:numId w:val="24"/>
        </w:numPr>
        <w:shd w:val="clear" w:color="auto" w:fill="C1E4F5" w:themeFill="accent1" w:themeFillTint="33"/>
        <w:tabs>
          <w:tab w:val="left" w:pos="3083"/>
        </w:tabs>
        <w:spacing w:after="0" w:line="360" w:lineRule="auto"/>
        <w:jc w:val="both"/>
        <w:rPr>
          <w:rFonts w:ascii="Open Sans" w:hAnsi="Open Sans" w:cs="Open Sans"/>
          <w:b/>
          <w:bCs/>
          <w:i/>
          <w:iCs/>
          <w:sz w:val="22"/>
          <w:szCs w:val="22"/>
          <w:lang w:val="bg-BG"/>
        </w:rPr>
      </w:pPr>
      <w:r w:rsidRPr="00142BED">
        <w:rPr>
          <w:rFonts w:ascii="Open Sans" w:hAnsi="Open Sans" w:cs="Open Sans"/>
          <w:b/>
          <w:bCs/>
          <w:i/>
          <w:iCs/>
          <w:sz w:val="22"/>
          <w:szCs w:val="22"/>
          <w:lang w:val="bg-BG"/>
        </w:rPr>
        <w:t xml:space="preserve"> </w:t>
      </w:r>
      <w:r w:rsidR="00363AA3" w:rsidRPr="00142BED">
        <w:rPr>
          <w:rFonts w:ascii="Open Sans" w:hAnsi="Open Sans" w:cs="Open Sans"/>
          <w:b/>
          <w:bCs/>
          <w:i/>
          <w:iCs/>
          <w:sz w:val="22"/>
          <w:szCs w:val="22"/>
          <w:lang w:val="bg-BG"/>
        </w:rPr>
        <w:t>Дейност 1:</w:t>
      </w:r>
      <w:r w:rsidR="00363AA3" w:rsidRPr="00142BED">
        <w:rPr>
          <w:rFonts w:ascii="Open Sans" w:hAnsi="Open Sans" w:cs="Open Sans"/>
          <w:i/>
          <w:iCs/>
          <w:sz w:val="22"/>
          <w:szCs w:val="22"/>
          <w:lang w:val="bg-BG"/>
        </w:rPr>
        <w:t xml:space="preserve"> </w:t>
      </w:r>
      <w:r w:rsidR="00363AA3" w:rsidRPr="00142BED">
        <w:rPr>
          <w:rFonts w:ascii="Open Sans" w:hAnsi="Open Sans" w:cs="Open Sans"/>
          <w:b/>
          <w:bCs/>
          <w:i/>
          <w:iCs/>
          <w:sz w:val="22"/>
          <w:szCs w:val="22"/>
          <w:lang w:val="bg-BG"/>
        </w:rPr>
        <w:t>Разработване на методология, базирана на дистанционни методи за наблюдение, за оценка на устойчивостта и уязвимостта на крайбрежните</w:t>
      </w:r>
      <w:r w:rsidR="00363AA3" w:rsidRPr="00142BED">
        <w:rPr>
          <w:rFonts w:ascii="Open Sans" w:hAnsi="Open Sans" w:cs="Open Sans"/>
          <w:b/>
          <w:bCs/>
          <w:sz w:val="22"/>
          <w:szCs w:val="22"/>
          <w:lang w:val="bg-BG"/>
        </w:rPr>
        <w:t xml:space="preserve"> </w:t>
      </w:r>
      <w:r w:rsidR="00363AA3" w:rsidRPr="00142BED">
        <w:rPr>
          <w:rFonts w:ascii="Open Sans" w:hAnsi="Open Sans" w:cs="Open Sans"/>
          <w:b/>
          <w:bCs/>
          <w:i/>
          <w:iCs/>
          <w:sz w:val="22"/>
          <w:szCs w:val="22"/>
          <w:lang w:val="bg-BG"/>
        </w:rPr>
        <w:t>и градски райони от Черноморския регион към опасности, свързани с изменението на климата</w:t>
      </w:r>
    </w:p>
    <w:p w14:paraId="0092F15A" w14:textId="407B7BEF"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lastRenderedPageBreak/>
        <w:t xml:space="preserve">В изпълнение на </w:t>
      </w:r>
      <w:r w:rsidR="005872F7" w:rsidRPr="00142BED">
        <w:rPr>
          <w:rFonts w:ascii="Open Sans" w:hAnsi="Open Sans" w:cs="Open Sans"/>
          <w:sz w:val="22"/>
          <w:szCs w:val="22"/>
          <w:lang w:val="bg-BG"/>
        </w:rPr>
        <w:t>Дейност 1</w:t>
      </w:r>
      <w:r w:rsidRPr="00142BED">
        <w:rPr>
          <w:rFonts w:ascii="Open Sans" w:hAnsi="Open Sans" w:cs="Open Sans"/>
          <w:sz w:val="22"/>
          <w:szCs w:val="22"/>
          <w:lang w:val="bg-BG"/>
        </w:rPr>
        <w:t xml:space="preserve">. Изпълнителят следва да изготви Методология, базирана на дистанционни методи на наблюдение, за оценка на устойчивостта и уязвимостта на крайбрежните и градски райони от Черноморския регион към опасности, свързани с изменението на климата. Методологията следва да бъде изготвена на английски език. За тази цел, Изпълнителят следва да работи в тясно сътрудничество с партньорите по проект </w:t>
      </w:r>
      <w:r w:rsidRPr="00142BED">
        <w:rPr>
          <w:rFonts w:ascii="Open Sans" w:hAnsi="Open Sans" w:cs="Open Sans"/>
          <w:sz w:val="22"/>
          <w:szCs w:val="22"/>
        </w:rPr>
        <w:t>MoreAdaptBSB</w:t>
      </w:r>
      <w:r w:rsidRPr="00142BED">
        <w:rPr>
          <w:rFonts w:ascii="Open Sans" w:hAnsi="Open Sans" w:cs="Open Sans"/>
          <w:sz w:val="22"/>
          <w:szCs w:val="22"/>
          <w:lang w:val="bg-BG"/>
        </w:rPr>
        <w:t xml:space="preserve"> и техните изпълнители.</w:t>
      </w:r>
    </w:p>
    <w:p w14:paraId="2041B24F"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След сключване на Договор за изпълнение, Възложителят ще предостави на Изпълнителя контакти на ангажираните по проекта партньори/техни изпълнители, от които Изпълнителят следва да набави набор от данни и информация за проектната територия (България – Североизточен и Югоизточен регион на планиране; Румъния – Югоизточен регион на планиране; Гърция – Източна Македония и Тракия и Централна Македония; Украйна – области: Одеса, Николаев, Херсон, Запорожка и Донеск).</w:t>
      </w:r>
    </w:p>
    <w:p w14:paraId="1362456A"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Методологията следва да се позовава на най-актуалните технологии в областта на анализите и оценките на климатичните изменения и свързаните с тях климатични опасности (уеб-портали, сателитни изображения, мониторинг, посредством дистанционни методи на наблюдение).</w:t>
      </w:r>
    </w:p>
    <w:p w14:paraId="3C0DA1C7"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Във връзка с поставената цел, Изпълнителят следва да поеме ангажимента в срок </w:t>
      </w:r>
      <w:r w:rsidRPr="00142BED">
        <w:rPr>
          <w:rFonts w:ascii="Open Sans" w:hAnsi="Open Sans" w:cs="Open Sans"/>
          <w:b/>
          <w:bCs/>
          <w:sz w:val="22"/>
          <w:szCs w:val="22"/>
          <w:lang w:val="bg-BG"/>
        </w:rPr>
        <w:t>до 1 месец след сключване на Договор за изпълнение</w:t>
      </w:r>
      <w:r w:rsidRPr="00142BED">
        <w:rPr>
          <w:rFonts w:ascii="Open Sans" w:hAnsi="Open Sans" w:cs="Open Sans"/>
          <w:sz w:val="22"/>
          <w:szCs w:val="22"/>
          <w:lang w:val="bg-BG"/>
        </w:rPr>
        <w:t>, да разработи на английски език Технически указания към ангажираните експерти от страна на партньорските организации относно необходими изходни данни и информация, вкл. формат, в който да бъдат предоставени за целите на изготвяне на методологията. Пример за такива данни, но не само, са: климатични данни (релевантни за целите на анализ и оценка на уязвимостта и устойчивостта на проектната територия към климатични опасности); Корине земно покритие, налични данни на национално/регионално ниво за типове екосистеми и тяхното състояние и др. Следва да бъдат взети предвид и разгледани модели на сценарий за бъдещо изменение на климата. Следва да бъдат идентифицирани климатичните опасности, на които е изложена проектната територия.</w:t>
      </w:r>
    </w:p>
    <w:p w14:paraId="72041C34"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lastRenderedPageBreak/>
        <w:t>Неизчерпателен списък на източници на данни за околната среда, който следва да бъде допълнен от Изпълнителя, и комуникиран до ангажираните партньори, включва:</w:t>
      </w:r>
    </w:p>
    <w:p w14:paraId="22BAF55F" w14:textId="3AF73154" w:rsidR="00983F80" w:rsidRPr="00142BED" w:rsidRDefault="00983F80" w:rsidP="00983F80">
      <w:pPr>
        <w:pStyle w:val="ListParagraph"/>
        <w:numPr>
          <w:ilvl w:val="0"/>
          <w:numId w:val="21"/>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Европейска агенция за околната среда;</w:t>
      </w:r>
    </w:p>
    <w:p w14:paraId="7964085D" w14:textId="02D55D4F" w:rsidR="00983F80" w:rsidRPr="00142BED" w:rsidRDefault="00983F80" w:rsidP="00983F80">
      <w:pPr>
        <w:pStyle w:val="ListParagraph"/>
        <w:numPr>
          <w:ilvl w:val="0"/>
          <w:numId w:val="21"/>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Налични бази данни;</w:t>
      </w:r>
    </w:p>
    <w:p w14:paraId="7731A576" w14:textId="77777777" w:rsidR="00983F80" w:rsidRPr="00142BED" w:rsidRDefault="00983F80" w:rsidP="00983F80">
      <w:pPr>
        <w:pStyle w:val="ListParagraph"/>
        <w:numPr>
          <w:ilvl w:val="0"/>
          <w:numId w:val="21"/>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Програма на Европейския Съюз за наблюдение на Земята „Коперник“;</w:t>
      </w:r>
    </w:p>
    <w:p w14:paraId="11CB9A8F" w14:textId="39FE989E" w:rsidR="00983F80" w:rsidRPr="00142BED" w:rsidRDefault="00983F80" w:rsidP="00983F80">
      <w:pPr>
        <w:pStyle w:val="ListParagraph"/>
        <w:numPr>
          <w:ilvl w:val="0"/>
          <w:numId w:val="21"/>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Други.</w:t>
      </w:r>
    </w:p>
    <w:p w14:paraId="4AF5178C"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Разработените Технически указания следва да бъдат предадени на Възложителя.</w:t>
      </w:r>
    </w:p>
    <w:p w14:paraId="37952728"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След набавяне на необходимите данни и информация от участващите партньорски организации, Изпълнителят следва да извърши анализ и да изведе тенденции относно промяната в отговора на територията към променящия се климат въз основата на набор от показатели, предложени от него. Показателите следва да бъдат съгласувани в партньорството, като същите могат да бъдат допълвани и/или изменяни в хода на съгласуването.</w:t>
      </w:r>
    </w:p>
    <w:p w14:paraId="700C0671"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Изведените тенденции следва да послужат за моделиране на устойчивостта и уязвимостта на крайбрежните и градските райони от проектната територия към опасности, свързани с изменението на климата. </w:t>
      </w:r>
    </w:p>
    <w:p w14:paraId="185FFFE2"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Извършеното моделиране на територията следва да се основава на скала за оценка на устойчивост и уязвимост, която включва минимум три класа – Висока, Средна и Ниска.</w:t>
      </w:r>
    </w:p>
    <w:p w14:paraId="35E84B0F"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Изпълнителят следва да има предвид, че в рамките на проект </w:t>
      </w:r>
      <w:r w:rsidRPr="00142BED">
        <w:rPr>
          <w:rFonts w:ascii="Open Sans" w:hAnsi="Open Sans" w:cs="Open Sans"/>
          <w:sz w:val="22"/>
          <w:szCs w:val="22"/>
        </w:rPr>
        <w:t>MoreAdaptBSB</w:t>
      </w:r>
      <w:r w:rsidRPr="00142BED">
        <w:rPr>
          <w:rFonts w:ascii="Open Sans" w:hAnsi="Open Sans" w:cs="Open Sans"/>
          <w:sz w:val="22"/>
          <w:szCs w:val="22"/>
          <w:lang w:val="bg-BG"/>
        </w:rPr>
        <w:t xml:space="preserve"> са обособени четири пилотни територии - Касандра (Гърция), Приморско (България), Констанца (Румъния) и Одеса (Украйна). Участващите партньори по проекта имат ангажимента да извършат проверка на място в обхвата на пилотните територии и да верифицират получените от извършеното моделиране резултати. Изпълнителят следва да осигури необходимото съдействие за целите на извършваната верификация, вкл. да отрази обратната връзка от нея, ако се наложат промени и прецизиране по предложения подход на моделиране.</w:t>
      </w:r>
    </w:p>
    <w:p w14:paraId="2B943CA4"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Цялостният подход и получените резултати следва да бъдат обобщени в Методология, базирана на дистанционни методи на наблюдение и налични данни, </w:t>
      </w:r>
      <w:r w:rsidRPr="00142BED">
        <w:rPr>
          <w:rFonts w:ascii="Open Sans" w:hAnsi="Open Sans" w:cs="Open Sans"/>
          <w:sz w:val="22"/>
          <w:szCs w:val="22"/>
          <w:lang w:val="bg-BG"/>
        </w:rPr>
        <w:lastRenderedPageBreak/>
        <w:t>за оценка на устойчивостта и уязвимостта на крайбрежните и градски райони от Черноморския регион към опасности, свързани с изменението на климата, която да може да бъде репликирана и в други територии, извън Черноморския регион.</w:t>
      </w:r>
    </w:p>
    <w:p w14:paraId="70E73046" w14:textId="5BA3F764"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В случай, че участващите партньори не предоставят необходими за оценка и разр</w:t>
      </w:r>
      <w:r w:rsidR="00E818B2" w:rsidRPr="00142BED">
        <w:rPr>
          <w:rFonts w:ascii="Open Sans" w:hAnsi="Open Sans" w:cs="Open Sans"/>
          <w:sz w:val="22"/>
          <w:szCs w:val="22"/>
          <w:lang w:val="bg-BG"/>
        </w:rPr>
        <w:t>а</w:t>
      </w:r>
      <w:r w:rsidRPr="00142BED">
        <w:rPr>
          <w:rFonts w:ascii="Open Sans" w:hAnsi="Open Sans" w:cs="Open Sans"/>
          <w:sz w:val="22"/>
          <w:szCs w:val="22"/>
          <w:lang w:val="bg-BG"/>
        </w:rPr>
        <w:t xml:space="preserve">ботване на модела данни и информация в срокове, позволяващи изпълнението на дейностите по настоящата поръчка, то Изпълнителят следва да базира оценката за съответната територията единствено на сателитни изображения и публично достъпна информация на английски език (ако такава е достъпна). </w:t>
      </w:r>
    </w:p>
    <w:p w14:paraId="7033DF51" w14:textId="77777777"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Също така, Изпълнителят следва да има предвид, че в рамките на изпълнение на тази дейност, Възложителят, съвместно с останалите партньори по проекта, ще организира три групи за обмен на знания с представители на целевите групи (регионални и местни обществени власти, НПО, представители на научно-изследователски и академичните среди, местното население) – в България, Гърция и Румъния. Целта на групите за обмен на знания е насърчаване усвояването на нови технологии и практики. Посредством тези групи за обмен на знания, диалогът и съвместното проектиране на мерки за възстановяване на градските и крайбрежни зелени пространства ще се увеличи. Изпълнителят следва да има готовност за участие в работните групи, вкл. да предоставя информация относно предлагания подход, етапа от разработване и верифициране на методологията, вкл. да аналзиира и приема или отхвърля мотивирано постъпили предложения относно методологията.</w:t>
      </w:r>
    </w:p>
    <w:p w14:paraId="110B2A3A" w14:textId="549364D6" w:rsidR="00983F80" w:rsidRPr="00142BED" w:rsidRDefault="00983F80" w:rsidP="00983F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В резултат от изпълнението на </w:t>
      </w:r>
      <w:r w:rsidR="0044650A" w:rsidRPr="00142BED">
        <w:rPr>
          <w:rFonts w:ascii="Open Sans" w:hAnsi="Open Sans" w:cs="Open Sans"/>
          <w:sz w:val="22"/>
          <w:szCs w:val="22"/>
          <w:lang w:val="bg-BG"/>
        </w:rPr>
        <w:t>Дейност 1</w:t>
      </w:r>
      <w:r w:rsidRPr="00142BED">
        <w:rPr>
          <w:rFonts w:ascii="Open Sans" w:hAnsi="Open Sans" w:cs="Open Sans"/>
          <w:sz w:val="22"/>
          <w:szCs w:val="22"/>
          <w:lang w:val="bg-BG"/>
        </w:rPr>
        <w:t>. Изпълнителят следва да предостави:</w:t>
      </w:r>
    </w:p>
    <w:p w14:paraId="50B56500" w14:textId="77777777" w:rsidR="00983F80" w:rsidRPr="00142BED" w:rsidRDefault="00983F80" w:rsidP="00983F80">
      <w:pPr>
        <w:pStyle w:val="ListParagraph"/>
        <w:numPr>
          <w:ilvl w:val="0"/>
          <w:numId w:val="20"/>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Технически указания към ангажираните експерти от страна на партньорските организации относно необходими изходни данни и информация, вкл. формат, в който да бъдат предоставени за целите на изготвяне на методологията (на английски език);</w:t>
      </w:r>
    </w:p>
    <w:p w14:paraId="3C915FDE" w14:textId="77777777" w:rsidR="00983F80" w:rsidRPr="00142BED" w:rsidRDefault="00983F80" w:rsidP="00983F80">
      <w:pPr>
        <w:pStyle w:val="ListParagraph"/>
        <w:numPr>
          <w:ilvl w:val="0"/>
          <w:numId w:val="20"/>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Методология, базирана на дистанционни методи на наблюдение, за оценка на устойчивостта и уязвимостта на крайбрежните и градски </w:t>
      </w:r>
      <w:r w:rsidRPr="00142BED">
        <w:rPr>
          <w:rFonts w:ascii="Open Sans" w:hAnsi="Open Sans" w:cs="Open Sans"/>
          <w:sz w:val="22"/>
          <w:szCs w:val="22"/>
          <w:lang w:val="bg-BG"/>
        </w:rPr>
        <w:lastRenderedPageBreak/>
        <w:t>райони от Черноморския регион към опасности, свързани с изменението на климата (на английски език);</w:t>
      </w:r>
    </w:p>
    <w:p w14:paraId="50DB3884" w14:textId="15175E82" w:rsidR="00983F80" w:rsidRPr="00142BED" w:rsidRDefault="00983F80" w:rsidP="00983F80">
      <w:pPr>
        <w:pStyle w:val="ListParagraph"/>
        <w:numPr>
          <w:ilvl w:val="0"/>
          <w:numId w:val="20"/>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Отчетен доклад за участието на Изпълнителя в трите работни групи.</w:t>
      </w:r>
    </w:p>
    <w:p w14:paraId="396EE29C" w14:textId="6D73DB8C" w:rsidR="0044650A" w:rsidRPr="00142BED" w:rsidRDefault="0044650A" w:rsidP="00AB3822">
      <w:pPr>
        <w:pStyle w:val="ListParagraph"/>
        <w:numPr>
          <w:ilvl w:val="1"/>
          <w:numId w:val="24"/>
        </w:numPr>
        <w:shd w:val="clear" w:color="auto" w:fill="C1E4F5" w:themeFill="accent1" w:themeFillTint="33"/>
        <w:tabs>
          <w:tab w:val="left" w:pos="3083"/>
        </w:tabs>
        <w:spacing w:after="0" w:line="360" w:lineRule="auto"/>
        <w:jc w:val="both"/>
        <w:rPr>
          <w:rFonts w:ascii="Open Sans" w:hAnsi="Open Sans" w:cs="Open Sans"/>
          <w:b/>
          <w:bCs/>
          <w:i/>
          <w:iCs/>
          <w:sz w:val="22"/>
          <w:szCs w:val="22"/>
          <w:lang w:val="bg-BG"/>
        </w:rPr>
      </w:pPr>
      <w:r w:rsidRPr="00142BED">
        <w:rPr>
          <w:rFonts w:ascii="Open Sans" w:hAnsi="Open Sans" w:cs="Open Sans"/>
          <w:b/>
          <w:bCs/>
          <w:i/>
          <w:iCs/>
          <w:sz w:val="22"/>
          <w:szCs w:val="22"/>
          <w:lang w:val="bg-BG"/>
        </w:rPr>
        <w:t>Дейност 2. Създаване на уеб-базиран инструмент, който да визуализира различни категории на градска и крайбрежна уязвимост по отношение на адаптацията към изменението на климата</w:t>
      </w:r>
    </w:p>
    <w:p w14:paraId="48343525" w14:textId="77777777" w:rsidR="00D70330" w:rsidRPr="00142BED" w:rsidRDefault="00D70330" w:rsidP="00D70330">
      <w:pPr>
        <w:tabs>
          <w:tab w:val="left" w:pos="3083"/>
        </w:tabs>
        <w:spacing w:after="0" w:line="360" w:lineRule="auto"/>
        <w:jc w:val="both"/>
        <w:rPr>
          <w:rFonts w:ascii="Open Sans" w:hAnsi="Open Sans" w:cs="Open Sans"/>
          <w:sz w:val="22"/>
          <w:szCs w:val="22"/>
          <w:lang w:val="bg-BG"/>
        </w:rPr>
      </w:pPr>
    </w:p>
    <w:p w14:paraId="0FF67DAB" w14:textId="17441CFF" w:rsidR="00D70330" w:rsidRPr="00142BED" w:rsidRDefault="00D70330" w:rsidP="00D7033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В изпълнение на </w:t>
      </w:r>
      <w:r w:rsidR="00E04695" w:rsidRPr="00142BED">
        <w:rPr>
          <w:rFonts w:ascii="Open Sans" w:hAnsi="Open Sans" w:cs="Open Sans"/>
          <w:sz w:val="22"/>
          <w:szCs w:val="22"/>
          <w:lang w:val="bg-BG"/>
        </w:rPr>
        <w:t>Дейност 2</w:t>
      </w:r>
      <w:r w:rsidRPr="00142BED">
        <w:rPr>
          <w:rFonts w:ascii="Open Sans" w:hAnsi="Open Sans" w:cs="Open Sans"/>
          <w:sz w:val="22"/>
          <w:szCs w:val="22"/>
          <w:lang w:val="bg-BG"/>
        </w:rPr>
        <w:t>, Изпълнителят следва да създаде уеб-базиран инструмент, който да визуализира различни категории на градска и крайбрежна уязвимост по отношение на адаптацията към изменението на климата. Уеб-базираният инструмент следва да обхваща минимум посочените в т. 2 от настоящата спецификация територии от България, Гърция, Румъния и Украйна, т. к. това са участъците от държавите, които попадат в обхвата на Програма за сътрудничество по Инструмента за развитие на съседство и международно сътрудничество (</w:t>
      </w:r>
      <w:r w:rsidRPr="00142BED">
        <w:rPr>
          <w:rFonts w:ascii="Open Sans" w:hAnsi="Open Sans" w:cs="Open Sans"/>
          <w:sz w:val="22"/>
          <w:szCs w:val="22"/>
        </w:rPr>
        <w:t>NDICI</w:t>
      </w:r>
      <w:r w:rsidRPr="00142BED">
        <w:rPr>
          <w:rFonts w:ascii="Open Sans" w:hAnsi="Open Sans" w:cs="Open Sans"/>
          <w:sz w:val="22"/>
          <w:szCs w:val="22"/>
          <w:lang w:val="bg-BG"/>
        </w:rPr>
        <w:t xml:space="preserve">) Интеррег </w:t>
      </w:r>
      <w:r w:rsidRPr="00142BED">
        <w:rPr>
          <w:rFonts w:ascii="Open Sans" w:hAnsi="Open Sans" w:cs="Open Sans"/>
          <w:sz w:val="22"/>
          <w:szCs w:val="22"/>
        </w:rPr>
        <w:t>NEXT</w:t>
      </w:r>
      <w:r w:rsidRPr="00142BED">
        <w:rPr>
          <w:rFonts w:ascii="Open Sans" w:hAnsi="Open Sans" w:cs="Open Sans"/>
          <w:sz w:val="22"/>
          <w:szCs w:val="22"/>
          <w:lang w:val="bg-BG"/>
        </w:rPr>
        <w:t xml:space="preserve"> „Черноморски басейн 2021-2027“, равняващи се на 243 452 </w:t>
      </w:r>
      <w:r w:rsidRPr="00142BED">
        <w:rPr>
          <w:rFonts w:ascii="Open Sans" w:hAnsi="Open Sans" w:cs="Open Sans"/>
          <w:sz w:val="22"/>
          <w:szCs w:val="22"/>
        </w:rPr>
        <w:t>km</w:t>
      </w:r>
      <w:r w:rsidRPr="00142BED">
        <w:rPr>
          <w:rFonts w:ascii="Open Sans" w:hAnsi="Open Sans" w:cs="Open Sans"/>
          <w:sz w:val="22"/>
          <w:szCs w:val="22"/>
          <w:vertAlign w:val="superscript"/>
          <w:lang w:val="bg-BG"/>
        </w:rPr>
        <w:t>2</w:t>
      </w:r>
      <w:r w:rsidRPr="00142BED">
        <w:rPr>
          <w:rFonts w:ascii="Open Sans" w:hAnsi="Open Sans" w:cs="Open Sans"/>
          <w:sz w:val="22"/>
          <w:szCs w:val="22"/>
          <w:lang w:val="bg-BG"/>
        </w:rPr>
        <w:t>.</w:t>
      </w:r>
    </w:p>
    <w:p w14:paraId="7E3FB58D" w14:textId="77777777" w:rsidR="00D70330" w:rsidRPr="00142BED" w:rsidRDefault="00D70330" w:rsidP="00D7033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Уеб-базираният инструмент следва да отразява резултатите от процеса на изготвяне на Методология, базирана на дистанционни методи на наблюдение, за оценка на устойчивостта и уязвимостта на крайбрежните и градски райони от Черноморския регион към опасности, свързани с изменението на климата, като визуализира различните идентифицирани класове на идентифицирана устойчивост и уязвимост на проектната територия спрямо изменението на климата.</w:t>
      </w:r>
    </w:p>
    <w:p w14:paraId="6D24D768" w14:textId="77777777" w:rsidR="00D70330" w:rsidRPr="00142BED" w:rsidRDefault="00D70330" w:rsidP="00D7033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Същият следва да бъде на английски език, със свободен достъп и лесно разбираем.</w:t>
      </w:r>
    </w:p>
    <w:p w14:paraId="3968B448" w14:textId="77777777" w:rsidR="00D70330" w:rsidRPr="00142BED" w:rsidRDefault="00D70330" w:rsidP="00D7033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Уеб-базираният инструмент следва да:</w:t>
      </w:r>
    </w:p>
    <w:p w14:paraId="00D8FF9C"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поддържа библиотека с условни знаци, типове линии, надписи, щриховки, за използване в интерактивна картна визуализация;</w:t>
      </w:r>
    </w:p>
    <w:p w14:paraId="1FD2A1CC"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поддържа директно зареждане на данни (без трансформация) в това число </w:t>
      </w:r>
      <w:r w:rsidRPr="00142BED">
        <w:rPr>
          <w:rFonts w:ascii="Open Sans" w:hAnsi="Open Sans" w:cs="Open Sans"/>
          <w:sz w:val="22"/>
          <w:szCs w:val="22"/>
        </w:rPr>
        <w:t>KML</w:t>
      </w:r>
      <w:r w:rsidRPr="00142BED">
        <w:rPr>
          <w:rFonts w:ascii="Open Sans" w:hAnsi="Open Sans" w:cs="Open Sans"/>
          <w:sz w:val="22"/>
          <w:szCs w:val="22"/>
          <w:lang w:val="bg-BG"/>
        </w:rPr>
        <w:t xml:space="preserve"> и </w:t>
      </w:r>
      <w:r w:rsidRPr="00142BED">
        <w:rPr>
          <w:rFonts w:ascii="Open Sans" w:hAnsi="Open Sans" w:cs="Open Sans"/>
          <w:sz w:val="22"/>
          <w:szCs w:val="22"/>
        </w:rPr>
        <w:t>ESRISHP</w:t>
      </w:r>
      <w:r w:rsidRPr="00142BED">
        <w:rPr>
          <w:rFonts w:ascii="Open Sans" w:hAnsi="Open Sans" w:cs="Open Sans"/>
          <w:sz w:val="22"/>
          <w:szCs w:val="22"/>
          <w:lang w:val="bg-BG"/>
        </w:rPr>
        <w:t xml:space="preserve"> файлове или еквивалентни;</w:t>
      </w:r>
    </w:p>
    <w:p w14:paraId="6E95C355"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lastRenderedPageBreak/>
        <w:t>да има възможност за вграждане на уеб приложения в други интернет сайтове (напр. на общини, НПО и др. заинтересовани организации);</w:t>
      </w:r>
    </w:p>
    <w:p w14:paraId="02739060"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да има възможност за публикуване на каталог от метаданни, за търсене на карти (картни уеб приложения), картни услуги (уеб услуги);</w:t>
      </w:r>
    </w:p>
    <w:p w14:paraId="267671BE"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да има възможност за автоматично свързване и откриване на метаднни за вграждане и ползване на уеб услугите на системата от други информационни системи;</w:t>
      </w:r>
    </w:p>
    <w:p w14:paraId="28F648B7"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да има възможност за ползване на уеб услуги от външни системи и вграждане в уеб приложения на платформата.</w:t>
      </w:r>
    </w:p>
    <w:p w14:paraId="0B5051ED"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Следва да бъде осигурена система за управление на бази данни, която:</w:t>
      </w:r>
    </w:p>
    <w:p w14:paraId="2363A27A"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да осигурява ефективен начин за работа с големи обеми от данни;</w:t>
      </w:r>
    </w:p>
    <w:p w14:paraId="405CF0B2"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предоставя интерфейс за наблюдение и управление на:</w:t>
      </w:r>
    </w:p>
    <w:p w14:paraId="488AB65A"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ресурси на машини, заети от базата от данни;</w:t>
      </w:r>
    </w:p>
    <w:p w14:paraId="0C8284CC"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поддръжка на операционната система като среда на работа на базата от данни;</w:t>
      </w:r>
    </w:p>
    <w:p w14:paraId="062D4162"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механизми за архивиране на базата данни;</w:t>
      </w:r>
    </w:p>
    <w:p w14:paraId="1131F3B8"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е съвместима с предлаганите ГИС сървърен софтуер и Десктоп ГИС софтуер;</w:t>
      </w:r>
    </w:p>
    <w:p w14:paraId="445F8647"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има възможност за получаване на нови версии, актуализации и техническа помощ чрез уеб;</w:t>
      </w:r>
    </w:p>
    <w:p w14:paraId="1FAF209F"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поддържа всички стандартни релационни типове данни, а също и собствени типове за съхраняване на XML данни, текст, документи, изображения, аудио и видео данни, географски векторни и растерни данни;</w:t>
      </w:r>
    </w:p>
    <w:p w14:paraId="1C832A89"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използва GUI (графичен потребителски интерфейс) инструмент от производителя на СУБД за управление, диагностика и оптимални настройки на производителността на базата от данни;</w:t>
      </w:r>
    </w:p>
    <w:p w14:paraId="6F039B24"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поддържа инструменти за създаване, промяна и запис на всички обекти на базата данни, включително съхранени процедури и функции;</w:t>
      </w:r>
    </w:p>
    <w:p w14:paraId="786397F4"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притежава вградени възможности за: пространствени анализи (например сечение, обединение и др.) и статистика.</w:t>
      </w:r>
    </w:p>
    <w:p w14:paraId="1FC970CA" w14:textId="77777777" w:rsidR="00D70330" w:rsidRPr="00142BED" w:rsidRDefault="00D70330" w:rsidP="00D70330">
      <w:pPr>
        <w:tabs>
          <w:tab w:val="left" w:pos="3083"/>
        </w:tabs>
        <w:spacing w:after="0" w:line="360" w:lineRule="auto"/>
        <w:ind w:left="1069"/>
        <w:jc w:val="both"/>
        <w:rPr>
          <w:rFonts w:ascii="Open Sans" w:hAnsi="Open Sans" w:cs="Open Sans"/>
          <w:sz w:val="22"/>
          <w:szCs w:val="22"/>
          <w:lang w:val="bg-BG"/>
        </w:rPr>
      </w:pPr>
      <w:r w:rsidRPr="00142BED">
        <w:rPr>
          <w:rFonts w:ascii="Open Sans" w:hAnsi="Open Sans" w:cs="Open Sans"/>
          <w:sz w:val="22"/>
          <w:szCs w:val="22"/>
          <w:lang w:val="bg-BG"/>
        </w:rPr>
        <w:t>Следва да бъде осигурен ГИС сървърен софтуер, който:</w:t>
      </w:r>
    </w:p>
    <w:p w14:paraId="0DF8C6AF"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lastRenderedPageBreak/>
        <w:t>е интернет базирано картографско приложение за достъп, предоставяне, работа и съхранение на различни типове данни, информация и ресурси;</w:t>
      </w:r>
    </w:p>
    <w:p w14:paraId="1BEADE20"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се предлага като OpenSource софтуер и/или търговска версия;</w:t>
      </w:r>
    </w:p>
    <w:p w14:paraId="1C582E18"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поддържа създаване, импорт, експорт и публикуване на метаданни по стандарта ISO или еквивалентен;</w:t>
      </w:r>
    </w:p>
    <w:p w14:paraId="7DED1898"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поддържа технологии за директен достъп до бази данни, хранилища на данни и уеб услуги в това число: </w:t>
      </w:r>
    </w:p>
    <w:p w14:paraId="0BD5832C"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fr-FR"/>
        </w:rPr>
        <w:t xml:space="preserve">- </w:t>
      </w:r>
      <w:proofErr w:type="gramStart"/>
      <w:r w:rsidRPr="00142BED">
        <w:rPr>
          <w:rFonts w:ascii="Open Sans" w:hAnsi="Open Sans" w:cs="Open Sans"/>
          <w:sz w:val="22"/>
          <w:szCs w:val="22"/>
          <w:lang w:val="fr-FR"/>
        </w:rPr>
        <w:t>Oracle;</w:t>
      </w:r>
      <w:proofErr w:type="gramEnd"/>
      <w:r w:rsidRPr="00142BED">
        <w:rPr>
          <w:rFonts w:ascii="Open Sans" w:hAnsi="Open Sans" w:cs="Open Sans"/>
          <w:sz w:val="22"/>
          <w:szCs w:val="22"/>
          <w:lang w:val="fr-FR"/>
        </w:rPr>
        <w:t xml:space="preserve"> </w:t>
      </w:r>
    </w:p>
    <w:p w14:paraId="1915DD84"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fr-FR"/>
        </w:rPr>
        <w:t xml:space="preserve">- SQL </w:t>
      </w:r>
      <w:proofErr w:type="gramStart"/>
      <w:r w:rsidRPr="00142BED">
        <w:rPr>
          <w:rFonts w:ascii="Open Sans" w:hAnsi="Open Sans" w:cs="Open Sans"/>
          <w:sz w:val="22"/>
          <w:szCs w:val="22"/>
          <w:lang w:val="fr-FR"/>
        </w:rPr>
        <w:t>Server;</w:t>
      </w:r>
      <w:proofErr w:type="gramEnd"/>
      <w:r w:rsidRPr="00142BED">
        <w:rPr>
          <w:rFonts w:ascii="Open Sans" w:hAnsi="Open Sans" w:cs="Open Sans"/>
          <w:sz w:val="22"/>
          <w:szCs w:val="22"/>
          <w:lang w:val="fr-FR"/>
        </w:rPr>
        <w:t xml:space="preserve"> </w:t>
      </w:r>
    </w:p>
    <w:p w14:paraId="76DFE312"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fr-FR"/>
        </w:rPr>
        <w:t>- PostGreSQL/</w:t>
      </w:r>
      <w:proofErr w:type="gramStart"/>
      <w:r w:rsidRPr="00142BED">
        <w:rPr>
          <w:rFonts w:ascii="Open Sans" w:hAnsi="Open Sans" w:cs="Open Sans"/>
          <w:sz w:val="22"/>
          <w:szCs w:val="22"/>
          <w:lang w:val="fr-FR"/>
        </w:rPr>
        <w:t>PostGIS;</w:t>
      </w:r>
      <w:proofErr w:type="gramEnd"/>
      <w:r w:rsidRPr="00142BED">
        <w:rPr>
          <w:rFonts w:ascii="Open Sans" w:hAnsi="Open Sans" w:cs="Open Sans"/>
          <w:sz w:val="22"/>
          <w:szCs w:val="22"/>
          <w:lang w:val="fr-FR"/>
        </w:rPr>
        <w:t xml:space="preserve"> </w:t>
      </w:r>
    </w:p>
    <w:p w14:paraId="06172CBE"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lang w:val="fr-FR"/>
        </w:rPr>
        <w:t>SQLite</w:t>
      </w:r>
      <w:r w:rsidRPr="00142BED">
        <w:rPr>
          <w:rFonts w:ascii="Open Sans" w:hAnsi="Open Sans" w:cs="Open Sans"/>
          <w:sz w:val="22"/>
          <w:szCs w:val="22"/>
          <w:lang w:val="bg-BG"/>
        </w:rPr>
        <w:t xml:space="preserve">; </w:t>
      </w:r>
    </w:p>
    <w:p w14:paraId="421C2A99"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WMS</w:t>
      </w:r>
      <w:r w:rsidRPr="00142BED">
        <w:rPr>
          <w:rFonts w:ascii="Open Sans" w:hAnsi="Open Sans" w:cs="Open Sans"/>
          <w:sz w:val="22"/>
          <w:szCs w:val="22"/>
          <w:lang w:val="bg-BG"/>
        </w:rPr>
        <w:t>;</w:t>
      </w:r>
    </w:p>
    <w:p w14:paraId="4D9B048D"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WFS</w:t>
      </w:r>
      <w:r w:rsidRPr="00142BED">
        <w:rPr>
          <w:rFonts w:ascii="Open Sans" w:hAnsi="Open Sans" w:cs="Open Sans"/>
          <w:sz w:val="22"/>
          <w:szCs w:val="22"/>
          <w:lang w:val="bg-BG"/>
        </w:rPr>
        <w:t xml:space="preserve">; </w:t>
      </w:r>
    </w:p>
    <w:p w14:paraId="4F0A6E50"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или еквивалентни. </w:t>
      </w:r>
    </w:p>
    <w:p w14:paraId="5E36CBC7"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поддържа технологии за директен достъп до файлово базирани векторни данни в това число: </w:t>
      </w:r>
    </w:p>
    <w:p w14:paraId="77346D87"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DWG</w:t>
      </w:r>
      <w:r w:rsidRPr="00142BED">
        <w:rPr>
          <w:rFonts w:ascii="Open Sans" w:hAnsi="Open Sans" w:cs="Open Sans"/>
          <w:sz w:val="22"/>
          <w:szCs w:val="22"/>
          <w:lang w:val="bg-BG"/>
        </w:rPr>
        <w:t xml:space="preserve">/ </w:t>
      </w:r>
      <w:r w:rsidRPr="00142BED">
        <w:rPr>
          <w:rFonts w:ascii="Open Sans" w:hAnsi="Open Sans" w:cs="Open Sans"/>
          <w:sz w:val="22"/>
          <w:szCs w:val="22"/>
        </w:rPr>
        <w:t>DXF</w:t>
      </w:r>
      <w:r w:rsidRPr="00142BED">
        <w:rPr>
          <w:rFonts w:ascii="Open Sans" w:hAnsi="Open Sans" w:cs="Open Sans"/>
          <w:sz w:val="22"/>
          <w:szCs w:val="22"/>
          <w:lang w:val="bg-BG"/>
        </w:rPr>
        <w:t xml:space="preserve">; </w:t>
      </w:r>
    </w:p>
    <w:p w14:paraId="315AC4E3"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SHP</w:t>
      </w:r>
      <w:r w:rsidRPr="00142BED">
        <w:rPr>
          <w:rFonts w:ascii="Open Sans" w:hAnsi="Open Sans" w:cs="Open Sans"/>
          <w:sz w:val="22"/>
          <w:szCs w:val="22"/>
          <w:lang w:val="bg-BG"/>
        </w:rPr>
        <w:t xml:space="preserve">; </w:t>
      </w:r>
    </w:p>
    <w:p w14:paraId="02400139"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или еквивалентни. </w:t>
      </w:r>
    </w:p>
    <w:p w14:paraId="6C7BA97E"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поддържа технологии за директен достъп до растерни данни в това число от растерни формати: </w:t>
      </w:r>
    </w:p>
    <w:p w14:paraId="5F22330C"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TIFF</w:t>
      </w:r>
      <w:r w:rsidRPr="00142BED">
        <w:rPr>
          <w:rFonts w:ascii="Open Sans" w:hAnsi="Open Sans" w:cs="Open Sans"/>
          <w:sz w:val="22"/>
          <w:szCs w:val="22"/>
          <w:lang w:val="bg-BG"/>
        </w:rPr>
        <w:t>/</w:t>
      </w:r>
      <w:r w:rsidRPr="00142BED">
        <w:rPr>
          <w:rFonts w:ascii="Open Sans" w:hAnsi="Open Sans" w:cs="Open Sans"/>
          <w:sz w:val="22"/>
          <w:szCs w:val="22"/>
        </w:rPr>
        <w:t>GeoTIFF</w:t>
      </w:r>
      <w:r w:rsidRPr="00142BED">
        <w:rPr>
          <w:rFonts w:ascii="Open Sans" w:hAnsi="Open Sans" w:cs="Open Sans"/>
          <w:sz w:val="22"/>
          <w:szCs w:val="22"/>
          <w:lang w:val="bg-BG"/>
        </w:rPr>
        <w:t xml:space="preserve">; </w:t>
      </w:r>
    </w:p>
    <w:p w14:paraId="3E0D2FE5"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BMP</w:t>
      </w:r>
      <w:r w:rsidRPr="00142BED">
        <w:rPr>
          <w:rFonts w:ascii="Open Sans" w:hAnsi="Open Sans" w:cs="Open Sans"/>
          <w:sz w:val="22"/>
          <w:szCs w:val="22"/>
          <w:lang w:val="bg-BG"/>
        </w:rPr>
        <w:t xml:space="preserve">; </w:t>
      </w:r>
    </w:p>
    <w:p w14:paraId="1AF34A8C"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JPEG</w:t>
      </w:r>
      <w:r w:rsidRPr="00142BED">
        <w:rPr>
          <w:rFonts w:ascii="Open Sans" w:hAnsi="Open Sans" w:cs="Open Sans"/>
          <w:sz w:val="22"/>
          <w:szCs w:val="22"/>
          <w:lang w:val="bg-BG"/>
        </w:rPr>
        <w:t xml:space="preserve">; </w:t>
      </w:r>
    </w:p>
    <w:p w14:paraId="027F94FC"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PNG</w:t>
      </w:r>
      <w:r w:rsidRPr="00142BED">
        <w:rPr>
          <w:rFonts w:ascii="Open Sans" w:hAnsi="Open Sans" w:cs="Open Sans"/>
          <w:sz w:val="22"/>
          <w:szCs w:val="22"/>
          <w:lang w:val="bg-BG"/>
        </w:rPr>
        <w:t xml:space="preserve">; </w:t>
      </w:r>
    </w:p>
    <w:p w14:paraId="73833CE5"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или еквивалентни; </w:t>
      </w:r>
    </w:p>
    <w:p w14:paraId="0CC403A0"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поддържа технологии за достъп до растерни данни в това число от растерни формати: </w:t>
      </w:r>
    </w:p>
    <w:p w14:paraId="56CBC0DA"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GeoTiff</w:t>
      </w:r>
      <w:r w:rsidRPr="00142BED">
        <w:rPr>
          <w:rFonts w:ascii="Open Sans" w:hAnsi="Open Sans" w:cs="Open Sans"/>
          <w:sz w:val="22"/>
          <w:szCs w:val="22"/>
          <w:lang w:val="bg-BG"/>
        </w:rPr>
        <w:t xml:space="preserve">; </w:t>
      </w:r>
    </w:p>
    <w:p w14:paraId="61B26015"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MrSID</w:t>
      </w:r>
      <w:r w:rsidRPr="00142BED">
        <w:rPr>
          <w:rFonts w:ascii="Open Sans" w:hAnsi="Open Sans" w:cs="Open Sans"/>
          <w:sz w:val="22"/>
          <w:szCs w:val="22"/>
          <w:lang w:val="bg-BG"/>
        </w:rPr>
        <w:t xml:space="preserve">; </w:t>
      </w:r>
    </w:p>
    <w:p w14:paraId="131CED42"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w:t>
      </w:r>
      <w:r w:rsidRPr="00142BED">
        <w:rPr>
          <w:rFonts w:ascii="Open Sans" w:hAnsi="Open Sans" w:cs="Open Sans"/>
          <w:sz w:val="22"/>
          <w:szCs w:val="22"/>
        </w:rPr>
        <w:t>ECW</w:t>
      </w:r>
      <w:r w:rsidRPr="00142BED">
        <w:rPr>
          <w:rFonts w:ascii="Open Sans" w:hAnsi="Open Sans" w:cs="Open Sans"/>
          <w:sz w:val="22"/>
          <w:szCs w:val="22"/>
          <w:lang w:val="bg-BG"/>
        </w:rPr>
        <w:t xml:space="preserve">; </w:t>
      </w:r>
    </w:p>
    <w:p w14:paraId="57C6B878"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lastRenderedPageBreak/>
        <w:t xml:space="preserve">или еквивалентни; </w:t>
      </w:r>
    </w:p>
    <w:p w14:paraId="7D9FB5F9"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интегрира различни уеб услуги в уеб приложения, които да се използват от потребителите за визуализация и работа с данни и информация; </w:t>
      </w:r>
    </w:p>
    <w:p w14:paraId="7314FE40"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има функции за директна работа с обектите от базата данни, в това число: </w:t>
      </w:r>
    </w:p>
    <w:p w14:paraId="076AD391"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Приближаване/отдалечаване до/от обект; </w:t>
      </w:r>
    </w:p>
    <w:p w14:paraId="28430DF6"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Получаване на справка за обект/и; </w:t>
      </w:r>
    </w:p>
    <w:p w14:paraId="2F7B5742"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Идентификация на обект чрез инструмент за търсене; </w:t>
      </w:r>
    </w:p>
    <w:p w14:paraId="29CF3DFE"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xml:space="preserve">- Измерване на разстояния; </w:t>
      </w:r>
    </w:p>
    <w:p w14:paraId="0E8A09E6"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Измерване на площи;</w:t>
      </w:r>
    </w:p>
    <w:p w14:paraId="60AA811D"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 Изобразяване на обект в числен мащаб.</w:t>
      </w:r>
    </w:p>
    <w:p w14:paraId="08281718"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rPr>
      </w:pPr>
      <w:r w:rsidRPr="00142BED">
        <w:rPr>
          <w:rFonts w:ascii="Open Sans" w:hAnsi="Open Sans" w:cs="Open Sans"/>
          <w:sz w:val="22"/>
          <w:szCs w:val="22"/>
        </w:rPr>
        <w:t xml:space="preserve">- Функции за принтиране; </w:t>
      </w:r>
    </w:p>
    <w:p w14:paraId="050ABA3B"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поддържа 32 и 64 битови операционни системи, с възможност за инсталиране на 32/64-битова версия на софтуера по избор</w:t>
      </w:r>
      <w:r w:rsidRPr="00142BED">
        <w:rPr>
          <w:rFonts w:ascii="Open Sans" w:hAnsi="Open Sans" w:cs="Open Sans"/>
          <w:sz w:val="22"/>
          <w:szCs w:val="22"/>
          <w:lang w:val="ru-RU"/>
        </w:rPr>
        <w:t>.</w:t>
      </w:r>
    </w:p>
    <w:p w14:paraId="079719FE"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t>Изисквания към проектирането:</w:t>
      </w:r>
    </w:p>
    <w:p w14:paraId="4ACCCD5C"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Да осъществи бизнес анализ с Възложителя за правилно дефиниране функциите на системата; </w:t>
      </w:r>
    </w:p>
    <w:p w14:paraId="2DEF2315"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Да изготви подробен системен проект, включващ функционални изисквания, нефункционални изисквания, системни изисквания, дефинирани роли на потребителите.</w:t>
      </w:r>
    </w:p>
    <w:p w14:paraId="4A219C3E"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t xml:space="preserve">Обработка и интегриране на данни: </w:t>
      </w:r>
    </w:p>
    <w:p w14:paraId="0673D889"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Да интегрира данните, необходими за зареждане в системата; </w:t>
      </w:r>
    </w:p>
    <w:p w14:paraId="2546A35D"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Да извърши качествен контрол на данните по отношение на геометрична коректност на данните и атрибутна пълнота; </w:t>
      </w:r>
    </w:p>
    <w:p w14:paraId="21F5E4FA"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b/>
          <w:bCs/>
          <w:sz w:val="22"/>
          <w:szCs w:val="22"/>
        </w:rPr>
        <w:t>Разработка:</w:t>
      </w:r>
      <w:r w:rsidRPr="00142BED">
        <w:rPr>
          <w:rFonts w:ascii="Open Sans" w:hAnsi="Open Sans" w:cs="Open Sans"/>
          <w:sz w:val="22"/>
          <w:szCs w:val="22"/>
        </w:rPr>
        <w:t xml:space="preserve"> </w:t>
      </w:r>
    </w:p>
    <w:p w14:paraId="715E1B84"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Да извърши софтуерна разработка, съгласно изискванията на техническото задание; </w:t>
      </w:r>
    </w:p>
    <w:p w14:paraId="425288D8"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Да извърши нужните тестове, за осигуряване на софтуерното качество. </w:t>
      </w:r>
    </w:p>
    <w:p w14:paraId="7358A3E7" w14:textId="77777777"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b/>
          <w:bCs/>
          <w:sz w:val="22"/>
          <w:szCs w:val="22"/>
        </w:rPr>
        <w:t xml:space="preserve">Внедряване: </w:t>
      </w:r>
    </w:p>
    <w:p w14:paraId="2A94C22A"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Да извърши конфигурация и пускане в реална експлоатация на приложението; </w:t>
      </w:r>
    </w:p>
    <w:p w14:paraId="27E998CE" w14:textId="77777777" w:rsidR="00D70330" w:rsidRPr="00142BED" w:rsidRDefault="00D70330" w:rsidP="00D70330">
      <w:pPr>
        <w:pStyle w:val="ListParagraph"/>
        <w:numPr>
          <w:ilvl w:val="0"/>
          <w:numId w:val="2"/>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Да извърши приемателни тестове на инструмента.</w:t>
      </w:r>
    </w:p>
    <w:p w14:paraId="4797DE9E" w14:textId="53ACC0E8" w:rsidR="00D70330" w:rsidRPr="00142BED" w:rsidRDefault="00D70330" w:rsidP="00D70330">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lastRenderedPageBreak/>
        <w:t xml:space="preserve">В резултат от изпълнението на </w:t>
      </w:r>
      <w:r w:rsidR="00E04695" w:rsidRPr="00142BED">
        <w:rPr>
          <w:rFonts w:ascii="Open Sans" w:hAnsi="Open Sans" w:cs="Open Sans"/>
          <w:sz w:val="22"/>
          <w:szCs w:val="22"/>
          <w:lang w:val="bg-BG"/>
        </w:rPr>
        <w:t xml:space="preserve">Дейност 2, </w:t>
      </w:r>
      <w:r w:rsidRPr="00142BED">
        <w:rPr>
          <w:rFonts w:ascii="Open Sans" w:hAnsi="Open Sans" w:cs="Open Sans"/>
          <w:sz w:val="22"/>
          <w:szCs w:val="22"/>
          <w:lang w:val="bg-BG"/>
        </w:rPr>
        <w:t>Изпълнителят следва да предостави уеб-базиран инструмент (на английски език), който да визуализира различни категории на градска и крайбрежна уязвимост по отношение на адаптацията към изменението на климата.</w:t>
      </w:r>
    </w:p>
    <w:p w14:paraId="74305AD3" w14:textId="019A8DBB" w:rsidR="00D70330" w:rsidRPr="00142BED" w:rsidRDefault="00D70330" w:rsidP="00E04695">
      <w:pPr>
        <w:pStyle w:val="ListParagraph"/>
        <w:tabs>
          <w:tab w:val="left" w:pos="3083"/>
        </w:tabs>
        <w:spacing w:after="0" w:line="360" w:lineRule="auto"/>
        <w:ind w:left="0" w:firstLine="709"/>
        <w:jc w:val="both"/>
        <w:rPr>
          <w:rFonts w:ascii="Open Sans" w:hAnsi="Open Sans" w:cs="Open Sans"/>
          <w:sz w:val="22"/>
          <w:szCs w:val="22"/>
          <w:lang w:val="bg-BG"/>
        </w:rPr>
      </w:pPr>
      <w:r w:rsidRPr="00142BED">
        <w:rPr>
          <w:rFonts w:ascii="Open Sans" w:hAnsi="Open Sans" w:cs="Open Sans"/>
          <w:sz w:val="22"/>
          <w:szCs w:val="22"/>
          <w:lang w:val="bg-BG"/>
        </w:rPr>
        <w:t>В задълженията на Изпълнителя не влиза осигуряване на хостинг и последващо управление на портала.</w:t>
      </w:r>
    </w:p>
    <w:p w14:paraId="50488158" w14:textId="7F5D5726" w:rsidR="006F2A66" w:rsidRPr="00142BED" w:rsidRDefault="006F2A66" w:rsidP="00AB3822">
      <w:pPr>
        <w:pStyle w:val="Heading1"/>
        <w:numPr>
          <w:ilvl w:val="0"/>
          <w:numId w:val="24"/>
        </w:numPr>
        <w:shd w:val="clear" w:color="auto" w:fill="DAE9F7" w:themeFill="text2" w:themeFillTint="1A"/>
        <w:spacing w:before="0" w:after="0" w:line="276" w:lineRule="auto"/>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t>Очаквани резултати</w:t>
      </w:r>
    </w:p>
    <w:p w14:paraId="1ECE769C" w14:textId="18746EC6" w:rsidR="00C04186" w:rsidRPr="00142BED" w:rsidRDefault="00972180" w:rsidP="00972180">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Съгласно изискванията и обхвата на отделните дейности, се очаква изпълнението на </w:t>
      </w:r>
      <w:r w:rsidR="00EB0496" w:rsidRPr="00142BED">
        <w:rPr>
          <w:rFonts w:ascii="Open Sans" w:hAnsi="Open Sans" w:cs="Open Sans"/>
          <w:sz w:val="22"/>
          <w:szCs w:val="22"/>
          <w:lang w:val="bg-BG"/>
        </w:rPr>
        <w:t>заданието</w:t>
      </w:r>
      <w:r w:rsidRPr="00142BED">
        <w:rPr>
          <w:rFonts w:ascii="Open Sans" w:hAnsi="Open Sans" w:cs="Open Sans"/>
          <w:sz w:val="22"/>
          <w:szCs w:val="22"/>
          <w:lang w:val="bg-BG"/>
        </w:rPr>
        <w:t xml:space="preserve"> от поръчката да генерира следните конкретни резултати</w:t>
      </w:r>
      <w:r w:rsidR="004B7B14" w:rsidRPr="00142BED">
        <w:rPr>
          <w:rFonts w:ascii="Open Sans" w:hAnsi="Open Sans" w:cs="Open Sans"/>
          <w:sz w:val="22"/>
          <w:szCs w:val="22"/>
          <w:lang w:val="bg-BG"/>
        </w:rPr>
        <w:t>:</w:t>
      </w:r>
    </w:p>
    <w:p w14:paraId="187DE4F9" w14:textId="77777777" w:rsidR="00AB3822" w:rsidRPr="00142BED" w:rsidRDefault="004B7B14" w:rsidP="00AB3822">
      <w:pPr>
        <w:pStyle w:val="ListParagraph"/>
        <w:numPr>
          <w:ilvl w:val="0"/>
          <w:numId w:val="25"/>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Разработена методология, базирана на дистанционни методи за наблюдение, за оценка на устойчивостта и уязвимостта на крайбрежните и градски райони от Черноморския регион към опасности, свързани с изменението на климата;</w:t>
      </w:r>
    </w:p>
    <w:p w14:paraId="7C7B3EB7" w14:textId="30C88AB4" w:rsidR="004B7B14" w:rsidRPr="00142BED" w:rsidRDefault="004B7B14" w:rsidP="00AB3822">
      <w:pPr>
        <w:pStyle w:val="ListParagraph"/>
        <w:numPr>
          <w:ilvl w:val="0"/>
          <w:numId w:val="25"/>
        </w:numPr>
        <w:tabs>
          <w:tab w:val="left" w:pos="3083"/>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Свободнодостъпен, потребителски удобен уеб-базиран инструмент, който да визуализира различни категории на градска и крайбрежна уязвимост по отношение на адаптацията към изменението на климата.</w:t>
      </w:r>
    </w:p>
    <w:p w14:paraId="10F49E66" w14:textId="0572D3AC" w:rsidR="004B7B14" w:rsidRPr="00142BED" w:rsidRDefault="004B7B14" w:rsidP="00AB3822">
      <w:pPr>
        <w:pStyle w:val="Heading1"/>
        <w:numPr>
          <w:ilvl w:val="0"/>
          <w:numId w:val="24"/>
        </w:numPr>
        <w:shd w:val="clear" w:color="auto" w:fill="DAE9F7" w:themeFill="text2" w:themeFillTint="1A"/>
        <w:spacing w:before="0" w:after="0"/>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t>Срок за изпълнение</w:t>
      </w:r>
    </w:p>
    <w:p w14:paraId="56EA0033" w14:textId="74189A49" w:rsidR="002635FD" w:rsidRPr="00142BED" w:rsidRDefault="005F64E7" w:rsidP="005F64E7">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 xml:space="preserve">Общият срок за изпълнение на </w:t>
      </w:r>
      <w:r w:rsidR="0084466B" w:rsidRPr="00142BED">
        <w:rPr>
          <w:rFonts w:ascii="Open Sans" w:hAnsi="Open Sans" w:cs="Open Sans"/>
          <w:sz w:val="22"/>
          <w:szCs w:val="22"/>
          <w:lang w:val="bg-BG"/>
        </w:rPr>
        <w:t xml:space="preserve">дейностите </w:t>
      </w:r>
      <w:r w:rsidR="00EB0496" w:rsidRPr="00142BED">
        <w:rPr>
          <w:rFonts w:ascii="Open Sans" w:hAnsi="Open Sans" w:cs="Open Sans"/>
          <w:sz w:val="22"/>
          <w:szCs w:val="22"/>
          <w:lang w:val="bg-BG"/>
        </w:rPr>
        <w:t xml:space="preserve">по настоящото задание </w:t>
      </w:r>
      <w:r w:rsidRPr="00142BED">
        <w:rPr>
          <w:rFonts w:ascii="Open Sans" w:hAnsi="Open Sans" w:cs="Open Sans"/>
          <w:sz w:val="22"/>
          <w:szCs w:val="22"/>
          <w:lang w:val="bg-BG"/>
        </w:rPr>
        <w:t xml:space="preserve">е </w:t>
      </w:r>
      <w:r w:rsidRPr="00142BED">
        <w:rPr>
          <w:rFonts w:ascii="Open Sans" w:hAnsi="Open Sans" w:cs="Open Sans"/>
          <w:b/>
          <w:bCs/>
          <w:sz w:val="22"/>
          <w:szCs w:val="22"/>
          <w:lang w:val="bg-BG"/>
        </w:rPr>
        <w:t>до 1</w:t>
      </w:r>
      <w:r w:rsidR="00DB653E">
        <w:rPr>
          <w:rFonts w:ascii="Open Sans" w:hAnsi="Open Sans" w:cs="Open Sans"/>
          <w:b/>
          <w:bCs/>
          <w:sz w:val="22"/>
          <w:szCs w:val="22"/>
          <w:lang w:val="bg-BG"/>
        </w:rPr>
        <w:t>7</w:t>
      </w:r>
      <w:r w:rsidRPr="00142BED">
        <w:rPr>
          <w:rFonts w:ascii="Open Sans" w:hAnsi="Open Sans" w:cs="Open Sans"/>
          <w:b/>
          <w:bCs/>
          <w:sz w:val="22"/>
          <w:szCs w:val="22"/>
          <w:lang w:val="bg-BG"/>
        </w:rPr>
        <w:t xml:space="preserve"> месеца</w:t>
      </w:r>
      <w:r w:rsidRPr="00142BED">
        <w:rPr>
          <w:rFonts w:ascii="Open Sans" w:hAnsi="Open Sans" w:cs="Open Sans"/>
          <w:sz w:val="22"/>
          <w:szCs w:val="22"/>
          <w:lang w:val="bg-BG"/>
        </w:rPr>
        <w:t>, считано от датата на сключване на Договор за изпълнение.</w:t>
      </w:r>
    </w:p>
    <w:p w14:paraId="06FBA526" w14:textId="580A60C0" w:rsidR="00BC4114" w:rsidRPr="00142BED" w:rsidRDefault="00AB3822" w:rsidP="00E67467">
      <w:pPr>
        <w:pStyle w:val="Heading1"/>
        <w:numPr>
          <w:ilvl w:val="0"/>
          <w:numId w:val="24"/>
        </w:numPr>
        <w:shd w:val="clear" w:color="auto" w:fill="DAE9F7" w:themeFill="text2" w:themeFillTint="1A"/>
        <w:spacing w:before="0" w:after="0"/>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t>Отчитане на изпълнението</w:t>
      </w:r>
    </w:p>
    <w:p w14:paraId="0F28F598" w14:textId="77777777" w:rsidR="00E67467" w:rsidRPr="00142BED" w:rsidRDefault="00E67467" w:rsidP="00E67467">
      <w:pPr>
        <w:tabs>
          <w:tab w:val="left" w:pos="3083"/>
        </w:tabs>
        <w:spacing w:after="0" w:line="360" w:lineRule="auto"/>
        <w:ind w:firstLine="709"/>
        <w:jc w:val="both"/>
        <w:rPr>
          <w:rFonts w:ascii="Open Sans" w:hAnsi="Open Sans" w:cs="Open Sans"/>
          <w:sz w:val="22"/>
          <w:szCs w:val="22"/>
          <w:lang w:val="bg-BG"/>
        </w:rPr>
      </w:pPr>
      <w:r w:rsidRPr="00142BED">
        <w:rPr>
          <w:rFonts w:ascii="Open Sans" w:hAnsi="Open Sans" w:cs="Open Sans"/>
          <w:sz w:val="22"/>
          <w:szCs w:val="22"/>
          <w:lang w:val="bg-BG"/>
        </w:rPr>
        <w:t>Отчетните доклади – Встъпителен и доклади за изпълнение на дейностите следва да се изготвят на български език.</w:t>
      </w:r>
    </w:p>
    <w:p w14:paraId="316291E0" w14:textId="109F4CFF" w:rsidR="00E67467" w:rsidRPr="00142BED" w:rsidRDefault="00E67467" w:rsidP="00E67467">
      <w:pPr>
        <w:shd w:val="clear" w:color="auto" w:fill="CAEDFB" w:themeFill="accent4" w:themeFillTint="33"/>
        <w:spacing w:after="0" w:line="240" w:lineRule="auto"/>
        <w:ind w:firstLine="709"/>
        <w:contextualSpacing/>
        <w:jc w:val="both"/>
        <w:rPr>
          <w:rFonts w:ascii="Open Sans" w:eastAsia="Times New Roman" w:hAnsi="Open Sans" w:cs="Open Sans"/>
          <w:b/>
          <w:bCs/>
          <w:i/>
          <w:color w:val="0E2841" w:themeColor="text2"/>
          <w:sz w:val="22"/>
          <w:szCs w:val="22"/>
          <w:lang w:val="bg-BG"/>
        </w:rPr>
      </w:pPr>
      <w:r w:rsidRPr="00142BED">
        <w:rPr>
          <w:rFonts w:ascii="Open Sans" w:eastAsia="Times New Roman" w:hAnsi="Open Sans" w:cs="Open Sans"/>
          <w:b/>
          <w:bCs/>
          <w:i/>
          <w:color w:val="0E2841" w:themeColor="text2"/>
          <w:sz w:val="22"/>
          <w:szCs w:val="22"/>
          <w:lang w:val="bg-BG"/>
        </w:rPr>
        <w:t xml:space="preserve">6.1. Встъпителен доклад </w:t>
      </w:r>
    </w:p>
    <w:p w14:paraId="2D83070F" w14:textId="77777777" w:rsidR="00E67467" w:rsidRPr="00142BED" w:rsidRDefault="00E67467" w:rsidP="00E67467">
      <w:pPr>
        <w:spacing w:after="0" w:line="360" w:lineRule="auto"/>
        <w:ind w:firstLine="709"/>
        <w:jc w:val="both"/>
        <w:rPr>
          <w:rFonts w:ascii="Open Sans" w:eastAsia="Times New Roman" w:hAnsi="Open Sans" w:cs="Open Sans"/>
          <w:iCs/>
          <w:sz w:val="22"/>
          <w:szCs w:val="22"/>
          <w:lang w:val="bg-BG"/>
        </w:rPr>
      </w:pPr>
    </w:p>
    <w:p w14:paraId="16B28545" w14:textId="48748B08" w:rsidR="00E67467" w:rsidRPr="00142BED" w:rsidRDefault="00E67467" w:rsidP="00E67467">
      <w:pPr>
        <w:spacing w:after="0" w:line="360" w:lineRule="auto"/>
        <w:ind w:firstLine="709"/>
        <w:jc w:val="both"/>
        <w:rPr>
          <w:rFonts w:ascii="Open Sans" w:eastAsia="Times New Roman" w:hAnsi="Open Sans" w:cs="Open Sans"/>
          <w:iCs/>
          <w:sz w:val="22"/>
          <w:szCs w:val="22"/>
          <w:lang w:val="bg-BG"/>
        </w:rPr>
      </w:pPr>
      <w:r w:rsidRPr="00142BED">
        <w:rPr>
          <w:rFonts w:ascii="Open Sans" w:eastAsia="Times New Roman" w:hAnsi="Open Sans" w:cs="Open Sans"/>
          <w:iCs/>
          <w:sz w:val="22"/>
          <w:szCs w:val="22"/>
          <w:lang w:val="bg-BG"/>
        </w:rPr>
        <w:t>Встъпителният доклад следва да се представи до 10 дни след влизане в сила на Договора за изпълнение, със следното минимално съдържание:</w:t>
      </w:r>
    </w:p>
    <w:p w14:paraId="59AF7218" w14:textId="77777777" w:rsidR="00E67467" w:rsidRPr="00142BED" w:rsidRDefault="00E67467" w:rsidP="00E67467">
      <w:pPr>
        <w:numPr>
          <w:ilvl w:val="0"/>
          <w:numId w:val="6"/>
        </w:numPr>
        <w:spacing w:after="0" w:line="360" w:lineRule="auto"/>
        <w:ind w:left="0" w:firstLine="709"/>
        <w:contextualSpacing/>
        <w:jc w:val="both"/>
        <w:rPr>
          <w:rFonts w:ascii="Open Sans" w:eastAsia="Times New Roman" w:hAnsi="Open Sans" w:cs="Open Sans"/>
          <w:iCs/>
          <w:sz w:val="22"/>
          <w:szCs w:val="22"/>
        </w:rPr>
      </w:pPr>
      <w:r w:rsidRPr="00142BED">
        <w:rPr>
          <w:rFonts w:ascii="Open Sans" w:eastAsia="Times New Roman" w:hAnsi="Open Sans" w:cs="Open Sans"/>
          <w:iCs/>
          <w:sz w:val="22"/>
          <w:szCs w:val="22"/>
        </w:rPr>
        <w:t xml:space="preserve">Обща информация за </w:t>
      </w:r>
      <w:r w:rsidRPr="00142BED">
        <w:rPr>
          <w:rFonts w:ascii="Open Sans" w:eastAsia="Times New Roman" w:hAnsi="Open Sans" w:cs="Open Sans"/>
          <w:iCs/>
          <w:sz w:val="22"/>
          <w:szCs w:val="22"/>
          <w:lang w:val="bg-BG"/>
        </w:rPr>
        <w:t>Д</w:t>
      </w:r>
      <w:r w:rsidRPr="00142BED">
        <w:rPr>
          <w:rFonts w:ascii="Open Sans" w:eastAsia="Times New Roman" w:hAnsi="Open Sans" w:cs="Open Sans"/>
          <w:iCs/>
          <w:sz w:val="22"/>
          <w:szCs w:val="22"/>
        </w:rPr>
        <w:t>оговора</w:t>
      </w:r>
      <w:r w:rsidRPr="00142BED">
        <w:rPr>
          <w:rFonts w:ascii="Open Sans" w:eastAsia="Times New Roman" w:hAnsi="Open Sans" w:cs="Open Sans"/>
          <w:iCs/>
          <w:sz w:val="22"/>
          <w:szCs w:val="22"/>
          <w:lang w:val="bg-BG"/>
        </w:rPr>
        <w:t>;</w:t>
      </w:r>
    </w:p>
    <w:p w14:paraId="3AB8EE3E" w14:textId="77777777" w:rsidR="00E67467" w:rsidRPr="00142BED" w:rsidRDefault="00E67467" w:rsidP="00E67467">
      <w:pPr>
        <w:numPr>
          <w:ilvl w:val="0"/>
          <w:numId w:val="6"/>
        </w:numPr>
        <w:spacing w:after="0" w:line="360" w:lineRule="auto"/>
        <w:ind w:left="0" w:firstLine="709"/>
        <w:contextualSpacing/>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Лица за контакти от страна на Изпълнителя</w:t>
      </w:r>
      <w:r w:rsidRPr="00142BED">
        <w:rPr>
          <w:rFonts w:ascii="Open Sans" w:eastAsia="Times New Roman" w:hAnsi="Open Sans" w:cs="Open Sans"/>
          <w:iCs/>
          <w:sz w:val="22"/>
          <w:szCs w:val="22"/>
          <w:lang w:val="bg-BG"/>
        </w:rPr>
        <w:t>;</w:t>
      </w:r>
    </w:p>
    <w:p w14:paraId="63988D19" w14:textId="77777777" w:rsidR="00E67467" w:rsidRPr="00142BED" w:rsidRDefault="00E67467" w:rsidP="00E67467">
      <w:pPr>
        <w:numPr>
          <w:ilvl w:val="0"/>
          <w:numId w:val="6"/>
        </w:numPr>
        <w:spacing w:after="0" w:line="360" w:lineRule="auto"/>
        <w:ind w:left="0" w:firstLine="709"/>
        <w:contextualSpacing/>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Необходима изходна информация от страна на Възложителя</w:t>
      </w:r>
      <w:r w:rsidRPr="00142BED">
        <w:rPr>
          <w:rFonts w:ascii="Open Sans" w:eastAsia="Times New Roman" w:hAnsi="Open Sans" w:cs="Open Sans"/>
          <w:iCs/>
          <w:sz w:val="22"/>
          <w:szCs w:val="22"/>
          <w:lang w:val="bg-BG"/>
        </w:rPr>
        <w:t>;</w:t>
      </w:r>
      <w:r w:rsidRPr="00142BED">
        <w:rPr>
          <w:rFonts w:ascii="Open Sans" w:eastAsia="Times New Roman" w:hAnsi="Open Sans" w:cs="Open Sans"/>
          <w:iCs/>
          <w:sz w:val="22"/>
          <w:szCs w:val="22"/>
          <w:lang w:val="ru-RU"/>
        </w:rPr>
        <w:t xml:space="preserve"> </w:t>
      </w:r>
    </w:p>
    <w:p w14:paraId="6E69EA58" w14:textId="77777777" w:rsidR="00E67467" w:rsidRPr="00142BED" w:rsidRDefault="00E67467" w:rsidP="00E67467">
      <w:pPr>
        <w:numPr>
          <w:ilvl w:val="0"/>
          <w:numId w:val="6"/>
        </w:numPr>
        <w:spacing w:after="0" w:line="360" w:lineRule="auto"/>
        <w:ind w:left="0" w:firstLine="709"/>
        <w:contextualSpacing/>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Методология за изпълнение на отделните дейности</w:t>
      </w:r>
      <w:r w:rsidRPr="00142BED">
        <w:rPr>
          <w:rFonts w:ascii="Open Sans" w:eastAsia="Times New Roman" w:hAnsi="Open Sans" w:cs="Open Sans"/>
          <w:iCs/>
          <w:sz w:val="22"/>
          <w:szCs w:val="22"/>
          <w:lang w:val="bg-BG"/>
        </w:rPr>
        <w:t>;</w:t>
      </w:r>
    </w:p>
    <w:p w14:paraId="7050323E" w14:textId="77777777" w:rsidR="00E67467" w:rsidRPr="00142BED" w:rsidRDefault="00E67467" w:rsidP="00E67467">
      <w:pPr>
        <w:numPr>
          <w:ilvl w:val="0"/>
          <w:numId w:val="6"/>
        </w:numPr>
        <w:spacing w:after="0" w:line="360" w:lineRule="auto"/>
        <w:ind w:left="0" w:firstLine="709"/>
        <w:contextualSpacing/>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lastRenderedPageBreak/>
        <w:t>Актуален индикативен календарен график за изпълнението на договора</w:t>
      </w:r>
      <w:r w:rsidRPr="00142BED">
        <w:rPr>
          <w:rFonts w:ascii="Open Sans" w:eastAsia="Times New Roman" w:hAnsi="Open Sans" w:cs="Open Sans"/>
          <w:iCs/>
          <w:sz w:val="22"/>
          <w:szCs w:val="22"/>
          <w:lang w:val="bg-BG"/>
        </w:rPr>
        <w:t>;</w:t>
      </w:r>
    </w:p>
    <w:p w14:paraId="4FA47387" w14:textId="77777777" w:rsidR="00E67467" w:rsidRPr="00142BED" w:rsidRDefault="00E67467" w:rsidP="00E67467">
      <w:pPr>
        <w:numPr>
          <w:ilvl w:val="0"/>
          <w:numId w:val="6"/>
        </w:numPr>
        <w:spacing w:after="0" w:line="360" w:lineRule="auto"/>
        <w:ind w:left="0" w:firstLine="709"/>
        <w:contextualSpacing/>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Друга информация, по преценка на Изпълнителя.</w:t>
      </w:r>
    </w:p>
    <w:p w14:paraId="72F0D762" w14:textId="164AA540" w:rsidR="00E67467" w:rsidRPr="00DB653E" w:rsidRDefault="00DD24DE" w:rsidP="00DD24DE">
      <w:pPr>
        <w:spacing w:after="0" w:line="360" w:lineRule="auto"/>
        <w:contextualSpacing/>
        <w:jc w:val="both"/>
        <w:rPr>
          <w:rFonts w:ascii="Open Sans" w:eastAsia="Times New Roman" w:hAnsi="Open Sans" w:cs="Open Sans"/>
          <w:iCs/>
          <w:sz w:val="22"/>
          <w:szCs w:val="22"/>
          <w:lang w:val="ru-RU"/>
        </w:rPr>
      </w:pPr>
      <w:proofErr w:type="spellStart"/>
      <w:r w:rsidRPr="00DD24DE">
        <w:rPr>
          <w:rFonts w:ascii="Open Sans" w:eastAsia="Times New Roman" w:hAnsi="Open Sans" w:cs="Open Sans"/>
          <w:iCs/>
          <w:sz w:val="22"/>
          <w:szCs w:val="22"/>
          <w:lang w:val="ru-RU"/>
        </w:rPr>
        <w:t>Одобрението</w:t>
      </w:r>
      <w:proofErr w:type="spellEnd"/>
      <w:r w:rsidRPr="00DD24DE">
        <w:rPr>
          <w:rFonts w:ascii="Open Sans" w:eastAsia="Times New Roman" w:hAnsi="Open Sans" w:cs="Open Sans"/>
          <w:iCs/>
          <w:sz w:val="22"/>
          <w:szCs w:val="22"/>
          <w:lang w:val="ru-RU"/>
        </w:rPr>
        <w:t xml:space="preserve"> на </w:t>
      </w:r>
      <w:proofErr w:type="spellStart"/>
      <w:r w:rsidRPr="00DD24DE">
        <w:rPr>
          <w:rFonts w:ascii="Open Sans" w:eastAsia="Times New Roman" w:hAnsi="Open Sans" w:cs="Open Sans"/>
          <w:iCs/>
          <w:sz w:val="22"/>
          <w:szCs w:val="22"/>
          <w:lang w:val="ru-RU"/>
        </w:rPr>
        <w:t>Встъпителния</w:t>
      </w:r>
      <w:proofErr w:type="spellEnd"/>
      <w:r w:rsidRPr="00DD24DE">
        <w:rPr>
          <w:rFonts w:ascii="Open Sans" w:eastAsia="Times New Roman" w:hAnsi="Open Sans" w:cs="Open Sans"/>
          <w:iCs/>
          <w:sz w:val="22"/>
          <w:szCs w:val="22"/>
          <w:lang w:val="ru-RU"/>
        </w:rPr>
        <w:t xml:space="preserve"> доклад е основание за </w:t>
      </w:r>
      <w:proofErr w:type="spellStart"/>
      <w:r w:rsidRPr="00DD24DE">
        <w:rPr>
          <w:rFonts w:ascii="Open Sans" w:eastAsia="Times New Roman" w:hAnsi="Open Sans" w:cs="Open Sans"/>
          <w:iCs/>
          <w:sz w:val="22"/>
          <w:szCs w:val="22"/>
          <w:lang w:val="ru-RU"/>
        </w:rPr>
        <w:t>изплащане</w:t>
      </w:r>
      <w:proofErr w:type="spellEnd"/>
      <w:r w:rsidRPr="00DD24DE">
        <w:rPr>
          <w:rFonts w:ascii="Open Sans" w:eastAsia="Times New Roman" w:hAnsi="Open Sans" w:cs="Open Sans"/>
          <w:iCs/>
          <w:sz w:val="22"/>
          <w:szCs w:val="22"/>
          <w:lang w:val="ru-RU"/>
        </w:rPr>
        <w:t xml:space="preserve"> на аванса по договора.</w:t>
      </w:r>
    </w:p>
    <w:p w14:paraId="1C83C689" w14:textId="143310B4" w:rsidR="00E67467" w:rsidRPr="00142BED" w:rsidRDefault="00AC3F26" w:rsidP="00E67467">
      <w:pPr>
        <w:shd w:val="clear" w:color="auto" w:fill="CAEDFB" w:themeFill="accent4" w:themeFillTint="33"/>
        <w:spacing w:after="0" w:line="240" w:lineRule="auto"/>
        <w:ind w:firstLine="709"/>
        <w:contextualSpacing/>
        <w:jc w:val="both"/>
        <w:rPr>
          <w:rFonts w:ascii="Open Sans" w:eastAsia="Times New Roman" w:hAnsi="Open Sans" w:cs="Open Sans"/>
          <w:b/>
          <w:bCs/>
          <w:i/>
          <w:color w:val="0E2841" w:themeColor="text2"/>
          <w:sz w:val="22"/>
          <w:szCs w:val="22"/>
          <w:lang w:val="ru-RU"/>
        </w:rPr>
      </w:pPr>
      <w:r w:rsidRPr="00142BED">
        <w:rPr>
          <w:rFonts w:ascii="Open Sans" w:eastAsia="Times New Roman" w:hAnsi="Open Sans" w:cs="Open Sans"/>
          <w:b/>
          <w:bCs/>
          <w:i/>
          <w:color w:val="0E2841" w:themeColor="text2"/>
          <w:sz w:val="22"/>
          <w:szCs w:val="22"/>
          <w:lang w:val="ru-RU"/>
        </w:rPr>
        <w:t>6</w:t>
      </w:r>
      <w:r w:rsidR="00E67467" w:rsidRPr="00142BED">
        <w:rPr>
          <w:rFonts w:ascii="Open Sans" w:eastAsia="Times New Roman" w:hAnsi="Open Sans" w:cs="Open Sans"/>
          <w:b/>
          <w:bCs/>
          <w:i/>
          <w:color w:val="0E2841" w:themeColor="text2"/>
          <w:sz w:val="22"/>
          <w:szCs w:val="22"/>
          <w:lang w:val="ru-RU"/>
        </w:rPr>
        <w:t>.2 Доклади за изпълнение на дейностите</w:t>
      </w:r>
    </w:p>
    <w:p w14:paraId="06643A08" w14:textId="77777777" w:rsidR="00E67467" w:rsidRPr="00142BED" w:rsidRDefault="00E67467" w:rsidP="00E67467">
      <w:pPr>
        <w:spacing w:after="0" w:line="360" w:lineRule="auto"/>
        <w:ind w:firstLine="709"/>
        <w:jc w:val="both"/>
        <w:rPr>
          <w:rFonts w:ascii="Open Sans" w:eastAsia="Times New Roman" w:hAnsi="Open Sans" w:cs="Open Sans"/>
          <w:iCs/>
          <w:sz w:val="22"/>
          <w:szCs w:val="22"/>
          <w:lang w:val="ru-RU"/>
        </w:rPr>
      </w:pPr>
    </w:p>
    <w:p w14:paraId="47C514F6" w14:textId="72DC18F0" w:rsidR="009937EB" w:rsidRPr="00142BED" w:rsidRDefault="00E67467" w:rsidP="00E67467">
      <w:pPr>
        <w:spacing w:after="0" w:line="360" w:lineRule="auto"/>
        <w:ind w:firstLine="709"/>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Изпълнителят следва да представ</w:t>
      </w:r>
      <w:r w:rsidR="00142BED">
        <w:rPr>
          <w:rFonts w:ascii="Open Sans" w:eastAsia="Times New Roman" w:hAnsi="Open Sans" w:cs="Open Sans"/>
          <w:iCs/>
          <w:sz w:val="22"/>
          <w:szCs w:val="22"/>
          <w:lang w:val="ru-RU"/>
        </w:rPr>
        <w:t>я</w:t>
      </w:r>
      <w:r w:rsidRPr="00142BED">
        <w:rPr>
          <w:rFonts w:ascii="Open Sans" w:eastAsia="Times New Roman" w:hAnsi="Open Sans" w:cs="Open Sans"/>
          <w:iCs/>
          <w:sz w:val="22"/>
          <w:szCs w:val="22"/>
          <w:lang w:val="ru-RU"/>
        </w:rPr>
        <w:t xml:space="preserve"> </w:t>
      </w:r>
      <w:r w:rsidR="009937EB" w:rsidRPr="00142BED">
        <w:rPr>
          <w:rFonts w:ascii="Open Sans" w:eastAsia="Times New Roman" w:hAnsi="Open Sans" w:cs="Open Sans"/>
          <w:iCs/>
          <w:sz w:val="22"/>
          <w:szCs w:val="22"/>
          <w:lang w:val="ru-RU"/>
        </w:rPr>
        <w:t>д</w:t>
      </w:r>
      <w:r w:rsidRPr="00142BED">
        <w:rPr>
          <w:rFonts w:ascii="Open Sans" w:eastAsia="Times New Roman" w:hAnsi="Open Sans" w:cs="Open Sans"/>
          <w:iCs/>
          <w:sz w:val="22"/>
          <w:szCs w:val="22"/>
          <w:lang w:val="ru-RU"/>
        </w:rPr>
        <w:t>оклади за изпълнение</w:t>
      </w:r>
      <w:r w:rsidR="00DD24DE">
        <w:rPr>
          <w:rFonts w:ascii="Open Sans" w:eastAsia="Times New Roman" w:hAnsi="Open Sans" w:cs="Open Sans"/>
          <w:iCs/>
          <w:sz w:val="22"/>
          <w:szCs w:val="22"/>
          <w:lang w:val="ru-RU"/>
        </w:rPr>
        <w:t xml:space="preserve"> на </w:t>
      </w:r>
      <w:proofErr w:type="spellStart"/>
      <w:r w:rsidR="00DD24DE">
        <w:rPr>
          <w:rFonts w:ascii="Open Sans" w:eastAsia="Times New Roman" w:hAnsi="Open Sans" w:cs="Open Sans"/>
          <w:iCs/>
          <w:sz w:val="22"/>
          <w:szCs w:val="22"/>
          <w:lang w:val="ru-RU"/>
        </w:rPr>
        <w:t>поръчката</w:t>
      </w:r>
      <w:proofErr w:type="spellEnd"/>
      <w:r w:rsidRPr="00142BED">
        <w:rPr>
          <w:rFonts w:ascii="Open Sans" w:eastAsia="Times New Roman" w:hAnsi="Open Sans" w:cs="Open Sans"/>
          <w:iCs/>
          <w:sz w:val="22"/>
          <w:szCs w:val="22"/>
          <w:lang w:val="ru-RU"/>
        </w:rPr>
        <w:t xml:space="preserve"> на </w:t>
      </w:r>
      <w:proofErr w:type="spellStart"/>
      <w:r w:rsidRPr="00142BED">
        <w:rPr>
          <w:rFonts w:ascii="Open Sans" w:eastAsia="Times New Roman" w:hAnsi="Open Sans" w:cs="Open Sans"/>
          <w:iCs/>
          <w:sz w:val="22"/>
          <w:szCs w:val="22"/>
          <w:lang w:val="ru-RU"/>
        </w:rPr>
        <w:t>български</w:t>
      </w:r>
      <w:proofErr w:type="spellEnd"/>
      <w:r w:rsidRPr="00142BED">
        <w:rPr>
          <w:rFonts w:ascii="Open Sans" w:eastAsia="Times New Roman" w:hAnsi="Open Sans" w:cs="Open Sans"/>
          <w:iCs/>
          <w:sz w:val="22"/>
          <w:szCs w:val="22"/>
          <w:lang w:val="ru-RU"/>
        </w:rPr>
        <w:t xml:space="preserve"> </w:t>
      </w:r>
      <w:proofErr w:type="spellStart"/>
      <w:r w:rsidRPr="00142BED">
        <w:rPr>
          <w:rFonts w:ascii="Open Sans" w:eastAsia="Times New Roman" w:hAnsi="Open Sans" w:cs="Open Sans"/>
          <w:iCs/>
          <w:sz w:val="22"/>
          <w:szCs w:val="22"/>
          <w:lang w:val="ru-RU"/>
        </w:rPr>
        <w:t>език</w:t>
      </w:r>
      <w:proofErr w:type="spellEnd"/>
      <w:r w:rsidRPr="00142BED">
        <w:rPr>
          <w:rFonts w:ascii="Open Sans" w:eastAsia="Times New Roman" w:hAnsi="Open Sans" w:cs="Open Sans"/>
          <w:iCs/>
          <w:sz w:val="22"/>
          <w:szCs w:val="22"/>
          <w:lang w:val="ru-RU"/>
        </w:rPr>
        <w:t>, които подлежат на одобрение от Възложителя и са основание за извършване на междинни</w:t>
      </w:r>
      <w:r w:rsidR="00DD24DE">
        <w:rPr>
          <w:rFonts w:ascii="Open Sans" w:eastAsia="Times New Roman" w:hAnsi="Open Sans" w:cs="Open Sans"/>
          <w:iCs/>
          <w:sz w:val="22"/>
          <w:szCs w:val="22"/>
          <w:lang w:val="ru-RU"/>
        </w:rPr>
        <w:t xml:space="preserve"> и </w:t>
      </w:r>
      <w:proofErr w:type="spellStart"/>
      <w:r w:rsidR="00DD24DE">
        <w:rPr>
          <w:rFonts w:ascii="Open Sans" w:eastAsia="Times New Roman" w:hAnsi="Open Sans" w:cs="Open Sans"/>
          <w:iCs/>
          <w:sz w:val="22"/>
          <w:szCs w:val="22"/>
          <w:lang w:val="ru-RU"/>
        </w:rPr>
        <w:t>окончателно</w:t>
      </w:r>
      <w:proofErr w:type="spellEnd"/>
      <w:r w:rsidRPr="00142BED">
        <w:rPr>
          <w:rFonts w:ascii="Open Sans" w:eastAsia="Times New Roman" w:hAnsi="Open Sans" w:cs="Open Sans"/>
          <w:iCs/>
          <w:sz w:val="22"/>
          <w:szCs w:val="22"/>
          <w:lang w:val="ru-RU"/>
        </w:rPr>
        <w:t xml:space="preserve"> </w:t>
      </w:r>
      <w:proofErr w:type="spellStart"/>
      <w:r w:rsidRPr="00142BED">
        <w:rPr>
          <w:rFonts w:ascii="Open Sans" w:eastAsia="Times New Roman" w:hAnsi="Open Sans" w:cs="Open Sans"/>
          <w:iCs/>
          <w:sz w:val="22"/>
          <w:szCs w:val="22"/>
          <w:lang w:val="ru-RU"/>
        </w:rPr>
        <w:t>плащан</w:t>
      </w:r>
      <w:r w:rsidR="00DD24DE">
        <w:rPr>
          <w:rFonts w:ascii="Open Sans" w:eastAsia="Times New Roman" w:hAnsi="Open Sans" w:cs="Open Sans"/>
          <w:iCs/>
          <w:sz w:val="22"/>
          <w:szCs w:val="22"/>
          <w:lang w:val="ru-RU"/>
        </w:rPr>
        <w:t>е</w:t>
      </w:r>
      <w:proofErr w:type="spellEnd"/>
      <w:r w:rsidR="009937EB" w:rsidRPr="00142BED">
        <w:rPr>
          <w:rFonts w:ascii="Open Sans" w:eastAsia="Times New Roman" w:hAnsi="Open Sans" w:cs="Open Sans"/>
          <w:iCs/>
          <w:sz w:val="22"/>
          <w:szCs w:val="22"/>
          <w:lang w:val="ru-RU"/>
        </w:rPr>
        <w:t>, по график, както следва:</w:t>
      </w:r>
    </w:p>
    <w:p w14:paraId="5AD5E9FA" w14:textId="532DD5D7" w:rsidR="009937EB" w:rsidRPr="00142BED" w:rsidRDefault="009937EB" w:rsidP="00E67467">
      <w:pPr>
        <w:spacing w:after="0" w:line="360" w:lineRule="auto"/>
        <w:ind w:firstLine="709"/>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 Първи междинен доклад - до 1</w:t>
      </w:r>
      <w:r w:rsidR="00142BED">
        <w:rPr>
          <w:rFonts w:ascii="Open Sans" w:eastAsia="Times New Roman" w:hAnsi="Open Sans" w:cs="Open Sans"/>
          <w:iCs/>
          <w:sz w:val="22"/>
          <w:szCs w:val="22"/>
          <w:lang w:val="ru-RU"/>
        </w:rPr>
        <w:t>5</w:t>
      </w:r>
      <w:r w:rsidRPr="00142BED">
        <w:rPr>
          <w:rFonts w:ascii="Open Sans" w:eastAsia="Times New Roman" w:hAnsi="Open Sans" w:cs="Open Sans"/>
          <w:iCs/>
          <w:sz w:val="22"/>
          <w:szCs w:val="22"/>
          <w:lang w:val="ru-RU"/>
        </w:rPr>
        <w:t>/07/2025</w:t>
      </w:r>
    </w:p>
    <w:p w14:paraId="0B00FDAA" w14:textId="3AE64480" w:rsidR="009937EB" w:rsidRPr="00142BED" w:rsidRDefault="009937EB" w:rsidP="00E67467">
      <w:pPr>
        <w:spacing w:after="0" w:line="360" w:lineRule="auto"/>
        <w:ind w:firstLine="709"/>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 xml:space="preserve">- Втори междинен доклад - </w:t>
      </w:r>
      <w:r w:rsidR="00142BED" w:rsidRPr="00142BED">
        <w:rPr>
          <w:rFonts w:ascii="Open Sans" w:eastAsia="Times New Roman" w:hAnsi="Open Sans" w:cs="Open Sans"/>
          <w:iCs/>
          <w:sz w:val="22"/>
          <w:szCs w:val="22"/>
          <w:lang w:val="ru-RU"/>
        </w:rPr>
        <w:t>до 1</w:t>
      </w:r>
      <w:r w:rsidR="00142BED">
        <w:rPr>
          <w:rFonts w:ascii="Open Sans" w:eastAsia="Times New Roman" w:hAnsi="Open Sans" w:cs="Open Sans"/>
          <w:iCs/>
          <w:sz w:val="22"/>
          <w:szCs w:val="22"/>
          <w:lang w:val="ru-RU"/>
        </w:rPr>
        <w:t>5</w:t>
      </w:r>
      <w:r w:rsidR="00142BED" w:rsidRPr="00142BED">
        <w:rPr>
          <w:rFonts w:ascii="Open Sans" w:eastAsia="Times New Roman" w:hAnsi="Open Sans" w:cs="Open Sans"/>
          <w:iCs/>
          <w:sz w:val="22"/>
          <w:szCs w:val="22"/>
          <w:lang w:val="ru-RU"/>
        </w:rPr>
        <w:t>/11/2025</w:t>
      </w:r>
    </w:p>
    <w:p w14:paraId="0962C1CD" w14:textId="3253A29F" w:rsidR="00142BED" w:rsidRPr="00142BED" w:rsidRDefault="00142BED" w:rsidP="00E67467">
      <w:pPr>
        <w:spacing w:after="0" w:line="360" w:lineRule="auto"/>
        <w:ind w:firstLine="709"/>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 Трети междинен доклад - до 1</w:t>
      </w:r>
      <w:r>
        <w:rPr>
          <w:rFonts w:ascii="Open Sans" w:eastAsia="Times New Roman" w:hAnsi="Open Sans" w:cs="Open Sans"/>
          <w:iCs/>
          <w:sz w:val="22"/>
          <w:szCs w:val="22"/>
          <w:lang w:val="ru-RU"/>
        </w:rPr>
        <w:t>5</w:t>
      </w:r>
      <w:r w:rsidRPr="00142BED">
        <w:rPr>
          <w:rFonts w:ascii="Open Sans" w:eastAsia="Times New Roman" w:hAnsi="Open Sans" w:cs="Open Sans"/>
          <w:iCs/>
          <w:sz w:val="22"/>
          <w:szCs w:val="22"/>
          <w:lang w:val="ru-RU"/>
        </w:rPr>
        <w:t xml:space="preserve">/03/2026 </w:t>
      </w:r>
    </w:p>
    <w:p w14:paraId="7CAB138A" w14:textId="1E0CD7C9" w:rsidR="009937EB" w:rsidRPr="00142BED" w:rsidRDefault="009937EB" w:rsidP="00E67467">
      <w:pPr>
        <w:spacing w:after="0" w:line="360" w:lineRule="auto"/>
        <w:ind w:firstLine="709"/>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 Окончателен доклад - до 1</w:t>
      </w:r>
      <w:r w:rsidR="00142BED">
        <w:rPr>
          <w:rFonts w:ascii="Open Sans" w:eastAsia="Times New Roman" w:hAnsi="Open Sans" w:cs="Open Sans"/>
          <w:iCs/>
          <w:sz w:val="22"/>
          <w:szCs w:val="22"/>
          <w:lang w:val="ru-RU"/>
        </w:rPr>
        <w:t>0</w:t>
      </w:r>
      <w:r w:rsidRPr="00142BED">
        <w:rPr>
          <w:rFonts w:ascii="Open Sans" w:eastAsia="Times New Roman" w:hAnsi="Open Sans" w:cs="Open Sans"/>
          <w:iCs/>
          <w:sz w:val="22"/>
          <w:szCs w:val="22"/>
          <w:lang w:val="ru-RU"/>
        </w:rPr>
        <w:t xml:space="preserve"> дни преди изтичане срока на договора.</w:t>
      </w:r>
    </w:p>
    <w:p w14:paraId="46250982" w14:textId="77777777" w:rsidR="009937EB" w:rsidRPr="00142BED" w:rsidRDefault="009937EB" w:rsidP="00E67467">
      <w:pPr>
        <w:spacing w:after="0" w:line="360" w:lineRule="auto"/>
        <w:ind w:firstLine="709"/>
        <w:jc w:val="both"/>
        <w:rPr>
          <w:rFonts w:ascii="Open Sans" w:eastAsia="Times New Roman" w:hAnsi="Open Sans" w:cs="Open Sans"/>
          <w:iCs/>
          <w:sz w:val="22"/>
          <w:szCs w:val="22"/>
          <w:lang w:val="ru-RU"/>
        </w:rPr>
      </w:pPr>
    </w:p>
    <w:p w14:paraId="4B8A19D9" w14:textId="55175F2D" w:rsidR="00E67467" w:rsidRPr="00142BED" w:rsidRDefault="00E67467" w:rsidP="00E67467">
      <w:pPr>
        <w:spacing w:after="0" w:line="360" w:lineRule="auto"/>
        <w:ind w:firstLine="709"/>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Минималното съдържание на докладите за изпълнението на дейностите включва:</w:t>
      </w:r>
    </w:p>
    <w:p w14:paraId="0C0E6F41" w14:textId="77777777" w:rsidR="00E67467" w:rsidRPr="00142BED" w:rsidRDefault="00E67467" w:rsidP="00E67467">
      <w:pPr>
        <w:numPr>
          <w:ilvl w:val="0"/>
          <w:numId w:val="7"/>
        </w:numPr>
        <w:spacing w:after="0" w:line="360" w:lineRule="auto"/>
        <w:ind w:left="0" w:firstLine="709"/>
        <w:contextualSpacing/>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 xml:space="preserve">Обща информация за </w:t>
      </w:r>
      <w:r w:rsidRPr="00142BED">
        <w:rPr>
          <w:rFonts w:ascii="Open Sans" w:eastAsia="Times New Roman" w:hAnsi="Open Sans" w:cs="Open Sans"/>
          <w:iCs/>
          <w:sz w:val="22"/>
          <w:szCs w:val="22"/>
          <w:lang w:val="bg-BG"/>
        </w:rPr>
        <w:t>Д</w:t>
      </w:r>
      <w:r w:rsidRPr="00142BED">
        <w:rPr>
          <w:rFonts w:ascii="Open Sans" w:eastAsia="Times New Roman" w:hAnsi="Open Sans" w:cs="Open Sans"/>
          <w:iCs/>
          <w:sz w:val="22"/>
          <w:szCs w:val="22"/>
          <w:lang w:val="ru-RU"/>
        </w:rPr>
        <w:t>оговора и дейността</w:t>
      </w:r>
      <w:r w:rsidRPr="00142BED">
        <w:rPr>
          <w:rFonts w:ascii="Open Sans" w:eastAsia="Times New Roman" w:hAnsi="Open Sans" w:cs="Open Sans"/>
          <w:iCs/>
          <w:sz w:val="22"/>
          <w:szCs w:val="22"/>
          <w:lang w:val="bg-BG"/>
        </w:rPr>
        <w:t>;</w:t>
      </w:r>
    </w:p>
    <w:p w14:paraId="20CEC6CA" w14:textId="77777777" w:rsidR="00E67467" w:rsidRPr="00142BED" w:rsidRDefault="00E67467" w:rsidP="00E67467">
      <w:pPr>
        <w:numPr>
          <w:ilvl w:val="0"/>
          <w:numId w:val="7"/>
        </w:numPr>
        <w:spacing w:after="0" w:line="360" w:lineRule="auto"/>
        <w:ind w:left="0" w:firstLine="709"/>
        <w:contextualSpacing/>
        <w:jc w:val="both"/>
        <w:rPr>
          <w:rFonts w:ascii="Open Sans" w:eastAsia="Times New Roman" w:hAnsi="Open Sans" w:cs="Open Sans"/>
          <w:iCs/>
          <w:sz w:val="22"/>
          <w:szCs w:val="22"/>
        </w:rPr>
      </w:pPr>
      <w:r w:rsidRPr="00142BED">
        <w:rPr>
          <w:rFonts w:ascii="Open Sans" w:eastAsia="Times New Roman" w:hAnsi="Open Sans" w:cs="Open Sans"/>
          <w:iCs/>
          <w:sz w:val="22"/>
          <w:szCs w:val="22"/>
        </w:rPr>
        <w:t>Резюме на изпълнените задачи</w:t>
      </w:r>
      <w:r w:rsidRPr="00142BED">
        <w:rPr>
          <w:rFonts w:ascii="Open Sans" w:eastAsia="Times New Roman" w:hAnsi="Open Sans" w:cs="Open Sans"/>
          <w:iCs/>
          <w:sz w:val="22"/>
          <w:szCs w:val="22"/>
          <w:lang w:val="bg-BG"/>
        </w:rPr>
        <w:t>;</w:t>
      </w:r>
    </w:p>
    <w:p w14:paraId="37ACF35F" w14:textId="77777777" w:rsidR="00E67467" w:rsidRPr="00142BED" w:rsidRDefault="00E67467" w:rsidP="00E67467">
      <w:pPr>
        <w:numPr>
          <w:ilvl w:val="0"/>
          <w:numId w:val="7"/>
        </w:numPr>
        <w:spacing w:after="0" w:line="360" w:lineRule="auto"/>
        <w:ind w:left="0" w:firstLine="709"/>
        <w:contextualSpacing/>
        <w:jc w:val="both"/>
        <w:rPr>
          <w:rFonts w:ascii="Open Sans" w:eastAsia="Times New Roman" w:hAnsi="Open Sans" w:cs="Open Sans"/>
          <w:iCs/>
          <w:sz w:val="22"/>
          <w:szCs w:val="22"/>
          <w:lang w:val="ru-RU"/>
        </w:rPr>
      </w:pPr>
      <w:r w:rsidRPr="00142BED">
        <w:rPr>
          <w:rFonts w:ascii="Open Sans" w:eastAsia="Times New Roman" w:hAnsi="Open Sans" w:cs="Open Sans"/>
          <w:iCs/>
          <w:sz w:val="22"/>
          <w:szCs w:val="22"/>
          <w:lang w:val="ru-RU"/>
        </w:rPr>
        <w:t>Приложена методология при изпълнение на дейността</w:t>
      </w:r>
      <w:r w:rsidRPr="00142BED">
        <w:rPr>
          <w:rFonts w:ascii="Open Sans" w:eastAsia="Times New Roman" w:hAnsi="Open Sans" w:cs="Open Sans"/>
          <w:iCs/>
          <w:sz w:val="22"/>
          <w:szCs w:val="22"/>
          <w:lang w:val="bg-BG"/>
        </w:rPr>
        <w:t>;</w:t>
      </w:r>
    </w:p>
    <w:p w14:paraId="01016200" w14:textId="77777777" w:rsidR="00E67467" w:rsidRPr="00142BED" w:rsidRDefault="00E67467" w:rsidP="00E67467">
      <w:pPr>
        <w:numPr>
          <w:ilvl w:val="0"/>
          <w:numId w:val="7"/>
        </w:numPr>
        <w:spacing w:after="0" w:line="360" w:lineRule="auto"/>
        <w:ind w:left="0" w:firstLine="709"/>
        <w:contextualSpacing/>
        <w:jc w:val="both"/>
        <w:rPr>
          <w:rFonts w:ascii="Open Sans" w:eastAsia="Times New Roman" w:hAnsi="Open Sans" w:cs="Open Sans"/>
          <w:iCs/>
          <w:sz w:val="22"/>
          <w:szCs w:val="22"/>
        </w:rPr>
      </w:pPr>
      <w:r w:rsidRPr="00142BED">
        <w:rPr>
          <w:rFonts w:ascii="Open Sans" w:eastAsia="Times New Roman" w:hAnsi="Open Sans" w:cs="Open Sans"/>
          <w:iCs/>
          <w:sz w:val="22"/>
          <w:szCs w:val="22"/>
        </w:rPr>
        <w:t>Приложения</w:t>
      </w:r>
      <w:r w:rsidRPr="00142BED">
        <w:rPr>
          <w:rFonts w:ascii="Open Sans" w:eastAsia="Times New Roman" w:hAnsi="Open Sans" w:cs="Open Sans"/>
          <w:iCs/>
          <w:sz w:val="22"/>
          <w:szCs w:val="22"/>
          <w:lang w:val="bg-BG"/>
        </w:rPr>
        <w:t>.</w:t>
      </w:r>
    </w:p>
    <w:p w14:paraId="2D194F5A" w14:textId="77777777" w:rsidR="00E67467" w:rsidRPr="00142BED" w:rsidRDefault="00E67467" w:rsidP="00E67467">
      <w:pPr>
        <w:spacing w:after="0" w:line="360" w:lineRule="auto"/>
        <w:ind w:firstLine="709"/>
        <w:jc w:val="both"/>
        <w:rPr>
          <w:rFonts w:ascii="Open Sans" w:eastAsia="Times New Roman" w:hAnsi="Open Sans" w:cs="Open Sans"/>
          <w:iCs/>
          <w:sz w:val="22"/>
          <w:szCs w:val="22"/>
          <w:lang w:val="bg-BG"/>
        </w:rPr>
      </w:pPr>
      <w:r w:rsidRPr="00142BED">
        <w:rPr>
          <w:rFonts w:ascii="Open Sans" w:eastAsia="Times New Roman" w:hAnsi="Open Sans" w:cs="Open Sans"/>
          <w:iCs/>
          <w:sz w:val="22"/>
          <w:szCs w:val="22"/>
          <w:lang w:val="ru-RU"/>
        </w:rPr>
        <w:t>Като приложения към докладите за изпълнение на отделните дейности, следва да се включат резултатите от изпълнението на дейностите</w:t>
      </w:r>
      <w:r w:rsidRPr="00142BED">
        <w:rPr>
          <w:rFonts w:ascii="Open Sans" w:eastAsia="Times New Roman" w:hAnsi="Open Sans" w:cs="Open Sans"/>
          <w:iCs/>
          <w:sz w:val="22"/>
          <w:szCs w:val="22"/>
          <w:lang w:val="bg-BG"/>
        </w:rPr>
        <w:t>.</w:t>
      </w:r>
    </w:p>
    <w:p w14:paraId="3F05EFC3" w14:textId="77777777" w:rsidR="00E67467" w:rsidRPr="00142BED" w:rsidRDefault="00E67467" w:rsidP="00E67467">
      <w:pPr>
        <w:tabs>
          <w:tab w:val="left" w:pos="2149"/>
        </w:tabs>
        <w:spacing w:after="0" w:line="360" w:lineRule="auto"/>
        <w:jc w:val="both"/>
        <w:rPr>
          <w:rFonts w:ascii="Open Sans" w:hAnsi="Open Sans" w:cs="Open Sans"/>
          <w:sz w:val="22"/>
          <w:szCs w:val="22"/>
          <w:lang w:val="ru-RU"/>
        </w:rPr>
      </w:pPr>
    </w:p>
    <w:p w14:paraId="27F578D3" w14:textId="51B755DC" w:rsidR="00E67467" w:rsidRPr="00142BED" w:rsidRDefault="00E67467" w:rsidP="00AC3F26">
      <w:pPr>
        <w:spacing w:after="0" w:line="360" w:lineRule="auto"/>
        <w:ind w:firstLine="709"/>
        <w:jc w:val="both"/>
        <w:rPr>
          <w:rFonts w:ascii="Open Sans" w:eastAsia="Times New Roman" w:hAnsi="Open Sans" w:cs="Open Sans"/>
          <w:iCs/>
          <w:sz w:val="22"/>
          <w:szCs w:val="22"/>
          <w:lang w:val="bg-BG"/>
        </w:rPr>
      </w:pPr>
      <w:r w:rsidRPr="00142BED">
        <w:rPr>
          <w:rFonts w:ascii="Open Sans" w:eastAsia="Times New Roman" w:hAnsi="Open Sans" w:cs="Open Sans"/>
          <w:iCs/>
          <w:sz w:val="22"/>
          <w:szCs w:val="22"/>
          <w:lang w:val="ru-RU"/>
        </w:rPr>
        <w:t>Всеки от докладите подлежи на одобрение от страна на Възложителя или връщане за корекции, в срок от 10 дни след представянето му от страна на Изпълнителя, като Възложителят определя подходящ срок за отразяване на коментарите, посочен в придружителното писмо за връщане на доклада за корекции. Докладите се считат за одобрени след подписване на двустранен приемо-предавателен протокол.</w:t>
      </w:r>
    </w:p>
    <w:p w14:paraId="4386D3FD" w14:textId="77777777" w:rsidR="00AC3F26" w:rsidRPr="00142BED" w:rsidRDefault="00AC3F26" w:rsidP="00AC3F26">
      <w:pPr>
        <w:spacing w:after="0" w:line="360" w:lineRule="auto"/>
        <w:ind w:firstLine="709"/>
        <w:jc w:val="both"/>
        <w:rPr>
          <w:rFonts w:ascii="Open Sans" w:eastAsia="Times New Roman" w:hAnsi="Open Sans" w:cs="Open Sans"/>
          <w:iCs/>
          <w:sz w:val="22"/>
          <w:szCs w:val="22"/>
          <w:lang w:val="bg-BG"/>
        </w:rPr>
      </w:pPr>
    </w:p>
    <w:p w14:paraId="5D4944E0" w14:textId="726DFCCD" w:rsidR="002A6C04" w:rsidRPr="00142BED" w:rsidRDefault="002A6C04" w:rsidP="002A6C04">
      <w:pPr>
        <w:pStyle w:val="Heading1"/>
        <w:numPr>
          <w:ilvl w:val="0"/>
          <w:numId w:val="24"/>
        </w:numPr>
        <w:shd w:val="clear" w:color="auto" w:fill="DAE9F7" w:themeFill="text2" w:themeFillTint="1A"/>
        <w:spacing w:before="0" w:after="0"/>
        <w:ind w:left="0" w:firstLine="709"/>
        <w:jc w:val="both"/>
        <w:rPr>
          <w:rFonts w:ascii="Open Sans" w:hAnsi="Open Sans" w:cs="Open Sans"/>
          <w:b/>
          <w:bCs/>
          <w:sz w:val="22"/>
          <w:szCs w:val="22"/>
          <w:lang w:val="bg-BG"/>
        </w:rPr>
      </w:pPr>
      <w:r w:rsidRPr="00142BED">
        <w:rPr>
          <w:rFonts w:ascii="Open Sans" w:hAnsi="Open Sans" w:cs="Open Sans"/>
          <w:b/>
          <w:bCs/>
          <w:sz w:val="22"/>
          <w:szCs w:val="22"/>
          <w:lang w:val="bg-BG"/>
        </w:rPr>
        <w:lastRenderedPageBreak/>
        <w:t>Мерки за информация и публичност</w:t>
      </w:r>
    </w:p>
    <w:p w14:paraId="36CF65C5" w14:textId="77777777" w:rsidR="00AC3F26" w:rsidRPr="00142BED" w:rsidRDefault="00AC3F26" w:rsidP="002A6C04">
      <w:pPr>
        <w:spacing w:after="0" w:line="360" w:lineRule="auto"/>
        <w:ind w:firstLine="709"/>
        <w:contextualSpacing/>
        <w:jc w:val="both"/>
        <w:rPr>
          <w:rFonts w:ascii="Open Sans" w:hAnsi="Open Sans" w:cs="Open Sans"/>
          <w:sz w:val="22"/>
          <w:szCs w:val="22"/>
          <w:lang w:val="bg-BG"/>
        </w:rPr>
      </w:pPr>
    </w:p>
    <w:p w14:paraId="008846DA" w14:textId="0165BB4F" w:rsidR="002A6C04" w:rsidRPr="00142BED" w:rsidRDefault="002A6C04" w:rsidP="002A6C04">
      <w:pPr>
        <w:spacing w:after="0" w:line="360" w:lineRule="auto"/>
        <w:ind w:firstLine="709"/>
        <w:contextualSpacing/>
        <w:jc w:val="both"/>
        <w:rPr>
          <w:rFonts w:ascii="Open Sans" w:eastAsia="Times New Roman" w:hAnsi="Open Sans" w:cs="Open Sans"/>
          <w:iCs/>
          <w:kern w:val="0"/>
          <w:sz w:val="22"/>
          <w:szCs w:val="22"/>
          <w:lang w:val="bg-BG"/>
          <w14:ligatures w14:val="none"/>
        </w:rPr>
      </w:pPr>
      <w:r w:rsidRPr="00142BED">
        <w:rPr>
          <w:rFonts w:ascii="Open Sans" w:hAnsi="Open Sans" w:cs="Open Sans"/>
          <w:sz w:val="22"/>
          <w:szCs w:val="22"/>
          <w:lang w:val="bg-BG"/>
        </w:rPr>
        <w:tab/>
      </w:r>
      <w:r w:rsidRPr="00142BED">
        <w:rPr>
          <w:rFonts w:ascii="Open Sans" w:eastAsia="Calibri" w:hAnsi="Open Sans" w:cs="Open Sans"/>
          <w:kern w:val="0"/>
          <w:sz w:val="22"/>
          <w:szCs w:val="22"/>
          <w:lang w:val="bg-BG"/>
          <w14:ligatures w14:val="none"/>
        </w:rPr>
        <w:t>В разработените документи и продукти трябва да присъства на видно място логото на проекта (което ще бъде предоставено от Възложителя), както и информация, че: „</w:t>
      </w:r>
      <w:r w:rsidRPr="00142BED">
        <w:rPr>
          <w:rFonts w:ascii="Open Sans" w:eastAsia="Calibri" w:hAnsi="Open Sans" w:cs="Open Sans"/>
          <w:i/>
          <w:kern w:val="0"/>
          <w:sz w:val="22"/>
          <w:szCs w:val="22"/>
          <w:lang w:val="bg-BG"/>
          <w14:ligatures w14:val="none"/>
        </w:rPr>
        <w:t xml:space="preserve">Дейността е осъществена в рамките на </w:t>
      </w:r>
      <w:r w:rsidRPr="00142BED">
        <w:rPr>
          <w:rFonts w:ascii="Open Sans" w:eastAsia="Times New Roman" w:hAnsi="Open Sans" w:cs="Open Sans"/>
          <w:i/>
          <w:iCs/>
          <w:kern w:val="0"/>
          <w:sz w:val="22"/>
          <w:szCs w:val="22"/>
          <w:lang w:val="bg-BG"/>
          <w14:ligatures w14:val="none"/>
        </w:rPr>
        <w:t>проект: „</w:t>
      </w:r>
      <w:r w:rsidRPr="00142BED">
        <w:rPr>
          <w:rFonts w:ascii="Open Sans" w:hAnsi="Open Sans" w:cs="Open Sans"/>
          <w:i/>
          <w:iCs/>
          <w:sz w:val="22"/>
          <w:szCs w:val="22"/>
          <w:lang w:val="bg-BG"/>
        </w:rPr>
        <w:t>Намаляване на уязвимостта, повишаване на адаптивността – базирано на дистанционни методи пилотно възстановяване на зелени площи в крайбрежни и градски територии от Черноморския регион</w:t>
      </w:r>
      <w:r w:rsidRPr="00142BED">
        <w:rPr>
          <w:rFonts w:ascii="Open Sans" w:eastAsia="Times New Roman" w:hAnsi="Open Sans" w:cs="Open Sans"/>
          <w:i/>
          <w:iCs/>
          <w:kern w:val="0"/>
          <w:sz w:val="22"/>
          <w:szCs w:val="22"/>
          <w:lang w:val="bg-BG"/>
          <w14:ligatures w14:val="none"/>
        </w:rPr>
        <w:t>“ (</w:t>
      </w:r>
      <w:r w:rsidRPr="00142BED">
        <w:rPr>
          <w:rFonts w:ascii="Open Sans" w:eastAsia="Times New Roman" w:hAnsi="Open Sans" w:cs="Open Sans"/>
          <w:i/>
          <w:iCs/>
          <w:kern w:val="0"/>
          <w:sz w:val="22"/>
          <w:szCs w:val="22"/>
          <w14:ligatures w14:val="none"/>
        </w:rPr>
        <w:t>MoreAdaptBSB</w:t>
      </w:r>
      <w:r w:rsidRPr="00142BED">
        <w:rPr>
          <w:rFonts w:ascii="Open Sans" w:eastAsia="Times New Roman" w:hAnsi="Open Sans" w:cs="Open Sans"/>
          <w:i/>
          <w:iCs/>
          <w:kern w:val="0"/>
          <w:sz w:val="22"/>
          <w:szCs w:val="22"/>
          <w:lang w:val="bg-BG"/>
          <w14:ligatures w14:val="none"/>
        </w:rPr>
        <w:t xml:space="preserve">), който се осъществява с финансовата подкрепа на </w:t>
      </w:r>
      <w:r w:rsidRPr="00142BED">
        <w:rPr>
          <w:rFonts w:ascii="Open Sans" w:hAnsi="Open Sans" w:cs="Open Sans"/>
          <w:i/>
          <w:iCs/>
          <w:sz w:val="22"/>
          <w:szCs w:val="22"/>
          <w:lang w:val="bg-BG"/>
        </w:rPr>
        <w:t>Програма за сътрудничество по Инструмента за развитие на съседство и международно сътрудничество (</w:t>
      </w:r>
      <w:r w:rsidRPr="00142BED">
        <w:rPr>
          <w:rFonts w:ascii="Open Sans" w:hAnsi="Open Sans" w:cs="Open Sans"/>
          <w:i/>
          <w:iCs/>
          <w:sz w:val="22"/>
          <w:szCs w:val="22"/>
        </w:rPr>
        <w:t>NDICI</w:t>
      </w:r>
      <w:r w:rsidRPr="00142BED">
        <w:rPr>
          <w:rFonts w:ascii="Open Sans" w:hAnsi="Open Sans" w:cs="Open Sans"/>
          <w:i/>
          <w:iCs/>
          <w:sz w:val="22"/>
          <w:szCs w:val="22"/>
          <w:lang w:val="bg-BG"/>
        </w:rPr>
        <w:t xml:space="preserve">) Интеррег </w:t>
      </w:r>
      <w:r w:rsidRPr="00142BED">
        <w:rPr>
          <w:rFonts w:ascii="Open Sans" w:hAnsi="Open Sans" w:cs="Open Sans"/>
          <w:i/>
          <w:iCs/>
          <w:sz w:val="22"/>
          <w:szCs w:val="22"/>
        </w:rPr>
        <w:t>NEXT</w:t>
      </w:r>
      <w:r w:rsidRPr="00142BED">
        <w:rPr>
          <w:rFonts w:ascii="Open Sans" w:hAnsi="Open Sans" w:cs="Open Sans"/>
          <w:i/>
          <w:iCs/>
          <w:sz w:val="22"/>
          <w:szCs w:val="22"/>
          <w:lang w:val="bg-BG"/>
        </w:rPr>
        <w:t xml:space="preserve"> „Черноморски басейн 2021-2027“</w:t>
      </w:r>
      <w:r w:rsidRPr="00142BED">
        <w:rPr>
          <w:rFonts w:ascii="Open Sans" w:eastAsia="Times New Roman" w:hAnsi="Open Sans" w:cs="Open Sans"/>
          <w:i/>
          <w:iCs/>
          <w:kern w:val="0"/>
          <w:sz w:val="22"/>
          <w:szCs w:val="22"/>
          <w:lang w:val="bg-BG"/>
          <w14:ligatures w14:val="none"/>
        </w:rPr>
        <w:t>, съфинансирана от Европейския съюз чрез Европейския фонд за регионално развитие и от националните фондове на страните, участващи в програмата. Отговорността за съдържанието на продуктите се носи от партньорите по проекта и при никакви обстоятелства не може да се счита, че отразява официалното становище на Европейския съюз и Управляващия орган</w:t>
      </w:r>
      <w:r w:rsidRPr="00142BED">
        <w:rPr>
          <w:rFonts w:ascii="Open Sans" w:eastAsia="Times New Roman" w:hAnsi="Open Sans" w:cs="Open Sans"/>
          <w:iCs/>
          <w:kern w:val="0"/>
          <w:sz w:val="22"/>
          <w:szCs w:val="22"/>
          <w:lang w:val="bg-BG"/>
          <w14:ligatures w14:val="none"/>
        </w:rPr>
        <w:t>“.</w:t>
      </w:r>
    </w:p>
    <w:p w14:paraId="0712CEC6" w14:textId="77777777" w:rsidR="002A6C04" w:rsidRPr="00142BED" w:rsidRDefault="002A6C04" w:rsidP="002A6C04">
      <w:pPr>
        <w:widowControl w:val="0"/>
        <w:suppressAutoHyphens/>
        <w:autoSpaceDN w:val="0"/>
        <w:spacing w:after="0" w:line="360" w:lineRule="auto"/>
        <w:ind w:firstLine="709"/>
        <w:jc w:val="both"/>
        <w:textAlignment w:val="baseline"/>
        <w:rPr>
          <w:rFonts w:ascii="Open Sans" w:eastAsia="SimSun" w:hAnsi="Open Sans" w:cs="Open Sans"/>
          <w:kern w:val="3"/>
          <w:sz w:val="22"/>
          <w:szCs w:val="22"/>
          <w:lang w:val="bg-BG" w:eastAsia="zh-CN" w:bidi="hi-IN"/>
          <w14:ligatures w14:val="none"/>
        </w:rPr>
      </w:pPr>
      <w:r w:rsidRPr="00142BED">
        <w:rPr>
          <w:rFonts w:ascii="Open Sans" w:eastAsia="Calibri" w:hAnsi="Open Sans" w:cs="Open Sans"/>
          <w:kern w:val="0"/>
          <w:sz w:val="22"/>
          <w:szCs w:val="22"/>
          <w:lang w:val="bg-BG"/>
          <w14:ligatures w14:val="none"/>
        </w:rPr>
        <w:t xml:space="preserve">Във всички разходооправдателни документи и документи, представляващи основание за плащане, задължително трябва да се записва, че проектът се осъществява с финансовата подкрепа на </w:t>
      </w:r>
      <w:r w:rsidRPr="00142BED">
        <w:rPr>
          <w:rFonts w:ascii="Open Sans" w:hAnsi="Open Sans" w:cs="Open Sans"/>
          <w:sz w:val="22"/>
          <w:szCs w:val="22"/>
          <w:lang w:val="bg-BG"/>
        </w:rPr>
        <w:t>Програма за сътрудничество по Инструмента за развитие на съседство и международно сътрудничество (</w:t>
      </w:r>
      <w:r w:rsidRPr="00142BED">
        <w:rPr>
          <w:rFonts w:ascii="Open Sans" w:hAnsi="Open Sans" w:cs="Open Sans"/>
          <w:sz w:val="22"/>
          <w:szCs w:val="22"/>
        </w:rPr>
        <w:t>NDICI</w:t>
      </w:r>
      <w:r w:rsidRPr="00142BED">
        <w:rPr>
          <w:rFonts w:ascii="Open Sans" w:hAnsi="Open Sans" w:cs="Open Sans"/>
          <w:sz w:val="22"/>
          <w:szCs w:val="22"/>
          <w:lang w:val="bg-BG"/>
        </w:rPr>
        <w:t xml:space="preserve">) Интеррег </w:t>
      </w:r>
      <w:r w:rsidRPr="00142BED">
        <w:rPr>
          <w:rFonts w:ascii="Open Sans" w:hAnsi="Open Sans" w:cs="Open Sans"/>
          <w:sz w:val="22"/>
          <w:szCs w:val="22"/>
        </w:rPr>
        <w:t>NEXT</w:t>
      </w:r>
      <w:r w:rsidRPr="00142BED">
        <w:rPr>
          <w:rFonts w:ascii="Open Sans" w:hAnsi="Open Sans" w:cs="Open Sans"/>
          <w:sz w:val="22"/>
          <w:szCs w:val="22"/>
          <w:lang w:val="bg-BG"/>
        </w:rPr>
        <w:t xml:space="preserve"> „Черноморски басейн 2021-2027“</w:t>
      </w:r>
      <w:r w:rsidRPr="00142BED">
        <w:rPr>
          <w:rFonts w:ascii="Open Sans" w:eastAsia="Calibri" w:hAnsi="Open Sans" w:cs="Open Sans"/>
          <w:kern w:val="0"/>
          <w:sz w:val="22"/>
          <w:szCs w:val="22"/>
          <w:lang w:val="bg-BG"/>
          <w14:ligatures w14:val="none"/>
        </w:rPr>
        <w:t>, както и името на проекта, от който се финансира обществената поръчка и номера на договора между Възложителя и Изпълнителя.</w:t>
      </w:r>
    </w:p>
    <w:p w14:paraId="7D822A57" w14:textId="77777777" w:rsidR="009E15CA" w:rsidRPr="00142BED" w:rsidRDefault="009E15CA" w:rsidP="002A6C04">
      <w:pPr>
        <w:tabs>
          <w:tab w:val="left" w:pos="1558"/>
        </w:tabs>
        <w:spacing w:after="0" w:line="360" w:lineRule="auto"/>
        <w:rPr>
          <w:rFonts w:ascii="Open Sans" w:hAnsi="Open Sans" w:cs="Open Sans"/>
          <w:sz w:val="22"/>
          <w:szCs w:val="22"/>
          <w:lang w:val="bg-BG"/>
        </w:rPr>
      </w:pPr>
    </w:p>
    <w:p w14:paraId="77F5AB07" w14:textId="77777777" w:rsidR="009E15CA" w:rsidRPr="00142BED" w:rsidRDefault="009E15CA" w:rsidP="002A6C04">
      <w:pPr>
        <w:tabs>
          <w:tab w:val="left" w:pos="1558"/>
        </w:tabs>
        <w:spacing w:after="0" w:line="360" w:lineRule="auto"/>
        <w:rPr>
          <w:rFonts w:ascii="Open Sans" w:hAnsi="Open Sans" w:cs="Open Sans"/>
          <w:sz w:val="22"/>
          <w:szCs w:val="22"/>
          <w:lang w:val="ru-RU"/>
        </w:rPr>
      </w:pPr>
    </w:p>
    <w:p w14:paraId="7DE3BE88" w14:textId="77777777" w:rsidR="002E07D8" w:rsidRPr="00142BED" w:rsidRDefault="002E07D8" w:rsidP="002E07D8">
      <w:pPr>
        <w:tabs>
          <w:tab w:val="left" w:pos="1558"/>
        </w:tabs>
        <w:spacing w:after="0" w:line="360" w:lineRule="auto"/>
        <w:rPr>
          <w:rFonts w:ascii="Open Sans" w:hAnsi="Open Sans" w:cs="Open Sans"/>
          <w:b/>
          <w:bCs/>
          <w:sz w:val="22"/>
          <w:szCs w:val="22"/>
          <w:u w:val="single"/>
          <w:lang w:val="bg-BG"/>
        </w:rPr>
      </w:pPr>
      <w:r w:rsidRPr="00142BED">
        <w:rPr>
          <w:rFonts w:ascii="Open Sans" w:hAnsi="Open Sans" w:cs="Open Sans"/>
          <w:b/>
          <w:bCs/>
          <w:sz w:val="22"/>
          <w:szCs w:val="22"/>
          <w:u w:val="single"/>
          <w:lang w:val="bg-BG"/>
        </w:rPr>
        <w:t>МИНИМАЛНИ ИЗИСКВАНИЯ КЪМ СЪДЪРЖАНИЕТО НА ТЕХНИЧЕСКОТО ПРЕДЛОЖЕНИЕ НА УЧАСТНИЦИТЕ</w:t>
      </w:r>
    </w:p>
    <w:p w14:paraId="251166DC" w14:textId="77777777" w:rsidR="002E07D8" w:rsidRPr="00142BED" w:rsidRDefault="002E07D8" w:rsidP="002E07D8">
      <w:pPr>
        <w:tabs>
          <w:tab w:val="left" w:pos="1558"/>
        </w:tabs>
        <w:spacing w:after="0" w:line="360" w:lineRule="auto"/>
        <w:rPr>
          <w:rFonts w:ascii="Open Sans" w:hAnsi="Open Sans" w:cs="Open Sans"/>
          <w:sz w:val="22"/>
          <w:szCs w:val="22"/>
          <w:lang w:val="bg-BG"/>
        </w:rPr>
      </w:pPr>
      <w:r w:rsidRPr="00142BED">
        <w:rPr>
          <w:rFonts w:ascii="Open Sans" w:hAnsi="Open Sans" w:cs="Open Sans"/>
          <w:sz w:val="22"/>
          <w:szCs w:val="22"/>
          <w:lang w:val="bg-BG"/>
        </w:rPr>
        <w:t>Минималните изисквания към съдържанието на Техническото предложение на участниците са, както следва:</w:t>
      </w:r>
    </w:p>
    <w:p w14:paraId="27A3DEB7" w14:textId="77777777" w:rsidR="002E07D8" w:rsidRPr="00142BED" w:rsidRDefault="002E07D8" w:rsidP="00142BED">
      <w:pPr>
        <w:numPr>
          <w:ilvl w:val="0"/>
          <w:numId w:val="26"/>
        </w:numPr>
        <w:tabs>
          <w:tab w:val="left" w:pos="1558"/>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 xml:space="preserve">В Техническото си предложение участниците следва да представят описание на всички задачи, които следва да бъдат изпълнени, в тяхната </w:t>
      </w:r>
      <w:r w:rsidRPr="00142BED">
        <w:rPr>
          <w:rFonts w:ascii="Open Sans" w:hAnsi="Open Sans" w:cs="Open Sans"/>
          <w:sz w:val="22"/>
          <w:szCs w:val="22"/>
          <w:lang w:val="bg-BG"/>
        </w:rPr>
        <w:lastRenderedPageBreak/>
        <w:t>последователност и взаимосвързаност, включително продуктите, които ще бъдат изготвени по всяка задача.</w:t>
      </w:r>
    </w:p>
    <w:p w14:paraId="54A3CF52" w14:textId="77777777" w:rsidR="002E07D8" w:rsidRPr="00142BED" w:rsidRDefault="002E07D8" w:rsidP="00142BED">
      <w:pPr>
        <w:numPr>
          <w:ilvl w:val="0"/>
          <w:numId w:val="26"/>
        </w:numPr>
        <w:tabs>
          <w:tab w:val="left" w:pos="1558"/>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В Техническото си предложение участниците следва да покажат разпределението по експерти на ниво отделна задача (кой какво ще изпълнява), като посочат конкретните задължения на екипа. Конкретните задължения трябва да съответстват на действията за всяка една отделна задача. За всяка отделна задача следва да бъде дефиниран необходимият човешки ресурс.</w:t>
      </w:r>
    </w:p>
    <w:p w14:paraId="2B556983" w14:textId="774FD6DE" w:rsidR="002E07D8" w:rsidRPr="00142BED" w:rsidRDefault="002E07D8" w:rsidP="00142BED">
      <w:pPr>
        <w:numPr>
          <w:ilvl w:val="0"/>
          <w:numId w:val="26"/>
        </w:numPr>
        <w:tabs>
          <w:tab w:val="left" w:pos="1558"/>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В Техническото си предложение участниците следва да предложат подход и методи за изпълнение на всяка задача, както и механизми за осигуряване на качествено изпълнение на поръчката.</w:t>
      </w:r>
    </w:p>
    <w:p w14:paraId="06BD8F93" w14:textId="77777777" w:rsidR="002E07D8" w:rsidRPr="00142BED" w:rsidRDefault="002E07D8" w:rsidP="00142BED">
      <w:pPr>
        <w:numPr>
          <w:ilvl w:val="0"/>
          <w:numId w:val="26"/>
        </w:numPr>
        <w:tabs>
          <w:tab w:val="left" w:pos="1558"/>
        </w:tabs>
        <w:spacing w:after="0" w:line="360" w:lineRule="auto"/>
        <w:jc w:val="both"/>
        <w:rPr>
          <w:rFonts w:ascii="Open Sans" w:hAnsi="Open Sans" w:cs="Open Sans"/>
          <w:sz w:val="22"/>
          <w:szCs w:val="22"/>
          <w:lang w:val="bg-BG"/>
        </w:rPr>
      </w:pPr>
      <w:r w:rsidRPr="00142BED">
        <w:rPr>
          <w:rFonts w:ascii="Open Sans" w:hAnsi="Open Sans" w:cs="Open Sans"/>
          <w:sz w:val="22"/>
          <w:szCs w:val="22"/>
          <w:lang w:val="bg-BG"/>
        </w:rPr>
        <w:t>В Техническото си предложение участниците следва да предложат индикатори за оценка на напредъка при изпълнението на задачите, включени в поръчката и механизмите за вземане на решения за прилагане на коригиращи действия.</w:t>
      </w:r>
    </w:p>
    <w:p w14:paraId="6DA232CC" w14:textId="77777777" w:rsidR="002E07D8" w:rsidRPr="00142BED" w:rsidRDefault="002E07D8" w:rsidP="00DA53F4">
      <w:pPr>
        <w:tabs>
          <w:tab w:val="left" w:pos="1558"/>
        </w:tabs>
        <w:spacing w:after="0" w:line="360" w:lineRule="auto"/>
        <w:rPr>
          <w:rFonts w:ascii="Open Sans" w:hAnsi="Open Sans" w:cs="Open Sans"/>
          <w:b/>
          <w:bCs/>
          <w:sz w:val="22"/>
          <w:szCs w:val="22"/>
          <w:u w:val="single"/>
          <w:lang w:val="ru-RU"/>
        </w:rPr>
      </w:pPr>
    </w:p>
    <w:p w14:paraId="0FE53CF4" w14:textId="77777777" w:rsidR="002E07D8" w:rsidRPr="00142BED" w:rsidRDefault="002E07D8" w:rsidP="00DA53F4">
      <w:pPr>
        <w:tabs>
          <w:tab w:val="left" w:pos="1558"/>
        </w:tabs>
        <w:spacing w:after="0" w:line="360" w:lineRule="auto"/>
        <w:rPr>
          <w:rFonts w:ascii="Open Sans" w:hAnsi="Open Sans" w:cs="Open Sans"/>
          <w:b/>
          <w:bCs/>
          <w:sz w:val="22"/>
          <w:szCs w:val="22"/>
          <w:u w:val="single"/>
          <w:lang w:val="ru-RU"/>
        </w:rPr>
      </w:pPr>
    </w:p>
    <w:p w14:paraId="083F3FC3" w14:textId="5FB11CBB" w:rsidR="00DA53F4" w:rsidRPr="00142BED" w:rsidRDefault="00DA53F4" w:rsidP="002A6C04">
      <w:pPr>
        <w:tabs>
          <w:tab w:val="left" w:pos="1558"/>
        </w:tabs>
        <w:spacing w:after="0" w:line="360" w:lineRule="auto"/>
        <w:rPr>
          <w:rFonts w:ascii="Open Sans" w:hAnsi="Open Sans" w:cs="Open Sans"/>
          <w:sz w:val="22"/>
          <w:szCs w:val="22"/>
          <w:lang w:val="bg-BG"/>
        </w:rPr>
      </w:pPr>
      <w:r w:rsidRPr="00142BED">
        <w:rPr>
          <w:rFonts w:ascii="Open Sans" w:hAnsi="Open Sans" w:cs="Open Sans"/>
          <w:b/>
          <w:bCs/>
          <w:sz w:val="22"/>
          <w:szCs w:val="22"/>
          <w:u w:val="single"/>
          <w:lang w:val="bg-BG"/>
        </w:rPr>
        <w:t>N.B.!</w:t>
      </w:r>
      <w:r w:rsidRPr="00142BED">
        <w:rPr>
          <w:rFonts w:ascii="Open Sans" w:hAnsi="Open Sans" w:cs="Open Sans"/>
          <w:sz w:val="22"/>
          <w:szCs w:val="22"/>
          <w:lang w:val="bg-BG"/>
        </w:rPr>
        <w:t xml:space="preserve"> В изпълнение на разпоредбата на чл. 48, ал. 2 от ЗОП да се счита добавено "или еквивалентно/и" при посочени в настоящата документация стандарт, квалификация, спецификация, техническа оценка или техническо одобрение по чл. 48, ал. 1, т. 2 от ЗОП. При доставка на еквивалент да се посочи еквивалента. В случай, че се предлага еквивалент, участникът трябва да докаже с подходящи средства, включително чрез доказателствата по чл. 52 от ЗОП, че предлаганите решения удовлетворяват по еквивалентен начин изискванията, определени от техническата спецификация.</w:t>
      </w:r>
    </w:p>
    <w:sectPr w:rsidR="00DA53F4" w:rsidRPr="00142BED" w:rsidSect="008702D8">
      <w:footerReference w:type="default" r:id="rId8"/>
      <w:footerReference w:type="first" r:id="rId9"/>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19D14" w14:textId="77777777" w:rsidR="005E6192" w:rsidRDefault="005E6192" w:rsidP="008702D8">
      <w:pPr>
        <w:spacing w:after="0" w:line="240" w:lineRule="auto"/>
      </w:pPr>
      <w:r>
        <w:separator/>
      </w:r>
    </w:p>
  </w:endnote>
  <w:endnote w:type="continuationSeparator" w:id="0">
    <w:p w14:paraId="1E17DE99" w14:textId="77777777" w:rsidR="005E6192" w:rsidRDefault="005E6192" w:rsidP="00870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Open Sans">
    <w:altName w:val="Open Sans"/>
    <w:panose1 w:val="020B0604020202020204"/>
    <w:charset w:val="00"/>
    <w:family w:val="swiss"/>
    <w:pitch w:val="variable"/>
    <w:sig w:usb0="E00002EF" w:usb1="4000205B" w:usb2="00000028" w:usb3="00000000" w:csb0="0000019F" w:csb1="00000000"/>
  </w:font>
  <w:font w:name="Calibri">
    <w:panose1 w:val="020F0502020204030204"/>
    <w:charset w:val="CC"/>
    <w:family w:val="swiss"/>
    <w:pitch w:val="variable"/>
    <w:sig w:usb0="E0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8372055"/>
      <w:docPartObj>
        <w:docPartGallery w:val="Page Numbers (Bottom of Page)"/>
        <w:docPartUnique/>
      </w:docPartObj>
    </w:sdtPr>
    <w:sdtContent>
      <w:p w14:paraId="55B26FD9" w14:textId="665BF52E" w:rsidR="00CD7C1E" w:rsidRDefault="00CD7C1E">
        <w:pPr>
          <w:pStyle w:val="Footer"/>
          <w:jc w:val="right"/>
        </w:pPr>
        <w:r>
          <w:fldChar w:fldCharType="begin"/>
        </w:r>
        <w:r>
          <w:instrText>PAGE   \* MERGEFORMAT</w:instrText>
        </w:r>
        <w:r>
          <w:fldChar w:fldCharType="separate"/>
        </w:r>
        <w:r>
          <w:t>2</w:t>
        </w:r>
        <w:r>
          <w:fldChar w:fldCharType="end"/>
        </w:r>
      </w:p>
    </w:sdtContent>
  </w:sdt>
  <w:p w14:paraId="0B5B5BB1" w14:textId="77777777" w:rsidR="00CD7C1E" w:rsidRDefault="00CD7C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0142908"/>
      <w:docPartObj>
        <w:docPartGallery w:val="Page Numbers (Bottom of Page)"/>
        <w:docPartUnique/>
      </w:docPartObj>
    </w:sdtPr>
    <w:sdtContent>
      <w:p w14:paraId="3B83D27D" w14:textId="2A1D440B" w:rsidR="00CD7C1E" w:rsidRDefault="00CD7C1E">
        <w:pPr>
          <w:pStyle w:val="Footer"/>
          <w:jc w:val="right"/>
        </w:pPr>
        <w:r>
          <w:fldChar w:fldCharType="begin"/>
        </w:r>
        <w:r>
          <w:instrText>PAGE   \* MERGEFORMAT</w:instrText>
        </w:r>
        <w:r>
          <w:fldChar w:fldCharType="separate"/>
        </w:r>
        <w:r>
          <w:t>2</w:t>
        </w:r>
        <w:r>
          <w:fldChar w:fldCharType="end"/>
        </w:r>
      </w:p>
    </w:sdtContent>
  </w:sdt>
  <w:p w14:paraId="010B3159" w14:textId="77777777" w:rsidR="008702D8" w:rsidRDefault="00870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D892D" w14:textId="77777777" w:rsidR="005E6192" w:rsidRDefault="005E6192" w:rsidP="008702D8">
      <w:pPr>
        <w:spacing w:after="0" w:line="240" w:lineRule="auto"/>
      </w:pPr>
      <w:r>
        <w:separator/>
      </w:r>
    </w:p>
  </w:footnote>
  <w:footnote w:type="continuationSeparator" w:id="0">
    <w:p w14:paraId="79E7DAC3" w14:textId="77777777" w:rsidR="005E6192" w:rsidRDefault="005E6192" w:rsidP="00870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4" type="#_x0000_t75" style="width:10.55pt;height:10.55pt;visibility:visible;mso-wrap-style:square" o:bullet="t">
        <v:imagedata r:id="rId1" o:title=""/>
      </v:shape>
    </w:pict>
  </w:numPicBullet>
  <w:abstractNum w:abstractNumId="0" w15:restartNumberingAfterBreak="0">
    <w:nsid w:val="010E27DA"/>
    <w:multiLevelType w:val="hybridMultilevel"/>
    <w:tmpl w:val="B40827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722877"/>
    <w:multiLevelType w:val="hybridMultilevel"/>
    <w:tmpl w:val="406A9ABA"/>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5F540A8"/>
    <w:multiLevelType w:val="hybridMultilevel"/>
    <w:tmpl w:val="C5140982"/>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E5B7B02"/>
    <w:multiLevelType w:val="hybridMultilevel"/>
    <w:tmpl w:val="71821502"/>
    <w:lvl w:ilvl="0" w:tplc="4E0202FA">
      <w:start w:val="6"/>
      <w:numFmt w:val="bullet"/>
      <w:lvlText w:val="-"/>
      <w:lvlJc w:val="left"/>
      <w:pPr>
        <w:ind w:left="1789" w:hanging="360"/>
      </w:pPr>
      <w:rPr>
        <w:rFonts w:ascii="Times New Roman" w:eastAsiaTheme="minorHAnsi" w:hAnsi="Times New Roman" w:cs="Times New Roman"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4" w15:restartNumberingAfterBreak="0">
    <w:nsid w:val="10CA52E3"/>
    <w:multiLevelType w:val="multilevel"/>
    <w:tmpl w:val="87009AEE"/>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1B71050E"/>
    <w:multiLevelType w:val="hybridMultilevel"/>
    <w:tmpl w:val="84A2D554"/>
    <w:lvl w:ilvl="0" w:tplc="E960B014">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1F8F6E0D"/>
    <w:multiLevelType w:val="hybridMultilevel"/>
    <w:tmpl w:val="4CE0A100"/>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7D0415"/>
    <w:multiLevelType w:val="hybridMultilevel"/>
    <w:tmpl w:val="6E0C2E7A"/>
    <w:lvl w:ilvl="0" w:tplc="0809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7C031B8"/>
    <w:multiLevelType w:val="hybridMultilevel"/>
    <w:tmpl w:val="30A0C10A"/>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8E51CA2"/>
    <w:multiLevelType w:val="hybridMultilevel"/>
    <w:tmpl w:val="B00E7EB2"/>
    <w:lvl w:ilvl="0" w:tplc="71F685C0">
      <w:numFmt w:val="bullet"/>
      <w:lvlText w:val="-"/>
      <w:lvlJc w:val="left"/>
      <w:pPr>
        <w:ind w:left="1789" w:hanging="360"/>
      </w:pPr>
      <w:rPr>
        <w:rFonts w:ascii="Times New Roman" w:eastAsiaTheme="minorHAnsi" w:hAnsi="Times New Roman" w:cs="Times New Roman"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10" w15:restartNumberingAfterBreak="0">
    <w:nsid w:val="36DD771E"/>
    <w:multiLevelType w:val="hybridMultilevel"/>
    <w:tmpl w:val="01DEDC6E"/>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7C41C36"/>
    <w:multiLevelType w:val="multilevel"/>
    <w:tmpl w:val="FAD8D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A81D5F"/>
    <w:multiLevelType w:val="multilevel"/>
    <w:tmpl w:val="EF16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847012"/>
    <w:multiLevelType w:val="hybridMultilevel"/>
    <w:tmpl w:val="47D65812"/>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0ED73FD"/>
    <w:multiLevelType w:val="multilevel"/>
    <w:tmpl w:val="2838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C61C10"/>
    <w:multiLevelType w:val="hybridMultilevel"/>
    <w:tmpl w:val="5C68549A"/>
    <w:lvl w:ilvl="0" w:tplc="08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5132B2"/>
    <w:multiLevelType w:val="hybridMultilevel"/>
    <w:tmpl w:val="432C857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A1B40B9"/>
    <w:multiLevelType w:val="multilevel"/>
    <w:tmpl w:val="87C05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AA036A"/>
    <w:multiLevelType w:val="hybridMultilevel"/>
    <w:tmpl w:val="4620BF90"/>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6151E17"/>
    <w:multiLevelType w:val="hybridMultilevel"/>
    <w:tmpl w:val="5E4034C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61F204A"/>
    <w:multiLevelType w:val="multilevel"/>
    <w:tmpl w:val="B7A48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5F416F"/>
    <w:multiLevelType w:val="hybridMultilevel"/>
    <w:tmpl w:val="C57C9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5624A5"/>
    <w:multiLevelType w:val="multilevel"/>
    <w:tmpl w:val="FF16A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AD446D6"/>
    <w:multiLevelType w:val="hybridMultilevel"/>
    <w:tmpl w:val="3BCC56A8"/>
    <w:lvl w:ilvl="0" w:tplc="08090007">
      <w:start w:val="1"/>
      <w:numFmt w:val="bullet"/>
      <w:lvlText w:val=""/>
      <w:lvlPicBulletId w:val="0"/>
      <w:lvlJc w:val="left"/>
      <w:pPr>
        <w:ind w:left="2509" w:hanging="360"/>
      </w:pPr>
      <w:rPr>
        <w:rFonts w:ascii="Symbol" w:hAnsi="Symbol" w:hint="default"/>
      </w:rPr>
    </w:lvl>
    <w:lvl w:ilvl="1" w:tplc="08090003" w:tentative="1">
      <w:start w:val="1"/>
      <w:numFmt w:val="bullet"/>
      <w:lvlText w:val="o"/>
      <w:lvlJc w:val="left"/>
      <w:pPr>
        <w:ind w:left="3229" w:hanging="360"/>
      </w:pPr>
      <w:rPr>
        <w:rFonts w:ascii="Courier New" w:hAnsi="Courier New" w:cs="Courier New" w:hint="default"/>
      </w:rPr>
    </w:lvl>
    <w:lvl w:ilvl="2" w:tplc="08090005" w:tentative="1">
      <w:start w:val="1"/>
      <w:numFmt w:val="bullet"/>
      <w:lvlText w:val=""/>
      <w:lvlJc w:val="left"/>
      <w:pPr>
        <w:ind w:left="3949" w:hanging="360"/>
      </w:pPr>
      <w:rPr>
        <w:rFonts w:ascii="Wingdings" w:hAnsi="Wingdings" w:hint="default"/>
      </w:rPr>
    </w:lvl>
    <w:lvl w:ilvl="3" w:tplc="08090001" w:tentative="1">
      <w:start w:val="1"/>
      <w:numFmt w:val="bullet"/>
      <w:lvlText w:val=""/>
      <w:lvlJc w:val="left"/>
      <w:pPr>
        <w:ind w:left="4669" w:hanging="360"/>
      </w:pPr>
      <w:rPr>
        <w:rFonts w:ascii="Symbol" w:hAnsi="Symbol" w:hint="default"/>
      </w:rPr>
    </w:lvl>
    <w:lvl w:ilvl="4" w:tplc="08090003" w:tentative="1">
      <w:start w:val="1"/>
      <w:numFmt w:val="bullet"/>
      <w:lvlText w:val="o"/>
      <w:lvlJc w:val="left"/>
      <w:pPr>
        <w:ind w:left="5389" w:hanging="360"/>
      </w:pPr>
      <w:rPr>
        <w:rFonts w:ascii="Courier New" w:hAnsi="Courier New" w:cs="Courier New" w:hint="default"/>
      </w:rPr>
    </w:lvl>
    <w:lvl w:ilvl="5" w:tplc="08090005" w:tentative="1">
      <w:start w:val="1"/>
      <w:numFmt w:val="bullet"/>
      <w:lvlText w:val=""/>
      <w:lvlJc w:val="left"/>
      <w:pPr>
        <w:ind w:left="6109" w:hanging="360"/>
      </w:pPr>
      <w:rPr>
        <w:rFonts w:ascii="Wingdings" w:hAnsi="Wingdings" w:hint="default"/>
      </w:rPr>
    </w:lvl>
    <w:lvl w:ilvl="6" w:tplc="08090001" w:tentative="1">
      <w:start w:val="1"/>
      <w:numFmt w:val="bullet"/>
      <w:lvlText w:val=""/>
      <w:lvlJc w:val="left"/>
      <w:pPr>
        <w:ind w:left="6829" w:hanging="360"/>
      </w:pPr>
      <w:rPr>
        <w:rFonts w:ascii="Symbol" w:hAnsi="Symbol" w:hint="default"/>
      </w:rPr>
    </w:lvl>
    <w:lvl w:ilvl="7" w:tplc="08090003" w:tentative="1">
      <w:start w:val="1"/>
      <w:numFmt w:val="bullet"/>
      <w:lvlText w:val="o"/>
      <w:lvlJc w:val="left"/>
      <w:pPr>
        <w:ind w:left="7549" w:hanging="360"/>
      </w:pPr>
      <w:rPr>
        <w:rFonts w:ascii="Courier New" w:hAnsi="Courier New" w:cs="Courier New" w:hint="default"/>
      </w:rPr>
    </w:lvl>
    <w:lvl w:ilvl="8" w:tplc="08090005" w:tentative="1">
      <w:start w:val="1"/>
      <w:numFmt w:val="bullet"/>
      <w:lvlText w:val=""/>
      <w:lvlJc w:val="left"/>
      <w:pPr>
        <w:ind w:left="8269" w:hanging="360"/>
      </w:pPr>
      <w:rPr>
        <w:rFonts w:ascii="Wingdings" w:hAnsi="Wingdings" w:hint="default"/>
      </w:rPr>
    </w:lvl>
  </w:abstractNum>
  <w:abstractNum w:abstractNumId="24" w15:restartNumberingAfterBreak="0">
    <w:nsid w:val="677B37CC"/>
    <w:multiLevelType w:val="hybridMultilevel"/>
    <w:tmpl w:val="9C700BAC"/>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A42330C"/>
    <w:multiLevelType w:val="multilevel"/>
    <w:tmpl w:val="FD7AF382"/>
    <w:lvl w:ilvl="0">
      <w:start w:val="1"/>
      <w:numFmt w:val="bullet"/>
      <w:lvlText w:val="o"/>
      <w:lvlJc w:val="left"/>
      <w:pPr>
        <w:ind w:left="720" w:hanging="360"/>
      </w:pPr>
      <w:rPr>
        <w:rFonts w:ascii="Courier New" w:hAnsi="Courier New" w:cs="Courier New" w:hint="default"/>
      </w:rPr>
    </w:lvl>
    <w:lvl w:ilvl="1">
      <w:start w:val="1"/>
      <w:numFmt w:val="decimal"/>
      <w:isLgl/>
      <w:lvlText w:val="%1.%2."/>
      <w:lvlJc w:val="left"/>
      <w:pPr>
        <w:ind w:left="720" w:hanging="360"/>
      </w:pPr>
      <w:rPr>
        <w:rFonts w:hint="default"/>
        <w:i/>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B2F496D"/>
    <w:multiLevelType w:val="hybridMultilevel"/>
    <w:tmpl w:val="5D9CA3E8"/>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E5C19A6"/>
    <w:multiLevelType w:val="hybridMultilevel"/>
    <w:tmpl w:val="4978FD92"/>
    <w:lvl w:ilvl="0" w:tplc="08090003">
      <w:start w:val="1"/>
      <w:numFmt w:val="bullet"/>
      <w:lvlText w:val="o"/>
      <w:lvlJc w:val="left"/>
      <w:pPr>
        <w:ind w:left="1789" w:hanging="360"/>
      </w:pPr>
      <w:rPr>
        <w:rFonts w:ascii="Courier New" w:hAnsi="Courier New" w:cs="Courier New"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28" w15:restartNumberingAfterBreak="0">
    <w:nsid w:val="6EF464E4"/>
    <w:multiLevelType w:val="hybridMultilevel"/>
    <w:tmpl w:val="2D4C40E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354B07"/>
    <w:multiLevelType w:val="multilevel"/>
    <w:tmpl w:val="14567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342282"/>
    <w:multiLevelType w:val="hybridMultilevel"/>
    <w:tmpl w:val="55CCD280"/>
    <w:lvl w:ilvl="0" w:tplc="08090007">
      <w:start w:val="1"/>
      <w:numFmt w:val="bullet"/>
      <w:lvlText w:val=""/>
      <w:lvlPicBulletId w:val="0"/>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DF1635C"/>
    <w:multiLevelType w:val="hybridMultilevel"/>
    <w:tmpl w:val="2EFE4706"/>
    <w:lvl w:ilvl="0" w:tplc="D0A4AC0E">
      <w:start w:val="3"/>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16cid:durableId="2114669955">
    <w:abstractNumId w:val="21"/>
  </w:num>
  <w:num w:numId="2" w16cid:durableId="563611196">
    <w:abstractNumId w:val="25"/>
  </w:num>
  <w:num w:numId="3" w16cid:durableId="2121102148">
    <w:abstractNumId w:val="13"/>
  </w:num>
  <w:num w:numId="4" w16cid:durableId="2098743650">
    <w:abstractNumId w:val="30"/>
  </w:num>
  <w:num w:numId="5" w16cid:durableId="696584237">
    <w:abstractNumId w:val="24"/>
  </w:num>
  <w:num w:numId="6" w16cid:durableId="453985879">
    <w:abstractNumId w:val="19"/>
  </w:num>
  <w:num w:numId="7" w16cid:durableId="1441535542">
    <w:abstractNumId w:val="15"/>
  </w:num>
  <w:num w:numId="8" w16cid:durableId="1884515689">
    <w:abstractNumId w:val="7"/>
  </w:num>
  <w:num w:numId="9" w16cid:durableId="1129208328">
    <w:abstractNumId w:val="6"/>
  </w:num>
  <w:num w:numId="10" w16cid:durableId="1636570611">
    <w:abstractNumId w:val="18"/>
  </w:num>
  <w:num w:numId="11" w16cid:durableId="1730615487">
    <w:abstractNumId w:val="2"/>
  </w:num>
  <w:num w:numId="12" w16cid:durableId="1131290840">
    <w:abstractNumId w:val="9"/>
  </w:num>
  <w:num w:numId="13" w16cid:durableId="1022122065">
    <w:abstractNumId w:val="23"/>
  </w:num>
  <w:num w:numId="14" w16cid:durableId="1728528786">
    <w:abstractNumId w:val="10"/>
  </w:num>
  <w:num w:numId="15" w16cid:durableId="826941437">
    <w:abstractNumId w:val="26"/>
  </w:num>
  <w:num w:numId="16" w16cid:durableId="700588377">
    <w:abstractNumId w:val="1"/>
  </w:num>
  <w:num w:numId="17" w16cid:durableId="246382167">
    <w:abstractNumId w:val="3"/>
  </w:num>
  <w:num w:numId="18" w16cid:durableId="1970546530">
    <w:abstractNumId w:val="8"/>
  </w:num>
  <w:num w:numId="19" w16cid:durableId="685060211">
    <w:abstractNumId w:val="0"/>
  </w:num>
  <w:num w:numId="20" w16cid:durableId="582103461">
    <w:abstractNumId w:val="16"/>
  </w:num>
  <w:num w:numId="21" w16cid:durableId="1358655758">
    <w:abstractNumId w:val="31"/>
  </w:num>
  <w:num w:numId="22" w16cid:durableId="189072893">
    <w:abstractNumId w:val="5"/>
  </w:num>
  <w:num w:numId="23" w16cid:durableId="66079475">
    <w:abstractNumId w:val="28"/>
  </w:num>
  <w:num w:numId="24" w16cid:durableId="925767682">
    <w:abstractNumId w:val="4"/>
  </w:num>
  <w:num w:numId="25" w16cid:durableId="108016832">
    <w:abstractNumId w:val="27"/>
  </w:num>
  <w:num w:numId="26" w16cid:durableId="1430278634">
    <w:abstractNumId w:val="22"/>
  </w:num>
  <w:num w:numId="27" w16cid:durableId="247690216">
    <w:abstractNumId w:val="29"/>
  </w:num>
  <w:num w:numId="28" w16cid:durableId="1414619554">
    <w:abstractNumId w:val="20"/>
  </w:num>
  <w:num w:numId="29" w16cid:durableId="205146108">
    <w:abstractNumId w:val="14"/>
  </w:num>
  <w:num w:numId="30" w16cid:durableId="2132898364">
    <w:abstractNumId w:val="17"/>
  </w:num>
  <w:num w:numId="31" w16cid:durableId="951863819">
    <w:abstractNumId w:val="11"/>
  </w:num>
  <w:num w:numId="32" w16cid:durableId="263694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DD"/>
    <w:rsid w:val="00024B6B"/>
    <w:rsid w:val="00034143"/>
    <w:rsid w:val="00040986"/>
    <w:rsid w:val="0004244F"/>
    <w:rsid w:val="00056DF5"/>
    <w:rsid w:val="00064D4C"/>
    <w:rsid w:val="00077121"/>
    <w:rsid w:val="00077738"/>
    <w:rsid w:val="00095630"/>
    <w:rsid w:val="000A3236"/>
    <w:rsid w:val="000A3724"/>
    <w:rsid w:val="000B2F9B"/>
    <w:rsid w:val="000D6F43"/>
    <w:rsid w:val="00125BAF"/>
    <w:rsid w:val="0012651A"/>
    <w:rsid w:val="00135D22"/>
    <w:rsid w:val="00141455"/>
    <w:rsid w:val="00142BED"/>
    <w:rsid w:val="00151CFB"/>
    <w:rsid w:val="00177CB0"/>
    <w:rsid w:val="001B7500"/>
    <w:rsid w:val="001C13C4"/>
    <w:rsid w:val="001C4DD9"/>
    <w:rsid w:val="001C5913"/>
    <w:rsid w:val="001D5872"/>
    <w:rsid w:val="001D7482"/>
    <w:rsid w:val="001F1C8E"/>
    <w:rsid w:val="00227295"/>
    <w:rsid w:val="00227EAD"/>
    <w:rsid w:val="00236065"/>
    <w:rsid w:val="00260933"/>
    <w:rsid w:val="002635FD"/>
    <w:rsid w:val="00270B93"/>
    <w:rsid w:val="00297C42"/>
    <w:rsid w:val="002A2082"/>
    <w:rsid w:val="002A6C04"/>
    <w:rsid w:val="002B6149"/>
    <w:rsid w:val="002C2ED5"/>
    <w:rsid w:val="002D5D9C"/>
    <w:rsid w:val="002D7B93"/>
    <w:rsid w:val="002E07D8"/>
    <w:rsid w:val="002E6DE7"/>
    <w:rsid w:val="003100B6"/>
    <w:rsid w:val="003134BB"/>
    <w:rsid w:val="0031728F"/>
    <w:rsid w:val="00324153"/>
    <w:rsid w:val="00325EE1"/>
    <w:rsid w:val="00330091"/>
    <w:rsid w:val="00363AA3"/>
    <w:rsid w:val="00366BAD"/>
    <w:rsid w:val="00366E97"/>
    <w:rsid w:val="00375F34"/>
    <w:rsid w:val="00385DC4"/>
    <w:rsid w:val="003A3B69"/>
    <w:rsid w:val="003B3BC4"/>
    <w:rsid w:val="003B7986"/>
    <w:rsid w:val="003C01CC"/>
    <w:rsid w:val="003C08F4"/>
    <w:rsid w:val="003E026F"/>
    <w:rsid w:val="003E5B1B"/>
    <w:rsid w:val="003F3C92"/>
    <w:rsid w:val="00414773"/>
    <w:rsid w:val="00420736"/>
    <w:rsid w:val="00425780"/>
    <w:rsid w:val="00426649"/>
    <w:rsid w:val="00431C10"/>
    <w:rsid w:val="00437006"/>
    <w:rsid w:val="0044650A"/>
    <w:rsid w:val="00446E64"/>
    <w:rsid w:val="00457DFA"/>
    <w:rsid w:val="00464D84"/>
    <w:rsid w:val="004848B6"/>
    <w:rsid w:val="004A2470"/>
    <w:rsid w:val="004A4B23"/>
    <w:rsid w:val="004B3C78"/>
    <w:rsid w:val="004B5DD3"/>
    <w:rsid w:val="004B7B14"/>
    <w:rsid w:val="004E6460"/>
    <w:rsid w:val="005027F3"/>
    <w:rsid w:val="0050347B"/>
    <w:rsid w:val="0050357D"/>
    <w:rsid w:val="00512721"/>
    <w:rsid w:val="0052690C"/>
    <w:rsid w:val="0053672C"/>
    <w:rsid w:val="00561301"/>
    <w:rsid w:val="00564B06"/>
    <w:rsid w:val="00575CC8"/>
    <w:rsid w:val="0057770B"/>
    <w:rsid w:val="00583312"/>
    <w:rsid w:val="005872F7"/>
    <w:rsid w:val="005951A1"/>
    <w:rsid w:val="005961FE"/>
    <w:rsid w:val="00596A1B"/>
    <w:rsid w:val="005C7329"/>
    <w:rsid w:val="005E6192"/>
    <w:rsid w:val="005F4902"/>
    <w:rsid w:val="005F64E7"/>
    <w:rsid w:val="006130E2"/>
    <w:rsid w:val="00616A38"/>
    <w:rsid w:val="00631244"/>
    <w:rsid w:val="006365C9"/>
    <w:rsid w:val="00647149"/>
    <w:rsid w:val="006524FD"/>
    <w:rsid w:val="00663413"/>
    <w:rsid w:val="0068355D"/>
    <w:rsid w:val="0069612F"/>
    <w:rsid w:val="006C3F0A"/>
    <w:rsid w:val="006C6C1C"/>
    <w:rsid w:val="006D097B"/>
    <w:rsid w:val="006D4EE1"/>
    <w:rsid w:val="006F2A66"/>
    <w:rsid w:val="006F3563"/>
    <w:rsid w:val="0071575B"/>
    <w:rsid w:val="007230F9"/>
    <w:rsid w:val="007251DC"/>
    <w:rsid w:val="007366BB"/>
    <w:rsid w:val="00740DCC"/>
    <w:rsid w:val="00744BDD"/>
    <w:rsid w:val="007473CB"/>
    <w:rsid w:val="00757DA2"/>
    <w:rsid w:val="0076224B"/>
    <w:rsid w:val="00771035"/>
    <w:rsid w:val="007732DD"/>
    <w:rsid w:val="00773444"/>
    <w:rsid w:val="00786446"/>
    <w:rsid w:val="007874A3"/>
    <w:rsid w:val="007A2205"/>
    <w:rsid w:val="007B44EA"/>
    <w:rsid w:val="007C4C32"/>
    <w:rsid w:val="007C57D7"/>
    <w:rsid w:val="007D1190"/>
    <w:rsid w:val="007E2254"/>
    <w:rsid w:val="007F0EDE"/>
    <w:rsid w:val="00812B13"/>
    <w:rsid w:val="00824B94"/>
    <w:rsid w:val="00842686"/>
    <w:rsid w:val="0084466B"/>
    <w:rsid w:val="008511A5"/>
    <w:rsid w:val="00852705"/>
    <w:rsid w:val="0086328A"/>
    <w:rsid w:val="008702D8"/>
    <w:rsid w:val="008729B1"/>
    <w:rsid w:val="008757A0"/>
    <w:rsid w:val="008809B7"/>
    <w:rsid w:val="008913B4"/>
    <w:rsid w:val="008937CE"/>
    <w:rsid w:val="00897360"/>
    <w:rsid w:val="008A0B13"/>
    <w:rsid w:val="008B74DE"/>
    <w:rsid w:val="008C4E46"/>
    <w:rsid w:val="008D7504"/>
    <w:rsid w:val="00904928"/>
    <w:rsid w:val="00906DD5"/>
    <w:rsid w:val="009305DA"/>
    <w:rsid w:val="00932946"/>
    <w:rsid w:val="00933653"/>
    <w:rsid w:val="0093772F"/>
    <w:rsid w:val="00947855"/>
    <w:rsid w:val="00950432"/>
    <w:rsid w:val="00955349"/>
    <w:rsid w:val="009669D6"/>
    <w:rsid w:val="00972180"/>
    <w:rsid w:val="00983F80"/>
    <w:rsid w:val="009937EB"/>
    <w:rsid w:val="00996B20"/>
    <w:rsid w:val="009A3D54"/>
    <w:rsid w:val="009C4425"/>
    <w:rsid w:val="009C4A6C"/>
    <w:rsid w:val="009D14C4"/>
    <w:rsid w:val="009E15CA"/>
    <w:rsid w:val="009E5866"/>
    <w:rsid w:val="009F1583"/>
    <w:rsid w:val="009F47C0"/>
    <w:rsid w:val="009F56DD"/>
    <w:rsid w:val="00A014AB"/>
    <w:rsid w:val="00A05E91"/>
    <w:rsid w:val="00A11ED8"/>
    <w:rsid w:val="00A2213A"/>
    <w:rsid w:val="00A32773"/>
    <w:rsid w:val="00A373E0"/>
    <w:rsid w:val="00A43686"/>
    <w:rsid w:val="00A818C7"/>
    <w:rsid w:val="00A86B9B"/>
    <w:rsid w:val="00A91BDB"/>
    <w:rsid w:val="00AB3822"/>
    <w:rsid w:val="00AC1CCB"/>
    <w:rsid w:val="00AC3F26"/>
    <w:rsid w:val="00AC400E"/>
    <w:rsid w:val="00AD3F27"/>
    <w:rsid w:val="00AE23F8"/>
    <w:rsid w:val="00AE547F"/>
    <w:rsid w:val="00AF46E9"/>
    <w:rsid w:val="00AF7F5B"/>
    <w:rsid w:val="00B12EDE"/>
    <w:rsid w:val="00B141DD"/>
    <w:rsid w:val="00B21E90"/>
    <w:rsid w:val="00B363B2"/>
    <w:rsid w:val="00B428AD"/>
    <w:rsid w:val="00B47AD4"/>
    <w:rsid w:val="00B51F6A"/>
    <w:rsid w:val="00B708B8"/>
    <w:rsid w:val="00B70C07"/>
    <w:rsid w:val="00B72CB4"/>
    <w:rsid w:val="00B86666"/>
    <w:rsid w:val="00B900B4"/>
    <w:rsid w:val="00B9289B"/>
    <w:rsid w:val="00B93D3A"/>
    <w:rsid w:val="00B96343"/>
    <w:rsid w:val="00BA6984"/>
    <w:rsid w:val="00BB2BE1"/>
    <w:rsid w:val="00BC12DB"/>
    <w:rsid w:val="00BC4114"/>
    <w:rsid w:val="00BD312B"/>
    <w:rsid w:val="00BD3FE9"/>
    <w:rsid w:val="00BE5694"/>
    <w:rsid w:val="00BE5C69"/>
    <w:rsid w:val="00BE74BF"/>
    <w:rsid w:val="00C04186"/>
    <w:rsid w:val="00C21599"/>
    <w:rsid w:val="00C5337F"/>
    <w:rsid w:val="00C5380F"/>
    <w:rsid w:val="00C5752C"/>
    <w:rsid w:val="00C606D2"/>
    <w:rsid w:val="00C61653"/>
    <w:rsid w:val="00C6325C"/>
    <w:rsid w:val="00C76AC4"/>
    <w:rsid w:val="00C8530F"/>
    <w:rsid w:val="00CA32DC"/>
    <w:rsid w:val="00CA6A1F"/>
    <w:rsid w:val="00CC371A"/>
    <w:rsid w:val="00CC462F"/>
    <w:rsid w:val="00CC728A"/>
    <w:rsid w:val="00CD7C1E"/>
    <w:rsid w:val="00CD7EB7"/>
    <w:rsid w:val="00D046D4"/>
    <w:rsid w:val="00D10CB6"/>
    <w:rsid w:val="00D11C92"/>
    <w:rsid w:val="00D44794"/>
    <w:rsid w:val="00D63F14"/>
    <w:rsid w:val="00D64022"/>
    <w:rsid w:val="00D6699B"/>
    <w:rsid w:val="00D70330"/>
    <w:rsid w:val="00D70AD5"/>
    <w:rsid w:val="00D73E76"/>
    <w:rsid w:val="00D81EC4"/>
    <w:rsid w:val="00D9460A"/>
    <w:rsid w:val="00D951D1"/>
    <w:rsid w:val="00DA2625"/>
    <w:rsid w:val="00DA53F4"/>
    <w:rsid w:val="00DB653E"/>
    <w:rsid w:val="00DD24DE"/>
    <w:rsid w:val="00DE3C4B"/>
    <w:rsid w:val="00DF0B05"/>
    <w:rsid w:val="00DF7CF7"/>
    <w:rsid w:val="00E04695"/>
    <w:rsid w:val="00E0499A"/>
    <w:rsid w:val="00E06215"/>
    <w:rsid w:val="00E37B5D"/>
    <w:rsid w:val="00E42B1E"/>
    <w:rsid w:val="00E62D7A"/>
    <w:rsid w:val="00E652EE"/>
    <w:rsid w:val="00E67467"/>
    <w:rsid w:val="00E818B2"/>
    <w:rsid w:val="00E9190D"/>
    <w:rsid w:val="00E91C82"/>
    <w:rsid w:val="00EB0496"/>
    <w:rsid w:val="00EB05BD"/>
    <w:rsid w:val="00ED7B0C"/>
    <w:rsid w:val="00F1416C"/>
    <w:rsid w:val="00F2189E"/>
    <w:rsid w:val="00F226FC"/>
    <w:rsid w:val="00F24BD7"/>
    <w:rsid w:val="00F25A1A"/>
    <w:rsid w:val="00F414C4"/>
    <w:rsid w:val="00F51496"/>
    <w:rsid w:val="00F62A6C"/>
    <w:rsid w:val="00F741FF"/>
    <w:rsid w:val="00F816F1"/>
    <w:rsid w:val="00F8212A"/>
    <w:rsid w:val="00F97828"/>
    <w:rsid w:val="00FA18AA"/>
    <w:rsid w:val="00FA52B3"/>
    <w:rsid w:val="00FB4B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12BE1"/>
  <w15:chartTrackingRefBased/>
  <w15:docId w15:val="{1CDB2BF3-25FD-47F9-877D-E3B58787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4B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4B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4B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4B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4B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4B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4B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4B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4B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4B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4B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4B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4B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4B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4B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4B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4B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4BDD"/>
    <w:rPr>
      <w:rFonts w:eastAsiaTheme="majorEastAsia" w:cstheme="majorBidi"/>
      <w:color w:val="272727" w:themeColor="text1" w:themeTint="D8"/>
    </w:rPr>
  </w:style>
  <w:style w:type="paragraph" w:styleId="Title">
    <w:name w:val="Title"/>
    <w:basedOn w:val="Normal"/>
    <w:next w:val="Normal"/>
    <w:link w:val="TitleChar"/>
    <w:uiPriority w:val="10"/>
    <w:qFormat/>
    <w:rsid w:val="00744B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4B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4B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4B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4BDD"/>
    <w:pPr>
      <w:spacing w:before="160"/>
      <w:jc w:val="center"/>
    </w:pPr>
    <w:rPr>
      <w:i/>
      <w:iCs/>
      <w:color w:val="404040" w:themeColor="text1" w:themeTint="BF"/>
    </w:rPr>
  </w:style>
  <w:style w:type="character" w:customStyle="1" w:styleId="QuoteChar">
    <w:name w:val="Quote Char"/>
    <w:basedOn w:val="DefaultParagraphFont"/>
    <w:link w:val="Quote"/>
    <w:uiPriority w:val="29"/>
    <w:rsid w:val="00744BDD"/>
    <w:rPr>
      <w:i/>
      <w:iCs/>
      <w:color w:val="404040" w:themeColor="text1" w:themeTint="BF"/>
    </w:rPr>
  </w:style>
  <w:style w:type="paragraph" w:styleId="ListParagraph">
    <w:name w:val="List Paragraph"/>
    <w:basedOn w:val="Normal"/>
    <w:uiPriority w:val="34"/>
    <w:qFormat/>
    <w:rsid w:val="00744BDD"/>
    <w:pPr>
      <w:ind w:left="720"/>
      <w:contextualSpacing/>
    </w:pPr>
  </w:style>
  <w:style w:type="character" w:styleId="IntenseEmphasis">
    <w:name w:val="Intense Emphasis"/>
    <w:basedOn w:val="DefaultParagraphFont"/>
    <w:uiPriority w:val="21"/>
    <w:qFormat/>
    <w:rsid w:val="00744BDD"/>
    <w:rPr>
      <w:i/>
      <w:iCs/>
      <w:color w:val="0F4761" w:themeColor="accent1" w:themeShade="BF"/>
    </w:rPr>
  </w:style>
  <w:style w:type="paragraph" w:styleId="IntenseQuote">
    <w:name w:val="Intense Quote"/>
    <w:basedOn w:val="Normal"/>
    <w:next w:val="Normal"/>
    <w:link w:val="IntenseQuoteChar"/>
    <w:uiPriority w:val="30"/>
    <w:qFormat/>
    <w:rsid w:val="00744B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4BDD"/>
    <w:rPr>
      <w:i/>
      <w:iCs/>
      <w:color w:val="0F4761" w:themeColor="accent1" w:themeShade="BF"/>
    </w:rPr>
  </w:style>
  <w:style w:type="character" w:styleId="IntenseReference">
    <w:name w:val="Intense Reference"/>
    <w:basedOn w:val="DefaultParagraphFont"/>
    <w:uiPriority w:val="32"/>
    <w:qFormat/>
    <w:rsid w:val="00744BDD"/>
    <w:rPr>
      <w:b/>
      <w:bCs/>
      <w:smallCaps/>
      <w:color w:val="0F4761" w:themeColor="accent1" w:themeShade="BF"/>
      <w:spacing w:val="5"/>
    </w:rPr>
  </w:style>
  <w:style w:type="paragraph" w:styleId="Header">
    <w:name w:val="header"/>
    <w:basedOn w:val="Normal"/>
    <w:link w:val="HeaderChar"/>
    <w:uiPriority w:val="99"/>
    <w:unhideWhenUsed/>
    <w:rsid w:val="00870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02D8"/>
  </w:style>
  <w:style w:type="paragraph" w:styleId="Footer">
    <w:name w:val="footer"/>
    <w:basedOn w:val="Normal"/>
    <w:link w:val="FooterChar"/>
    <w:uiPriority w:val="99"/>
    <w:unhideWhenUsed/>
    <w:rsid w:val="00870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02D8"/>
  </w:style>
  <w:style w:type="paragraph" w:styleId="TOCHeading">
    <w:name w:val="TOC Heading"/>
    <w:basedOn w:val="Heading1"/>
    <w:next w:val="Normal"/>
    <w:uiPriority w:val="39"/>
    <w:unhideWhenUsed/>
    <w:qFormat/>
    <w:rsid w:val="00325EE1"/>
    <w:pPr>
      <w:spacing w:before="240" w:after="0" w:line="259" w:lineRule="auto"/>
      <w:outlineLvl w:val="9"/>
    </w:pPr>
    <w:rPr>
      <w:kern w:val="0"/>
      <w:sz w:val="32"/>
      <w:szCs w:val="32"/>
      <w:lang w:eastAsia="en-GB"/>
      <w14:ligatures w14:val="none"/>
    </w:rPr>
  </w:style>
  <w:style w:type="paragraph" w:styleId="TOC1">
    <w:name w:val="toc 1"/>
    <w:basedOn w:val="Normal"/>
    <w:next w:val="Normal"/>
    <w:autoRedefine/>
    <w:uiPriority w:val="39"/>
    <w:unhideWhenUsed/>
    <w:rsid w:val="00583312"/>
    <w:pPr>
      <w:spacing w:after="100"/>
    </w:pPr>
  </w:style>
  <w:style w:type="character" w:styleId="Hyperlink">
    <w:name w:val="Hyperlink"/>
    <w:basedOn w:val="DefaultParagraphFont"/>
    <w:uiPriority w:val="99"/>
    <w:unhideWhenUsed/>
    <w:rsid w:val="00583312"/>
    <w:rPr>
      <w:color w:val="467886" w:themeColor="hyperlink"/>
      <w:u w:val="single"/>
    </w:rPr>
  </w:style>
  <w:style w:type="character" w:styleId="CommentReference">
    <w:name w:val="annotation reference"/>
    <w:basedOn w:val="DefaultParagraphFont"/>
    <w:uiPriority w:val="99"/>
    <w:semiHidden/>
    <w:unhideWhenUsed/>
    <w:rsid w:val="007366BB"/>
    <w:rPr>
      <w:sz w:val="16"/>
      <w:szCs w:val="16"/>
    </w:rPr>
  </w:style>
  <w:style w:type="paragraph" w:styleId="CommentText">
    <w:name w:val="annotation text"/>
    <w:basedOn w:val="Normal"/>
    <w:link w:val="CommentTextChar"/>
    <w:uiPriority w:val="99"/>
    <w:unhideWhenUsed/>
    <w:rsid w:val="007366BB"/>
    <w:pPr>
      <w:spacing w:line="240" w:lineRule="auto"/>
    </w:pPr>
    <w:rPr>
      <w:sz w:val="20"/>
      <w:szCs w:val="20"/>
    </w:rPr>
  </w:style>
  <w:style w:type="character" w:customStyle="1" w:styleId="CommentTextChar">
    <w:name w:val="Comment Text Char"/>
    <w:basedOn w:val="DefaultParagraphFont"/>
    <w:link w:val="CommentText"/>
    <w:uiPriority w:val="99"/>
    <w:rsid w:val="007366BB"/>
    <w:rPr>
      <w:sz w:val="20"/>
      <w:szCs w:val="20"/>
    </w:rPr>
  </w:style>
  <w:style w:type="paragraph" w:styleId="CommentSubject">
    <w:name w:val="annotation subject"/>
    <w:basedOn w:val="CommentText"/>
    <w:next w:val="CommentText"/>
    <w:link w:val="CommentSubjectChar"/>
    <w:uiPriority w:val="99"/>
    <w:semiHidden/>
    <w:unhideWhenUsed/>
    <w:rsid w:val="007366BB"/>
    <w:rPr>
      <w:b/>
      <w:bCs/>
    </w:rPr>
  </w:style>
  <w:style w:type="character" w:customStyle="1" w:styleId="CommentSubjectChar">
    <w:name w:val="Comment Subject Char"/>
    <w:basedOn w:val="CommentTextChar"/>
    <w:link w:val="CommentSubject"/>
    <w:uiPriority w:val="99"/>
    <w:semiHidden/>
    <w:rsid w:val="007366BB"/>
    <w:rPr>
      <w:b/>
      <w:bCs/>
      <w:sz w:val="20"/>
      <w:szCs w:val="20"/>
    </w:rPr>
  </w:style>
  <w:style w:type="paragraph" w:styleId="Revision">
    <w:name w:val="Revision"/>
    <w:hidden/>
    <w:uiPriority w:val="99"/>
    <w:semiHidden/>
    <w:rsid w:val="00F6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00703">
      <w:bodyDiv w:val="1"/>
      <w:marLeft w:val="0"/>
      <w:marRight w:val="0"/>
      <w:marTop w:val="0"/>
      <w:marBottom w:val="0"/>
      <w:divBdr>
        <w:top w:val="none" w:sz="0" w:space="0" w:color="auto"/>
        <w:left w:val="none" w:sz="0" w:space="0" w:color="auto"/>
        <w:bottom w:val="none" w:sz="0" w:space="0" w:color="auto"/>
        <w:right w:val="none" w:sz="0" w:space="0" w:color="auto"/>
      </w:divBdr>
    </w:div>
    <w:div w:id="237177578">
      <w:bodyDiv w:val="1"/>
      <w:marLeft w:val="0"/>
      <w:marRight w:val="0"/>
      <w:marTop w:val="0"/>
      <w:marBottom w:val="0"/>
      <w:divBdr>
        <w:top w:val="none" w:sz="0" w:space="0" w:color="auto"/>
        <w:left w:val="none" w:sz="0" w:space="0" w:color="auto"/>
        <w:bottom w:val="none" w:sz="0" w:space="0" w:color="auto"/>
        <w:right w:val="none" w:sz="0" w:space="0" w:color="auto"/>
      </w:divBdr>
    </w:div>
    <w:div w:id="386494705">
      <w:bodyDiv w:val="1"/>
      <w:marLeft w:val="0"/>
      <w:marRight w:val="0"/>
      <w:marTop w:val="0"/>
      <w:marBottom w:val="0"/>
      <w:divBdr>
        <w:top w:val="none" w:sz="0" w:space="0" w:color="auto"/>
        <w:left w:val="none" w:sz="0" w:space="0" w:color="auto"/>
        <w:bottom w:val="none" w:sz="0" w:space="0" w:color="auto"/>
        <w:right w:val="none" w:sz="0" w:space="0" w:color="auto"/>
      </w:divBdr>
    </w:div>
    <w:div w:id="504051430">
      <w:bodyDiv w:val="1"/>
      <w:marLeft w:val="0"/>
      <w:marRight w:val="0"/>
      <w:marTop w:val="0"/>
      <w:marBottom w:val="0"/>
      <w:divBdr>
        <w:top w:val="none" w:sz="0" w:space="0" w:color="auto"/>
        <w:left w:val="none" w:sz="0" w:space="0" w:color="auto"/>
        <w:bottom w:val="none" w:sz="0" w:space="0" w:color="auto"/>
        <w:right w:val="none" w:sz="0" w:space="0" w:color="auto"/>
      </w:divBdr>
    </w:div>
    <w:div w:id="710419663">
      <w:bodyDiv w:val="1"/>
      <w:marLeft w:val="0"/>
      <w:marRight w:val="0"/>
      <w:marTop w:val="0"/>
      <w:marBottom w:val="0"/>
      <w:divBdr>
        <w:top w:val="none" w:sz="0" w:space="0" w:color="auto"/>
        <w:left w:val="none" w:sz="0" w:space="0" w:color="auto"/>
        <w:bottom w:val="none" w:sz="0" w:space="0" w:color="auto"/>
        <w:right w:val="none" w:sz="0" w:space="0" w:color="auto"/>
      </w:divBdr>
    </w:div>
    <w:div w:id="715084151">
      <w:bodyDiv w:val="1"/>
      <w:marLeft w:val="0"/>
      <w:marRight w:val="0"/>
      <w:marTop w:val="0"/>
      <w:marBottom w:val="0"/>
      <w:divBdr>
        <w:top w:val="none" w:sz="0" w:space="0" w:color="auto"/>
        <w:left w:val="none" w:sz="0" w:space="0" w:color="auto"/>
        <w:bottom w:val="none" w:sz="0" w:space="0" w:color="auto"/>
        <w:right w:val="none" w:sz="0" w:space="0" w:color="auto"/>
      </w:divBdr>
    </w:div>
    <w:div w:id="731781592">
      <w:bodyDiv w:val="1"/>
      <w:marLeft w:val="0"/>
      <w:marRight w:val="0"/>
      <w:marTop w:val="0"/>
      <w:marBottom w:val="0"/>
      <w:divBdr>
        <w:top w:val="none" w:sz="0" w:space="0" w:color="auto"/>
        <w:left w:val="none" w:sz="0" w:space="0" w:color="auto"/>
        <w:bottom w:val="none" w:sz="0" w:space="0" w:color="auto"/>
        <w:right w:val="none" w:sz="0" w:space="0" w:color="auto"/>
      </w:divBdr>
    </w:div>
    <w:div w:id="1327393962">
      <w:bodyDiv w:val="1"/>
      <w:marLeft w:val="0"/>
      <w:marRight w:val="0"/>
      <w:marTop w:val="0"/>
      <w:marBottom w:val="0"/>
      <w:divBdr>
        <w:top w:val="none" w:sz="0" w:space="0" w:color="auto"/>
        <w:left w:val="none" w:sz="0" w:space="0" w:color="auto"/>
        <w:bottom w:val="none" w:sz="0" w:space="0" w:color="auto"/>
        <w:right w:val="none" w:sz="0" w:space="0" w:color="auto"/>
      </w:divBdr>
    </w:div>
    <w:div w:id="1584296168">
      <w:bodyDiv w:val="1"/>
      <w:marLeft w:val="0"/>
      <w:marRight w:val="0"/>
      <w:marTop w:val="0"/>
      <w:marBottom w:val="0"/>
      <w:divBdr>
        <w:top w:val="none" w:sz="0" w:space="0" w:color="auto"/>
        <w:left w:val="none" w:sz="0" w:space="0" w:color="auto"/>
        <w:bottom w:val="none" w:sz="0" w:space="0" w:color="auto"/>
        <w:right w:val="none" w:sz="0" w:space="0" w:color="auto"/>
      </w:divBdr>
    </w:div>
    <w:div w:id="19228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BA867-6A3B-4CEC-B4A5-7387566FA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3132</Words>
  <Characters>17858</Characters>
  <Application>Microsoft Office Word</Application>
  <DocSecurity>0</DocSecurity>
  <Lines>148</Lines>
  <Paragraphs>41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Stanimira Ivanova</dc:creator>
  <cp:keywords/>
  <dc:description/>
  <cp:lastModifiedBy>Ina Agafonova</cp:lastModifiedBy>
  <cp:revision>3</cp:revision>
  <dcterms:created xsi:type="dcterms:W3CDTF">2025-01-20T14:40:00Z</dcterms:created>
  <dcterms:modified xsi:type="dcterms:W3CDTF">2025-01-20T16:13:00Z</dcterms:modified>
</cp:coreProperties>
</file>